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CAE3" w14:textId="77777777" w:rsidR="00405150" w:rsidRDefault="007804AD">
      <w:pPr>
        <w:widowControl w:val="0"/>
        <w:pBdr>
          <w:top w:val="nil"/>
          <w:left w:val="nil"/>
          <w:bottom w:val="nil"/>
          <w:right w:val="nil"/>
          <w:between w:val="nil"/>
        </w:pBdr>
        <w:spacing w:after="0" w:line="276" w:lineRule="auto"/>
      </w:pPr>
      <w:r>
        <w:pict w14:anchorId="4AFCE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pt;height:50pt;z-index:251656704;visibility:hidden;mso-wrap-edited:f;mso-width-percent:0;mso-height-percent:0;mso-width-percent:0;mso-height-percent:0">
            <o:lock v:ext="edit" selection="t"/>
          </v:shape>
        </w:pict>
      </w:r>
      <w:r>
        <w:pict w14:anchorId="66E4B052">
          <v:shape id="_x0000_s1027" type="#_x0000_t136" alt="" style="position:absolute;margin-left:0;margin-top:0;width:50pt;height:50pt;z-index:251657728;visibility:hidden;mso-wrap-edited:f;mso-width-percent:0;mso-height-percent:0;mso-width-percent:0;mso-height-percent:0">
            <o:lock v:ext="edit" selection="t"/>
          </v:shape>
        </w:pict>
      </w:r>
      <w:r>
        <w:pict w14:anchorId="215DD1FA">
          <v:shape id="_x0000_s1026" type="#_x0000_t136" alt="" style="position:absolute;margin-left:0;margin-top:0;width:50pt;height:50pt;z-index:251658752;visibility:hidden;mso-wrap-edited:f;mso-width-percent:0;mso-height-percent:0;mso-width-percent:0;mso-height-percent:0">
            <o:lock v:ext="edit" selection="t"/>
          </v:shape>
        </w:pict>
      </w:r>
    </w:p>
    <w:p w14:paraId="6E7515BE" w14:textId="77777777" w:rsidR="00405150" w:rsidRDefault="00000000">
      <w:pPr>
        <w:spacing w:line="276" w:lineRule="auto"/>
        <w:jc w:val="both"/>
        <w:rPr>
          <w:rFonts w:ascii="Proxima Nova" w:eastAsia="Proxima Nova" w:hAnsi="Proxima Nova" w:cs="Proxima Nova"/>
          <w:b/>
          <w:color w:val="004479"/>
          <w:sz w:val="28"/>
          <w:szCs w:val="28"/>
        </w:rPr>
      </w:pPr>
      <w:r>
        <w:rPr>
          <w:rFonts w:ascii="Proxima Nova" w:eastAsia="Proxima Nova" w:hAnsi="Proxima Nova" w:cs="Proxima Nova"/>
          <w:b/>
          <w:color w:val="004479"/>
          <w:sz w:val="28"/>
          <w:szCs w:val="28"/>
        </w:rPr>
        <w:t>WWDA POSITION STATEMENT</w:t>
      </w:r>
    </w:p>
    <w:p w14:paraId="1CD00B78" w14:textId="77777777" w:rsidR="00405150" w:rsidRDefault="00000000">
      <w:pPr>
        <w:spacing w:line="276" w:lineRule="auto"/>
        <w:jc w:val="both"/>
        <w:rPr>
          <w:rFonts w:ascii="Proxima Nova" w:eastAsia="Proxima Nova" w:hAnsi="Proxima Nova" w:cs="Proxima Nova"/>
          <w:b/>
          <w:color w:val="004479"/>
          <w:sz w:val="28"/>
          <w:szCs w:val="28"/>
        </w:rPr>
      </w:pPr>
      <w:r>
        <w:rPr>
          <w:rFonts w:ascii="Proxima Nova" w:eastAsia="Proxima Nova" w:hAnsi="Proxima Nova" w:cs="Proxima Nova"/>
          <w:b/>
          <w:color w:val="004479"/>
          <w:sz w:val="28"/>
          <w:szCs w:val="28"/>
        </w:rPr>
        <w:t>NATIONAL AUTISM STRATEGY</w:t>
      </w:r>
    </w:p>
    <w:p w14:paraId="7454AE5E" w14:textId="5025C88D" w:rsidR="00405150" w:rsidRDefault="00000000">
      <w:pPr>
        <w:rPr>
          <w:rFonts w:ascii="Proxima Nova" w:eastAsia="Proxima Nova" w:hAnsi="Proxima Nova" w:cs="Proxima Nova"/>
          <w:b/>
          <w:sz w:val="24"/>
          <w:szCs w:val="24"/>
        </w:rPr>
      </w:pPr>
      <w:r>
        <w:rPr>
          <w:rFonts w:ascii="Proxima Nova" w:eastAsia="Proxima Nova" w:hAnsi="Proxima Nova" w:cs="Proxima Nova"/>
          <w:b/>
          <w:sz w:val="24"/>
          <w:szCs w:val="24"/>
        </w:rPr>
        <w:t xml:space="preserve">The National Autism Strategy must be gender responsive and informed by the experiences of autistic people of marginalised gender (including women, girls, </w:t>
      </w:r>
      <w:r w:rsidR="000107F5">
        <w:rPr>
          <w:rFonts w:ascii="Proxima Nova" w:eastAsia="Proxima Nova" w:hAnsi="Proxima Nova" w:cs="Proxima Nova"/>
          <w:b/>
          <w:sz w:val="24"/>
          <w:szCs w:val="24"/>
        </w:rPr>
        <w:t xml:space="preserve">and </w:t>
      </w:r>
      <w:r>
        <w:rPr>
          <w:rFonts w:ascii="Proxima Nova" w:eastAsia="Proxima Nova" w:hAnsi="Proxima Nova" w:cs="Proxima Nova"/>
          <w:b/>
          <w:sz w:val="24"/>
          <w:szCs w:val="24"/>
        </w:rPr>
        <w:t xml:space="preserve">non-binary and gender diverse people) in </w:t>
      </w:r>
      <w:proofErr w:type="gramStart"/>
      <w:r>
        <w:rPr>
          <w:rFonts w:ascii="Proxima Nova" w:eastAsia="Proxima Nova" w:hAnsi="Proxima Nova" w:cs="Proxima Nova"/>
          <w:b/>
          <w:sz w:val="24"/>
          <w:szCs w:val="24"/>
        </w:rPr>
        <w:t>all of</w:t>
      </w:r>
      <w:proofErr w:type="gramEnd"/>
      <w:r>
        <w:rPr>
          <w:rFonts w:ascii="Proxima Nova" w:eastAsia="Proxima Nova" w:hAnsi="Proxima Nova" w:cs="Proxima Nova"/>
          <w:b/>
          <w:sz w:val="24"/>
          <w:szCs w:val="24"/>
        </w:rPr>
        <w:t xml:space="preserve"> their diversity. </w:t>
      </w:r>
    </w:p>
    <w:p w14:paraId="6FB239B1" w14:textId="77777777" w:rsidR="00405150" w:rsidRDefault="00000000">
      <w:pPr>
        <w:pStyle w:val="Heading1"/>
        <w:rPr>
          <w:rFonts w:ascii="Proxima Nova" w:eastAsia="Proxima Nova" w:hAnsi="Proxima Nova" w:cs="Proxima Nova"/>
          <w:b/>
          <w:sz w:val="28"/>
          <w:szCs w:val="28"/>
        </w:rPr>
      </w:pPr>
      <w:r>
        <w:rPr>
          <w:rFonts w:ascii="Proxima Nova" w:eastAsia="Proxima Nova" w:hAnsi="Proxima Nova" w:cs="Proxima Nova"/>
          <w:b/>
          <w:sz w:val="28"/>
          <w:szCs w:val="28"/>
        </w:rPr>
        <w:t>The issue</w:t>
      </w:r>
    </w:p>
    <w:p w14:paraId="235C2AB9" w14:textId="411B5CDB" w:rsidR="00405150" w:rsidRDefault="00000000">
      <w:pPr>
        <w:rPr>
          <w:rFonts w:ascii="Proxima Nova" w:eastAsia="Proxima Nova" w:hAnsi="Proxima Nova" w:cs="Proxima Nova"/>
        </w:rPr>
      </w:pPr>
      <w:r>
        <w:rPr>
          <w:rFonts w:ascii="Proxima Nova" w:eastAsia="Proxima Nova" w:hAnsi="Proxima Nova" w:cs="Proxima Nova"/>
        </w:rPr>
        <w:t>Autistic women and girls have long been marginalised in autism research, and the development and delivery of services and supports. Autism research and the development and delivery of services and supports ha</w:t>
      </w:r>
      <w:r w:rsidR="000107F5">
        <w:rPr>
          <w:rFonts w:ascii="Proxima Nova" w:eastAsia="Proxima Nova" w:hAnsi="Proxima Nova" w:cs="Proxima Nova"/>
        </w:rPr>
        <w:t>ve</w:t>
      </w:r>
      <w:r>
        <w:rPr>
          <w:rFonts w:ascii="Proxima Nova" w:eastAsia="Proxima Nova" w:hAnsi="Proxima Nova" w:cs="Proxima Nova"/>
        </w:rPr>
        <w:t xml:space="preserve"> often taken place “about and without” autistic people, rather than </w:t>
      </w:r>
      <w:r w:rsidR="000107F5">
        <w:rPr>
          <w:rFonts w:ascii="Proxima Nova" w:eastAsia="Proxima Nova" w:hAnsi="Proxima Nova" w:cs="Proxima Nova"/>
        </w:rPr>
        <w:t xml:space="preserve">being led </w:t>
      </w:r>
      <w:r>
        <w:rPr>
          <w:rFonts w:ascii="Proxima Nova" w:eastAsia="Proxima Nova" w:hAnsi="Proxima Nova" w:cs="Proxima Nova"/>
        </w:rPr>
        <w:t>by autistic people. The Australian Government’s commitment to developing a National Autism Strategy presents an opportunity for a coordinated national approach to services and supports for all autistic Australians and their supporters. It is an opportunity to address the inequities experienced by autistic women and girls, and other autistic cohorts who experience overlapping forms of marginalisation.</w:t>
      </w:r>
    </w:p>
    <w:p w14:paraId="21DFB295" w14:textId="77777777" w:rsidR="00405150" w:rsidRDefault="00000000">
      <w:pPr>
        <w:pStyle w:val="Heading1"/>
        <w:rPr>
          <w:rFonts w:ascii="Proxima Nova" w:eastAsia="Proxima Nova" w:hAnsi="Proxima Nova" w:cs="Proxima Nova"/>
          <w:b/>
          <w:sz w:val="28"/>
          <w:szCs w:val="28"/>
        </w:rPr>
      </w:pPr>
      <w:r>
        <w:rPr>
          <w:rFonts w:ascii="Proxima Nova" w:eastAsia="Proxima Nova" w:hAnsi="Proxima Nova" w:cs="Proxima Nova"/>
          <w:b/>
          <w:sz w:val="28"/>
          <w:szCs w:val="28"/>
        </w:rPr>
        <w:t>What we know</w:t>
      </w:r>
    </w:p>
    <w:p w14:paraId="1DD2BA86" w14:textId="77777777" w:rsidR="00405150" w:rsidRDefault="00000000">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Diagnosis/Diagnostic assessment</w:t>
      </w:r>
    </w:p>
    <w:p w14:paraId="384A6997" w14:textId="3C1040B7" w:rsidR="009B252F" w:rsidRDefault="00000000">
      <w:pPr>
        <w:rPr>
          <w:rFonts w:ascii="Proxima Nova" w:eastAsia="Proxima Nova" w:hAnsi="Proxima Nova" w:cs="Proxima Nova"/>
        </w:rPr>
      </w:pPr>
      <w:r>
        <w:rPr>
          <w:rFonts w:ascii="Proxima Nova" w:eastAsia="Proxima Nova" w:hAnsi="Proxima Nova" w:cs="Proxima Nova"/>
        </w:rPr>
        <w:t>Autistic women and girls face significant barriers in accessing an autism diagnosis, with an estimated 80% remaining undiagnosed at the age of eighteen.</w:t>
      </w:r>
      <w:r w:rsidR="009B252F">
        <w:rPr>
          <w:rFonts w:ascii="Proxima Nova" w:eastAsia="Proxima Nova" w:hAnsi="Proxima Nova" w:cs="Proxima Nova"/>
          <w:vertAlign w:val="superscript"/>
        </w:rPr>
        <w:endnoteReference w:id="1"/>
      </w:r>
      <w:r w:rsidR="009B252F">
        <w:rPr>
          <w:rFonts w:ascii="Proxima Nova" w:eastAsia="Proxima Nova" w:hAnsi="Proxima Nova" w:cs="Proxima Nova"/>
        </w:rPr>
        <w:t xml:space="preserve"> These delays can negatively impact on health, education, employment, and other life outcomes.</w:t>
      </w:r>
      <w:r w:rsidR="009B252F">
        <w:rPr>
          <w:rFonts w:ascii="Proxima Nova" w:eastAsia="Proxima Nova" w:hAnsi="Proxima Nova" w:cs="Proxima Nova"/>
          <w:vertAlign w:val="superscript"/>
        </w:rPr>
        <w:endnoteReference w:id="2"/>
      </w:r>
      <w:r w:rsidR="009B252F">
        <w:rPr>
          <w:rFonts w:ascii="Proxima Nova" w:eastAsia="Proxima Nova" w:hAnsi="Proxima Nova" w:cs="Proxima Nova"/>
        </w:rPr>
        <w:t xml:space="preserve"> Autistic people who are non-binary or gender diverse also experience gender-related barriers to diagnosis. Factors that contribute to delays and barriers to diagnosis include:</w:t>
      </w:r>
    </w:p>
    <w:p w14:paraId="19C1A791" w14:textId="01C1040E" w:rsidR="009B252F" w:rsidRDefault="009B252F">
      <w:pPr>
        <w:numPr>
          <w:ilvl w:val="0"/>
          <w:numId w:val="1"/>
        </w:numPr>
        <w:pBdr>
          <w:top w:val="nil"/>
          <w:left w:val="nil"/>
          <w:bottom w:val="nil"/>
          <w:right w:val="nil"/>
          <w:between w:val="nil"/>
        </w:pBdr>
        <w:spacing w:after="0"/>
        <w:rPr>
          <w:rFonts w:ascii="Proxima Nova" w:eastAsia="Proxima Nova" w:hAnsi="Proxima Nova" w:cs="Proxima Nova"/>
          <w:color w:val="000000"/>
        </w:rPr>
      </w:pPr>
      <w:r>
        <w:rPr>
          <w:rFonts w:ascii="Proxima Nova" w:eastAsia="Proxima Nova" w:hAnsi="Proxima Nova" w:cs="Proxima Nova"/>
        </w:rPr>
        <w:t>Intersecting misconceptions about gender and autism due to societal sexism, which can lead to delayed identification, misdiagnosis, and lack of diagnosis of autistic people of marginalised gender</w:t>
      </w:r>
      <w:r>
        <w:rPr>
          <w:rFonts w:ascii="Proxima Nova" w:eastAsia="Proxima Nova" w:hAnsi="Proxima Nova" w:cs="Proxima Nova"/>
          <w:color w:val="000000"/>
        </w:rPr>
        <w:t>.</w:t>
      </w:r>
      <w:r>
        <w:rPr>
          <w:rFonts w:ascii="Proxima Nova" w:eastAsia="Proxima Nova" w:hAnsi="Proxima Nova" w:cs="Proxima Nova"/>
          <w:color w:val="000000"/>
          <w:vertAlign w:val="superscript"/>
        </w:rPr>
        <w:endnoteReference w:id="3"/>
      </w:r>
      <w:r>
        <w:rPr>
          <w:rFonts w:ascii="Proxima Nova" w:eastAsia="Proxima Nova" w:hAnsi="Proxima Nova" w:cs="Proxima Nova"/>
          <w:color w:val="000000"/>
          <w:vertAlign w:val="superscript"/>
        </w:rPr>
        <w:t>,</w:t>
      </w:r>
      <w:r>
        <w:rPr>
          <w:rFonts w:ascii="Proxima Nova" w:eastAsia="Proxima Nova" w:hAnsi="Proxima Nova" w:cs="Proxima Nova"/>
          <w:color w:val="000000"/>
          <w:vertAlign w:val="superscript"/>
        </w:rPr>
        <w:endnoteReference w:id="4"/>
      </w:r>
      <w:r>
        <w:rPr>
          <w:rFonts w:ascii="Proxima Nova" w:eastAsia="Proxima Nova" w:hAnsi="Proxima Nova" w:cs="Proxima Nova"/>
          <w:color w:val="000000"/>
          <w:vertAlign w:val="superscript"/>
        </w:rPr>
        <w:t>,5</w:t>
      </w:r>
    </w:p>
    <w:p w14:paraId="354613C2" w14:textId="77777777" w:rsidR="009B252F" w:rsidRDefault="009B252F">
      <w:pPr>
        <w:numPr>
          <w:ilvl w:val="0"/>
          <w:numId w:val="1"/>
        </w:numPr>
        <w:pBdr>
          <w:top w:val="nil"/>
          <w:left w:val="nil"/>
          <w:bottom w:val="nil"/>
          <w:right w:val="nil"/>
          <w:between w:val="nil"/>
        </w:pBdr>
        <w:rPr>
          <w:rFonts w:ascii="Proxima Nova" w:eastAsia="Proxima Nova" w:hAnsi="Proxima Nova" w:cs="Proxima Nova"/>
          <w:color w:val="000000"/>
        </w:rPr>
      </w:pPr>
      <w:r>
        <w:rPr>
          <w:rFonts w:ascii="Proxima Nova" w:eastAsia="Proxima Nova" w:hAnsi="Proxima Nova" w:cs="Proxima Nova"/>
          <w:color w:val="000000"/>
        </w:rPr>
        <w:t xml:space="preserve">Misdiagnosis of autistic people with mental health conditions such as social anxiety or borderline </w:t>
      </w:r>
      <w:r>
        <w:rPr>
          <w:rFonts w:ascii="Proxima Nova" w:eastAsia="Proxima Nova" w:hAnsi="Proxima Nova" w:cs="Proxima Nova"/>
        </w:rPr>
        <w:t>personality</w:t>
      </w:r>
      <w:r>
        <w:rPr>
          <w:rFonts w:ascii="Proxima Nova" w:eastAsia="Proxima Nova" w:hAnsi="Proxima Nova" w:cs="Proxima Nova"/>
          <w:color w:val="000000"/>
        </w:rPr>
        <w:t xml:space="preserve"> disorder, resulting in inappropriate supports and services.</w:t>
      </w:r>
      <w:r>
        <w:rPr>
          <w:rFonts w:ascii="Proxima Nova" w:eastAsia="Proxima Nova" w:hAnsi="Proxima Nova" w:cs="Proxima Nova"/>
          <w:color w:val="000000"/>
          <w:vertAlign w:val="superscript"/>
        </w:rPr>
        <w:endnoteReference w:id="5"/>
      </w:r>
    </w:p>
    <w:p w14:paraId="5C70C826"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Access to Supports</w:t>
      </w:r>
    </w:p>
    <w:p w14:paraId="6DBB4F5D" w14:textId="77777777" w:rsidR="009B252F" w:rsidRDefault="009B252F">
      <w:pPr>
        <w:rPr>
          <w:b/>
          <w:color w:val="AC1F7A"/>
          <w:sz w:val="24"/>
          <w:szCs w:val="24"/>
        </w:rPr>
      </w:pPr>
      <w:r>
        <w:rPr>
          <w:rFonts w:ascii="Proxima Nova" w:eastAsia="Proxima Nova" w:hAnsi="Proxima Nova" w:cs="Proxima Nova"/>
        </w:rPr>
        <w:t xml:space="preserve">Autistic people of marginalised gender often face barriers to accessing the supports they require due to these delays in diagnosis, as well as services which do not recognise their unique experiences and needs. For example, autistic women and girls face additional barriers to accessing the NDIS due to difficulty obtaining diagnosis. Autistic women and girls report that some service providers question their </w:t>
      </w:r>
      <w:proofErr w:type="gramStart"/>
      <w:r>
        <w:rPr>
          <w:rFonts w:ascii="Proxima Nova" w:eastAsia="Proxima Nova" w:hAnsi="Proxima Nova" w:cs="Proxima Nova"/>
        </w:rPr>
        <w:t>diagnosis, or</w:t>
      </w:r>
      <w:proofErr w:type="gramEnd"/>
      <w:r>
        <w:rPr>
          <w:rFonts w:ascii="Proxima Nova" w:eastAsia="Proxima Nova" w:hAnsi="Proxima Nova" w:cs="Proxima Nova"/>
        </w:rPr>
        <w:t xml:space="preserve"> have a limited understanding of their needs and are unable to provide the support they require.</w:t>
      </w:r>
    </w:p>
    <w:p w14:paraId="45E0A2C3"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Data</w:t>
      </w:r>
    </w:p>
    <w:p w14:paraId="55D0F5F8" w14:textId="77777777" w:rsidR="009B252F" w:rsidRDefault="009B252F">
      <w:pPr>
        <w:rPr>
          <w:rFonts w:ascii="Proxima Nova" w:eastAsia="Proxima Nova" w:hAnsi="Proxima Nova" w:cs="Proxima Nova"/>
        </w:rPr>
      </w:pPr>
      <w:r>
        <w:rPr>
          <w:rFonts w:ascii="Proxima Nova" w:eastAsia="Proxima Nova" w:hAnsi="Proxima Nova" w:cs="Proxima Nova"/>
        </w:rPr>
        <w:t>Data on the experiences of people with disability is rarely disaggregated by gender. This poses a barrier to identifying, understanding and addressing gender differences in experiences and outcomes. Data on the experiences of autistic women and girls is even more sparse due to the delays in identification. This can contribute to the experiences of women and girls not being considered in the development of policies and services.</w:t>
      </w:r>
    </w:p>
    <w:p w14:paraId="4C7910D9"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lastRenderedPageBreak/>
        <w:t>Health</w:t>
      </w:r>
    </w:p>
    <w:p w14:paraId="5B8821EF" w14:textId="2D2EFAE5" w:rsidR="009B252F" w:rsidRDefault="009B252F">
      <w:pPr>
        <w:rPr>
          <w:rFonts w:ascii="Proxima Nova" w:eastAsia="Proxima Nova" w:hAnsi="Proxima Nova" w:cs="Proxima Nova"/>
        </w:rPr>
      </w:pPr>
      <w:r>
        <w:rPr>
          <w:rFonts w:ascii="Proxima Nova" w:eastAsia="Proxima Nova" w:hAnsi="Proxima Nova" w:cs="Proxima Nova"/>
        </w:rPr>
        <w:t>Autistic adults in Australia experience more barriers to healthcare than their non-autistic counterparts.</w:t>
      </w:r>
      <w:r>
        <w:rPr>
          <w:rFonts w:ascii="Proxima Nova" w:eastAsia="Proxima Nova" w:hAnsi="Proxima Nova" w:cs="Proxima Nova"/>
          <w:vertAlign w:val="superscript"/>
        </w:rPr>
        <w:endnoteReference w:id="6"/>
      </w:r>
      <w:r>
        <w:rPr>
          <w:rFonts w:ascii="Proxima Nova" w:eastAsia="Proxima Nova" w:hAnsi="Proxima Nova" w:cs="Proxima Nova"/>
        </w:rPr>
        <w:t xml:space="preserve"> These barriers interact with the entrenched gender bias in the health care system. </w:t>
      </w:r>
      <w:r>
        <w:rPr>
          <w:rFonts w:ascii="Proxima Nova" w:eastAsia="Proxima Nova" w:hAnsi="Proxima Nova" w:cs="Proxima Nova"/>
          <w:color w:val="1F1F1F"/>
        </w:rPr>
        <w:t xml:space="preserve">Rates of physical and mental health conditions, including disordered eating, are high among autistic people of marginalised gender - yet health and allied health services are often not tailored to the needs of autistic people. </w:t>
      </w:r>
      <w:r>
        <w:rPr>
          <w:rFonts w:ascii="Proxima Nova" w:eastAsia="Proxima Nova" w:hAnsi="Proxima Nova" w:cs="Proxima Nova"/>
        </w:rPr>
        <w:t xml:space="preserve">Autistic </w:t>
      </w:r>
      <w:r>
        <w:rPr>
          <w:rFonts w:ascii="Proxima Nova" w:eastAsia="Proxima Nova" w:hAnsi="Proxima Nova" w:cs="Proxima Nova"/>
          <w:color w:val="1F1F1F"/>
        </w:rPr>
        <w:t>women report that health professionals often dispute their diagnosis or refuse to provide accommodations.</w:t>
      </w:r>
      <w:r>
        <w:rPr>
          <w:rFonts w:ascii="Proxima Nova" w:eastAsia="Proxima Nova" w:hAnsi="Proxima Nova" w:cs="Proxima Nova"/>
          <w:color w:val="1F1F1F"/>
          <w:vertAlign w:val="superscript"/>
        </w:rPr>
        <w:endnoteReference w:id="7"/>
      </w:r>
      <w:r>
        <w:rPr>
          <w:rFonts w:ascii="Proxima Nova" w:eastAsia="Proxima Nova" w:hAnsi="Proxima Nova" w:cs="Proxima Nova"/>
          <w:color w:val="1F1F1F"/>
        </w:rPr>
        <w:t xml:space="preserve"> In addition, autistic women and people assigned female at birth report specific barriers to getting the support they need in relation to menstrual, sexual and reproductive healthcare.</w:t>
      </w:r>
      <w:r>
        <w:rPr>
          <w:rFonts w:ascii="Proxima Nova" w:eastAsia="Proxima Nova" w:hAnsi="Proxima Nova" w:cs="Proxima Nova"/>
          <w:color w:val="1F1F1F"/>
          <w:vertAlign w:val="superscript"/>
        </w:rPr>
        <w:endnoteReference w:id="8"/>
      </w:r>
      <w:r>
        <w:rPr>
          <w:rFonts w:ascii="Proxima Nova" w:eastAsia="Proxima Nova" w:hAnsi="Proxima Nova" w:cs="Proxima Nova"/>
          <w:color w:val="1F1F1F"/>
        </w:rPr>
        <w:t xml:space="preserve"> Further contributing to a healthcare disadvantage is that autistic people are more likely than nonautistic people to be transgender</w:t>
      </w:r>
      <w:r>
        <w:rPr>
          <w:rFonts w:ascii="Proxima Nova" w:eastAsia="Proxima Nova" w:hAnsi="Proxima Nova" w:cs="Proxima Nova"/>
          <w:color w:val="1F1F1F"/>
          <w:vertAlign w:val="superscript"/>
        </w:rPr>
        <w:endnoteReference w:id="9"/>
      </w:r>
      <w:r>
        <w:rPr>
          <w:rFonts w:ascii="Proxima Nova" w:eastAsia="Proxima Nova" w:hAnsi="Proxima Nova" w:cs="Proxima Nova"/>
          <w:color w:val="1F1F1F"/>
        </w:rPr>
        <w:t>, a cohort that experiences further discrimination, social stigma, and difficulty receiving appropriate healthcare.</w:t>
      </w:r>
    </w:p>
    <w:p w14:paraId="108AA425"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Education</w:t>
      </w:r>
    </w:p>
    <w:p w14:paraId="31C7DC82" w14:textId="77777777" w:rsidR="009B252F" w:rsidRDefault="009B252F">
      <w:pPr>
        <w:rPr>
          <w:rFonts w:ascii="Proxima Nova" w:eastAsia="Proxima Nova" w:hAnsi="Proxima Nova" w:cs="Proxima Nova"/>
        </w:rPr>
      </w:pPr>
      <w:r>
        <w:rPr>
          <w:rFonts w:ascii="Proxima Nova" w:eastAsia="Proxima Nova" w:hAnsi="Proxima Nova" w:cs="Proxima Nova"/>
        </w:rPr>
        <w:t>Autistic students experience disproportionately poor educational outcomes in Australia.</w:t>
      </w:r>
      <w:r>
        <w:rPr>
          <w:rFonts w:ascii="Proxima Nova" w:eastAsia="Proxima Nova" w:hAnsi="Proxima Nova" w:cs="Proxima Nova"/>
          <w:vertAlign w:val="superscript"/>
        </w:rPr>
        <w:endnoteReference w:id="10"/>
      </w:r>
      <w:r>
        <w:rPr>
          <w:rFonts w:ascii="Proxima Nova" w:eastAsia="Proxima Nova" w:hAnsi="Proxima Nova" w:cs="Proxima Nova"/>
        </w:rPr>
        <w:t xml:space="preserve">  Autistic girls who have not yet received a diagnosis struggle to get access to any support in school despite experiencing difficulties with the sensory and social requirements of the school system. </w:t>
      </w:r>
    </w:p>
    <w:p w14:paraId="5B63427D"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Employment</w:t>
      </w:r>
    </w:p>
    <w:p w14:paraId="09FA9865" w14:textId="77777777" w:rsidR="009B252F" w:rsidRDefault="009B252F">
      <w:pPr>
        <w:rPr>
          <w:rFonts w:ascii="Proxima Nova" w:eastAsia="Proxima Nova" w:hAnsi="Proxima Nova" w:cs="Proxima Nova"/>
        </w:rPr>
      </w:pPr>
      <w:r>
        <w:rPr>
          <w:rFonts w:ascii="Proxima Nova" w:eastAsia="Proxima Nova" w:hAnsi="Proxima Nova" w:cs="Proxima Nova"/>
        </w:rPr>
        <w:t>Autistic people in Australia experience high rates of unemployment or under-employment. Many lack support to find a job and report that employers do not understand autism.</w:t>
      </w:r>
      <w:r>
        <w:rPr>
          <w:rFonts w:ascii="Proxima Nova" w:eastAsia="Proxima Nova" w:hAnsi="Proxima Nova" w:cs="Proxima Nova"/>
          <w:vertAlign w:val="superscript"/>
        </w:rPr>
        <w:endnoteReference w:id="11"/>
      </w:r>
      <w:r>
        <w:rPr>
          <w:rFonts w:ascii="Proxima Nova" w:eastAsia="Proxima Nova" w:hAnsi="Proxima Nova" w:cs="Proxima Nova"/>
        </w:rPr>
        <w:t xml:space="preserve"> Autistic women face additional barriers and report not being able to access appropriate supports from employment providers due to a lack of understanding of their needs.</w:t>
      </w:r>
      <w:r>
        <w:rPr>
          <w:rFonts w:ascii="Proxima Nova" w:eastAsia="Proxima Nova" w:hAnsi="Proxima Nova" w:cs="Proxima Nova"/>
          <w:vertAlign w:val="superscript"/>
        </w:rPr>
        <w:endnoteReference w:id="12"/>
      </w:r>
    </w:p>
    <w:p w14:paraId="6DB50C24"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Violence, abuse and discrimination</w:t>
      </w:r>
    </w:p>
    <w:p w14:paraId="559FBCC9" w14:textId="77777777" w:rsidR="009B252F" w:rsidRDefault="009B252F">
      <w:pPr>
        <w:rPr>
          <w:rFonts w:ascii="Proxima Nova" w:eastAsia="Proxima Nova" w:hAnsi="Proxima Nova" w:cs="Proxima Nova"/>
          <w:vertAlign w:val="superscript"/>
        </w:rPr>
      </w:pPr>
      <w:r>
        <w:rPr>
          <w:rFonts w:ascii="Proxima Nova" w:eastAsia="Proxima Nova" w:hAnsi="Proxima Nova" w:cs="Proxima Nova"/>
        </w:rPr>
        <w:t>Women and girls with disabilities in Australia experience disproportionately high rates of violence compared to both men and women without disabilities.</w:t>
      </w:r>
      <w:r>
        <w:rPr>
          <w:rFonts w:ascii="Proxima Nova" w:eastAsia="Proxima Nova" w:hAnsi="Proxima Nova" w:cs="Proxima Nova"/>
          <w:vertAlign w:val="superscript"/>
        </w:rPr>
        <w:endnoteReference w:id="13"/>
      </w:r>
      <w:r>
        <w:rPr>
          <w:rFonts w:ascii="Proxima Nova" w:eastAsia="Proxima Nova" w:hAnsi="Proxima Nova" w:cs="Proxima Nova"/>
        </w:rPr>
        <w:t xml:space="preserve"> Evidence indicates that autistic women and girls experience even more elevated levels of violence. Some studies have found that up to 9 in 10 autistic women have experienced sexual violence.</w:t>
      </w:r>
      <w:r>
        <w:rPr>
          <w:rFonts w:ascii="Proxima Nova" w:eastAsia="Proxima Nova" w:hAnsi="Proxima Nova" w:cs="Proxima Nova"/>
          <w:vertAlign w:val="superscript"/>
        </w:rPr>
        <w:endnoteReference w:id="14"/>
      </w:r>
    </w:p>
    <w:p w14:paraId="6C1A40A9" w14:textId="77777777" w:rsidR="009B252F" w:rsidRDefault="009B252F">
      <w:pPr>
        <w:pStyle w:val="Heading2"/>
        <w:rPr>
          <w:rFonts w:ascii="Proxima Nova" w:eastAsia="Proxima Nova" w:hAnsi="Proxima Nova" w:cs="Proxima Nova"/>
          <w:b/>
          <w:color w:val="AC1F7A"/>
          <w:sz w:val="24"/>
          <w:szCs w:val="24"/>
        </w:rPr>
      </w:pPr>
      <w:bookmarkStart w:id="0" w:name="_heading=h.57ckiaja3auv" w:colFirst="0" w:colLast="0"/>
      <w:bookmarkEnd w:id="0"/>
      <w:r>
        <w:rPr>
          <w:rFonts w:ascii="Proxima Nova" w:eastAsia="Proxima Nova" w:hAnsi="Proxima Nova" w:cs="Proxima Nova"/>
          <w:b/>
          <w:color w:val="AC1F7A"/>
          <w:sz w:val="24"/>
          <w:szCs w:val="24"/>
        </w:rPr>
        <w:t>Applied Behavioural Analysis</w:t>
      </w:r>
    </w:p>
    <w:p w14:paraId="462F84D6" w14:textId="2E570A34" w:rsidR="009B252F" w:rsidRDefault="009B252F">
      <w:pPr>
        <w:rPr>
          <w:rFonts w:ascii="Proxima Nova" w:eastAsia="Proxima Nova" w:hAnsi="Proxima Nova" w:cs="Proxima Nova"/>
          <w:vertAlign w:val="superscript"/>
        </w:rPr>
      </w:pPr>
      <w:r>
        <w:rPr>
          <w:rFonts w:ascii="Proxima Nova" w:eastAsia="Proxima Nova" w:hAnsi="Proxima Nova" w:cs="Proxima Nova"/>
        </w:rPr>
        <w:t>The practice of Applied Behavioural Analysis (ABA) is widely accepted and practiced in Australia, despite its inherently abusive nature.</w:t>
      </w:r>
      <w:r>
        <w:rPr>
          <w:rFonts w:ascii="Proxima Nova" w:eastAsia="Proxima Nova" w:hAnsi="Proxima Nova" w:cs="Proxima Nova"/>
          <w:vertAlign w:val="superscript"/>
        </w:rPr>
        <w:endnoteReference w:id="15"/>
      </w:r>
      <w:r>
        <w:rPr>
          <w:rFonts w:ascii="Proxima Nova" w:eastAsia="Proxima Nova" w:hAnsi="Proxima Nova" w:cs="Proxima Nova"/>
        </w:rPr>
        <w:t xml:space="preserve"> The Strategy must not endorse ABA and must encourage a path forward that is based not in trying to ‘cure’ or ‘mitigate’ autism but in accepting, valuing, and accommodating autism in Australian structures and society.</w:t>
      </w:r>
    </w:p>
    <w:p w14:paraId="2807DFE2" w14:textId="77777777" w:rsidR="009B252F" w:rsidRDefault="009B252F">
      <w:pPr>
        <w:pStyle w:val="Heading2"/>
        <w:rPr>
          <w:rFonts w:ascii="Proxima Nova" w:eastAsia="Proxima Nova" w:hAnsi="Proxima Nova" w:cs="Proxima Nova"/>
          <w:b/>
          <w:color w:val="AC1F7A"/>
          <w:sz w:val="24"/>
          <w:szCs w:val="24"/>
        </w:rPr>
      </w:pPr>
      <w:r>
        <w:rPr>
          <w:rFonts w:ascii="Proxima Nova" w:eastAsia="Proxima Nova" w:hAnsi="Proxima Nova" w:cs="Proxima Nova"/>
          <w:b/>
          <w:color w:val="AC1F7A"/>
          <w:sz w:val="24"/>
          <w:szCs w:val="24"/>
        </w:rPr>
        <w:t>Autistic women with intellectual disability</w:t>
      </w:r>
    </w:p>
    <w:p w14:paraId="5124A848" w14:textId="77777777" w:rsidR="00405150" w:rsidRDefault="009B252F">
      <w:pPr>
        <w:rPr>
          <w:rFonts w:ascii="Proxima Nova" w:eastAsia="Proxima Nova" w:hAnsi="Proxima Nova" w:cs="Proxima Nova"/>
        </w:rPr>
      </w:pPr>
      <w:r>
        <w:rPr>
          <w:rFonts w:ascii="Proxima Nova" w:eastAsia="Proxima Nova" w:hAnsi="Proxima Nova" w:cs="Proxima Nova"/>
        </w:rPr>
        <w:t>It is estimated that approximately 30-60% of autistic people have an intellectual disability.</w:t>
      </w:r>
      <w:r>
        <w:rPr>
          <w:rFonts w:ascii="Proxima Nova" w:eastAsia="Proxima Nova" w:hAnsi="Proxima Nova" w:cs="Proxima Nova"/>
          <w:vertAlign w:val="superscript"/>
        </w:rPr>
        <w:endnoteReference w:id="16"/>
      </w:r>
      <w:r>
        <w:rPr>
          <w:rFonts w:ascii="Proxima Nova" w:eastAsia="Proxima Nova" w:hAnsi="Proxima Nova" w:cs="Proxima Nova"/>
        </w:rPr>
        <w:t xml:space="preserve"> Autistic women who have an intellectual disability experience compounded discrimination, including increased exclusion from services and the broader community, violence, and additional barriers to accessing appropriate support.  Unfortunately, government consultation processes often overlook this cohort in the development of services, policies and support.  The National Autism Strategy must be informed by the experiences of all autistic people including autistic women with an intellectual </w:t>
      </w:r>
      <w:proofErr w:type="gramStart"/>
      <w:r>
        <w:rPr>
          <w:rFonts w:ascii="Proxima Nova" w:eastAsia="Proxima Nova" w:hAnsi="Proxima Nova" w:cs="Proxima Nova"/>
        </w:rPr>
        <w:t>disability, and</w:t>
      </w:r>
      <w:proofErr w:type="gramEnd"/>
      <w:r>
        <w:rPr>
          <w:rFonts w:ascii="Proxima Nova" w:eastAsia="Proxima Nova" w:hAnsi="Proxima Nova" w:cs="Proxima Nova"/>
        </w:rPr>
        <w:t xml:space="preserve"> must address their needs.  WWDA endorses the advice provided by Inclusion Australia on targeted engagement approaches to ensure that the Strategy is informed by the experiences of autistic people with an intellectual disability.</w:t>
      </w:r>
      <w:r>
        <w:rPr>
          <w:rFonts w:ascii="Proxima Nova" w:eastAsia="Proxima Nova" w:hAnsi="Proxima Nova" w:cs="Proxima Nova"/>
          <w:vertAlign w:val="superscript"/>
        </w:rPr>
        <w:endnoteReference w:id="17"/>
      </w:r>
      <w:r>
        <w:rPr>
          <w:rFonts w:ascii="Proxima Nova" w:eastAsia="Proxima Nova" w:hAnsi="Proxima Nova" w:cs="Proxima Nova"/>
        </w:rPr>
        <w:t xml:space="preserve"> </w:t>
      </w:r>
    </w:p>
    <w:p w14:paraId="0658C16E" w14:textId="77777777" w:rsidR="00405150" w:rsidRDefault="00000000">
      <w:pPr>
        <w:pStyle w:val="Heading1"/>
        <w:rPr>
          <w:rFonts w:ascii="Proxima Nova" w:eastAsia="Proxima Nova" w:hAnsi="Proxima Nova" w:cs="Proxima Nova"/>
          <w:b/>
          <w:sz w:val="28"/>
          <w:szCs w:val="28"/>
        </w:rPr>
      </w:pPr>
      <w:r>
        <w:rPr>
          <w:rFonts w:ascii="Proxima Nova" w:eastAsia="Proxima Nova" w:hAnsi="Proxima Nova" w:cs="Proxima Nova"/>
          <w:b/>
          <w:sz w:val="28"/>
          <w:szCs w:val="28"/>
        </w:rPr>
        <w:lastRenderedPageBreak/>
        <w:t>WWDA’s Recommendation</w:t>
      </w:r>
    </w:p>
    <w:p w14:paraId="16014253" w14:textId="77777777" w:rsidR="00405150" w:rsidRDefault="00000000">
      <w:pPr>
        <w:rPr>
          <w:rFonts w:ascii="Proxima Nova" w:eastAsia="Proxima Nova" w:hAnsi="Proxima Nova" w:cs="Proxima Nova"/>
        </w:rPr>
      </w:pPr>
      <w:r>
        <w:rPr>
          <w:rFonts w:ascii="Proxima Nova" w:eastAsia="Proxima Nova" w:hAnsi="Proxima Nova" w:cs="Proxima Nova"/>
        </w:rPr>
        <w:t xml:space="preserve">The National Autism Strategy must be informed by the experiences of autistic people of marginalised gender in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their diversity, as well as their representative organisations. It is critical that the Strategy addresses the current inequities experienced by autistic women and girls. To do this, the Strategy must be developed and enacted at all stages in not just consultation but in active and open collaboration with autistic people, including </w:t>
      </w:r>
      <w:proofErr w:type="gramStart"/>
      <w:r>
        <w:rPr>
          <w:rFonts w:ascii="Proxima Nova" w:eastAsia="Proxima Nova" w:hAnsi="Proxima Nova" w:cs="Proxima Nova"/>
        </w:rPr>
        <w:t>autistic  women</w:t>
      </w:r>
      <w:proofErr w:type="gramEnd"/>
      <w:r>
        <w:rPr>
          <w:rFonts w:ascii="Proxima Nova" w:eastAsia="Proxima Nova" w:hAnsi="Proxima Nova" w:cs="Proxima Nova"/>
        </w:rPr>
        <w:t xml:space="preserve"> and girls. Implementation of the strategy must involve a gender lens, focusing on improving access to diagnosis, collecting gender-disaggregated data, and ensuring access to tailored and gender-responsive supports.</w:t>
      </w:r>
    </w:p>
    <w:p w14:paraId="495A27D1" w14:textId="77777777" w:rsidR="00405150" w:rsidRDefault="00000000">
      <w:pPr>
        <w:pStyle w:val="Heading1"/>
        <w:rPr>
          <w:rFonts w:ascii="Proxima Nova" w:eastAsia="Proxima Nova" w:hAnsi="Proxima Nova" w:cs="Proxima Nova"/>
          <w:b/>
          <w:sz w:val="28"/>
          <w:szCs w:val="28"/>
        </w:rPr>
      </w:pPr>
      <w:r>
        <w:rPr>
          <w:rFonts w:ascii="Proxima Nova" w:eastAsia="Proxima Nova" w:hAnsi="Proxima Nova" w:cs="Proxima Nova"/>
          <w:b/>
          <w:sz w:val="28"/>
          <w:szCs w:val="28"/>
        </w:rPr>
        <w:t xml:space="preserve">Suggested reading </w:t>
      </w:r>
    </w:p>
    <w:p w14:paraId="22B66993" w14:textId="4E858FEF" w:rsidR="00405150" w:rsidRPr="00AF5587" w:rsidRDefault="00000000">
      <w:pPr>
        <w:rPr>
          <w:rFonts w:ascii="Proxima Nova" w:hAnsi="Proxima Nova"/>
          <w:color w:val="000000" w:themeColor="text1"/>
        </w:rPr>
      </w:pPr>
      <w:r w:rsidRPr="00AF5587">
        <w:rPr>
          <w:rFonts w:ascii="Proxima Nova" w:eastAsia="Proxima Nova" w:hAnsi="Proxima Nova" w:cs="Proxima Nova"/>
          <w:color w:val="000000" w:themeColor="text1"/>
        </w:rPr>
        <w:t>Women With Disabilities Australia (WWDA) (2023). ‘The experiences of Autistic women and girls.’ WWDA Autism Research Project. June 2023. Women With Disabilities Australia (WWDA): Hobart, Tasmania. ISBN: 978-0-9876035-5-5.</w:t>
      </w:r>
      <w:r w:rsidRPr="00AF5587">
        <w:rPr>
          <w:rFonts w:ascii="Proxima Nova" w:hAnsi="Proxima Nova"/>
          <w:color w:val="000000" w:themeColor="text1"/>
        </w:rPr>
        <w:t xml:space="preserve"> </w:t>
      </w:r>
    </w:p>
    <w:sectPr w:rsidR="00405150" w:rsidRPr="00AF5587">
      <w:headerReference w:type="even" r:id="rId8"/>
      <w:headerReference w:type="default" r:id="rId9"/>
      <w:footerReference w:type="default" r:id="rId10"/>
      <w:headerReference w:type="first" r:id="rId11"/>
      <w:endnotePr>
        <w:numFmt w:val="decimal"/>
      </w:endnotePr>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295ED" w14:textId="77777777" w:rsidR="007804AD" w:rsidRDefault="007804AD">
      <w:pPr>
        <w:spacing w:after="0" w:line="240" w:lineRule="auto"/>
      </w:pPr>
      <w:r>
        <w:separator/>
      </w:r>
    </w:p>
  </w:endnote>
  <w:endnote w:type="continuationSeparator" w:id="0">
    <w:p w14:paraId="245F475C" w14:textId="77777777" w:rsidR="007804AD" w:rsidRDefault="007804AD">
      <w:pPr>
        <w:spacing w:after="0" w:line="240" w:lineRule="auto"/>
      </w:pPr>
      <w:r>
        <w:continuationSeparator/>
      </w:r>
    </w:p>
  </w:endnote>
  <w:endnote w:id="1">
    <w:p w14:paraId="07C77BB5"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McCrossin, R. (2022). Finding the True Number of Females with Autistic Spectrum Disorder by </w:t>
      </w:r>
    </w:p>
    <w:p w14:paraId="0AE19198"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Fonts w:ascii="Proxima Nova" w:eastAsia="Proxima Nova" w:hAnsi="Proxima Nova" w:cs="Proxima Nova"/>
          <w:color w:val="000000"/>
          <w:sz w:val="13"/>
          <w:szCs w:val="13"/>
        </w:rPr>
        <w:t xml:space="preserve">Estimating the Biases in Initial Recognition and Clinical Diagnosis. Children (Basel, Switzerland), 9(2), </w:t>
      </w:r>
    </w:p>
    <w:p w14:paraId="0A9B2899"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Fonts w:ascii="Proxima Nova" w:eastAsia="Proxima Nova" w:hAnsi="Proxima Nova" w:cs="Proxima Nova"/>
          <w:color w:val="000000"/>
          <w:sz w:val="13"/>
          <w:szCs w:val="13"/>
        </w:rPr>
        <w:t>272.</w:t>
      </w:r>
    </w:p>
  </w:endnote>
  <w:endnote w:id="2">
    <w:p w14:paraId="7D7127C8"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Women With Disabilities Australia (WWDA) (2023). ‘The experiences of Autistic women and girls.’ WWDA Autism Research Project. June 2023. Written by Sophie Cusworth, Senior Policy Officer, Women with Disabilities Australia (WWDA): Hobart, Tasmania. ISBN: 978-0-9876035-5-5</w:t>
      </w:r>
    </w:p>
  </w:endnote>
  <w:endnote w:id="3">
    <w:p w14:paraId="79101851"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Victorian Parliament 2017. Inquiry into Services for People with Autism Spectrum Disorder - Final Report. Family and Community Development Committee. June 2017. </w:t>
      </w:r>
    </w:p>
  </w:endnote>
  <w:endnote w:id="4">
    <w:p w14:paraId="7981D495"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w:t>
      </w:r>
      <w:proofErr w:type="spellStart"/>
      <w:r w:rsidRPr="009B252F">
        <w:rPr>
          <w:rFonts w:ascii="Proxima Nova" w:eastAsia="Proxima Nova" w:hAnsi="Proxima Nova" w:cs="Proxima Nova"/>
          <w:color w:val="000000"/>
          <w:sz w:val="13"/>
          <w:szCs w:val="13"/>
        </w:rPr>
        <w:t>Novat</w:t>
      </w:r>
      <w:proofErr w:type="spellEnd"/>
      <w:r w:rsidRPr="009B252F">
        <w:rPr>
          <w:rFonts w:ascii="Proxima Nova" w:eastAsia="Proxima Nova" w:hAnsi="Proxima Nova" w:cs="Proxima Nova"/>
          <w:color w:val="000000"/>
          <w:sz w:val="13"/>
          <w:szCs w:val="13"/>
        </w:rPr>
        <w:t xml:space="preserve"> N et al 2017.Maternal experience raising girls with autism spectrum disorder: A qualitative study. Child: Care, Health and Development, vol.43, no. 4, pp. 536-545.</w:t>
      </w:r>
    </w:p>
  </w:endnote>
  <w:endnote w:id="5">
    <w:p w14:paraId="04C54D65"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Hamdani, Y., </w:t>
      </w:r>
      <w:proofErr w:type="spellStart"/>
      <w:r w:rsidRPr="009B252F">
        <w:rPr>
          <w:rFonts w:ascii="Proxima Nova" w:eastAsia="Proxima Nova" w:hAnsi="Proxima Nova" w:cs="Proxima Nova"/>
          <w:color w:val="000000"/>
          <w:sz w:val="13"/>
          <w:szCs w:val="13"/>
        </w:rPr>
        <w:t>Kassee</w:t>
      </w:r>
      <w:proofErr w:type="spellEnd"/>
      <w:r w:rsidRPr="009B252F">
        <w:rPr>
          <w:rFonts w:ascii="Proxima Nova" w:eastAsia="Proxima Nova" w:hAnsi="Proxima Nova" w:cs="Proxima Nova"/>
          <w:color w:val="000000"/>
          <w:sz w:val="13"/>
          <w:szCs w:val="13"/>
        </w:rPr>
        <w:t xml:space="preserve">, C., Walker, M., </w:t>
      </w:r>
      <w:proofErr w:type="spellStart"/>
      <w:r w:rsidRPr="009B252F">
        <w:rPr>
          <w:rFonts w:ascii="Proxima Nova" w:eastAsia="Proxima Nova" w:hAnsi="Proxima Nova" w:cs="Proxima Nova"/>
          <w:color w:val="000000"/>
          <w:sz w:val="13"/>
          <w:szCs w:val="13"/>
        </w:rPr>
        <w:t>Lunsky</w:t>
      </w:r>
      <w:proofErr w:type="spellEnd"/>
      <w:r w:rsidRPr="009B252F">
        <w:rPr>
          <w:rFonts w:ascii="Proxima Nova" w:eastAsia="Proxima Nova" w:hAnsi="Proxima Nova" w:cs="Proxima Nova"/>
          <w:color w:val="000000"/>
          <w:sz w:val="13"/>
          <w:szCs w:val="13"/>
        </w:rPr>
        <w:t xml:space="preserve">, Y., Gladstone, B., Sawyer, A., </w:t>
      </w:r>
      <w:proofErr w:type="spellStart"/>
      <w:r w:rsidRPr="009B252F">
        <w:rPr>
          <w:rFonts w:ascii="Proxima Nova" w:eastAsia="Proxima Nova" w:hAnsi="Proxima Nova" w:cs="Proxima Nova"/>
          <w:color w:val="000000"/>
          <w:sz w:val="13"/>
          <w:szCs w:val="13"/>
        </w:rPr>
        <w:t>Ameis</w:t>
      </w:r>
      <w:proofErr w:type="spellEnd"/>
      <w:r w:rsidRPr="009B252F">
        <w:rPr>
          <w:rFonts w:ascii="Proxima Nova" w:eastAsia="Proxima Nova" w:hAnsi="Proxima Nova" w:cs="Proxima Nova"/>
          <w:color w:val="000000"/>
          <w:sz w:val="13"/>
          <w:szCs w:val="13"/>
        </w:rPr>
        <w:t xml:space="preserve">, S. H., </w:t>
      </w:r>
      <w:proofErr w:type="spellStart"/>
      <w:r w:rsidRPr="009B252F">
        <w:rPr>
          <w:rFonts w:ascii="Proxima Nova" w:eastAsia="Proxima Nova" w:hAnsi="Proxima Nova" w:cs="Proxima Nova"/>
          <w:color w:val="000000"/>
          <w:sz w:val="13"/>
          <w:szCs w:val="13"/>
        </w:rPr>
        <w:t>Desarkar</w:t>
      </w:r>
      <w:proofErr w:type="spellEnd"/>
      <w:r w:rsidRPr="009B252F">
        <w:rPr>
          <w:rFonts w:ascii="Proxima Nova" w:eastAsia="Proxima Nova" w:hAnsi="Proxima Nova" w:cs="Proxima Nova"/>
          <w:color w:val="000000"/>
          <w:sz w:val="13"/>
          <w:szCs w:val="13"/>
        </w:rPr>
        <w:t xml:space="preserve">, P., </w:t>
      </w:r>
      <w:proofErr w:type="spellStart"/>
      <w:r w:rsidRPr="009B252F">
        <w:rPr>
          <w:rFonts w:ascii="Proxima Nova" w:eastAsia="Proxima Nova" w:hAnsi="Proxima Nova" w:cs="Proxima Nova"/>
          <w:color w:val="000000"/>
          <w:sz w:val="13"/>
          <w:szCs w:val="13"/>
        </w:rPr>
        <w:t>Szatmari</w:t>
      </w:r>
      <w:proofErr w:type="spellEnd"/>
      <w:r w:rsidRPr="009B252F">
        <w:rPr>
          <w:rFonts w:ascii="Proxima Nova" w:eastAsia="Proxima Nova" w:hAnsi="Proxima Nova" w:cs="Proxima Nova"/>
          <w:color w:val="000000"/>
          <w:sz w:val="13"/>
          <w:szCs w:val="13"/>
        </w:rPr>
        <w:t>, P., &amp; Lai, M. C. (2023). Roadblocks and detours on pathways to a clinical diagnosis of autism for girls and women: A qualitative secondary analysis. Women’s health (London, England), 19, 17455057231163761</w:t>
      </w:r>
    </w:p>
  </w:endnote>
  <w:endnote w:id="6">
    <w:p w14:paraId="25D2D3FE" w14:textId="77777777" w:rsidR="009B252F" w:rsidRPr="009B252F" w:rsidRDefault="009B252F" w:rsidP="002438FD">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Amaze (2019). Autism Fast Facts: Employment.</w:t>
      </w:r>
    </w:p>
  </w:endnote>
  <w:endnote w:id="7">
    <w:p w14:paraId="73432471"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Select Committee on Autism (2021). Services, support, and life outcomes for autistic Australians.</w:t>
      </w:r>
    </w:p>
  </w:endnote>
  <w:endnote w:id="8">
    <w:p w14:paraId="71DA098B"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Tint, A., &amp; Weiss, J. A. (2018). A qualitative study of the service experiences of women with autism spectrum disorder. Autism, 22(8), 928-937.</w:t>
      </w:r>
    </w:p>
  </w:endnote>
  <w:endnote w:id="9">
    <w:p w14:paraId="54AD1B7F" w14:textId="77777777" w:rsidR="009B252F" w:rsidRPr="009B252F" w:rsidRDefault="009B252F">
      <w:pPr>
        <w:spacing w:after="0" w:line="240" w:lineRule="auto"/>
        <w:rPr>
          <w:rFonts w:ascii="Proxima Nova" w:hAnsi="Proxima Nova"/>
          <w:sz w:val="13"/>
          <w:szCs w:val="13"/>
        </w:rPr>
      </w:pPr>
      <w:r w:rsidRPr="009B252F">
        <w:rPr>
          <w:rStyle w:val="EndnoteReference"/>
          <w:rFonts w:ascii="Proxima Nova" w:hAnsi="Proxima Nova"/>
          <w:sz w:val="13"/>
          <w:szCs w:val="13"/>
        </w:rPr>
        <w:endnoteRef/>
      </w:r>
      <w:proofErr w:type="spellStart"/>
      <w:r w:rsidRPr="009B252F">
        <w:rPr>
          <w:rFonts w:ascii="Proxima Nova" w:hAnsi="Proxima Nova"/>
          <w:sz w:val="13"/>
          <w:szCs w:val="13"/>
        </w:rPr>
        <w:t>Warrier</w:t>
      </w:r>
      <w:proofErr w:type="spellEnd"/>
      <w:r w:rsidRPr="009B252F">
        <w:rPr>
          <w:rFonts w:ascii="Proxima Nova" w:hAnsi="Proxima Nova"/>
          <w:sz w:val="13"/>
          <w:szCs w:val="13"/>
        </w:rPr>
        <w:t>, Varun et. al (2020). Elevated rates of autism, other neurodevelopmental and psychiatric diagnoses, and autistic traits in transgender and gender-diverse individuals. https://www.ncbi.nlm.nih.gov/pmc/articles/PMC7415151/</w:t>
      </w:r>
    </w:p>
  </w:endnote>
  <w:endnote w:id="10">
    <w:p w14:paraId="1004B6AC"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Select Committee on Autism (2021). Services, support, and life outcomes for autistic Australians.</w:t>
      </w:r>
    </w:p>
  </w:endnote>
  <w:endnote w:id="11">
    <w:p w14:paraId="1FE0AEAA"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Jones, S., Muhammad, A., Murphy, N., Paul, M. &amp; Vickers, N. (2019). Australia’s Attitudes &amp; Behaviours towards Autism and Experiences of Autistic People and their Families: Autism and Employment. https://www.amaze.org.au/wp-content/uploads/2019/06/Employment-CommunityAttitudes-and-Lived-Experiences-Research-Report_FINAL.pdf</w:t>
      </w:r>
    </w:p>
  </w:endnote>
  <w:endnote w:id="12">
    <w:p w14:paraId="099982DB"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Select Committee on Autism (2021). Services, support, and life outcomes for autistic Australians.</w:t>
      </w:r>
    </w:p>
  </w:endnote>
  <w:endnote w:id="13">
    <w:p w14:paraId="613DCFE4"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Dowse, L., </w:t>
      </w:r>
      <w:proofErr w:type="spellStart"/>
      <w:r w:rsidRPr="009B252F">
        <w:rPr>
          <w:rFonts w:ascii="Proxima Nova" w:eastAsia="Proxima Nova" w:hAnsi="Proxima Nova" w:cs="Proxima Nova"/>
          <w:color w:val="000000"/>
          <w:sz w:val="13"/>
          <w:szCs w:val="13"/>
        </w:rPr>
        <w:t>Soldatic</w:t>
      </w:r>
      <w:proofErr w:type="spellEnd"/>
      <w:r w:rsidRPr="009B252F">
        <w:rPr>
          <w:rFonts w:ascii="Proxima Nova" w:eastAsia="Proxima Nova" w:hAnsi="Proxima Nova" w:cs="Proxima Nova"/>
          <w:color w:val="000000"/>
          <w:sz w:val="13"/>
          <w:szCs w:val="13"/>
        </w:rPr>
        <w:t xml:space="preserve">, K., Didi, A., Frohmader, C. and van </w:t>
      </w:r>
      <w:proofErr w:type="spellStart"/>
      <w:r w:rsidRPr="009B252F">
        <w:rPr>
          <w:rFonts w:ascii="Proxima Nova" w:eastAsia="Proxima Nova" w:hAnsi="Proxima Nova" w:cs="Proxima Nova"/>
          <w:color w:val="000000"/>
          <w:sz w:val="13"/>
          <w:szCs w:val="13"/>
        </w:rPr>
        <w:t>Toorn</w:t>
      </w:r>
      <w:proofErr w:type="spellEnd"/>
      <w:r w:rsidRPr="009B252F">
        <w:rPr>
          <w:rFonts w:ascii="Proxima Nova" w:eastAsia="Proxima Nova" w:hAnsi="Proxima Nova" w:cs="Proxima Nova"/>
          <w:color w:val="000000"/>
          <w:sz w:val="13"/>
          <w:szCs w:val="13"/>
        </w:rPr>
        <w:t>, G. (2013) Stop the Violence: Addressing Violence Against Women and Girls with Disabilities in Australia. Background Paper. Hobart: Women with Disabilities Australia.</w:t>
      </w:r>
    </w:p>
  </w:endnote>
  <w:endnote w:id="14">
    <w:p w14:paraId="1B5D50D8"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w:t>
      </w:r>
      <w:proofErr w:type="spellStart"/>
      <w:r w:rsidRPr="009B252F">
        <w:rPr>
          <w:rFonts w:ascii="Proxima Nova" w:eastAsia="Proxima Nova" w:hAnsi="Proxima Nova" w:cs="Proxima Nova"/>
          <w:color w:val="000000"/>
          <w:sz w:val="13"/>
          <w:szCs w:val="13"/>
        </w:rPr>
        <w:t>Cazalis</w:t>
      </w:r>
      <w:proofErr w:type="spellEnd"/>
      <w:r w:rsidRPr="009B252F">
        <w:rPr>
          <w:rFonts w:ascii="Proxima Nova" w:eastAsia="Proxima Nova" w:hAnsi="Proxima Nova" w:cs="Proxima Nova"/>
          <w:color w:val="000000"/>
          <w:sz w:val="13"/>
          <w:szCs w:val="13"/>
        </w:rPr>
        <w:t xml:space="preserve"> F, Reyes E, Leduc S, </w:t>
      </w:r>
      <w:proofErr w:type="spellStart"/>
      <w:r w:rsidRPr="009B252F">
        <w:rPr>
          <w:rFonts w:ascii="Proxima Nova" w:eastAsia="Proxima Nova" w:hAnsi="Proxima Nova" w:cs="Proxima Nova"/>
          <w:color w:val="000000"/>
          <w:sz w:val="13"/>
          <w:szCs w:val="13"/>
        </w:rPr>
        <w:t>Gourion</w:t>
      </w:r>
      <w:proofErr w:type="spellEnd"/>
      <w:r w:rsidRPr="009B252F">
        <w:rPr>
          <w:rFonts w:ascii="Proxima Nova" w:eastAsia="Proxima Nova" w:hAnsi="Proxima Nova" w:cs="Proxima Nova"/>
          <w:color w:val="000000"/>
          <w:sz w:val="13"/>
          <w:szCs w:val="13"/>
        </w:rPr>
        <w:t xml:space="preserve"> D. Evidence That Nine Autistic Women Out of Ten Have Been Victims of Sexual Violence. Front </w:t>
      </w:r>
      <w:proofErr w:type="spellStart"/>
      <w:r w:rsidRPr="009B252F">
        <w:rPr>
          <w:rFonts w:ascii="Proxima Nova" w:eastAsia="Proxima Nova" w:hAnsi="Proxima Nova" w:cs="Proxima Nova"/>
          <w:color w:val="000000"/>
          <w:sz w:val="13"/>
          <w:szCs w:val="13"/>
        </w:rPr>
        <w:t>Behav</w:t>
      </w:r>
      <w:proofErr w:type="spellEnd"/>
      <w:r w:rsidRPr="009B252F">
        <w:rPr>
          <w:rFonts w:ascii="Proxima Nova" w:eastAsia="Proxima Nova" w:hAnsi="Proxima Nova" w:cs="Proxima Nova"/>
          <w:color w:val="000000"/>
          <w:sz w:val="13"/>
          <w:szCs w:val="13"/>
        </w:rPr>
        <w:t xml:space="preserve"> </w:t>
      </w:r>
      <w:proofErr w:type="spellStart"/>
      <w:r w:rsidRPr="009B252F">
        <w:rPr>
          <w:rFonts w:ascii="Proxima Nova" w:eastAsia="Proxima Nova" w:hAnsi="Proxima Nova" w:cs="Proxima Nova"/>
          <w:color w:val="000000"/>
          <w:sz w:val="13"/>
          <w:szCs w:val="13"/>
        </w:rPr>
        <w:t>Neurosci</w:t>
      </w:r>
      <w:proofErr w:type="spellEnd"/>
      <w:r w:rsidRPr="009B252F">
        <w:rPr>
          <w:rFonts w:ascii="Proxima Nova" w:eastAsia="Proxima Nova" w:hAnsi="Proxima Nova" w:cs="Proxima Nova"/>
          <w:color w:val="000000"/>
          <w:sz w:val="13"/>
          <w:szCs w:val="13"/>
        </w:rPr>
        <w:t xml:space="preserve">. 2022 Apr </w:t>
      </w:r>
      <w:proofErr w:type="gramStart"/>
      <w:r w:rsidRPr="009B252F">
        <w:rPr>
          <w:rFonts w:ascii="Proxima Nova" w:eastAsia="Proxima Nova" w:hAnsi="Proxima Nova" w:cs="Proxima Nova"/>
          <w:color w:val="000000"/>
          <w:sz w:val="13"/>
          <w:szCs w:val="13"/>
        </w:rPr>
        <w:t>26;16:852203</w:t>
      </w:r>
      <w:proofErr w:type="gramEnd"/>
      <w:r w:rsidRPr="009B252F">
        <w:rPr>
          <w:rFonts w:ascii="Proxima Nova" w:eastAsia="Proxima Nova" w:hAnsi="Proxima Nova" w:cs="Proxima Nova"/>
          <w:color w:val="000000"/>
          <w:sz w:val="13"/>
          <w:szCs w:val="13"/>
        </w:rPr>
        <w:t xml:space="preserve">. </w:t>
      </w:r>
      <w:proofErr w:type="spellStart"/>
      <w:r w:rsidRPr="009B252F">
        <w:rPr>
          <w:rFonts w:ascii="Proxima Nova" w:eastAsia="Proxima Nova" w:hAnsi="Proxima Nova" w:cs="Proxima Nova"/>
          <w:color w:val="000000"/>
          <w:sz w:val="13"/>
          <w:szCs w:val="13"/>
        </w:rPr>
        <w:t>doi</w:t>
      </w:r>
      <w:proofErr w:type="spellEnd"/>
      <w:r w:rsidRPr="009B252F">
        <w:rPr>
          <w:rFonts w:ascii="Proxima Nova" w:eastAsia="Proxima Nova" w:hAnsi="Proxima Nova" w:cs="Proxima Nova"/>
          <w:color w:val="000000"/>
          <w:sz w:val="13"/>
          <w:szCs w:val="13"/>
        </w:rPr>
        <w:t>: 10.3389/fnbeh.2022.852203. PMID: 35558435; PMCID: PMC9087551.</w:t>
      </w:r>
    </w:p>
  </w:endnote>
  <w:endnote w:id="15">
    <w:p w14:paraId="65F34156" w14:textId="77777777" w:rsidR="009B252F" w:rsidRPr="009B252F" w:rsidRDefault="009B252F">
      <w:pPr>
        <w:spacing w:after="0" w:line="240" w:lineRule="auto"/>
        <w:rPr>
          <w:rFonts w:ascii="Proxima Nova" w:hAnsi="Proxima Nova"/>
          <w:sz w:val="13"/>
          <w:szCs w:val="13"/>
        </w:rPr>
      </w:pPr>
      <w:r w:rsidRPr="009B252F">
        <w:rPr>
          <w:rStyle w:val="EndnoteReference"/>
          <w:rFonts w:ascii="Proxima Nova" w:hAnsi="Proxima Nova"/>
          <w:sz w:val="13"/>
          <w:szCs w:val="13"/>
        </w:rPr>
        <w:endnoteRef/>
      </w:r>
      <w:r w:rsidRPr="009B252F">
        <w:rPr>
          <w:rFonts w:ascii="Proxima Nova" w:hAnsi="Proxima Nova"/>
          <w:sz w:val="13"/>
          <w:szCs w:val="13"/>
        </w:rPr>
        <w:t xml:space="preserve"> </w:t>
      </w:r>
      <w:proofErr w:type="spellStart"/>
      <w:r w:rsidRPr="009B252F">
        <w:rPr>
          <w:rFonts w:ascii="Proxima Nova" w:hAnsi="Proxima Nova"/>
          <w:sz w:val="13"/>
          <w:szCs w:val="13"/>
        </w:rPr>
        <w:t>Shkedy</w:t>
      </w:r>
      <w:proofErr w:type="spellEnd"/>
      <w:r w:rsidRPr="009B252F">
        <w:rPr>
          <w:rFonts w:ascii="Proxima Nova" w:hAnsi="Proxima Nova"/>
          <w:sz w:val="13"/>
          <w:szCs w:val="13"/>
        </w:rPr>
        <w:t xml:space="preserve">, Gary, </w:t>
      </w:r>
      <w:proofErr w:type="spellStart"/>
      <w:r w:rsidRPr="009B252F">
        <w:rPr>
          <w:rFonts w:ascii="Proxima Nova" w:hAnsi="Proxima Nova"/>
          <w:sz w:val="13"/>
          <w:szCs w:val="13"/>
        </w:rPr>
        <w:t>Shkedy</w:t>
      </w:r>
      <w:proofErr w:type="spellEnd"/>
      <w:r w:rsidRPr="009B252F">
        <w:rPr>
          <w:rFonts w:ascii="Proxima Nova" w:hAnsi="Proxima Nova"/>
          <w:sz w:val="13"/>
          <w:szCs w:val="13"/>
        </w:rPr>
        <w:t xml:space="preserve">, Dalia, &amp; Sandoval-Norton (2021). Long-term ABA Therapy Is Abusive: A Response to </w:t>
      </w:r>
      <w:proofErr w:type="spellStart"/>
      <w:r w:rsidRPr="009B252F">
        <w:rPr>
          <w:rFonts w:ascii="Proxima Nova" w:hAnsi="Proxima Nova"/>
          <w:sz w:val="13"/>
          <w:szCs w:val="13"/>
        </w:rPr>
        <w:t>Gorycki</w:t>
      </w:r>
      <w:proofErr w:type="spellEnd"/>
      <w:r w:rsidRPr="009B252F">
        <w:rPr>
          <w:rFonts w:ascii="Proxima Nova" w:hAnsi="Proxima Nova"/>
          <w:sz w:val="13"/>
          <w:szCs w:val="13"/>
        </w:rPr>
        <w:t>, Ruppel, and Zane. https://link.springer.com/article/10.1007/s41252-021-00201-1</w:t>
      </w:r>
    </w:p>
  </w:endnote>
  <w:endnote w:id="16">
    <w:p w14:paraId="401E7C66" w14:textId="77777777" w:rsidR="009B252F" w:rsidRPr="009B252F" w:rsidRDefault="009B252F">
      <w:pPr>
        <w:pBdr>
          <w:top w:val="nil"/>
          <w:left w:val="nil"/>
          <w:bottom w:val="nil"/>
          <w:right w:val="nil"/>
          <w:between w:val="nil"/>
        </w:pBdr>
        <w:spacing w:after="0" w:line="240" w:lineRule="auto"/>
        <w:rPr>
          <w:rFonts w:ascii="Proxima Nova" w:eastAsia="Proxima Nova" w:hAnsi="Proxima Nova" w:cs="Proxima Nova"/>
          <w:color w:val="000000"/>
          <w:sz w:val="13"/>
          <w:szCs w:val="13"/>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w:t>
      </w:r>
      <w:proofErr w:type="spellStart"/>
      <w:r w:rsidRPr="009B252F">
        <w:rPr>
          <w:rFonts w:ascii="Proxima Nova" w:eastAsia="Proxima Nova" w:hAnsi="Proxima Nova" w:cs="Proxima Nova"/>
          <w:color w:val="000000"/>
          <w:sz w:val="13"/>
          <w:szCs w:val="13"/>
        </w:rPr>
        <w:t>Zeidan</w:t>
      </w:r>
      <w:proofErr w:type="spellEnd"/>
      <w:r w:rsidRPr="009B252F">
        <w:rPr>
          <w:rFonts w:ascii="Proxima Nova" w:eastAsia="Proxima Nova" w:hAnsi="Proxima Nova" w:cs="Proxima Nova"/>
          <w:color w:val="000000"/>
          <w:sz w:val="13"/>
          <w:szCs w:val="13"/>
        </w:rPr>
        <w:t xml:space="preserve"> J, </w:t>
      </w:r>
      <w:proofErr w:type="spellStart"/>
      <w:r w:rsidRPr="009B252F">
        <w:rPr>
          <w:rFonts w:ascii="Proxima Nova" w:eastAsia="Proxima Nova" w:hAnsi="Proxima Nova" w:cs="Proxima Nova"/>
          <w:color w:val="000000"/>
          <w:sz w:val="13"/>
          <w:szCs w:val="13"/>
        </w:rPr>
        <w:t>Fombonne</w:t>
      </w:r>
      <w:proofErr w:type="spellEnd"/>
      <w:r w:rsidRPr="009B252F">
        <w:rPr>
          <w:rFonts w:ascii="Proxima Nova" w:eastAsia="Proxima Nova" w:hAnsi="Proxima Nova" w:cs="Proxima Nova"/>
          <w:color w:val="000000"/>
          <w:sz w:val="13"/>
          <w:szCs w:val="13"/>
        </w:rPr>
        <w:t xml:space="preserve"> E, </w:t>
      </w:r>
      <w:proofErr w:type="spellStart"/>
      <w:r w:rsidRPr="009B252F">
        <w:rPr>
          <w:rFonts w:ascii="Proxima Nova" w:eastAsia="Proxima Nova" w:hAnsi="Proxima Nova" w:cs="Proxima Nova"/>
          <w:color w:val="000000"/>
          <w:sz w:val="13"/>
          <w:szCs w:val="13"/>
        </w:rPr>
        <w:t>Scorah</w:t>
      </w:r>
      <w:proofErr w:type="spellEnd"/>
      <w:r w:rsidRPr="009B252F">
        <w:rPr>
          <w:rFonts w:ascii="Proxima Nova" w:eastAsia="Proxima Nova" w:hAnsi="Proxima Nova" w:cs="Proxima Nova"/>
          <w:color w:val="000000"/>
          <w:sz w:val="13"/>
          <w:szCs w:val="13"/>
        </w:rPr>
        <w:t xml:space="preserve"> J, Ibrahim A, Durkin MS, Saxena S, Yusuf A, Shih A, </w:t>
      </w:r>
      <w:proofErr w:type="spellStart"/>
      <w:r w:rsidRPr="009B252F">
        <w:rPr>
          <w:rFonts w:ascii="Proxima Nova" w:eastAsia="Proxima Nova" w:hAnsi="Proxima Nova" w:cs="Proxima Nova"/>
          <w:color w:val="000000"/>
          <w:sz w:val="13"/>
          <w:szCs w:val="13"/>
        </w:rPr>
        <w:t>Elsabbagh</w:t>
      </w:r>
      <w:proofErr w:type="spellEnd"/>
      <w:r w:rsidRPr="009B252F">
        <w:rPr>
          <w:rFonts w:ascii="Proxima Nova" w:eastAsia="Proxima Nova" w:hAnsi="Proxima Nova" w:cs="Proxima Nova"/>
          <w:color w:val="000000"/>
          <w:sz w:val="13"/>
          <w:szCs w:val="13"/>
        </w:rPr>
        <w:t xml:space="preserve"> M. Global prevalence of autism: A systematic review update. Autism Res. 2022 May;15(5):778-790. </w:t>
      </w:r>
      <w:proofErr w:type="spellStart"/>
      <w:r w:rsidRPr="009B252F">
        <w:rPr>
          <w:rFonts w:ascii="Proxima Nova" w:eastAsia="Proxima Nova" w:hAnsi="Proxima Nova" w:cs="Proxima Nova"/>
          <w:color w:val="000000"/>
          <w:sz w:val="13"/>
          <w:szCs w:val="13"/>
        </w:rPr>
        <w:t>doi</w:t>
      </w:r>
      <w:proofErr w:type="spellEnd"/>
      <w:r w:rsidRPr="009B252F">
        <w:rPr>
          <w:rFonts w:ascii="Proxima Nova" w:eastAsia="Proxima Nova" w:hAnsi="Proxima Nova" w:cs="Proxima Nova"/>
          <w:color w:val="000000"/>
          <w:sz w:val="13"/>
          <w:szCs w:val="13"/>
        </w:rPr>
        <w:t xml:space="preserve">: 10.1002/aur.2696. </w:t>
      </w:r>
      <w:proofErr w:type="spellStart"/>
      <w:r w:rsidRPr="009B252F">
        <w:rPr>
          <w:rFonts w:ascii="Proxima Nova" w:eastAsia="Proxima Nova" w:hAnsi="Proxima Nova" w:cs="Proxima Nova"/>
          <w:color w:val="000000"/>
          <w:sz w:val="13"/>
          <w:szCs w:val="13"/>
        </w:rPr>
        <w:t>Epub</w:t>
      </w:r>
      <w:proofErr w:type="spellEnd"/>
      <w:r w:rsidRPr="009B252F">
        <w:rPr>
          <w:rFonts w:ascii="Proxima Nova" w:eastAsia="Proxima Nova" w:hAnsi="Proxima Nova" w:cs="Proxima Nova"/>
          <w:color w:val="000000"/>
          <w:sz w:val="13"/>
          <w:szCs w:val="13"/>
        </w:rPr>
        <w:t xml:space="preserve"> 2022 Mar 3. PMID: 35238171; PMCID: PMC9310578</w:t>
      </w:r>
    </w:p>
  </w:endnote>
  <w:endnote w:id="17">
    <w:p w14:paraId="6C972E11" w14:textId="77777777" w:rsidR="009B252F" w:rsidRDefault="009B252F">
      <w:pPr>
        <w:pBdr>
          <w:top w:val="nil"/>
          <w:left w:val="nil"/>
          <w:bottom w:val="nil"/>
          <w:right w:val="nil"/>
          <w:between w:val="nil"/>
        </w:pBdr>
        <w:spacing w:after="0" w:line="240" w:lineRule="auto"/>
        <w:rPr>
          <w:color w:val="000000"/>
          <w:sz w:val="20"/>
          <w:szCs w:val="20"/>
        </w:rPr>
      </w:pPr>
      <w:r w:rsidRPr="009B252F">
        <w:rPr>
          <w:rStyle w:val="EndnoteReference"/>
          <w:rFonts w:ascii="Proxima Nova" w:hAnsi="Proxima Nova"/>
          <w:sz w:val="13"/>
          <w:szCs w:val="13"/>
        </w:rPr>
        <w:endnoteRef/>
      </w:r>
      <w:r w:rsidRPr="009B252F">
        <w:rPr>
          <w:rFonts w:ascii="Proxima Nova" w:eastAsia="Proxima Nova" w:hAnsi="Proxima Nova" w:cs="Proxima Nova"/>
          <w:color w:val="000000"/>
          <w:sz w:val="13"/>
          <w:szCs w:val="13"/>
        </w:rPr>
        <w:t xml:space="preserve"> Inclusion Australia (2023). Engaging with autistic people with an intellectual disability to develop the National Autism Strategy: A report for the Department of Social 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F590DEE-F4DA-6249-8F8C-C4910798568D}"/>
  </w:font>
  <w:font w:name="Calibri">
    <w:panose1 w:val="020F0502020204030204"/>
    <w:charset w:val="00"/>
    <w:family w:val="swiss"/>
    <w:pitch w:val="variable"/>
    <w:sig w:usb0="E4002EFF" w:usb1="C000247B" w:usb2="00000009" w:usb3="00000000" w:csb0="000001FF" w:csb1="00000000"/>
    <w:embedRegular r:id="rId3" w:fontKey="{149AC62C-7C3F-6349-B09F-00EDBADE43C6}"/>
    <w:embedBold r:id="rId4" w:fontKey="{E207385A-A663-C14F-B456-152F5BC6CB48}"/>
  </w:font>
  <w:font w:name="Calibri Light">
    <w:panose1 w:val="020F0302020204030204"/>
    <w:charset w:val="00"/>
    <w:family w:val="swiss"/>
    <w:pitch w:val="variable"/>
    <w:sig w:usb0="E0002AFF" w:usb1="C000247B" w:usb2="00000009" w:usb3="00000000" w:csb0="000001FF" w:csb1="00000000"/>
    <w:embedRegular r:id="rId5" w:fontKey="{5209587C-C26F-AD4E-BBFD-F0757626E283}"/>
  </w:font>
  <w:font w:name="Times New Roman">
    <w:panose1 w:val="02020603050405020304"/>
    <w:charset w:val="00"/>
    <w:family w:val="roman"/>
    <w:pitch w:val="variable"/>
    <w:sig w:usb0="E0002EFF" w:usb1="C000785B" w:usb2="00000009" w:usb3="00000000" w:csb0="000001FF" w:csb1="00000000"/>
    <w:embedRegular r:id="rId6" w:fontKey="{FEF7CFC4-26C7-604B-8D02-4480B63881EC}"/>
    <w:embedBold r:id="rId7" w:fontKey="{162256C5-9EAB-6841-915D-2BEA72C484D2}"/>
  </w:font>
  <w:font w:name="Georgia">
    <w:panose1 w:val="02040502050405020303"/>
    <w:charset w:val="00"/>
    <w:family w:val="roman"/>
    <w:pitch w:val="variable"/>
    <w:sig w:usb0="00000287" w:usb1="00000000" w:usb2="00000000" w:usb3="00000000" w:csb0="0000009F" w:csb1="00000000"/>
    <w:embedRegular r:id="rId8" w:fontKey="{547EEBEB-7F91-1345-A6D5-5BEE688ABC2C}"/>
    <w:embedItalic r:id="rId9" w:fontKey="{6818EC5B-C0B1-7945-A6E8-2D8C2C9B6677}"/>
  </w:font>
  <w:font w:name="Proxima Nova">
    <w:panose1 w:val="020B06040202020202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F355" w14:textId="65934FFF" w:rsidR="00405150"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D773E">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D773E">
      <w:rPr>
        <w:b/>
        <w:noProof/>
        <w:color w:val="000000"/>
        <w:sz w:val="24"/>
        <w:szCs w:val="24"/>
      </w:rPr>
      <w:t>3</w:t>
    </w:r>
    <w:r>
      <w:rPr>
        <w:b/>
        <w:color w:val="000000"/>
        <w:sz w:val="24"/>
        <w:szCs w:val="24"/>
      </w:rPr>
      <w:fldChar w:fldCharType="end"/>
    </w:r>
  </w:p>
  <w:p w14:paraId="434EF0E6" w14:textId="77777777" w:rsidR="00405150" w:rsidRDefault="00405150">
    <w:pPr>
      <w:pBdr>
        <w:top w:val="nil"/>
        <w:left w:val="nil"/>
        <w:bottom w:val="nil"/>
        <w:right w:val="nil"/>
        <w:between w:val="nil"/>
      </w:pBdr>
      <w:tabs>
        <w:tab w:val="center" w:pos="4513"/>
        <w:tab w:val="right" w:pos="9026"/>
      </w:tabs>
      <w:spacing w:after="0" w:line="240" w:lineRule="auto"/>
      <w:ind w:firstLine="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A81AD" w14:textId="77777777" w:rsidR="007804AD" w:rsidRDefault="007804AD">
      <w:pPr>
        <w:spacing w:after="0" w:line="240" w:lineRule="auto"/>
      </w:pPr>
      <w:r>
        <w:separator/>
      </w:r>
    </w:p>
  </w:footnote>
  <w:footnote w:type="continuationSeparator" w:id="0">
    <w:p w14:paraId="2C60F686" w14:textId="77777777" w:rsidR="007804AD" w:rsidRDefault="00780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2070" w14:textId="77777777" w:rsidR="00405150" w:rsidRDefault="0040515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6620" w14:textId="77777777" w:rsidR="00405150" w:rsidRDefault="0040515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5E5A" w14:textId="77777777" w:rsidR="00405150"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69854078" wp14:editId="380736A0">
          <wp:simplePos x="0" y="0"/>
          <wp:positionH relativeFrom="column">
            <wp:posOffset>4244741</wp:posOffset>
          </wp:positionH>
          <wp:positionV relativeFrom="paragraph">
            <wp:posOffset>-634</wp:posOffset>
          </wp:positionV>
          <wp:extent cx="1973765" cy="893723"/>
          <wp:effectExtent l="0" t="0" r="0" b="0"/>
          <wp:wrapNone/>
          <wp:docPr id="13175260" name="image1.jpg" descr="A purple symbol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urple symbol with text&#10;&#10;Description automatically generated with medium confidence"/>
                  <pic:cNvPicPr preferRelativeResize="0"/>
                </pic:nvPicPr>
                <pic:blipFill>
                  <a:blip r:embed="rId1"/>
                  <a:srcRect/>
                  <a:stretch>
                    <a:fillRect/>
                  </a:stretch>
                </pic:blipFill>
                <pic:spPr>
                  <a:xfrm>
                    <a:off x="0" y="0"/>
                    <a:ext cx="1973765" cy="8937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91C16"/>
    <w:multiLevelType w:val="multilevel"/>
    <w:tmpl w:val="563A8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5939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50"/>
    <w:rsid w:val="000107F5"/>
    <w:rsid w:val="00127C52"/>
    <w:rsid w:val="002438FD"/>
    <w:rsid w:val="00332DAB"/>
    <w:rsid w:val="00343C4D"/>
    <w:rsid w:val="00405150"/>
    <w:rsid w:val="00574F86"/>
    <w:rsid w:val="006D773E"/>
    <w:rsid w:val="007804AD"/>
    <w:rsid w:val="009B252F"/>
    <w:rsid w:val="00AF5587"/>
    <w:rsid w:val="00D77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3E7BCA"/>
  <w15:docId w15:val="{870EF892-7672-A544-96F9-5028B96E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8A"/>
  </w:style>
  <w:style w:type="paragraph" w:styleId="Heading1">
    <w:name w:val="heading 1"/>
    <w:basedOn w:val="Normal"/>
    <w:next w:val="Normal"/>
    <w:link w:val="Heading1Char"/>
    <w:uiPriority w:val="9"/>
    <w:qFormat/>
    <w:rsid w:val="00444F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4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63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44F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4F3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663E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663E4"/>
    <w:pPr>
      <w:ind w:left="720"/>
      <w:contextualSpacing/>
    </w:pPr>
  </w:style>
  <w:style w:type="paragraph" w:styleId="FootnoteText">
    <w:name w:val="footnote text"/>
    <w:basedOn w:val="Normal"/>
    <w:link w:val="FootnoteTextChar"/>
    <w:uiPriority w:val="99"/>
    <w:semiHidden/>
    <w:unhideWhenUsed/>
    <w:rsid w:val="00213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3E5"/>
    <w:rPr>
      <w:sz w:val="20"/>
      <w:szCs w:val="20"/>
    </w:rPr>
  </w:style>
  <w:style w:type="character" w:styleId="FootnoteReference">
    <w:name w:val="footnote reference"/>
    <w:basedOn w:val="DefaultParagraphFont"/>
    <w:uiPriority w:val="99"/>
    <w:semiHidden/>
    <w:unhideWhenUsed/>
    <w:rsid w:val="002133E5"/>
    <w:rPr>
      <w:vertAlign w:val="superscript"/>
    </w:rPr>
  </w:style>
  <w:style w:type="paragraph" w:styleId="Header">
    <w:name w:val="header"/>
    <w:basedOn w:val="Normal"/>
    <w:link w:val="HeaderChar"/>
    <w:uiPriority w:val="99"/>
    <w:unhideWhenUsed/>
    <w:rsid w:val="00CB5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7E5"/>
  </w:style>
  <w:style w:type="paragraph" w:styleId="Footer">
    <w:name w:val="footer"/>
    <w:basedOn w:val="Normal"/>
    <w:link w:val="FooterChar"/>
    <w:uiPriority w:val="99"/>
    <w:unhideWhenUsed/>
    <w:rsid w:val="00CB5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7E5"/>
  </w:style>
  <w:style w:type="paragraph" w:styleId="Revision">
    <w:name w:val="Revision"/>
    <w:hidden/>
    <w:uiPriority w:val="99"/>
    <w:semiHidden/>
    <w:rsid w:val="00323149"/>
    <w:pPr>
      <w:spacing w:after="0" w:line="240" w:lineRule="auto"/>
    </w:pPr>
  </w:style>
  <w:style w:type="character" w:styleId="CommentReference">
    <w:name w:val="annotation reference"/>
    <w:basedOn w:val="DefaultParagraphFont"/>
    <w:uiPriority w:val="99"/>
    <w:semiHidden/>
    <w:unhideWhenUsed/>
    <w:rsid w:val="00B56B60"/>
    <w:rPr>
      <w:sz w:val="16"/>
      <w:szCs w:val="16"/>
    </w:rPr>
  </w:style>
  <w:style w:type="paragraph" w:styleId="CommentText">
    <w:name w:val="annotation text"/>
    <w:basedOn w:val="Normal"/>
    <w:link w:val="CommentTextChar"/>
    <w:uiPriority w:val="99"/>
    <w:semiHidden/>
    <w:unhideWhenUsed/>
    <w:rsid w:val="00B56B60"/>
    <w:pPr>
      <w:spacing w:line="240" w:lineRule="auto"/>
    </w:pPr>
    <w:rPr>
      <w:sz w:val="20"/>
      <w:szCs w:val="20"/>
    </w:rPr>
  </w:style>
  <w:style w:type="character" w:customStyle="1" w:styleId="CommentTextChar">
    <w:name w:val="Comment Text Char"/>
    <w:basedOn w:val="DefaultParagraphFont"/>
    <w:link w:val="CommentText"/>
    <w:uiPriority w:val="99"/>
    <w:semiHidden/>
    <w:rsid w:val="00B56B60"/>
    <w:rPr>
      <w:sz w:val="20"/>
      <w:szCs w:val="20"/>
    </w:rPr>
  </w:style>
  <w:style w:type="paragraph" w:styleId="CommentSubject">
    <w:name w:val="annotation subject"/>
    <w:basedOn w:val="CommentText"/>
    <w:next w:val="CommentText"/>
    <w:link w:val="CommentSubjectChar"/>
    <w:uiPriority w:val="99"/>
    <w:semiHidden/>
    <w:unhideWhenUsed/>
    <w:rsid w:val="00B56B60"/>
    <w:rPr>
      <w:b/>
      <w:bCs/>
    </w:rPr>
  </w:style>
  <w:style w:type="character" w:customStyle="1" w:styleId="CommentSubjectChar">
    <w:name w:val="Comment Subject Char"/>
    <w:basedOn w:val="CommentTextChar"/>
    <w:link w:val="CommentSubject"/>
    <w:uiPriority w:val="99"/>
    <w:semiHidden/>
    <w:rsid w:val="00B56B60"/>
    <w:rPr>
      <w:b/>
      <w:bCs/>
      <w:sz w:val="20"/>
      <w:szCs w:val="20"/>
    </w:rPr>
  </w:style>
  <w:style w:type="paragraph" w:styleId="EndnoteText">
    <w:name w:val="endnote text"/>
    <w:basedOn w:val="Normal"/>
    <w:link w:val="EndnoteTextChar"/>
    <w:uiPriority w:val="99"/>
    <w:semiHidden/>
    <w:unhideWhenUsed/>
    <w:rsid w:val="00A745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458C"/>
    <w:rPr>
      <w:sz w:val="20"/>
      <w:szCs w:val="20"/>
    </w:rPr>
  </w:style>
  <w:style w:type="character" w:styleId="EndnoteReference">
    <w:name w:val="endnote reference"/>
    <w:basedOn w:val="DefaultParagraphFont"/>
    <w:uiPriority w:val="99"/>
    <w:semiHidden/>
    <w:unhideWhenUsed/>
    <w:rsid w:val="00A7458C"/>
    <w:rPr>
      <w:vertAlign w:val="superscript"/>
    </w:rPr>
  </w:style>
  <w:style w:type="character" w:styleId="Hyperlink">
    <w:name w:val="Hyperlink"/>
    <w:basedOn w:val="DefaultParagraphFont"/>
    <w:uiPriority w:val="99"/>
    <w:unhideWhenUsed/>
    <w:rsid w:val="00164EC3"/>
    <w:rPr>
      <w:color w:val="0563C1" w:themeColor="hyperlink"/>
      <w:u w:val="single"/>
    </w:rPr>
  </w:style>
  <w:style w:type="character" w:styleId="UnresolvedMention">
    <w:name w:val="Unresolved Mention"/>
    <w:basedOn w:val="DefaultParagraphFont"/>
    <w:uiPriority w:val="99"/>
    <w:semiHidden/>
    <w:unhideWhenUsed/>
    <w:rsid w:val="00164EC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vDhB+9POG7eyAHWpaoPlYDA4Q==">CgMxLjAyDmguNTdja2lhamEzYXV2OAByITFuZDBueXZwRVpkUk9oelh0UGR6RXpsYkR3UUtWN0hEWQ==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1047</Words>
  <Characters>5970</Characters>
  <Application>Microsoft Office Word</Application>
  <DocSecurity>0</DocSecurity>
  <Lines>49</Lines>
  <Paragraphs>14</Paragraphs>
  <ScaleCrop>false</ScaleCrop>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Skladzien</dc:creator>
  <cp:lastModifiedBy>Sophie Cusworth | Women With Disabilities Australia</cp:lastModifiedBy>
  <cp:revision>7</cp:revision>
  <dcterms:created xsi:type="dcterms:W3CDTF">2024-05-27T07:23:00Z</dcterms:created>
  <dcterms:modified xsi:type="dcterms:W3CDTF">2024-05-27T21:53:00Z</dcterms:modified>
</cp:coreProperties>
</file>