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AE7E5D" w14:textId="77777777" w:rsidR="007B5DE5" w:rsidRPr="00F60C09" w:rsidRDefault="007B5DE5" w:rsidP="00121931">
      <w:pPr>
        <w:pStyle w:val="Heading2"/>
        <w:jc w:val="left"/>
        <w:rPr>
          <w:rFonts w:ascii="Calibri" w:hAnsi="Calibri" w:cs="Calibri"/>
          <w:b w:val="0"/>
          <w:bCs/>
          <w:sz w:val="20"/>
          <w:szCs w:val="20"/>
        </w:rPr>
      </w:pPr>
    </w:p>
    <w:p w14:paraId="3432637E" w14:textId="77777777" w:rsidR="007B5DE5" w:rsidRPr="00F60C09" w:rsidRDefault="007B5DE5" w:rsidP="00121931">
      <w:pPr>
        <w:pStyle w:val="Heading2"/>
        <w:jc w:val="left"/>
        <w:rPr>
          <w:rFonts w:ascii="Calibri" w:hAnsi="Calibri" w:cs="Calibri"/>
          <w:b w:val="0"/>
          <w:bCs/>
          <w:sz w:val="20"/>
          <w:szCs w:val="20"/>
        </w:rPr>
      </w:pPr>
    </w:p>
    <w:p w14:paraId="0C1FAAF9" w14:textId="05E386F4" w:rsidR="007B5DE5" w:rsidRPr="00A16838" w:rsidRDefault="00F60C09" w:rsidP="001B7180">
      <w:pPr>
        <w:spacing w:line="276" w:lineRule="auto"/>
        <w:jc w:val="center"/>
        <w:rPr>
          <w:rFonts w:ascii="Calibri" w:hAnsi="Calibri" w:cs="Calibri"/>
          <w:sz w:val="22"/>
        </w:rPr>
      </w:pPr>
      <w:r>
        <w:rPr>
          <w:rFonts w:ascii="Calibri" w:hAnsi="Calibri" w:cs="Calibri"/>
          <w:noProof/>
          <w:sz w:val="22"/>
        </w:rPr>
        <w:drawing>
          <wp:inline distT="0" distB="0" distL="0" distR="0" wp14:anchorId="04BCE1B6" wp14:editId="0BED13CC">
            <wp:extent cx="5153410" cy="2333801"/>
            <wp:effectExtent l="0" t="0" r="3175" b="3175"/>
            <wp:docPr id="1" name="Picture 1" descr="The logo of Women With Disabilities Australia. A map of Australia with clip art representations of women and girls with disability.&#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WDA_Logo.jpg"/>
                    <pic:cNvPicPr/>
                  </pic:nvPicPr>
                  <pic:blipFill>
                    <a:blip r:embed="rId8">
                      <a:extLst>
                        <a:ext uri="{28A0092B-C50C-407E-A947-70E740481C1C}">
                          <a14:useLocalDpi xmlns:a14="http://schemas.microsoft.com/office/drawing/2010/main" val="0"/>
                        </a:ext>
                      </a:extLst>
                    </a:blip>
                    <a:stretch>
                      <a:fillRect/>
                    </a:stretch>
                  </pic:blipFill>
                  <pic:spPr>
                    <a:xfrm>
                      <a:off x="0" y="0"/>
                      <a:ext cx="5180868" cy="2346236"/>
                    </a:xfrm>
                    <a:prstGeom prst="rect">
                      <a:avLst/>
                    </a:prstGeom>
                  </pic:spPr>
                </pic:pic>
              </a:graphicData>
            </a:graphic>
          </wp:inline>
        </w:drawing>
      </w:r>
    </w:p>
    <w:p w14:paraId="35EECFE6" w14:textId="77777777" w:rsidR="007B5DE5" w:rsidRPr="001C5E14" w:rsidRDefault="007B5DE5" w:rsidP="00121931">
      <w:pPr>
        <w:spacing w:line="276" w:lineRule="auto"/>
        <w:rPr>
          <w:rFonts w:ascii="Avenir Book" w:hAnsi="Avenir Book" w:cs="Calibri"/>
          <w:sz w:val="22"/>
        </w:rPr>
      </w:pPr>
    </w:p>
    <w:p w14:paraId="25AA824C" w14:textId="71281DFA" w:rsidR="007B5DE5" w:rsidRPr="001C5E14" w:rsidRDefault="007B5DE5" w:rsidP="00121931">
      <w:pPr>
        <w:spacing w:line="276" w:lineRule="auto"/>
        <w:rPr>
          <w:rFonts w:ascii="Avenir Book" w:hAnsi="Avenir Book" w:cs="Calibri"/>
          <w:sz w:val="22"/>
        </w:rPr>
      </w:pPr>
    </w:p>
    <w:p w14:paraId="2B12EA08" w14:textId="77777777" w:rsidR="001C5E14" w:rsidRPr="001C5E14" w:rsidRDefault="001C5E14" w:rsidP="00121931">
      <w:pPr>
        <w:spacing w:line="276" w:lineRule="auto"/>
        <w:rPr>
          <w:rFonts w:ascii="Avenir Book" w:hAnsi="Avenir Book" w:cs="Calibri"/>
          <w:sz w:val="22"/>
        </w:rPr>
      </w:pPr>
    </w:p>
    <w:p w14:paraId="79C54B52" w14:textId="77777777" w:rsidR="00104730" w:rsidRPr="001C5E14" w:rsidRDefault="00104730" w:rsidP="00121931">
      <w:pPr>
        <w:spacing w:line="276" w:lineRule="auto"/>
        <w:rPr>
          <w:rFonts w:ascii="Avenir Book" w:hAnsi="Avenir Book" w:cs="Calibri"/>
          <w:sz w:val="22"/>
        </w:rPr>
      </w:pPr>
    </w:p>
    <w:p w14:paraId="19556BFD" w14:textId="77777777" w:rsidR="007B5DE5" w:rsidRPr="001C5E14" w:rsidRDefault="007B5DE5" w:rsidP="001B7180">
      <w:pPr>
        <w:pStyle w:val="Heading1"/>
        <w:spacing w:line="276" w:lineRule="auto"/>
        <w:jc w:val="center"/>
        <w:rPr>
          <w:rFonts w:ascii="Avenir Book" w:hAnsi="Avenir Book" w:cs="Calibri"/>
          <w:color w:val="004479"/>
          <w:sz w:val="40"/>
          <w:szCs w:val="40"/>
        </w:rPr>
      </w:pPr>
      <w:bookmarkStart w:id="0" w:name="_Toc509920820"/>
      <w:bookmarkStart w:id="1" w:name="_Toc510523707"/>
      <w:bookmarkStart w:id="2" w:name="_Toc512603437"/>
      <w:bookmarkStart w:id="3" w:name="_Toc512604443"/>
      <w:bookmarkStart w:id="4" w:name="_Toc32420641"/>
      <w:bookmarkStart w:id="5" w:name="_Toc32738096"/>
      <w:bookmarkStart w:id="6" w:name="_Toc32738158"/>
      <w:bookmarkStart w:id="7" w:name="_Toc32757935"/>
      <w:bookmarkStart w:id="8" w:name="_Toc32759976"/>
      <w:bookmarkStart w:id="9" w:name="_Toc156482078"/>
      <w:bookmarkStart w:id="10" w:name="_Toc156819920"/>
      <w:bookmarkStart w:id="11" w:name="_Toc156825201"/>
      <w:r w:rsidRPr="001C5E14">
        <w:rPr>
          <w:rFonts w:ascii="Avenir Book" w:hAnsi="Avenir Book" w:cs="Calibri"/>
          <w:color w:val="004479"/>
          <w:sz w:val="40"/>
          <w:szCs w:val="40"/>
        </w:rPr>
        <w:t>Women With Disabilities Australia (WWDA)</w:t>
      </w:r>
      <w:bookmarkEnd w:id="0"/>
      <w:bookmarkEnd w:id="1"/>
      <w:bookmarkEnd w:id="2"/>
      <w:bookmarkEnd w:id="3"/>
      <w:bookmarkEnd w:id="4"/>
      <w:bookmarkEnd w:id="5"/>
      <w:bookmarkEnd w:id="6"/>
      <w:bookmarkEnd w:id="7"/>
      <w:bookmarkEnd w:id="8"/>
      <w:bookmarkEnd w:id="9"/>
      <w:bookmarkEnd w:id="10"/>
      <w:bookmarkEnd w:id="11"/>
    </w:p>
    <w:p w14:paraId="7D1C7C3C" w14:textId="77777777" w:rsidR="007B5DE5" w:rsidRPr="001C5E14" w:rsidRDefault="007B5DE5" w:rsidP="001B7180">
      <w:pPr>
        <w:pStyle w:val="Heading1"/>
        <w:spacing w:line="276" w:lineRule="auto"/>
        <w:jc w:val="center"/>
        <w:rPr>
          <w:rFonts w:ascii="Avenir Book" w:hAnsi="Avenir Book" w:cs="Calibri"/>
          <w:b w:val="0"/>
          <w:color w:val="17365D"/>
          <w:sz w:val="32"/>
        </w:rPr>
      </w:pPr>
    </w:p>
    <w:p w14:paraId="48D6F3E5" w14:textId="77777777" w:rsidR="00C8338C" w:rsidRPr="001C5E14" w:rsidRDefault="00C8338C" w:rsidP="001B7180">
      <w:pPr>
        <w:pStyle w:val="Heading1"/>
        <w:pBdr>
          <w:top w:val="single" w:sz="4" w:space="1" w:color="auto"/>
        </w:pBdr>
        <w:spacing w:line="276" w:lineRule="auto"/>
        <w:jc w:val="center"/>
        <w:rPr>
          <w:rFonts w:ascii="Avenir Book" w:hAnsi="Avenir Book" w:cs="Calibri"/>
          <w:b w:val="0"/>
          <w:color w:val="17365D"/>
          <w:sz w:val="20"/>
          <w:szCs w:val="20"/>
        </w:rPr>
      </w:pPr>
      <w:bookmarkStart w:id="12" w:name="_Toc509920821"/>
    </w:p>
    <w:bookmarkEnd w:id="12"/>
    <w:p w14:paraId="0B517ED8" w14:textId="2FA35FA5" w:rsidR="000E657D" w:rsidRPr="001C5E14" w:rsidRDefault="000E657D" w:rsidP="000E657D">
      <w:pPr>
        <w:jc w:val="center"/>
        <w:rPr>
          <w:rFonts w:ascii="Avenir Book" w:hAnsi="Avenir Book" w:cs="Calibri"/>
          <w:color w:val="004479"/>
          <w:sz w:val="36"/>
          <w:szCs w:val="36"/>
          <w:lang w:val="en-GB"/>
        </w:rPr>
      </w:pPr>
      <w:r w:rsidRPr="001C5E14">
        <w:rPr>
          <w:rFonts w:ascii="Avenir Book" w:hAnsi="Avenir Book" w:cs="Calibri"/>
          <w:color w:val="004479"/>
          <w:sz w:val="36"/>
          <w:szCs w:val="36"/>
          <w:lang w:val="en-GB"/>
        </w:rPr>
        <w:t>Royal Commission into Violence, Abuse, Neglect and Exploitation of People with Disability</w:t>
      </w:r>
    </w:p>
    <w:p w14:paraId="299903D3" w14:textId="26807A00" w:rsidR="00E5691A" w:rsidRDefault="00E5691A" w:rsidP="000E657D">
      <w:pPr>
        <w:jc w:val="center"/>
        <w:rPr>
          <w:rFonts w:ascii="Avenir Book" w:hAnsi="Avenir Book" w:cs="Calibri"/>
          <w:sz w:val="20"/>
          <w:szCs w:val="20"/>
          <w:lang w:val="en-GB"/>
        </w:rPr>
      </w:pPr>
    </w:p>
    <w:p w14:paraId="29D52639" w14:textId="77777777" w:rsidR="001C5E14" w:rsidRPr="001C5E14" w:rsidRDefault="001C5E14" w:rsidP="000E657D">
      <w:pPr>
        <w:jc w:val="center"/>
        <w:rPr>
          <w:rFonts w:ascii="Avenir Book" w:hAnsi="Avenir Book" w:cs="Calibri"/>
          <w:sz w:val="20"/>
          <w:szCs w:val="20"/>
          <w:lang w:val="en-GB"/>
        </w:rPr>
      </w:pPr>
    </w:p>
    <w:p w14:paraId="2463AA35" w14:textId="2F269F63" w:rsidR="00E5691A" w:rsidRPr="00387713" w:rsidRDefault="007F5944" w:rsidP="00E5691A">
      <w:pPr>
        <w:pStyle w:val="Heading1"/>
        <w:spacing w:line="276" w:lineRule="auto"/>
        <w:jc w:val="center"/>
        <w:rPr>
          <w:rFonts w:ascii="Avenir Book" w:hAnsi="Avenir Book" w:cs="Calibri"/>
          <w:bCs/>
          <w:color w:val="AC1F79"/>
          <w:sz w:val="32"/>
          <w:lang w:val="en-GB"/>
        </w:rPr>
      </w:pPr>
      <w:bookmarkStart w:id="13" w:name="_Toc156482079"/>
      <w:bookmarkStart w:id="14" w:name="_Toc510523708"/>
      <w:bookmarkStart w:id="15" w:name="_Toc512603438"/>
      <w:bookmarkStart w:id="16" w:name="_Toc512604444"/>
      <w:bookmarkStart w:id="17" w:name="_Toc32420642"/>
      <w:bookmarkStart w:id="18" w:name="_Toc32738097"/>
      <w:bookmarkStart w:id="19" w:name="_Toc32738159"/>
      <w:bookmarkStart w:id="20" w:name="_Toc32757936"/>
      <w:bookmarkStart w:id="21" w:name="_Toc32759977"/>
      <w:bookmarkStart w:id="22" w:name="_Toc156819921"/>
      <w:bookmarkStart w:id="23" w:name="_Toc156825202"/>
      <w:r>
        <w:rPr>
          <w:rFonts w:ascii="Avenir Book" w:hAnsi="Avenir Book" w:cs="Calibri"/>
          <w:bCs/>
          <w:color w:val="AC1F79"/>
          <w:sz w:val="32"/>
        </w:rPr>
        <w:t xml:space="preserve">Preliminary </w:t>
      </w:r>
      <w:r w:rsidR="00E5691A" w:rsidRPr="00387713">
        <w:rPr>
          <w:rFonts w:ascii="Avenir Book" w:hAnsi="Avenir Book" w:cs="Calibri"/>
          <w:bCs/>
          <w:color w:val="AC1F79"/>
          <w:sz w:val="32"/>
        </w:rPr>
        <w:t>Response</w:t>
      </w:r>
      <w:bookmarkEnd w:id="13"/>
      <w:r w:rsidR="00E5691A" w:rsidRPr="00387713">
        <w:rPr>
          <w:rFonts w:ascii="Avenir Book" w:hAnsi="Avenir Book" w:cs="Calibri"/>
          <w:bCs/>
          <w:color w:val="AC1F79"/>
          <w:sz w:val="32"/>
        </w:rPr>
        <w:t xml:space="preserve"> </w:t>
      </w:r>
      <w:bookmarkEnd w:id="14"/>
      <w:bookmarkEnd w:id="15"/>
      <w:bookmarkEnd w:id="16"/>
      <w:bookmarkEnd w:id="17"/>
      <w:bookmarkEnd w:id="18"/>
      <w:bookmarkEnd w:id="19"/>
      <w:bookmarkEnd w:id="20"/>
      <w:bookmarkEnd w:id="21"/>
      <w:r w:rsidR="00CC1364">
        <w:rPr>
          <w:rFonts w:ascii="Avenir Book" w:hAnsi="Avenir Book" w:cs="Calibri"/>
          <w:bCs/>
          <w:color w:val="AC1F79"/>
          <w:sz w:val="32"/>
        </w:rPr>
        <w:t>to Final Report and Recommendations</w:t>
      </w:r>
      <w:bookmarkEnd w:id="22"/>
      <w:bookmarkEnd w:id="23"/>
    </w:p>
    <w:p w14:paraId="707A7191" w14:textId="77777777" w:rsidR="00E5691A" w:rsidRPr="001C5E14" w:rsidRDefault="00E5691A" w:rsidP="000E657D">
      <w:pPr>
        <w:jc w:val="center"/>
        <w:rPr>
          <w:rFonts w:ascii="Avenir Book" w:hAnsi="Avenir Book" w:cs="Calibri"/>
          <w:sz w:val="20"/>
          <w:szCs w:val="20"/>
          <w:lang w:val="en-GB"/>
        </w:rPr>
      </w:pPr>
    </w:p>
    <w:p w14:paraId="2BE96121" w14:textId="0F0EC899" w:rsidR="00C8338C" w:rsidRPr="001C5E14" w:rsidRDefault="00C8338C" w:rsidP="001B7180">
      <w:pPr>
        <w:pStyle w:val="Heading1"/>
        <w:pBdr>
          <w:bottom w:val="single" w:sz="4" w:space="1" w:color="auto"/>
        </w:pBdr>
        <w:spacing w:line="276" w:lineRule="auto"/>
        <w:jc w:val="center"/>
        <w:rPr>
          <w:rFonts w:ascii="Avenir Book" w:hAnsi="Avenir Book" w:cs="Calibri"/>
          <w:b w:val="0"/>
          <w:color w:val="17365D"/>
          <w:sz w:val="20"/>
          <w:szCs w:val="20"/>
        </w:rPr>
      </w:pPr>
    </w:p>
    <w:p w14:paraId="45325F89" w14:textId="77777777" w:rsidR="00E5691A" w:rsidRPr="00E5691A" w:rsidRDefault="00E5691A" w:rsidP="00E5691A"/>
    <w:p w14:paraId="334001EF" w14:textId="77777777" w:rsidR="007B5DE5" w:rsidRPr="001C5E14" w:rsidRDefault="007B5DE5" w:rsidP="001B7180">
      <w:pPr>
        <w:pStyle w:val="Heading1"/>
        <w:spacing w:line="276" w:lineRule="auto"/>
        <w:jc w:val="center"/>
        <w:rPr>
          <w:rFonts w:ascii="Avenir Book" w:hAnsi="Avenir Book" w:cs="Calibri"/>
          <w:b w:val="0"/>
          <w:color w:val="17365D"/>
          <w:sz w:val="32"/>
        </w:rPr>
      </w:pPr>
    </w:p>
    <w:p w14:paraId="39970A96" w14:textId="32BB605C" w:rsidR="007B5DE5" w:rsidRDefault="007F5944" w:rsidP="001B7180">
      <w:pPr>
        <w:pStyle w:val="Heading1"/>
        <w:spacing w:line="276" w:lineRule="auto"/>
        <w:jc w:val="center"/>
        <w:rPr>
          <w:rFonts w:ascii="Avenir Book" w:hAnsi="Avenir Book" w:cs="Calibri"/>
          <w:b w:val="0"/>
          <w:color w:val="17365D"/>
          <w:sz w:val="32"/>
        </w:rPr>
      </w:pPr>
      <w:bookmarkStart w:id="24" w:name="_Toc156482080"/>
      <w:bookmarkStart w:id="25" w:name="_Toc156819922"/>
      <w:bookmarkStart w:id="26" w:name="_Toc156825203"/>
      <w:bookmarkStart w:id="27" w:name="_Toc509911746"/>
      <w:r>
        <w:rPr>
          <w:rFonts w:ascii="Avenir Book" w:hAnsi="Avenir Book" w:cs="Calibri"/>
          <w:b w:val="0"/>
          <w:color w:val="17365D"/>
          <w:sz w:val="32"/>
        </w:rPr>
        <w:t>January 2024</w:t>
      </w:r>
      <w:bookmarkEnd w:id="24"/>
      <w:bookmarkEnd w:id="25"/>
      <w:bookmarkEnd w:id="26"/>
    </w:p>
    <w:p w14:paraId="332A3A51" w14:textId="760C0CF1" w:rsidR="001C5E14" w:rsidRPr="001C5E14" w:rsidRDefault="001C5E14" w:rsidP="001C5E14">
      <w:pPr>
        <w:rPr>
          <w:rFonts w:ascii="Avenir Book" w:hAnsi="Avenir Book"/>
        </w:rPr>
      </w:pPr>
    </w:p>
    <w:p w14:paraId="475967C5" w14:textId="4BEED1E6" w:rsidR="001C5E14" w:rsidRPr="001C5E14" w:rsidRDefault="001C5E14" w:rsidP="001C5E14">
      <w:pPr>
        <w:rPr>
          <w:rFonts w:ascii="Avenir Book" w:hAnsi="Avenir Book"/>
        </w:rPr>
      </w:pPr>
    </w:p>
    <w:p w14:paraId="23F73C86" w14:textId="77777777" w:rsidR="001C5E14" w:rsidRPr="001C5E14" w:rsidRDefault="001C5E14" w:rsidP="001C5E14">
      <w:pPr>
        <w:rPr>
          <w:rFonts w:ascii="Avenir Book" w:hAnsi="Avenir Book"/>
        </w:rPr>
      </w:pPr>
    </w:p>
    <w:p w14:paraId="727DF162" w14:textId="77777777" w:rsidR="007B5DE5" w:rsidRPr="00A16838" w:rsidRDefault="007B5DE5" w:rsidP="00121931">
      <w:pPr>
        <w:spacing w:line="276" w:lineRule="auto"/>
        <w:rPr>
          <w:rFonts w:ascii="Calibri" w:hAnsi="Calibri" w:cs="Calibri"/>
          <w:sz w:val="22"/>
        </w:rPr>
      </w:pPr>
      <w:r w:rsidRPr="00A16838">
        <w:rPr>
          <w:rFonts w:ascii="Calibri" w:hAnsi="Calibri" w:cs="Calibri"/>
          <w:sz w:val="22"/>
        </w:rPr>
        <w:br w:type="page"/>
      </w:r>
    </w:p>
    <w:p w14:paraId="64A23516" w14:textId="77777777" w:rsidR="0040289D" w:rsidRPr="00363830" w:rsidRDefault="0040289D" w:rsidP="00640BE6">
      <w:pPr>
        <w:pStyle w:val="Heading2"/>
        <w:spacing w:line="240" w:lineRule="auto"/>
        <w:rPr>
          <w:rFonts w:ascii="Avenir Book" w:hAnsi="Avenir Book" w:cs="Calibri"/>
          <w:color w:val="AC1F79"/>
        </w:rPr>
      </w:pPr>
      <w:bookmarkStart w:id="28" w:name="_Toc509920823"/>
      <w:bookmarkStart w:id="29" w:name="_Toc510523710"/>
      <w:bookmarkStart w:id="30" w:name="_Toc512603440"/>
      <w:bookmarkStart w:id="31" w:name="_Toc512604446"/>
      <w:bookmarkStart w:id="32" w:name="_Toc32738099"/>
      <w:bookmarkStart w:id="33" w:name="_Toc156825204"/>
      <w:r w:rsidRPr="00363830">
        <w:rPr>
          <w:rFonts w:ascii="Avenir Book" w:hAnsi="Avenir Book" w:cs="Calibri"/>
          <w:color w:val="AC1F79"/>
        </w:rPr>
        <w:lastRenderedPageBreak/>
        <w:t>Publishing Information</w:t>
      </w:r>
      <w:bookmarkEnd w:id="27"/>
      <w:bookmarkEnd w:id="28"/>
      <w:bookmarkEnd w:id="29"/>
      <w:bookmarkEnd w:id="30"/>
      <w:bookmarkEnd w:id="31"/>
      <w:bookmarkEnd w:id="32"/>
      <w:bookmarkEnd w:id="33"/>
    </w:p>
    <w:p w14:paraId="3DDB69D4" w14:textId="77777777" w:rsidR="007B5DE5" w:rsidRPr="00363830" w:rsidRDefault="007B5DE5" w:rsidP="00640BE6">
      <w:pPr>
        <w:rPr>
          <w:rFonts w:ascii="Avenir Book" w:hAnsi="Avenir Book" w:cs="Calibri"/>
          <w:bCs/>
          <w:color w:val="CC0099"/>
          <w:sz w:val="22"/>
          <w:szCs w:val="22"/>
        </w:rPr>
      </w:pPr>
    </w:p>
    <w:p w14:paraId="7EEF16BC" w14:textId="675BA603" w:rsidR="00AC3A5E" w:rsidRPr="00363830" w:rsidRDefault="009D2DCA" w:rsidP="00640BE6">
      <w:pPr>
        <w:rPr>
          <w:rFonts w:ascii="Avenir Book" w:hAnsi="Avenir Book" w:cs="Calibri"/>
          <w:b/>
          <w:sz w:val="22"/>
          <w:szCs w:val="22"/>
        </w:rPr>
      </w:pPr>
      <w:bookmarkStart w:id="34" w:name="_Toc468803767"/>
      <w:bookmarkStart w:id="35" w:name="_Toc350082565"/>
      <w:bookmarkStart w:id="36" w:name="_Toc501535864"/>
      <w:bookmarkStart w:id="37" w:name="_Toc501535946"/>
      <w:bookmarkStart w:id="38" w:name="_Toc501537209"/>
      <w:bookmarkStart w:id="39" w:name="_Toc501537273"/>
      <w:bookmarkStart w:id="40" w:name="_Toc501542224"/>
      <w:bookmarkStart w:id="41" w:name="_Toc501542266"/>
      <w:r w:rsidRPr="00363830">
        <w:rPr>
          <w:rFonts w:ascii="Avenir Book" w:hAnsi="Avenir Book" w:cs="Calibri"/>
          <w:b/>
          <w:sz w:val="22"/>
          <w:szCs w:val="22"/>
        </w:rPr>
        <w:t>Women with Disabilities Australia (WWDA) (20</w:t>
      </w:r>
      <w:r w:rsidR="000E657D" w:rsidRPr="00363830">
        <w:rPr>
          <w:rFonts w:ascii="Avenir Book" w:hAnsi="Avenir Book" w:cs="Calibri"/>
          <w:b/>
          <w:sz w:val="22"/>
          <w:szCs w:val="22"/>
        </w:rPr>
        <w:t>2</w:t>
      </w:r>
      <w:r w:rsidR="00463397">
        <w:rPr>
          <w:rFonts w:ascii="Avenir Book" w:hAnsi="Avenir Book" w:cs="Calibri"/>
          <w:b/>
          <w:sz w:val="22"/>
          <w:szCs w:val="22"/>
        </w:rPr>
        <w:t>4</w:t>
      </w:r>
      <w:r w:rsidRPr="00363830">
        <w:rPr>
          <w:rFonts w:ascii="Avenir Book" w:hAnsi="Avenir Book" w:cs="Calibri"/>
          <w:b/>
          <w:sz w:val="22"/>
          <w:szCs w:val="22"/>
        </w:rPr>
        <w:t xml:space="preserve">). </w:t>
      </w:r>
      <w:r w:rsidR="00310AC4" w:rsidRPr="00363830">
        <w:rPr>
          <w:rFonts w:ascii="Avenir Book" w:hAnsi="Avenir Book" w:cs="Calibri"/>
          <w:b/>
          <w:i/>
          <w:iCs/>
          <w:sz w:val="22"/>
          <w:szCs w:val="22"/>
        </w:rPr>
        <w:t>‘</w:t>
      </w:r>
      <w:r w:rsidR="007F5944">
        <w:rPr>
          <w:rFonts w:ascii="Avenir Book" w:hAnsi="Avenir Book" w:cs="Calibri"/>
          <w:b/>
          <w:i/>
          <w:iCs/>
          <w:sz w:val="22"/>
          <w:szCs w:val="22"/>
        </w:rPr>
        <w:t xml:space="preserve">Preliminary </w:t>
      </w:r>
      <w:r w:rsidR="00D7106F" w:rsidRPr="00363830">
        <w:rPr>
          <w:rFonts w:ascii="Avenir Book" w:hAnsi="Avenir Book" w:cs="Calibri"/>
          <w:b/>
          <w:i/>
          <w:iCs/>
          <w:sz w:val="22"/>
          <w:szCs w:val="22"/>
        </w:rPr>
        <w:t xml:space="preserve">Response to </w:t>
      </w:r>
      <w:r w:rsidR="000E657D" w:rsidRPr="00363830">
        <w:rPr>
          <w:rFonts w:ascii="Avenir Book" w:hAnsi="Avenir Book" w:cs="Calibri"/>
          <w:b/>
          <w:i/>
          <w:iCs/>
          <w:sz w:val="22"/>
          <w:szCs w:val="22"/>
        </w:rPr>
        <w:t>the Royal Commission into Violence, Abuse, Neglect and Exploitation of People with Disability’</w:t>
      </w:r>
      <w:r w:rsidR="000E657D" w:rsidRPr="00363830">
        <w:rPr>
          <w:rFonts w:ascii="Avenir Book" w:hAnsi="Avenir Book" w:cs="Calibri"/>
          <w:b/>
          <w:sz w:val="22"/>
          <w:szCs w:val="22"/>
        </w:rPr>
        <w:t xml:space="preserve">. </w:t>
      </w:r>
      <w:r w:rsidR="007F5944">
        <w:rPr>
          <w:rFonts w:ascii="Avenir Book" w:hAnsi="Avenir Book" w:cs="Calibri"/>
          <w:b/>
          <w:sz w:val="22"/>
          <w:szCs w:val="22"/>
        </w:rPr>
        <w:t>January</w:t>
      </w:r>
      <w:r w:rsidR="000E657D" w:rsidRPr="00363830">
        <w:rPr>
          <w:rFonts w:ascii="Avenir Book" w:hAnsi="Avenir Book" w:cs="Calibri"/>
          <w:b/>
          <w:sz w:val="22"/>
          <w:szCs w:val="22"/>
        </w:rPr>
        <w:t xml:space="preserve"> 202</w:t>
      </w:r>
      <w:r w:rsidR="007F5944">
        <w:rPr>
          <w:rFonts w:ascii="Avenir Book" w:hAnsi="Avenir Book" w:cs="Calibri"/>
          <w:b/>
          <w:sz w:val="22"/>
          <w:szCs w:val="22"/>
        </w:rPr>
        <w:t>4</w:t>
      </w:r>
      <w:r w:rsidR="000E657D" w:rsidRPr="00363830">
        <w:rPr>
          <w:rFonts w:ascii="Avenir Book" w:hAnsi="Avenir Book" w:cs="Calibri"/>
          <w:b/>
          <w:sz w:val="22"/>
          <w:szCs w:val="22"/>
        </w:rPr>
        <w:t xml:space="preserve">. </w:t>
      </w:r>
      <w:r w:rsidR="00310AC4" w:rsidRPr="00363830">
        <w:rPr>
          <w:rFonts w:ascii="Avenir Book" w:hAnsi="Avenir Book" w:cs="Calibri"/>
          <w:b/>
          <w:sz w:val="22"/>
          <w:szCs w:val="22"/>
        </w:rPr>
        <w:t>WWDA: Hobart, Tasmania.</w:t>
      </w:r>
    </w:p>
    <w:p w14:paraId="35482DDF" w14:textId="77777777" w:rsidR="009D2DCA" w:rsidRPr="00363830" w:rsidRDefault="009D2DCA" w:rsidP="00640BE6">
      <w:pPr>
        <w:rPr>
          <w:rFonts w:ascii="Avenir Book" w:hAnsi="Avenir Book" w:cs="Calibri"/>
          <w:sz w:val="22"/>
          <w:szCs w:val="22"/>
        </w:rPr>
      </w:pPr>
    </w:p>
    <w:p w14:paraId="2D149C5B" w14:textId="77777777" w:rsidR="007B5DE5" w:rsidRPr="00363830" w:rsidRDefault="009D2DCA" w:rsidP="00640BE6">
      <w:pPr>
        <w:pStyle w:val="Heading3"/>
        <w:spacing w:line="240" w:lineRule="auto"/>
        <w:jc w:val="left"/>
        <w:rPr>
          <w:rFonts w:ascii="Avenir Book" w:hAnsi="Avenir Book" w:cs="Calibri"/>
          <w:color w:val="AC1F79"/>
        </w:rPr>
      </w:pPr>
      <w:bookmarkStart w:id="42" w:name="_Toc509920824"/>
      <w:bookmarkStart w:id="43" w:name="_Toc510523711"/>
      <w:bookmarkStart w:id="44" w:name="_Toc512603441"/>
      <w:bookmarkStart w:id="45" w:name="_Toc512604447"/>
      <w:bookmarkStart w:id="46" w:name="_Toc32738100"/>
      <w:bookmarkStart w:id="47" w:name="_Toc32757939"/>
      <w:bookmarkStart w:id="48" w:name="_Toc32759980"/>
      <w:bookmarkStart w:id="49" w:name="_Toc156482082"/>
      <w:bookmarkStart w:id="50" w:name="_Toc156819924"/>
      <w:bookmarkStart w:id="51" w:name="_Toc156825205"/>
      <w:r w:rsidRPr="00363830">
        <w:rPr>
          <w:rFonts w:ascii="Avenir Book" w:hAnsi="Avenir Book" w:cs="Calibri"/>
          <w:color w:val="AC1F79"/>
        </w:rPr>
        <w:t>Acknowledg</w:t>
      </w:r>
      <w:r w:rsidR="007B5DE5" w:rsidRPr="00363830">
        <w:rPr>
          <w:rFonts w:ascii="Avenir Book" w:hAnsi="Avenir Book" w:cs="Calibri"/>
          <w:color w:val="AC1F79"/>
        </w:rPr>
        <w:t>ments</w:t>
      </w:r>
      <w:bookmarkEnd w:id="42"/>
      <w:bookmarkEnd w:id="43"/>
      <w:bookmarkEnd w:id="44"/>
      <w:bookmarkEnd w:id="45"/>
      <w:bookmarkEnd w:id="46"/>
      <w:bookmarkEnd w:id="47"/>
      <w:bookmarkEnd w:id="48"/>
      <w:bookmarkEnd w:id="49"/>
      <w:bookmarkEnd w:id="50"/>
      <w:bookmarkEnd w:id="51"/>
    </w:p>
    <w:p w14:paraId="639E5CCD" w14:textId="3DD1F889" w:rsidR="00310AC4" w:rsidRPr="00363830" w:rsidRDefault="00310AC4" w:rsidP="00640BE6">
      <w:pPr>
        <w:rPr>
          <w:rFonts w:ascii="Avenir Book" w:hAnsi="Avenir Book" w:cs="Calibri"/>
          <w:sz w:val="20"/>
          <w:szCs w:val="20"/>
        </w:rPr>
      </w:pPr>
    </w:p>
    <w:p w14:paraId="4D5B104B" w14:textId="77777777" w:rsidR="00310AC4" w:rsidRPr="00363830" w:rsidRDefault="00310AC4" w:rsidP="00363830">
      <w:pPr>
        <w:rPr>
          <w:rFonts w:ascii="Avenir Book" w:hAnsi="Avenir Book" w:cs="Calibri"/>
          <w:sz w:val="20"/>
          <w:szCs w:val="20"/>
        </w:rPr>
      </w:pPr>
      <w:r w:rsidRPr="00363830">
        <w:rPr>
          <w:rFonts w:ascii="Avenir Book" w:hAnsi="Avenir Book" w:cs="Calibri"/>
          <w:sz w:val="20"/>
          <w:szCs w:val="20"/>
        </w:rPr>
        <w:t>WWDA acknowledges the traditional owners of the land on which this publication was produced. We acknowledge Aboriginal and Torres Strait Islander people’s deep spiritual connection to this land. We extend our respects to community members and Elders past, present and becoming.</w:t>
      </w:r>
    </w:p>
    <w:p w14:paraId="398CF5B2" w14:textId="462DC2B7" w:rsidR="00310AC4" w:rsidRPr="00363830" w:rsidRDefault="00310AC4" w:rsidP="00363830">
      <w:pPr>
        <w:rPr>
          <w:rFonts w:ascii="Avenir Book" w:hAnsi="Avenir Book" w:cs="Calibri"/>
          <w:sz w:val="20"/>
          <w:szCs w:val="20"/>
        </w:rPr>
      </w:pPr>
    </w:p>
    <w:p w14:paraId="1146497D" w14:textId="1436C02B" w:rsidR="0071331C" w:rsidRPr="00363830" w:rsidRDefault="0071331C" w:rsidP="00363830">
      <w:pPr>
        <w:rPr>
          <w:rFonts w:ascii="Avenir Book" w:eastAsiaTheme="minorHAnsi" w:hAnsi="Avenir Book" w:cs="Calibri"/>
          <w:sz w:val="20"/>
          <w:szCs w:val="20"/>
        </w:rPr>
      </w:pPr>
      <w:r w:rsidRPr="00363830">
        <w:rPr>
          <w:rFonts w:ascii="Avenir Book" w:hAnsi="Avenir Book" w:cs="Calibri"/>
          <w:sz w:val="20"/>
          <w:szCs w:val="20"/>
        </w:rPr>
        <w:t xml:space="preserve">This document was </w:t>
      </w:r>
      <w:r w:rsidR="00944977">
        <w:rPr>
          <w:rFonts w:ascii="Avenir Book" w:hAnsi="Avenir Book" w:cs="Calibri"/>
          <w:sz w:val="20"/>
          <w:szCs w:val="20"/>
        </w:rPr>
        <w:t>written</w:t>
      </w:r>
      <w:r w:rsidRPr="00363830">
        <w:rPr>
          <w:rFonts w:ascii="Avenir Book" w:hAnsi="Avenir Book" w:cs="Calibri"/>
          <w:sz w:val="20"/>
          <w:szCs w:val="20"/>
        </w:rPr>
        <w:t xml:space="preserve"> by </w:t>
      </w:r>
      <w:r w:rsidR="007F5944">
        <w:rPr>
          <w:rFonts w:ascii="Avenir Book" w:hAnsi="Avenir Book" w:cs="Calibri"/>
          <w:sz w:val="20"/>
          <w:szCs w:val="20"/>
        </w:rPr>
        <w:t xml:space="preserve">Carolyn Frohmader and </w:t>
      </w:r>
      <w:r w:rsidRPr="00363830">
        <w:rPr>
          <w:rFonts w:ascii="Avenir Book" w:hAnsi="Avenir Book" w:cs="Calibri"/>
          <w:sz w:val="20"/>
          <w:szCs w:val="20"/>
        </w:rPr>
        <w:t xml:space="preserve">Therese Sands for and on behalf of Women with Disabilities Australia (WWDA). </w:t>
      </w:r>
    </w:p>
    <w:p w14:paraId="6493B2FC" w14:textId="77777777" w:rsidR="0071331C" w:rsidRPr="00363830" w:rsidRDefault="0071331C" w:rsidP="00363830">
      <w:pPr>
        <w:rPr>
          <w:rFonts w:ascii="Avenir Book" w:hAnsi="Avenir Book" w:cs="Calibri"/>
          <w:sz w:val="20"/>
          <w:szCs w:val="20"/>
        </w:rPr>
      </w:pPr>
    </w:p>
    <w:p w14:paraId="631DE3D3" w14:textId="13891A8F" w:rsidR="00AC3A5E" w:rsidRPr="00363830" w:rsidRDefault="009D2DCA" w:rsidP="00363830">
      <w:pPr>
        <w:rPr>
          <w:rFonts w:ascii="Avenir Book" w:hAnsi="Avenir Book" w:cs="Calibri"/>
          <w:sz w:val="20"/>
          <w:szCs w:val="20"/>
        </w:rPr>
      </w:pPr>
      <w:r w:rsidRPr="00363830">
        <w:rPr>
          <w:rFonts w:ascii="Avenir Book" w:hAnsi="Avenir Book" w:cs="Calibri"/>
          <w:sz w:val="20"/>
          <w:szCs w:val="20"/>
        </w:rPr>
        <w:t xml:space="preserve">Women with Disabilities Australia (WWDA) receives </w:t>
      </w:r>
      <w:r w:rsidR="00D7106F" w:rsidRPr="00363830">
        <w:rPr>
          <w:rFonts w:ascii="Avenir Book" w:hAnsi="Avenir Book" w:cs="Calibri"/>
          <w:sz w:val="20"/>
          <w:szCs w:val="20"/>
        </w:rPr>
        <w:t xml:space="preserve">part of its </w:t>
      </w:r>
      <w:r w:rsidRPr="00363830">
        <w:rPr>
          <w:rFonts w:ascii="Avenir Book" w:hAnsi="Avenir Book" w:cs="Calibri"/>
          <w:sz w:val="20"/>
          <w:szCs w:val="20"/>
        </w:rPr>
        <w:t>funding from the Australian Government</w:t>
      </w:r>
      <w:r w:rsidR="00E528DD" w:rsidRPr="00363830">
        <w:rPr>
          <w:rFonts w:ascii="Avenir Book" w:hAnsi="Avenir Book" w:cs="Calibri"/>
          <w:sz w:val="20"/>
          <w:szCs w:val="20"/>
        </w:rPr>
        <w:t>, Department of Social Services.</w:t>
      </w:r>
    </w:p>
    <w:p w14:paraId="0CBA0693" w14:textId="77777777" w:rsidR="00AC3A5E" w:rsidRPr="00363830" w:rsidRDefault="00AC3A5E" w:rsidP="00363830">
      <w:pPr>
        <w:rPr>
          <w:rFonts w:ascii="Avenir Book" w:hAnsi="Avenir Book" w:cs="Calibri"/>
          <w:sz w:val="20"/>
          <w:szCs w:val="20"/>
        </w:rPr>
      </w:pPr>
    </w:p>
    <w:p w14:paraId="579ADE9D" w14:textId="77777777" w:rsidR="00310AC4" w:rsidRPr="00363830" w:rsidRDefault="007B5DE5" w:rsidP="00BF1474">
      <w:pPr>
        <w:pStyle w:val="Heading3"/>
        <w:spacing w:line="240" w:lineRule="auto"/>
        <w:jc w:val="left"/>
        <w:rPr>
          <w:rFonts w:ascii="Avenir Book" w:hAnsi="Avenir Book" w:cs="Calibri"/>
          <w:color w:val="AC1F79"/>
        </w:rPr>
      </w:pPr>
      <w:bookmarkStart w:id="52" w:name="_Toc468803765"/>
      <w:bookmarkStart w:id="53" w:name="_Toc350082564"/>
      <w:bookmarkStart w:id="54" w:name="_Toc501535863"/>
      <w:bookmarkStart w:id="55" w:name="_Toc501535945"/>
      <w:bookmarkStart w:id="56" w:name="_Toc501537208"/>
      <w:bookmarkStart w:id="57" w:name="_Toc501537272"/>
      <w:bookmarkStart w:id="58" w:name="_Toc501542223"/>
      <w:bookmarkStart w:id="59" w:name="_Toc501542265"/>
      <w:bookmarkStart w:id="60" w:name="_Toc509920825"/>
      <w:bookmarkStart w:id="61" w:name="_Toc510523712"/>
      <w:bookmarkStart w:id="62" w:name="_Toc512603442"/>
      <w:bookmarkStart w:id="63" w:name="_Toc512604448"/>
      <w:bookmarkStart w:id="64" w:name="_Toc32738101"/>
      <w:bookmarkStart w:id="65" w:name="_Toc32738163"/>
      <w:bookmarkStart w:id="66" w:name="_Toc32757940"/>
      <w:bookmarkStart w:id="67" w:name="_Toc32759981"/>
      <w:bookmarkStart w:id="68" w:name="_Toc156482083"/>
      <w:bookmarkStart w:id="69" w:name="_Toc156819925"/>
      <w:bookmarkStart w:id="70" w:name="_Toc156825206"/>
      <w:r w:rsidRPr="00363830">
        <w:rPr>
          <w:rFonts w:ascii="Avenir Book" w:hAnsi="Avenir Book" w:cs="Calibri"/>
          <w:color w:val="AC1F79"/>
        </w:rPr>
        <w:t>Contact</w:t>
      </w:r>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r w:rsidRPr="00363830">
        <w:rPr>
          <w:rFonts w:ascii="Avenir Book" w:hAnsi="Avenir Book" w:cs="Calibri"/>
          <w:color w:val="AC1F79"/>
        </w:rPr>
        <w:t xml:space="preserve"> </w:t>
      </w:r>
    </w:p>
    <w:p w14:paraId="6B5B0320" w14:textId="77777777" w:rsidR="000233A0" w:rsidRPr="00640BE6" w:rsidRDefault="000233A0" w:rsidP="00BF1474">
      <w:pPr>
        <w:rPr>
          <w:rFonts w:ascii="Avenir Book" w:hAnsi="Avenir Book" w:cs="Calibri"/>
          <w:sz w:val="20"/>
          <w:szCs w:val="20"/>
        </w:rPr>
      </w:pPr>
    </w:p>
    <w:p w14:paraId="1D93D784" w14:textId="77777777" w:rsidR="00310AC4" w:rsidRPr="00363830" w:rsidRDefault="00310AC4" w:rsidP="0071331C">
      <w:pPr>
        <w:rPr>
          <w:rFonts w:ascii="Avenir Book" w:hAnsi="Avenir Book" w:cs="Calibri"/>
          <w:sz w:val="18"/>
          <w:szCs w:val="18"/>
        </w:rPr>
      </w:pPr>
      <w:r w:rsidRPr="00363830">
        <w:rPr>
          <w:rFonts w:ascii="Avenir Book" w:hAnsi="Avenir Book" w:cs="Calibri"/>
          <w:sz w:val="18"/>
          <w:szCs w:val="18"/>
        </w:rPr>
        <w:t>Women with Disabilities Australia (WWDA)</w:t>
      </w:r>
    </w:p>
    <w:p w14:paraId="4BBFA437" w14:textId="77777777" w:rsidR="00F42993" w:rsidRPr="00363830" w:rsidRDefault="00F42993" w:rsidP="0071331C">
      <w:pPr>
        <w:rPr>
          <w:rFonts w:ascii="Avenir Book" w:hAnsi="Avenir Book" w:cs="Calibri"/>
          <w:sz w:val="18"/>
          <w:szCs w:val="18"/>
        </w:rPr>
      </w:pPr>
      <w:r w:rsidRPr="00363830">
        <w:rPr>
          <w:rFonts w:ascii="Avenir Book" w:hAnsi="Avenir Book" w:cs="Calibri"/>
          <w:sz w:val="18"/>
          <w:szCs w:val="18"/>
        </w:rPr>
        <w:t>Contact: Carolyn Frohmader, Executive Director</w:t>
      </w:r>
    </w:p>
    <w:p w14:paraId="120BB3D7" w14:textId="77777777" w:rsidR="00310AC4" w:rsidRPr="00363830" w:rsidRDefault="00310AC4" w:rsidP="0071331C">
      <w:pPr>
        <w:rPr>
          <w:rFonts w:ascii="Avenir Book" w:hAnsi="Avenir Book" w:cs="Calibri"/>
          <w:iCs/>
          <w:sz w:val="18"/>
          <w:szCs w:val="18"/>
        </w:rPr>
      </w:pPr>
      <w:r w:rsidRPr="00363830">
        <w:rPr>
          <w:rFonts w:ascii="Avenir Book" w:hAnsi="Avenir Book" w:cs="Calibri"/>
          <w:iCs/>
          <w:sz w:val="18"/>
          <w:szCs w:val="18"/>
        </w:rPr>
        <w:t>PO Box 407, Lenah Valley, 7008 Tasmania</w:t>
      </w:r>
      <w:r w:rsidR="00F22E4B" w:rsidRPr="00363830">
        <w:rPr>
          <w:rFonts w:ascii="Avenir Book" w:hAnsi="Avenir Book" w:cs="Calibri"/>
          <w:iCs/>
          <w:sz w:val="18"/>
          <w:szCs w:val="18"/>
        </w:rPr>
        <w:t>, Australia</w:t>
      </w:r>
    </w:p>
    <w:p w14:paraId="65FEFB1F" w14:textId="77777777" w:rsidR="00310AC4" w:rsidRPr="00363830" w:rsidRDefault="00310AC4" w:rsidP="0071331C">
      <w:pPr>
        <w:rPr>
          <w:rFonts w:ascii="Avenir Book" w:hAnsi="Avenir Book" w:cs="Calibri"/>
          <w:iCs/>
          <w:sz w:val="18"/>
          <w:szCs w:val="18"/>
        </w:rPr>
      </w:pPr>
      <w:r w:rsidRPr="00363830">
        <w:rPr>
          <w:rFonts w:ascii="Avenir Book" w:hAnsi="Avenir Book" w:cs="Calibri"/>
          <w:iCs/>
          <w:sz w:val="18"/>
          <w:szCs w:val="18"/>
        </w:rPr>
        <w:t>Phone: +61 438 535 123</w:t>
      </w:r>
    </w:p>
    <w:p w14:paraId="01F4C110" w14:textId="77777777" w:rsidR="00310AC4" w:rsidRPr="00363830" w:rsidRDefault="00310AC4" w:rsidP="0071331C">
      <w:pPr>
        <w:rPr>
          <w:rFonts w:ascii="Avenir Book" w:hAnsi="Avenir Book" w:cs="Calibri"/>
          <w:sz w:val="18"/>
          <w:szCs w:val="18"/>
        </w:rPr>
      </w:pPr>
      <w:r w:rsidRPr="00363830">
        <w:rPr>
          <w:rFonts w:ascii="Avenir Book" w:hAnsi="Avenir Book" w:cs="Calibri"/>
          <w:iCs/>
          <w:sz w:val="18"/>
          <w:szCs w:val="18"/>
        </w:rPr>
        <w:t xml:space="preserve">Email: </w:t>
      </w:r>
      <w:hyperlink r:id="rId9" w:history="1">
        <w:r w:rsidRPr="00363830">
          <w:rPr>
            <w:rStyle w:val="Hyperlink"/>
            <w:rFonts w:ascii="Avenir Book" w:hAnsi="Avenir Book" w:cs="Calibri"/>
            <w:sz w:val="18"/>
            <w:szCs w:val="18"/>
          </w:rPr>
          <w:t>carolyn@wwda.org.au</w:t>
        </w:r>
      </w:hyperlink>
    </w:p>
    <w:p w14:paraId="259F2C66" w14:textId="77777777" w:rsidR="00310AC4" w:rsidRPr="00363830" w:rsidRDefault="00310AC4" w:rsidP="0071331C">
      <w:pPr>
        <w:rPr>
          <w:rFonts w:ascii="Avenir Book" w:hAnsi="Avenir Book" w:cs="Calibri"/>
          <w:sz w:val="18"/>
          <w:szCs w:val="18"/>
          <w:u w:val="single"/>
        </w:rPr>
      </w:pPr>
      <w:r w:rsidRPr="00363830">
        <w:rPr>
          <w:rFonts w:ascii="Avenir Book" w:hAnsi="Avenir Book" w:cs="Calibri"/>
          <w:iCs/>
          <w:sz w:val="18"/>
          <w:szCs w:val="18"/>
        </w:rPr>
        <w:t xml:space="preserve">Web: </w:t>
      </w:r>
      <w:hyperlink r:id="rId10" w:history="1">
        <w:r w:rsidRPr="00363830">
          <w:rPr>
            <w:rStyle w:val="Hyperlink"/>
            <w:rFonts w:ascii="Avenir Book" w:hAnsi="Avenir Book" w:cs="Calibri"/>
            <w:sz w:val="18"/>
            <w:szCs w:val="18"/>
          </w:rPr>
          <w:t>www.wwda.org.au</w:t>
        </w:r>
      </w:hyperlink>
    </w:p>
    <w:p w14:paraId="667717A0" w14:textId="77777777" w:rsidR="00310AC4" w:rsidRPr="00363830" w:rsidRDefault="00310AC4" w:rsidP="0071331C">
      <w:pPr>
        <w:rPr>
          <w:rFonts w:ascii="Avenir Book" w:hAnsi="Avenir Book" w:cs="Calibri"/>
          <w:sz w:val="18"/>
          <w:szCs w:val="18"/>
          <w:lang w:val="en-US"/>
        </w:rPr>
      </w:pPr>
      <w:r w:rsidRPr="00363830">
        <w:rPr>
          <w:rFonts w:ascii="Avenir Book" w:hAnsi="Avenir Book" w:cs="Calibri"/>
          <w:sz w:val="18"/>
          <w:szCs w:val="18"/>
          <w:lang w:val="en-US"/>
        </w:rPr>
        <w:t>Facebook: </w:t>
      </w:r>
      <w:hyperlink r:id="rId11" w:history="1">
        <w:r w:rsidRPr="00363830">
          <w:rPr>
            <w:rStyle w:val="Hyperlink"/>
            <w:rFonts w:ascii="Avenir Book" w:hAnsi="Avenir Book" w:cs="Calibri"/>
            <w:sz w:val="18"/>
            <w:szCs w:val="18"/>
            <w:lang w:val="en-US"/>
          </w:rPr>
          <w:t>www.facebook.com/WWDA.Australia</w:t>
        </w:r>
      </w:hyperlink>
    </w:p>
    <w:p w14:paraId="01D24C6A" w14:textId="77777777" w:rsidR="00310AC4" w:rsidRPr="00363830" w:rsidRDefault="00310AC4" w:rsidP="0071331C">
      <w:pPr>
        <w:rPr>
          <w:rFonts w:ascii="Avenir Book" w:hAnsi="Avenir Book" w:cs="Calibri"/>
          <w:sz w:val="18"/>
          <w:szCs w:val="18"/>
        </w:rPr>
      </w:pPr>
      <w:r w:rsidRPr="00363830">
        <w:rPr>
          <w:rFonts w:ascii="Avenir Book" w:hAnsi="Avenir Book" w:cs="Calibri"/>
          <w:sz w:val="18"/>
          <w:szCs w:val="18"/>
          <w:lang w:val="en-US"/>
        </w:rPr>
        <w:t>Twitter: </w:t>
      </w:r>
      <w:hyperlink r:id="rId12" w:history="1">
        <w:r w:rsidRPr="00363830">
          <w:rPr>
            <w:rStyle w:val="Hyperlink"/>
            <w:rFonts w:ascii="Avenir Book" w:hAnsi="Avenir Book" w:cs="Calibri"/>
            <w:sz w:val="18"/>
            <w:szCs w:val="18"/>
            <w:lang w:val="en-US"/>
          </w:rPr>
          <w:t>www.twitter.com/WWDA_AU</w:t>
        </w:r>
      </w:hyperlink>
    </w:p>
    <w:p w14:paraId="7BCA3893" w14:textId="77777777" w:rsidR="00F42993" w:rsidRPr="00363830" w:rsidRDefault="00F42993" w:rsidP="00121931">
      <w:pPr>
        <w:spacing w:line="276" w:lineRule="auto"/>
        <w:rPr>
          <w:rFonts w:ascii="Avenir Book" w:hAnsi="Avenir Book" w:cs="Calibri"/>
          <w:sz w:val="18"/>
          <w:szCs w:val="18"/>
        </w:rPr>
      </w:pPr>
    </w:p>
    <w:p w14:paraId="17E956D8" w14:textId="77777777" w:rsidR="00F42993" w:rsidRPr="00363830" w:rsidRDefault="00F42993" w:rsidP="0071331C">
      <w:pPr>
        <w:rPr>
          <w:rFonts w:ascii="Avenir Book" w:hAnsi="Avenir Book" w:cs="Calibri"/>
          <w:sz w:val="16"/>
          <w:szCs w:val="16"/>
        </w:rPr>
      </w:pPr>
      <w:r w:rsidRPr="00363830">
        <w:rPr>
          <w:rFonts w:ascii="Avenir Book" w:hAnsi="Avenir Book" w:cs="Calibri"/>
          <w:i/>
          <w:sz w:val="16"/>
          <w:szCs w:val="16"/>
        </w:rPr>
        <w:t>Winner</w:t>
      </w:r>
      <w:r w:rsidRPr="00363830">
        <w:rPr>
          <w:rFonts w:ascii="Avenir Book" w:hAnsi="Avenir Book" w:cs="Calibri"/>
          <w:sz w:val="16"/>
          <w:szCs w:val="16"/>
        </w:rPr>
        <w:t>, National Human Rights Award 2001</w:t>
      </w:r>
    </w:p>
    <w:p w14:paraId="6DB55530" w14:textId="77777777" w:rsidR="00F42993" w:rsidRPr="00363830" w:rsidRDefault="00F42993" w:rsidP="0071331C">
      <w:pPr>
        <w:rPr>
          <w:rFonts w:ascii="Avenir Book" w:hAnsi="Avenir Book" w:cs="Calibri"/>
          <w:sz w:val="16"/>
          <w:szCs w:val="16"/>
        </w:rPr>
      </w:pPr>
      <w:r w:rsidRPr="00363830">
        <w:rPr>
          <w:rFonts w:ascii="Avenir Book" w:hAnsi="Avenir Book" w:cs="Calibri"/>
          <w:i/>
          <w:sz w:val="16"/>
          <w:szCs w:val="16"/>
        </w:rPr>
        <w:t>Winner</w:t>
      </w:r>
      <w:r w:rsidRPr="00363830">
        <w:rPr>
          <w:rFonts w:ascii="Avenir Book" w:hAnsi="Avenir Book" w:cs="Calibri"/>
          <w:sz w:val="16"/>
          <w:szCs w:val="16"/>
        </w:rPr>
        <w:t>, National Violence Prevention Award 1999</w:t>
      </w:r>
    </w:p>
    <w:p w14:paraId="6091FF88" w14:textId="77777777" w:rsidR="00F42993" w:rsidRPr="00363830" w:rsidRDefault="00F42993" w:rsidP="0071331C">
      <w:pPr>
        <w:rPr>
          <w:rFonts w:ascii="Avenir Book" w:hAnsi="Avenir Book" w:cs="Calibri"/>
          <w:sz w:val="16"/>
          <w:szCs w:val="16"/>
        </w:rPr>
      </w:pPr>
      <w:r w:rsidRPr="00363830">
        <w:rPr>
          <w:rFonts w:ascii="Avenir Book" w:hAnsi="Avenir Book" w:cs="Calibri"/>
          <w:i/>
          <w:sz w:val="16"/>
          <w:szCs w:val="16"/>
        </w:rPr>
        <w:t>Winner</w:t>
      </w:r>
      <w:r w:rsidRPr="00363830">
        <w:rPr>
          <w:rFonts w:ascii="Avenir Book" w:hAnsi="Avenir Book" w:cs="Calibri"/>
          <w:sz w:val="16"/>
          <w:szCs w:val="16"/>
        </w:rPr>
        <w:t>, Tasmanian Women's Safety Award 2008</w:t>
      </w:r>
    </w:p>
    <w:p w14:paraId="5C04F03A" w14:textId="37C286BF" w:rsidR="00F42993" w:rsidRPr="00363830" w:rsidRDefault="00F42993" w:rsidP="0071331C">
      <w:pPr>
        <w:rPr>
          <w:rFonts w:ascii="Avenir Book" w:hAnsi="Avenir Book" w:cs="Calibri"/>
          <w:sz w:val="16"/>
          <w:szCs w:val="16"/>
        </w:rPr>
      </w:pPr>
      <w:r w:rsidRPr="00363830">
        <w:rPr>
          <w:rFonts w:ascii="Avenir Book" w:hAnsi="Avenir Book" w:cs="Calibri"/>
          <w:i/>
          <w:sz w:val="16"/>
          <w:szCs w:val="16"/>
        </w:rPr>
        <w:t>Certificate of Merit</w:t>
      </w:r>
      <w:r w:rsidRPr="00363830">
        <w:rPr>
          <w:rFonts w:ascii="Avenir Book" w:hAnsi="Avenir Book" w:cs="Calibri"/>
          <w:sz w:val="16"/>
          <w:szCs w:val="16"/>
        </w:rPr>
        <w:t>, Australian Crime &amp; Violence Prevention Awards 2008</w:t>
      </w:r>
    </w:p>
    <w:p w14:paraId="3CB829C6" w14:textId="17B25888" w:rsidR="00940EFA" w:rsidRPr="00363830" w:rsidRDefault="00940EFA" w:rsidP="0071331C">
      <w:pPr>
        <w:rPr>
          <w:rFonts w:ascii="Avenir Book" w:hAnsi="Avenir Book" w:cs="Calibri"/>
          <w:sz w:val="16"/>
          <w:szCs w:val="16"/>
        </w:rPr>
      </w:pPr>
      <w:r w:rsidRPr="00363830">
        <w:rPr>
          <w:rFonts w:ascii="Avenir Book" w:hAnsi="Avenir Book" w:cs="Calibri"/>
          <w:i/>
          <w:iCs/>
          <w:sz w:val="16"/>
          <w:szCs w:val="16"/>
        </w:rPr>
        <w:t>Nominee,</w:t>
      </w:r>
      <w:r w:rsidRPr="00363830">
        <w:rPr>
          <w:rFonts w:ascii="Avenir Book" w:hAnsi="Avenir Book" w:cs="Calibri"/>
          <w:sz w:val="16"/>
          <w:szCs w:val="16"/>
        </w:rPr>
        <w:t xml:space="preserve"> National Disability Awards 2017</w:t>
      </w:r>
    </w:p>
    <w:p w14:paraId="4480C985" w14:textId="77777777" w:rsidR="00F42993" w:rsidRPr="00363830" w:rsidRDefault="00F42993" w:rsidP="0071331C">
      <w:pPr>
        <w:rPr>
          <w:rFonts w:ascii="Avenir Book" w:hAnsi="Avenir Book" w:cs="Calibri"/>
          <w:sz w:val="16"/>
          <w:szCs w:val="16"/>
        </w:rPr>
      </w:pPr>
      <w:r w:rsidRPr="00363830">
        <w:rPr>
          <w:rFonts w:ascii="Avenir Book" w:hAnsi="Avenir Book" w:cs="Calibri"/>
          <w:i/>
          <w:sz w:val="16"/>
          <w:szCs w:val="16"/>
        </w:rPr>
        <w:t>Nominee</w:t>
      </w:r>
      <w:r w:rsidRPr="00363830">
        <w:rPr>
          <w:rFonts w:ascii="Avenir Book" w:hAnsi="Avenir Book" w:cs="Calibri"/>
          <w:sz w:val="16"/>
          <w:szCs w:val="16"/>
        </w:rPr>
        <w:t>, French Republic's Human Rights Prize 2003</w:t>
      </w:r>
    </w:p>
    <w:p w14:paraId="1BBFD51A" w14:textId="66FA1EB1" w:rsidR="00F42993" w:rsidRPr="00363830" w:rsidRDefault="00F42993" w:rsidP="0071331C">
      <w:pPr>
        <w:rPr>
          <w:rFonts w:ascii="Avenir Book" w:hAnsi="Avenir Book" w:cs="Calibri"/>
          <w:sz w:val="16"/>
          <w:szCs w:val="16"/>
        </w:rPr>
      </w:pPr>
      <w:r w:rsidRPr="00363830">
        <w:rPr>
          <w:rFonts w:ascii="Avenir Book" w:hAnsi="Avenir Book" w:cs="Calibri"/>
          <w:i/>
          <w:sz w:val="16"/>
          <w:szCs w:val="16"/>
        </w:rPr>
        <w:t>Nominee</w:t>
      </w:r>
      <w:r w:rsidRPr="00363830">
        <w:rPr>
          <w:rFonts w:ascii="Avenir Book" w:hAnsi="Avenir Book" w:cs="Calibri"/>
          <w:sz w:val="16"/>
          <w:szCs w:val="16"/>
        </w:rPr>
        <w:t>, UN Millennium Peace Prize for Women 2000</w:t>
      </w:r>
    </w:p>
    <w:p w14:paraId="769FF2DA" w14:textId="71349C97" w:rsidR="00BE3470" w:rsidRPr="00363830" w:rsidRDefault="00BE3470" w:rsidP="00640BE6">
      <w:pPr>
        <w:rPr>
          <w:rFonts w:ascii="Avenir Book" w:hAnsi="Avenir Book" w:cs="Calibri"/>
          <w:sz w:val="20"/>
          <w:szCs w:val="20"/>
        </w:rPr>
      </w:pPr>
    </w:p>
    <w:p w14:paraId="313B17D8" w14:textId="77777777" w:rsidR="00BE3470" w:rsidRPr="00363830" w:rsidRDefault="00BE3470" w:rsidP="00640BE6">
      <w:pPr>
        <w:rPr>
          <w:rFonts w:ascii="Avenir Book" w:hAnsi="Avenir Book" w:cs="Calibri Light"/>
          <w:b/>
          <w:bCs/>
          <w:color w:val="AC1F79"/>
        </w:rPr>
      </w:pPr>
      <w:r w:rsidRPr="00363830">
        <w:rPr>
          <w:rFonts w:ascii="Avenir Book" w:hAnsi="Avenir Book" w:cs="Calibri Light"/>
          <w:b/>
          <w:bCs/>
          <w:color w:val="AC1F79"/>
          <w:sz w:val="22"/>
          <w:szCs w:val="22"/>
        </w:rPr>
        <w:t>Disclaimer</w:t>
      </w:r>
    </w:p>
    <w:p w14:paraId="430E7689" w14:textId="77777777" w:rsidR="00BE3470" w:rsidRPr="00363830" w:rsidRDefault="00BE3470" w:rsidP="00640BE6">
      <w:pPr>
        <w:jc w:val="both"/>
        <w:rPr>
          <w:rFonts w:ascii="Avenir Book" w:hAnsi="Avenir Book" w:cs="Calibri Light"/>
          <w:sz w:val="18"/>
          <w:szCs w:val="18"/>
        </w:rPr>
      </w:pPr>
    </w:p>
    <w:p w14:paraId="1CE64109" w14:textId="46029899" w:rsidR="00BE3470" w:rsidRPr="00363830" w:rsidRDefault="00BE3470" w:rsidP="002A08B7">
      <w:pPr>
        <w:jc w:val="both"/>
        <w:rPr>
          <w:rFonts w:ascii="Avenir Book" w:hAnsi="Avenir Book" w:cs="Calibri Light"/>
          <w:sz w:val="18"/>
          <w:szCs w:val="18"/>
        </w:rPr>
      </w:pPr>
      <w:r w:rsidRPr="00363830">
        <w:rPr>
          <w:rFonts w:ascii="Avenir Book" w:hAnsi="Avenir Book" w:cs="Calibri Light"/>
          <w:sz w:val="18"/>
          <w:szCs w:val="18"/>
        </w:rPr>
        <w:t>The views and opinions expressed in this publication are those of Women with Disabilities Australia (WWDA) and not necessarily those of our funding bodies. All possible care has been taken in the preparation of the information contained in this document. WWDA disclaims any liability for the accuracy and sufficiency of the information and under no circumstances shall be liable in negligence or otherwise in or arising out of the preparation or supply of any of the information aforesaid.</w:t>
      </w:r>
    </w:p>
    <w:p w14:paraId="6A5B6B06" w14:textId="558B2BDB" w:rsidR="00BE3470" w:rsidRDefault="00BE3470" w:rsidP="00172C86">
      <w:pPr>
        <w:rPr>
          <w:rFonts w:ascii="Avenir Book" w:hAnsi="Avenir Book" w:cs="Calibri"/>
          <w:sz w:val="20"/>
          <w:szCs w:val="20"/>
        </w:rPr>
      </w:pPr>
    </w:p>
    <w:p w14:paraId="652F1D85" w14:textId="77777777" w:rsidR="00640BE6" w:rsidRPr="00640BE6" w:rsidRDefault="00640BE6" w:rsidP="00640BE6">
      <w:pPr>
        <w:rPr>
          <w:rFonts w:ascii="Avenir Book" w:hAnsi="Avenir Book" w:cs="Calibri"/>
          <w:b/>
          <w:sz w:val="20"/>
          <w:szCs w:val="20"/>
        </w:rPr>
      </w:pPr>
      <w:bookmarkStart w:id="71" w:name="_Toc468803771"/>
      <w:r w:rsidRPr="00640BE6">
        <w:rPr>
          <w:rFonts w:ascii="Avenir Book" w:hAnsi="Avenir Book" w:cs="Calibri"/>
          <w:sz w:val="20"/>
          <w:szCs w:val="20"/>
        </w:rPr>
        <w:t>This work is copyright. Apart from any use as permitted under the Copyright Act 1968, no part may be reproduced without written permission from Women With Disabilities Australia (WWDA).</w:t>
      </w:r>
      <w:bookmarkEnd w:id="71"/>
    </w:p>
    <w:p w14:paraId="5B8C671C" w14:textId="77777777" w:rsidR="00640BE6" w:rsidRPr="00640BE6" w:rsidRDefault="00640BE6" w:rsidP="00640BE6">
      <w:pPr>
        <w:rPr>
          <w:rFonts w:ascii="Avenir Book" w:hAnsi="Avenir Book" w:cs="Calibri"/>
          <w:sz w:val="20"/>
          <w:szCs w:val="20"/>
        </w:rPr>
      </w:pPr>
    </w:p>
    <w:p w14:paraId="345C7750" w14:textId="040E90A8" w:rsidR="00640BE6" w:rsidRPr="00640BE6" w:rsidRDefault="00640BE6" w:rsidP="00640BE6">
      <w:pPr>
        <w:rPr>
          <w:rFonts w:ascii="Avenir Book" w:hAnsi="Avenir Book" w:cs="Calibri"/>
          <w:sz w:val="20"/>
          <w:szCs w:val="20"/>
        </w:rPr>
      </w:pPr>
      <w:bookmarkStart w:id="72" w:name="_Toc468803773"/>
      <w:r w:rsidRPr="00640BE6">
        <w:rPr>
          <w:rFonts w:ascii="Avenir Book" w:hAnsi="Avenir Book" w:cs="Calibri"/>
          <w:sz w:val="20"/>
          <w:szCs w:val="20"/>
        </w:rPr>
        <w:t>© 202</w:t>
      </w:r>
      <w:r w:rsidR="001777B3">
        <w:rPr>
          <w:rFonts w:ascii="Avenir Book" w:hAnsi="Avenir Book" w:cs="Calibri"/>
          <w:sz w:val="20"/>
          <w:szCs w:val="20"/>
        </w:rPr>
        <w:t>4</w:t>
      </w:r>
      <w:r w:rsidRPr="00640BE6">
        <w:rPr>
          <w:rFonts w:ascii="Avenir Book" w:hAnsi="Avenir Book" w:cs="Calibri"/>
          <w:sz w:val="20"/>
          <w:szCs w:val="20"/>
        </w:rPr>
        <w:t xml:space="preserve"> Women With Disabilities Australia (WWDA).</w:t>
      </w:r>
      <w:bookmarkEnd w:id="72"/>
      <w:r w:rsidRPr="00640BE6">
        <w:rPr>
          <w:rFonts w:ascii="Avenir Book" w:hAnsi="Avenir Book" w:cs="Calibri"/>
          <w:sz w:val="20"/>
          <w:szCs w:val="20"/>
        </w:rPr>
        <w:t xml:space="preserve"> </w:t>
      </w:r>
    </w:p>
    <w:p w14:paraId="5A59FF3E" w14:textId="77777777" w:rsidR="00640BE6" w:rsidRPr="00640BE6" w:rsidRDefault="00640BE6" w:rsidP="00640BE6">
      <w:pPr>
        <w:rPr>
          <w:rFonts w:ascii="Avenir Book" w:hAnsi="Avenir Book" w:cs="Calibri"/>
          <w:sz w:val="20"/>
          <w:szCs w:val="20"/>
        </w:rPr>
      </w:pPr>
    </w:p>
    <w:p w14:paraId="49A1DCCB" w14:textId="77777777" w:rsidR="00640BE6" w:rsidRPr="00640BE6" w:rsidRDefault="00640BE6" w:rsidP="00640BE6">
      <w:pPr>
        <w:rPr>
          <w:rFonts w:ascii="Avenir Book" w:hAnsi="Avenir Book" w:cs="Calibri"/>
          <w:bCs/>
          <w:sz w:val="20"/>
          <w:szCs w:val="20"/>
        </w:rPr>
      </w:pPr>
      <w:r w:rsidRPr="00640BE6">
        <w:rPr>
          <w:rFonts w:ascii="Avenir Book" w:hAnsi="Avenir Book" w:cs="Calibri"/>
          <w:sz w:val="20"/>
          <w:szCs w:val="20"/>
        </w:rPr>
        <w:t xml:space="preserve">ABN: </w:t>
      </w:r>
      <w:r w:rsidRPr="00640BE6">
        <w:rPr>
          <w:rFonts w:ascii="Avenir Book" w:hAnsi="Avenir Book" w:cs="Calibri"/>
          <w:bCs/>
          <w:sz w:val="20"/>
          <w:szCs w:val="20"/>
        </w:rPr>
        <w:t>23 627 650 121</w:t>
      </w:r>
    </w:p>
    <w:p w14:paraId="250252CC" w14:textId="77777777" w:rsidR="00640BE6" w:rsidRPr="00363830" w:rsidRDefault="00640BE6" w:rsidP="00172C86">
      <w:pPr>
        <w:rPr>
          <w:rFonts w:ascii="Avenir Book" w:hAnsi="Avenir Book" w:cs="Calibri"/>
          <w:sz w:val="20"/>
          <w:szCs w:val="20"/>
        </w:rPr>
      </w:pPr>
    </w:p>
    <w:p w14:paraId="295EFB7F" w14:textId="77777777" w:rsidR="00AC3A5E" w:rsidRPr="00A16838" w:rsidRDefault="00AC3A5E" w:rsidP="00121931">
      <w:pPr>
        <w:spacing w:line="276" w:lineRule="auto"/>
        <w:rPr>
          <w:rFonts w:ascii="Calibri" w:hAnsi="Calibri" w:cs="Calibri"/>
          <w:sz w:val="22"/>
          <w:szCs w:val="22"/>
        </w:rPr>
      </w:pPr>
      <w:r w:rsidRPr="00A16838">
        <w:rPr>
          <w:rFonts w:ascii="Calibri" w:hAnsi="Calibri" w:cs="Calibri"/>
          <w:b/>
          <w:sz w:val="22"/>
          <w:szCs w:val="22"/>
        </w:rPr>
        <w:br w:type="page"/>
      </w:r>
    </w:p>
    <w:p w14:paraId="3BE301B1" w14:textId="77777777" w:rsidR="00AC3A5E" w:rsidRPr="00640BE6" w:rsidRDefault="00AC3A5E" w:rsidP="00E73533">
      <w:pPr>
        <w:pStyle w:val="Heading2"/>
        <w:rPr>
          <w:rFonts w:ascii="Avenir Book" w:hAnsi="Avenir Book" w:cstheme="minorHAnsi"/>
          <w:color w:val="AC1F79"/>
        </w:rPr>
      </w:pPr>
      <w:bookmarkStart w:id="73" w:name="_Toc509920827"/>
      <w:bookmarkStart w:id="74" w:name="_Toc510523714"/>
      <w:bookmarkStart w:id="75" w:name="_Toc512603443"/>
      <w:bookmarkStart w:id="76" w:name="_Toc512604449"/>
      <w:bookmarkStart w:id="77" w:name="_Toc32738102"/>
      <w:bookmarkStart w:id="78" w:name="_Toc156825207"/>
      <w:bookmarkEnd w:id="34"/>
      <w:bookmarkEnd w:id="35"/>
      <w:bookmarkEnd w:id="36"/>
      <w:bookmarkEnd w:id="37"/>
      <w:bookmarkEnd w:id="38"/>
      <w:bookmarkEnd w:id="39"/>
      <w:bookmarkEnd w:id="40"/>
      <w:bookmarkEnd w:id="41"/>
      <w:r w:rsidRPr="00640BE6">
        <w:rPr>
          <w:rFonts w:ascii="Avenir Book" w:hAnsi="Avenir Book" w:cstheme="minorHAnsi"/>
          <w:color w:val="AC1F79"/>
        </w:rPr>
        <w:lastRenderedPageBreak/>
        <w:t>About Women with Disabilities Australia (WWDA)</w:t>
      </w:r>
      <w:bookmarkEnd w:id="73"/>
      <w:bookmarkEnd w:id="74"/>
      <w:bookmarkEnd w:id="75"/>
      <w:bookmarkEnd w:id="76"/>
      <w:bookmarkEnd w:id="77"/>
      <w:bookmarkEnd w:id="78"/>
    </w:p>
    <w:p w14:paraId="0EC4B2E1" w14:textId="77777777" w:rsidR="00AC3A5E" w:rsidRPr="00640BE6" w:rsidRDefault="00AC3A5E" w:rsidP="00121931">
      <w:pPr>
        <w:spacing w:line="276" w:lineRule="auto"/>
        <w:rPr>
          <w:rFonts w:ascii="Avenir Book" w:hAnsi="Avenir Book" w:cs="Calibri"/>
          <w:sz w:val="22"/>
          <w:szCs w:val="22"/>
        </w:rPr>
      </w:pPr>
    </w:p>
    <w:p w14:paraId="0DFB81B3" w14:textId="77777777" w:rsidR="008D55BE" w:rsidRPr="008D55BE" w:rsidRDefault="00000000" w:rsidP="008D55BE">
      <w:pPr>
        <w:spacing w:line="276" w:lineRule="auto"/>
        <w:rPr>
          <w:rFonts w:ascii="Avenir Book" w:hAnsi="Avenir Book" w:cs="Calibri"/>
          <w:sz w:val="22"/>
          <w:szCs w:val="22"/>
        </w:rPr>
      </w:pPr>
      <w:hyperlink r:id="rId13" w:history="1">
        <w:r w:rsidR="008D55BE" w:rsidRPr="008D55BE">
          <w:rPr>
            <w:rStyle w:val="Hyperlink"/>
            <w:rFonts w:ascii="Avenir Book" w:hAnsi="Avenir Book" w:cs="Calibri"/>
            <w:sz w:val="22"/>
            <w:szCs w:val="22"/>
          </w:rPr>
          <w:t>Women With Disabilities Australia (WWDA)</w:t>
        </w:r>
      </w:hyperlink>
      <w:r w:rsidR="008D55BE" w:rsidRPr="008D55BE">
        <w:rPr>
          <w:rFonts w:ascii="Avenir Book" w:hAnsi="Avenir Book" w:cs="Calibri"/>
          <w:sz w:val="22"/>
          <w:szCs w:val="22"/>
        </w:rPr>
        <w:t> is the national Organisation of Persons with Disabilities (OPD) for women, girls, feminine identifying and non-binary people with disability in Australia. As an OPD, WWDA is run by and for women, girls, feminine identifying and non-binary people with disability.</w:t>
      </w:r>
    </w:p>
    <w:p w14:paraId="04AB611C" w14:textId="77777777" w:rsidR="008D55BE" w:rsidRPr="008D55BE" w:rsidRDefault="008D55BE" w:rsidP="008D55BE">
      <w:pPr>
        <w:spacing w:line="276" w:lineRule="auto"/>
        <w:rPr>
          <w:rFonts w:ascii="Avenir Book" w:hAnsi="Avenir Book" w:cs="Calibri"/>
          <w:sz w:val="22"/>
          <w:szCs w:val="22"/>
        </w:rPr>
      </w:pPr>
      <w:r w:rsidRPr="008D55BE">
        <w:rPr>
          <w:rFonts w:ascii="Avenir Book" w:hAnsi="Avenir Book" w:cs="Calibri"/>
          <w:sz w:val="22"/>
          <w:szCs w:val="22"/>
        </w:rPr>
        <w:t> </w:t>
      </w:r>
    </w:p>
    <w:p w14:paraId="3DB921AD" w14:textId="77777777" w:rsidR="008D55BE" w:rsidRPr="008D55BE" w:rsidRDefault="008D55BE" w:rsidP="008D55BE">
      <w:pPr>
        <w:spacing w:line="276" w:lineRule="auto"/>
        <w:rPr>
          <w:rFonts w:ascii="Avenir Book" w:hAnsi="Avenir Book" w:cs="Calibri"/>
          <w:sz w:val="22"/>
          <w:szCs w:val="22"/>
        </w:rPr>
      </w:pPr>
      <w:r w:rsidRPr="008D55BE">
        <w:rPr>
          <w:rFonts w:ascii="Avenir Book" w:hAnsi="Avenir Book" w:cs="Calibri"/>
          <w:sz w:val="22"/>
          <w:szCs w:val="22"/>
        </w:rPr>
        <w:t>WWDA uses the term ‘women and girls with disability’, on the understanding that this term is inclusive and supportive of, women and girls with disability along with feminine identifying and non-binary people with disability in Australia.</w:t>
      </w:r>
    </w:p>
    <w:p w14:paraId="024DADA9" w14:textId="77777777" w:rsidR="008D55BE" w:rsidRPr="008D55BE" w:rsidRDefault="008D55BE" w:rsidP="008D55BE">
      <w:pPr>
        <w:spacing w:line="276" w:lineRule="auto"/>
        <w:rPr>
          <w:rFonts w:ascii="Avenir Book" w:hAnsi="Avenir Book" w:cs="Calibri"/>
          <w:sz w:val="22"/>
          <w:szCs w:val="22"/>
        </w:rPr>
      </w:pPr>
      <w:r w:rsidRPr="008D55BE">
        <w:rPr>
          <w:rFonts w:ascii="Avenir Book" w:hAnsi="Avenir Book" w:cs="Calibri"/>
          <w:sz w:val="22"/>
          <w:szCs w:val="22"/>
        </w:rPr>
        <w:t> </w:t>
      </w:r>
    </w:p>
    <w:p w14:paraId="790BEEA1" w14:textId="77777777" w:rsidR="008D55BE" w:rsidRPr="008D55BE" w:rsidRDefault="008D55BE" w:rsidP="008D55BE">
      <w:pPr>
        <w:spacing w:line="276" w:lineRule="auto"/>
        <w:rPr>
          <w:rFonts w:ascii="Avenir Book" w:hAnsi="Avenir Book" w:cs="Calibri"/>
          <w:sz w:val="22"/>
          <w:szCs w:val="22"/>
        </w:rPr>
      </w:pPr>
      <w:r w:rsidRPr="008D55BE">
        <w:rPr>
          <w:rFonts w:ascii="Avenir Book" w:hAnsi="Avenir Book" w:cs="Calibri"/>
          <w:sz w:val="22"/>
          <w:szCs w:val="22"/>
        </w:rPr>
        <w:t>WWDA represents more than 2 million women and girls with disability in Australia, has affiliate organisations and networks of women with disability in most States and Territories, and is recognised nationally and internationally for our leadership in advancing the rights and freedoms of all women and girls with disability. Our organisation operates as a transnational human rights organisation - meaning that our work, and the impact of our work, extends much further than Australia. WWDA’s work is grounded in a human-rights based framework which links gender and disability issues to a full range of civil, political, economic, social and cultural rights. </w:t>
      </w:r>
    </w:p>
    <w:p w14:paraId="59CE8635" w14:textId="77777777" w:rsidR="008D55BE" w:rsidRPr="008D55BE" w:rsidRDefault="008D55BE" w:rsidP="008D55BE">
      <w:pPr>
        <w:spacing w:line="276" w:lineRule="auto"/>
        <w:rPr>
          <w:rFonts w:ascii="Avenir Book" w:hAnsi="Avenir Book" w:cs="Calibri"/>
          <w:sz w:val="22"/>
          <w:szCs w:val="22"/>
        </w:rPr>
      </w:pPr>
      <w:r w:rsidRPr="008D55BE">
        <w:rPr>
          <w:rFonts w:ascii="Avenir Book" w:hAnsi="Avenir Book" w:cs="Calibri"/>
          <w:sz w:val="22"/>
          <w:szCs w:val="22"/>
        </w:rPr>
        <w:t> </w:t>
      </w:r>
    </w:p>
    <w:p w14:paraId="62FF896D" w14:textId="77777777" w:rsidR="008D55BE" w:rsidRPr="008D55BE" w:rsidRDefault="008D55BE" w:rsidP="008D55BE">
      <w:pPr>
        <w:spacing w:line="276" w:lineRule="auto"/>
        <w:rPr>
          <w:rFonts w:ascii="Avenir Book" w:hAnsi="Avenir Book" w:cs="Calibri"/>
          <w:sz w:val="22"/>
          <w:szCs w:val="22"/>
        </w:rPr>
      </w:pPr>
      <w:r w:rsidRPr="008D55BE">
        <w:rPr>
          <w:rFonts w:ascii="Avenir Book" w:hAnsi="Avenir Book" w:cs="Calibri"/>
          <w:sz w:val="22"/>
          <w:szCs w:val="22"/>
        </w:rPr>
        <w:t>Organisations of Persons with Disabilities (OPDs) are recognised around the world, and in international human rights law, as self-determining organisations led by, controlled by, and constituted of, people with disability. OPD’s are organisations of people with disability, as opposed to organisations which may represent people with disability. The United Nations Committee on the Rights of Persons with Disabilities has clarified that States should give priority to the views of OPDs when addressing issues related to people with disability. The Committee has further clarified that States should prioritise resources to organisations of people with disability that focus primarily on advocacy for disability rights and, adopt an enabling policy framework favourable to their establishment and sustained operation.</w:t>
      </w:r>
    </w:p>
    <w:p w14:paraId="7899AFDB" w14:textId="77777777" w:rsidR="002C1605" w:rsidRDefault="002C1605" w:rsidP="00121931">
      <w:pPr>
        <w:spacing w:line="276" w:lineRule="auto"/>
        <w:rPr>
          <w:rFonts w:ascii="Avenir Book" w:hAnsi="Avenir Book" w:cs="Calibri"/>
          <w:sz w:val="22"/>
          <w:szCs w:val="22"/>
        </w:rPr>
      </w:pPr>
    </w:p>
    <w:p w14:paraId="1C809B17" w14:textId="77777777" w:rsidR="00FE469B" w:rsidRDefault="00FE469B" w:rsidP="00121931">
      <w:pPr>
        <w:spacing w:line="276" w:lineRule="auto"/>
        <w:rPr>
          <w:rFonts w:ascii="Avenir Book" w:hAnsi="Avenir Book" w:cs="Calibri"/>
          <w:sz w:val="22"/>
          <w:szCs w:val="22"/>
        </w:rPr>
      </w:pPr>
    </w:p>
    <w:p w14:paraId="4D75469C" w14:textId="77777777" w:rsidR="00FE469B" w:rsidRDefault="00FE469B" w:rsidP="00121931">
      <w:pPr>
        <w:spacing w:line="276" w:lineRule="auto"/>
        <w:rPr>
          <w:rFonts w:ascii="Avenir Book" w:hAnsi="Avenir Book" w:cs="Calibri"/>
          <w:sz w:val="22"/>
          <w:szCs w:val="22"/>
        </w:rPr>
      </w:pPr>
    </w:p>
    <w:tbl>
      <w:tblPr>
        <w:tblStyle w:val="TableGrid"/>
        <w:tblW w:w="0" w:type="auto"/>
        <w:tblInd w:w="31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tblGrid>
      <w:tr w:rsidR="00947F18" w14:paraId="37EF4485" w14:textId="77777777" w:rsidTr="00FE469B">
        <w:tc>
          <w:tcPr>
            <w:tcW w:w="3402" w:type="dxa"/>
          </w:tcPr>
          <w:p w14:paraId="177C31D7" w14:textId="77777777" w:rsidR="00947F18" w:rsidRDefault="00947F18" w:rsidP="002C1605">
            <w:pPr>
              <w:spacing w:line="276" w:lineRule="auto"/>
              <w:jc w:val="center"/>
              <w:rPr>
                <w:rFonts w:ascii="Avenir Book" w:hAnsi="Avenir Book" w:cs="Calibri"/>
                <w:sz w:val="16"/>
                <w:szCs w:val="16"/>
              </w:rPr>
            </w:pPr>
          </w:p>
          <w:p w14:paraId="71ED4EA7" w14:textId="1502F9AC" w:rsidR="00947F18" w:rsidRPr="00640BE6" w:rsidRDefault="00947F18" w:rsidP="002C1605">
            <w:pPr>
              <w:spacing w:line="276" w:lineRule="auto"/>
              <w:jc w:val="center"/>
              <w:rPr>
                <w:rFonts w:ascii="Avenir Book" w:hAnsi="Avenir Book" w:cs="Calibri"/>
                <w:sz w:val="16"/>
                <w:szCs w:val="16"/>
              </w:rPr>
            </w:pPr>
            <w:r>
              <w:rPr>
                <w:rFonts w:ascii="Calibri" w:hAnsi="Calibri" w:cs="Calibri"/>
                <w:noProof/>
                <w:sz w:val="22"/>
              </w:rPr>
              <w:drawing>
                <wp:inline distT="0" distB="0" distL="0" distR="0" wp14:anchorId="2E30F3D5" wp14:editId="2706FCA2">
                  <wp:extent cx="1797388" cy="813975"/>
                  <wp:effectExtent l="0" t="0" r="0" b="0"/>
                  <wp:docPr id="4" name="Picture 4" descr="The logo of Women With Disabilities Australia. A map of Australia with clip art representations of women and girls with disability.&#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WDA_Logo.jpg"/>
                          <pic:cNvPicPr/>
                        </pic:nvPicPr>
                        <pic:blipFill>
                          <a:blip r:embed="rId8">
                            <a:extLst>
                              <a:ext uri="{28A0092B-C50C-407E-A947-70E740481C1C}">
                                <a14:useLocalDpi xmlns:a14="http://schemas.microsoft.com/office/drawing/2010/main" val="0"/>
                              </a:ext>
                            </a:extLst>
                          </a:blip>
                          <a:stretch>
                            <a:fillRect/>
                          </a:stretch>
                        </pic:blipFill>
                        <pic:spPr>
                          <a:xfrm>
                            <a:off x="0" y="0"/>
                            <a:ext cx="1860358" cy="842492"/>
                          </a:xfrm>
                          <a:prstGeom prst="rect">
                            <a:avLst/>
                          </a:prstGeom>
                        </pic:spPr>
                      </pic:pic>
                    </a:graphicData>
                  </a:graphic>
                </wp:inline>
              </w:drawing>
            </w:r>
          </w:p>
        </w:tc>
      </w:tr>
      <w:tr w:rsidR="00947F18" w14:paraId="710A2A20" w14:textId="77777777" w:rsidTr="00FE469B">
        <w:tc>
          <w:tcPr>
            <w:tcW w:w="3402" w:type="dxa"/>
          </w:tcPr>
          <w:p w14:paraId="635C8FEC" w14:textId="77777777" w:rsidR="00947F18" w:rsidRDefault="00947F18" w:rsidP="002C1605">
            <w:pPr>
              <w:spacing w:line="276" w:lineRule="auto"/>
              <w:jc w:val="center"/>
              <w:rPr>
                <w:rFonts w:ascii="Avenir Book" w:hAnsi="Avenir Book" w:cs="Calibri"/>
                <w:sz w:val="16"/>
                <w:szCs w:val="16"/>
              </w:rPr>
            </w:pPr>
          </w:p>
        </w:tc>
      </w:tr>
    </w:tbl>
    <w:p w14:paraId="4D8D3208" w14:textId="3CC53B8B" w:rsidR="00640BE6" w:rsidRDefault="00640BE6" w:rsidP="00121931">
      <w:pPr>
        <w:spacing w:line="276" w:lineRule="auto"/>
        <w:rPr>
          <w:rFonts w:ascii="Avenir Book" w:hAnsi="Avenir Book" w:cs="Calibri"/>
          <w:sz w:val="22"/>
          <w:szCs w:val="22"/>
        </w:rPr>
      </w:pPr>
    </w:p>
    <w:p w14:paraId="114399FE" w14:textId="77777777" w:rsidR="007B5DE5" w:rsidRPr="00A16838" w:rsidRDefault="007B5DE5" w:rsidP="00121931">
      <w:pPr>
        <w:spacing w:line="276" w:lineRule="auto"/>
        <w:rPr>
          <w:rFonts w:ascii="Calibri" w:hAnsi="Calibri" w:cs="Calibri"/>
          <w:sz w:val="22"/>
          <w:szCs w:val="22"/>
        </w:rPr>
      </w:pPr>
      <w:r w:rsidRPr="00A16838">
        <w:rPr>
          <w:rFonts w:ascii="Calibri" w:hAnsi="Calibri" w:cs="Calibri"/>
          <w:sz w:val="22"/>
          <w:szCs w:val="22"/>
        </w:rPr>
        <w:br w:type="page"/>
      </w:r>
    </w:p>
    <w:bookmarkStart w:id="79" w:name="_Toc32759984" w:displacedByCustomXml="next"/>
    <w:bookmarkStart w:id="80" w:name="_Toc32757943" w:displacedByCustomXml="next"/>
    <w:bookmarkStart w:id="81" w:name="_Toc32738166" w:displacedByCustomXml="next"/>
    <w:bookmarkStart w:id="82" w:name="_Toc32738104" w:displacedByCustomXml="next"/>
    <w:bookmarkStart w:id="83" w:name="_Toc510523715" w:displacedByCustomXml="next"/>
    <w:bookmarkStart w:id="84" w:name="_Toc509920828" w:displacedByCustomXml="next"/>
    <w:bookmarkStart w:id="85" w:name="_Toc512603445" w:displacedByCustomXml="next"/>
    <w:bookmarkStart w:id="86" w:name="_Toc512604451" w:displacedByCustomXml="next"/>
    <w:bookmarkStart w:id="87" w:name="_Toc32420649" w:displacedByCustomXml="next"/>
    <w:bookmarkStart w:id="88" w:name="_Toc156819927" w:displacedByCustomXml="next"/>
    <w:bookmarkStart w:id="89" w:name="_Toc156825208" w:displacedByCustomXml="next"/>
    <w:sdt>
      <w:sdtPr>
        <w:rPr>
          <w:rFonts w:ascii="Calibri" w:hAnsi="Calibri" w:cs="Calibri"/>
          <w:b w:val="0"/>
          <w:color w:val="auto"/>
          <w:sz w:val="24"/>
          <w:lang w:val="en-GB"/>
        </w:rPr>
        <w:id w:val="1203056374"/>
        <w:docPartObj>
          <w:docPartGallery w:val="Table of Contents"/>
          <w:docPartUnique/>
        </w:docPartObj>
      </w:sdtPr>
      <w:sdtEndPr>
        <w:rPr>
          <w:bCs/>
          <w:noProof/>
          <w:color w:val="17365D"/>
          <w:sz w:val="20"/>
          <w:szCs w:val="20"/>
        </w:rPr>
      </w:sdtEndPr>
      <w:sdtContent>
        <w:p w14:paraId="697764A9" w14:textId="73947ECD" w:rsidR="0040289D" w:rsidRPr="00E902AE" w:rsidRDefault="0040289D" w:rsidP="001B7180">
          <w:pPr>
            <w:pStyle w:val="Heading2"/>
            <w:jc w:val="center"/>
            <w:rPr>
              <w:rFonts w:ascii="Avenir Book" w:hAnsi="Avenir Book" w:cs="Calibri"/>
              <w:color w:val="AC1F79"/>
            </w:rPr>
          </w:pPr>
          <w:r w:rsidRPr="00E902AE">
            <w:rPr>
              <w:rFonts w:ascii="Avenir Book" w:hAnsi="Avenir Book" w:cs="Calibri"/>
              <w:color w:val="AC1F79"/>
            </w:rPr>
            <w:t>Contents</w:t>
          </w:r>
          <w:bookmarkEnd w:id="89"/>
          <w:bookmarkEnd w:id="88"/>
          <w:bookmarkEnd w:id="87"/>
          <w:bookmarkEnd w:id="86"/>
          <w:bookmarkEnd w:id="85"/>
          <w:bookmarkEnd w:id="84"/>
          <w:bookmarkEnd w:id="83"/>
          <w:bookmarkEnd w:id="82"/>
          <w:bookmarkEnd w:id="81"/>
          <w:bookmarkEnd w:id="80"/>
          <w:bookmarkEnd w:id="79"/>
        </w:p>
        <w:p w14:paraId="43CADA91" w14:textId="7E90F5D9" w:rsidR="00413B0E" w:rsidRPr="00413B0E" w:rsidRDefault="0040289D" w:rsidP="00413B0E">
          <w:pPr>
            <w:pStyle w:val="TOC1"/>
            <w:tabs>
              <w:tab w:val="right" w:leader="dot" w:pos="9622"/>
            </w:tabs>
            <w:rPr>
              <w:rFonts w:eastAsiaTheme="minorEastAsia"/>
              <w:noProof/>
              <w:kern w:val="2"/>
              <w:lang w:val="en-AU" w:eastAsia="en-GB"/>
              <w14:ligatures w14:val="standardContextual"/>
            </w:rPr>
          </w:pPr>
          <w:r w:rsidRPr="00E902AE">
            <w:rPr>
              <w:rFonts w:ascii="Avenir Book" w:hAnsi="Avenir Book" w:cs="Calibri"/>
              <w:b/>
              <w:color w:val="17365D"/>
            </w:rPr>
            <w:fldChar w:fldCharType="begin"/>
          </w:r>
          <w:r w:rsidRPr="00E902AE">
            <w:rPr>
              <w:rFonts w:ascii="Avenir Book" w:hAnsi="Avenir Book" w:cs="Calibri"/>
              <w:b/>
              <w:color w:val="17365D"/>
            </w:rPr>
            <w:instrText xml:space="preserve"> TOC \o "1-3" \h \z \u </w:instrText>
          </w:r>
          <w:r w:rsidRPr="00E902AE">
            <w:rPr>
              <w:rFonts w:ascii="Avenir Book" w:hAnsi="Avenir Book" w:cs="Calibri"/>
              <w:b/>
              <w:color w:val="17365D"/>
            </w:rPr>
            <w:fldChar w:fldCharType="separate"/>
          </w:r>
        </w:p>
        <w:p w14:paraId="69BB5D23" w14:textId="6584B7C2" w:rsidR="00413B0E" w:rsidRDefault="00000000" w:rsidP="00413B0E">
          <w:pPr>
            <w:pStyle w:val="TOC2"/>
            <w:rPr>
              <w:rFonts w:eastAsiaTheme="minorEastAsia"/>
              <w:noProof/>
              <w:kern w:val="2"/>
              <w:lang w:val="en-AU" w:eastAsia="en-GB"/>
              <w14:ligatures w14:val="standardContextual"/>
            </w:rPr>
          </w:pPr>
          <w:hyperlink w:anchor="_Toc156825204" w:history="1">
            <w:r w:rsidR="00413B0E" w:rsidRPr="002A4EF7">
              <w:rPr>
                <w:rStyle w:val="Hyperlink"/>
                <w:rFonts w:ascii="Avenir Book" w:hAnsi="Avenir Book" w:cs="Calibri"/>
                <w:noProof/>
              </w:rPr>
              <w:t>Publishing Information</w:t>
            </w:r>
            <w:r w:rsidR="00413B0E">
              <w:rPr>
                <w:noProof/>
                <w:webHidden/>
              </w:rPr>
              <w:tab/>
            </w:r>
            <w:r w:rsidR="00413B0E">
              <w:rPr>
                <w:noProof/>
                <w:webHidden/>
              </w:rPr>
              <w:fldChar w:fldCharType="begin"/>
            </w:r>
            <w:r w:rsidR="00413B0E">
              <w:rPr>
                <w:noProof/>
                <w:webHidden/>
              </w:rPr>
              <w:instrText xml:space="preserve"> PAGEREF _Toc156825204 \h </w:instrText>
            </w:r>
            <w:r w:rsidR="00413B0E">
              <w:rPr>
                <w:noProof/>
                <w:webHidden/>
              </w:rPr>
            </w:r>
            <w:r w:rsidR="00413B0E">
              <w:rPr>
                <w:noProof/>
                <w:webHidden/>
              </w:rPr>
              <w:fldChar w:fldCharType="separate"/>
            </w:r>
            <w:r w:rsidR="00EB42DD">
              <w:rPr>
                <w:noProof/>
                <w:webHidden/>
              </w:rPr>
              <w:t>2</w:t>
            </w:r>
            <w:r w:rsidR="00413B0E">
              <w:rPr>
                <w:noProof/>
                <w:webHidden/>
              </w:rPr>
              <w:fldChar w:fldCharType="end"/>
            </w:r>
          </w:hyperlink>
        </w:p>
        <w:p w14:paraId="5BE72C4C" w14:textId="3C62257E" w:rsidR="00413B0E" w:rsidRDefault="00000000" w:rsidP="00413B0E">
          <w:pPr>
            <w:pStyle w:val="TOC2"/>
            <w:rPr>
              <w:rFonts w:eastAsiaTheme="minorEastAsia"/>
              <w:noProof/>
              <w:kern w:val="2"/>
              <w:lang w:val="en-AU" w:eastAsia="en-GB"/>
              <w14:ligatures w14:val="standardContextual"/>
            </w:rPr>
          </w:pPr>
          <w:hyperlink w:anchor="_Toc156825207" w:history="1">
            <w:r w:rsidR="00413B0E" w:rsidRPr="002A4EF7">
              <w:rPr>
                <w:rStyle w:val="Hyperlink"/>
                <w:rFonts w:ascii="Avenir Book" w:hAnsi="Avenir Book" w:cstheme="minorHAnsi"/>
                <w:noProof/>
              </w:rPr>
              <w:t>About Women with Disabilities Australia (WWDA)</w:t>
            </w:r>
            <w:r w:rsidR="00413B0E">
              <w:rPr>
                <w:noProof/>
                <w:webHidden/>
              </w:rPr>
              <w:tab/>
            </w:r>
            <w:r w:rsidR="00413B0E">
              <w:rPr>
                <w:noProof/>
                <w:webHidden/>
              </w:rPr>
              <w:fldChar w:fldCharType="begin"/>
            </w:r>
            <w:r w:rsidR="00413B0E">
              <w:rPr>
                <w:noProof/>
                <w:webHidden/>
              </w:rPr>
              <w:instrText xml:space="preserve"> PAGEREF _Toc156825207 \h </w:instrText>
            </w:r>
            <w:r w:rsidR="00413B0E">
              <w:rPr>
                <w:noProof/>
                <w:webHidden/>
              </w:rPr>
            </w:r>
            <w:r w:rsidR="00413B0E">
              <w:rPr>
                <w:noProof/>
                <w:webHidden/>
              </w:rPr>
              <w:fldChar w:fldCharType="separate"/>
            </w:r>
            <w:r w:rsidR="00EB42DD">
              <w:rPr>
                <w:noProof/>
                <w:webHidden/>
              </w:rPr>
              <w:t>3</w:t>
            </w:r>
            <w:r w:rsidR="00413B0E">
              <w:rPr>
                <w:noProof/>
                <w:webHidden/>
              </w:rPr>
              <w:fldChar w:fldCharType="end"/>
            </w:r>
          </w:hyperlink>
        </w:p>
        <w:p w14:paraId="59DD5D0A" w14:textId="2ACB7C33" w:rsidR="00413B0E" w:rsidRDefault="00000000" w:rsidP="00413B0E">
          <w:pPr>
            <w:pStyle w:val="TOC2"/>
            <w:rPr>
              <w:rFonts w:eastAsiaTheme="minorEastAsia"/>
              <w:noProof/>
              <w:kern w:val="2"/>
              <w:lang w:val="en-AU" w:eastAsia="en-GB"/>
              <w14:ligatures w14:val="standardContextual"/>
            </w:rPr>
          </w:pPr>
          <w:hyperlink w:anchor="_Toc156825209" w:history="1">
            <w:r w:rsidR="00413B0E" w:rsidRPr="002A4EF7">
              <w:rPr>
                <w:rStyle w:val="Hyperlink"/>
                <w:rFonts w:ascii="Avenir Book" w:hAnsi="Avenir Book" w:cs="Calibri"/>
                <w:noProof/>
              </w:rPr>
              <w:t>1.</w:t>
            </w:r>
            <w:r w:rsidR="00413B0E">
              <w:rPr>
                <w:rFonts w:eastAsiaTheme="minorEastAsia"/>
                <w:noProof/>
                <w:kern w:val="2"/>
                <w:lang w:val="en-AU" w:eastAsia="en-GB"/>
                <w14:ligatures w14:val="standardContextual"/>
              </w:rPr>
              <w:tab/>
            </w:r>
            <w:r w:rsidR="00413B0E" w:rsidRPr="002A4EF7">
              <w:rPr>
                <w:rStyle w:val="Hyperlink"/>
                <w:rFonts w:ascii="Avenir Book" w:hAnsi="Avenir Book" w:cs="Calibri"/>
                <w:noProof/>
              </w:rPr>
              <w:t>Preliminary Recommendations</w:t>
            </w:r>
            <w:r w:rsidR="00413B0E">
              <w:rPr>
                <w:noProof/>
                <w:webHidden/>
              </w:rPr>
              <w:tab/>
            </w:r>
            <w:r w:rsidR="00413B0E">
              <w:rPr>
                <w:noProof/>
                <w:webHidden/>
              </w:rPr>
              <w:fldChar w:fldCharType="begin"/>
            </w:r>
            <w:r w:rsidR="00413B0E">
              <w:rPr>
                <w:noProof/>
                <w:webHidden/>
              </w:rPr>
              <w:instrText xml:space="preserve"> PAGEREF _Toc156825209 \h </w:instrText>
            </w:r>
            <w:r w:rsidR="00413B0E">
              <w:rPr>
                <w:noProof/>
                <w:webHidden/>
              </w:rPr>
            </w:r>
            <w:r w:rsidR="00413B0E">
              <w:rPr>
                <w:noProof/>
                <w:webHidden/>
              </w:rPr>
              <w:fldChar w:fldCharType="separate"/>
            </w:r>
            <w:r w:rsidR="00EB42DD">
              <w:rPr>
                <w:noProof/>
                <w:webHidden/>
              </w:rPr>
              <w:t>5</w:t>
            </w:r>
            <w:r w:rsidR="00413B0E">
              <w:rPr>
                <w:noProof/>
                <w:webHidden/>
              </w:rPr>
              <w:fldChar w:fldCharType="end"/>
            </w:r>
          </w:hyperlink>
        </w:p>
        <w:p w14:paraId="1C472D44" w14:textId="3FC208AC" w:rsidR="00413B0E" w:rsidRDefault="00000000">
          <w:pPr>
            <w:pStyle w:val="TOC2"/>
            <w:rPr>
              <w:rFonts w:eastAsiaTheme="minorEastAsia"/>
              <w:noProof/>
              <w:kern w:val="2"/>
              <w:lang w:val="en-AU" w:eastAsia="en-GB"/>
              <w14:ligatures w14:val="standardContextual"/>
            </w:rPr>
          </w:pPr>
          <w:hyperlink w:anchor="_Toc156825212" w:history="1">
            <w:r w:rsidR="00413B0E" w:rsidRPr="002A4EF7">
              <w:rPr>
                <w:rStyle w:val="Hyperlink"/>
                <w:rFonts w:ascii="Avenir Book" w:hAnsi="Avenir Book" w:cs="Calibri"/>
                <w:noProof/>
              </w:rPr>
              <w:t>2.</w:t>
            </w:r>
            <w:r w:rsidR="00413B0E">
              <w:rPr>
                <w:rFonts w:eastAsiaTheme="minorEastAsia"/>
                <w:noProof/>
                <w:kern w:val="2"/>
                <w:lang w:val="en-AU" w:eastAsia="en-GB"/>
                <w14:ligatures w14:val="standardContextual"/>
              </w:rPr>
              <w:tab/>
            </w:r>
            <w:r w:rsidR="00413B0E" w:rsidRPr="002A4EF7">
              <w:rPr>
                <w:rStyle w:val="Hyperlink"/>
                <w:rFonts w:ascii="Avenir Book" w:hAnsi="Avenir Book" w:cs="Calibri"/>
                <w:noProof/>
              </w:rPr>
              <w:t>Introduction</w:t>
            </w:r>
            <w:r w:rsidR="00413B0E">
              <w:rPr>
                <w:noProof/>
                <w:webHidden/>
              </w:rPr>
              <w:tab/>
            </w:r>
            <w:r w:rsidR="00413B0E">
              <w:rPr>
                <w:noProof/>
                <w:webHidden/>
              </w:rPr>
              <w:fldChar w:fldCharType="begin"/>
            </w:r>
            <w:r w:rsidR="00413B0E">
              <w:rPr>
                <w:noProof/>
                <w:webHidden/>
              </w:rPr>
              <w:instrText xml:space="preserve"> PAGEREF _Toc156825212 \h </w:instrText>
            </w:r>
            <w:r w:rsidR="00413B0E">
              <w:rPr>
                <w:noProof/>
                <w:webHidden/>
              </w:rPr>
            </w:r>
            <w:r w:rsidR="00413B0E">
              <w:rPr>
                <w:noProof/>
                <w:webHidden/>
              </w:rPr>
              <w:fldChar w:fldCharType="separate"/>
            </w:r>
            <w:r w:rsidR="00EB42DD">
              <w:rPr>
                <w:noProof/>
                <w:webHidden/>
              </w:rPr>
              <w:t>12</w:t>
            </w:r>
            <w:r w:rsidR="00413B0E">
              <w:rPr>
                <w:noProof/>
                <w:webHidden/>
              </w:rPr>
              <w:fldChar w:fldCharType="end"/>
            </w:r>
          </w:hyperlink>
        </w:p>
        <w:p w14:paraId="71A03B01" w14:textId="04D7CAF5" w:rsidR="00413B0E" w:rsidRDefault="00000000">
          <w:pPr>
            <w:pStyle w:val="TOC2"/>
            <w:rPr>
              <w:rFonts w:eastAsiaTheme="minorEastAsia"/>
              <w:noProof/>
              <w:kern w:val="2"/>
              <w:lang w:val="en-AU" w:eastAsia="en-GB"/>
              <w14:ligatures w14:val="standardContextual"/>
            </w:rPr>
          </w:pPr>
          <w:hyperlink w:anchor="_Toc156825213" w:history="1">
            <w:r w:rsidR="00413B0E" w:rsidRPr="002A4EF7">
              <w:rPr>
                <w:rStyle w:val="Hyperlink"/>
                <w:rFonts w:ascii="Avenir Book" w:hAnsi="Avenir Book" w:cs="Calibri"/>
                <w:noProof/>
              </w:rPr>
              <w:t>3</w:t>
            </w:r>
            <w:r w:rsidR="00413B0E">
              <w:rPr>
                <w:rFonts w:eastAsiaTheme="minorEastAsia"/>
                <w:noProof/>
                <w:kern w:val="2"/>
                <w:lang w:val="en-AU" w:eastAsia="en-GB"/>
                <w14:ligatures w14:val="standardContextual"/>
              </w:rPr>
              <w:tab/>
            </w:r>
            <w:r w:rsidR="00413B0E" w:rsidRPr="002A4EF7">
              <w:rPr>
                <w:rStyle w:val="Hyperlink"/>
                <w:rFonts w:ascii="Avenir Book" w:hAnsi="Avenir Book" w:cs="Calibri"/>
                <w:noProof/>
              </w:rPr>
              <w:t>Priority Areas for Action</w:t>
            </w:r>
            <w:r w:rsidR="00413B0E">
              <w:rPr>
                <w:noProof/>
                <w:webHidden/>
              </w:rPr>
              <w:tab/>
            </w:r>
            <w:r w:rsidR="00413B0E">
              <w:rPr>
                <w:noProof/>
                <w:webHidden/>
              </w:rPr>
              <w:fldChar w:fldCharType="begin"/>
            </w:r>
            <w:r w:rsidR="00413B0E">
              <w:rPr>
                <w:noProof/>
                <w:webHidden/>
              </w:rPr>
              <w:instrText xml:space="preserve"> PAGEREF _Toc156825213 \h </w:instrText>
            </w:r>
            <w:r w:rsidR="00413B0E">
              <w:rPr>
                <w:noProof/>
                <w:webHidden/>
              </w:rPr>
            </w:r>
            <w:r w:rsidR="00413B0E">
              <w:rPr>
                <w:noProof/>
                <w:webHidden/>
              </w:rPr>
              <w:fldChar w:fldCharType="separate"/>
            </w:r>
            <w:r w:rsidR="00EB42DD">
              <w:rPr>
                <w:noProof/>
                <w:webHidden/>
              </w:rPr>
              <w:t>15</w:t>
            </w:r>
            <w:r w:rsidR="00413B0E">
              <w:rPr>
                <w:noProof/>
                <w:webHidden/>
              </w:rPr>
              <w:fldChar w:fldCharType="end"/>
            </w:r>
          </w:hyperlink>
        </w:p>
        <w:p w14:paraId="2B048323" w14:textId="7E82D135" w:rsidR="00413B0E" w:rsidRDefault="00000000" w:rsidP="00413B0E">
          <w:pPr>
            <w:pStyle w:val="TOC3"/>
            <w:tabs>
              <w:tab w:val="clear" w:pos="851"/>
              <w:tab w:val="left" w:pos="709"/>
            </w:tabs>
            <w:ind w:left="709"/>
            <w:rPr>
              <w:rFonts w:eastAsiaTheme="minorEastAsia"/>
              <w:noProof/>
              <w:kern w:val="2"/>
              <w:lang w:val="en-AU" w:eastAsia="en-GB"/>
              <w14:ligatures w14:val="standardContextual"/>
            </w:rPr>
          </w:pPr>
          <w:hyperlink w:anchor="_Toc156825214" w:history="1">
            <w:r w:rsidR="00413B0E" w:rsidRPr="002A4EF7">
              <w:rPr>
                <w:rStyle w:val="Hyperlink"/>
                <w:rFonts w:ascii="Avenir Book" w:hAnsi="Avenir Book"/>
                <w:noProof/>
              </w:rPr>
              <w:t>3.1</w:t>
            </w:r>
            <w:r w:rsidR="00413B0E">
              <w:rPr>
                <w:rFonts w:eastAsiaTheme="minorEastAsia"/>
                <w:noProof/>
                <w:kern w:val="2"/>
                <w:lang w:val="en-AU" w:eastAsia="en-GB"/>
                <w14:ligatures w14:val="standardContextual"/>
              </w:rPr>
              <w:tab/>
            </w:r>
            <w:r w:rsidR="00413B0E" w:rsidRPr="002A4EF7">
              <w:rPr>
                <w:rStyle w:val="Hyperlink"/>
                <w:rFonts w:ascii="Avenir Book" w:hAnsi="Avenir Book"/>
                <w:noProof/>
              </w:rPr>
              <w:t>End segregation of people with disability in all settings and contexts</w:t>
            </w:r>
            <w:r w:rsidR="00413B0E">
              <w:rPr>
                <w:noProof/>
                <w:webHidden/>
              </w:rPr>
              <w:tab/>
            </w:r>
            <w:r w:rsidR="00413B0E">
              <w:rPr>
                <w:noProof/>
                <w:webHidden/>
              </w:rPr>
              <w:fldChar w:fldCharType="begin"/>
            </w:r>
            <w:r w:rsidR="00413B0E">
              <w:rPr>
                <w:noProof/>
                <w:webHidden/>
              </w:rPr>
              <w:instrText xml:space="preserve"> PAGEREF _Toc156825214 \h </w:instrText>
            </w:r>
            <w:r w:rsidR="00413B0E">
              <w:rPr>
                <w:noProof/>
                <w:webHidden/>
              </w:rPr>
            </w:r>
            <w:r w:rsidR="00413B0E">
              <w:rPr>
                <w:noProof/>
                <w:webHidden/>
              </w:rPr>
              <w:fldChar w:fldCharType="separate"/>
            </w:r>
            <w:r w:rsidR="00EB42DD">
              <w:rPr>
                <w:noProof/>
                <w:webHidden/>
              </w:rPr>
              <w:t>15</w:t>
            </w:r>
            <w:r w:rsidR="00413B0E">
              <w:rPr>
                <w:noProof/>
                <w:webHidden/>
              </w:rPr>
              <w:fldChar w:fldCharType="end"/>
            </w:r>
          </w:hyperlink>
        </w:p>
        <w:p w14:paraId="67278D3C" w14:textId="0CAD2BB2" w:rsidR="00413B0E" w:rsidRDefault="00000000" w:rsidP="00413B0E">
          <w:pPr>
            <w:pStyle w:val="TOC3"/>
            <w:tabs>
              <w:tab w:val="clear" w:pos="851"/>
              <w:tab w:val="left" w:pos="709"/>
            </w:tabs>
            <w:ind w:left="709"/>
            <w:rPr>
              <w:rFonts w:eastAsiaTheme="minorEastAsia"/>
              <w:noProof/>
              <w:kern w:val="2"/>
              <w:lang w:val="en-AU" w:eastAsia="en-GB"/>
              <w14:ligatures w14:val="standardContextual"/>
            </w:rPr>
          </w:pPr>
          <w:hyperlink w:anchor="_Toc156825215" w:history="1">
            <w:r w:rsidR="00413B0E" w:rsidRPr="002A4EF7">
              <w:rPr>
                <w:rStyle w:val="Hyperlink"/>
                <w:rFonts w:ascii="Avenir Book" w:hAnsi="Avenir Book"/>
                <w:noProof/>
              </w:rPr>
              <w:t>3.2</w:t>
            </w:r>
            <w:r w:rsidR="00413B0E">
              <w:rPr>
                <w:rFonts w:eastAsiaTheme="minorEastAsia"/>
                <w:noProof/>
                <w:kern w:val="2"/>
                <w:lang w:val="en-AU" w:eastAsia="en-GB"/>
                <w14:ligatures w14:val="standardContextual"/>
              </w:rPr>
              <w:tab/>
            </w:r>
            <w:r w:rsidR="00413B0E" w:rsidRPr="002A4EF7">
              <w:rPr>
                <w:rStyle w:val="Hyperlink"/>
                <w:rFonts w:ascii="Avenir Book" w:eastAsia="Arial" w:hAnsi="Avenir Book" w:cstheme="minorHAnsi"/>
                <w:bCs/>
                <w:noProof/>
              </w:rPr>
              <w:t>Ensure all people with disability enjoy legal capacity and equality before the law</w:t>
            </w:r>
            <w:r w:rsidR="00413B0E">
              <w:rPr>
                <w:noProof/>
                <w:webHidden/>
              </w:rPr>
              <w:tab/>
            </w:r>
            <w:r w:rsidR="00413B0E">
              <w:rPr>
                <w:noProof/>
                <w:webHidden/>
              </w:rPr>
              <w:fldChar w:fldCharType="begin"/>
            </w:r>
            <w:r w:rsidR="00413B0E">
              <w:rPr>
                <w:noProof/>
                <w:webHidden/>
              </w:rPr>
              <w:instrText xml:space="preserve"> PAGEREF _Toc156825215 \h </w:instrText>
            </w:r>
            <w:r w:rsidR="00413B0E">
              <w:rPr>
                <w:noProof/>
                <w:webHidden/>
              </w:rPr>
            </w:r>
            <w:r w:rsidR="00413B0E">
              <w:rPr>
                <w:noProof/>
                <w:webHidden/>
              </w:rPr>
              <w:fldChar w:fldCharType="separate"/>
            </w:r>
            <w:r w:rsidR="00EB42DD">
              <w:rPr>
                <w:noProof/>
                <w:webHidden/>
              </w:rPr>
              <w:t>18</w:t>
            </w:r>
            <w:r w:rsidR="00413B0E">
              <w:rPr>
                <w:noProof/>
                <w:webHidden/>
              </w:rPr>
              <w:fldChar w:fldCharType="end"/>
            </w:r>
          </w:hyperlink>
        </w:p>
        <w:p w14:paraId="7362277C" w14:textId="55ED14E8" w:rsidR="00413B0E" w:rsidRDefault="00000000" w:rsidP="00413B0E">
          <w:pPr>
            <w:pStyle w:val="TOC3"/>
            <w:tabs>
              <w:tab w:val="clear" w:pos="851"/>
              <w:tab w:val="left" w:pos="709"/>
            </w:tabs>
            <w:ind w:left="709"/>
            <w:rPr>
              <w:rFonts w:eastAsiaTheme="minorEastAsia"/>
              <w:noProof/>
              <w:kern w:val="2"/>
              <w:lang w:val="en-AU" w:eastAsia="en-GB"/>
              <w14:ligatures w14:val="standardContextual"/>
            </w:rPr>
          </w:pPr>
          <w:hyperlink w:anchor="_Toc156825216" w:history="1">
            <w:r w:rsidR="00413B0E" w:rsidRPr="002A4EF7">
              <w:rPr>
                <w:rStyle w:val="Hyperlink"/>
                <w:rFonts w:ascii="Avenir Book" w:hAnsi="Avenir Book"/>
                <w:noProof/>
              </w:rPr>
              <w:t>3.3</w:t>
            </w:r>
            <w:r w:rsidR="00413B0E">
              <w:rPr>
                <w:rFonts w:eastAsiaTheme="minorEastAsia"/>
                <w:noProof/>
                <w:kern w:val="2"/>
                <w:lang w:val="en-AU" w:eastAsia="en-GB"/>
                <w14:ligatures w14:val="standardContextual"/>
              </w:rPr>
              <w:tab/>
            </w:r>
            <w:r w:rsidR="00413B0E" w:rsidRPr="002A4EF7">
              <w:rPr>
                <w:rStyle w:val="Hyperlink"/>
                <w:rFonts w:ascii="Avenir Book" w:eastAsia="Arial" w:hAnsi="Avenir Book" w:cstheme="minorHAnsi"/>
                <w:bCs/>
                <w:noProof/>
              </w:rPr>
              <w:t>End all forms of forced treatment and restrictive practices</w:t>
            </w:r>
            <w:r w:rsidR="00413B0E">
              <w:rPr>
                <w:noProof/>
                <w:webHidden/>
              </w:rPr>
              <w:tab/>
            </w:r>
            <w:r w:rsidR="00413B0E">
              <w:rPr>
                <w:noProof/>
                <w:webHidden/>
              </w:rPr>
              <w:fldChar w:fldCharType="begin"/>
            </w:r>
            <w:r w:rsidR="00413B0E">
              <w:rPr>
                <w:noProof/>
                <w:webHidden/>
              </w:rPr>
              <w:instrText xml:space="preserve"> PAGEREF _Toc156825216 \h </w:instrText>
            </w:r>
            <w:r w:rsidR="00413B0E">
              <w:rPr>
                <w:noProof/>
                <w:webHidden/>
              </w:rPr>
            </w:r>
            <w:r w:rsidR="00413B0E">
              <w:rPr>
                <w:noProof/>
                <w:webHidden/>
              </w:rPr>
              <w:fldChar w:fldCharType="separate"/>
            </w:r>
            <w:r w:rsidR="00EB42DD">
              <w:rPr>
                <w:noProof/>
                <w:webHidden/>
              </w:rPr>
              <w:t>21</w:t>
            </w:r>
            <w:r w:rsidR="00413B0E">
              <w:rPr>
                <w:noProof/>
                <w:webHidden/>
              </w:rPr>
              <w:fldChar w:fldCharType="end"/>
            </w:r>
          </w:hyperlink>
        </w:p>
        <w:p w14:paraId="1791C772" w14:textId="67F6ED22" w:rsidR="00413B0E" w:rsidRDefault="00000000" w:rsidP="00413B0E">
          <w:pPr>
            <w:pStyle w:val="TOC3"/>
            <w:tabs>
              <w:tab w:val="clear" w:pos="851"/>
              <w:tab w:val="left" w:pos="709"/>
            </w:tabs>
            <w:ind w:left="709"/>
            <w:rPr>
              <w:rFonts w:eastAsiaTheme="minorEastAsia"/>
              <w:noProof/>
              <w:kern w:val="2"/>
              <w:lang w:val="en-AU" w:eastAsia="en-GB"/>
              <w14:ligatures w14:val="standardContextual"/>
            </w:rPr>
          </w:pPr>
          <w:hyperlink w:anchor="_Toc156825217" w:history="1">
            <w:r w:rsidR="00413B0E" w:rsidRPr="002A4EF7">
              <w:rPr>
                <w:rStyle w:val="Hyperlink"/>
                <w:rFonts w:ascii="Avenir Book" w:hAnsi="Avenir Book" w:cstheme="minorHAnsi"/>
                <w:noProof/>
              </w:rPr>
              <w:t>3.4</w:t>
            </w:r>
            <w:r w:rsidR="00413B0E">
              <w:rPr>
                <w:rFonts w:eastAsiaTheme="minorEastAsia"/>
                <w:noProof/>
                <w:kern w:val="2"/>
                <w:lang w:val="en-AU" w:eastAsia="en-GB"/>
                <w14:ligatures w14:val="standardContextual"/>
              </w:rPr>
              <w:tab/>
            </w:r>
            <w:r w:rsidR="00413B0E" w:rsidRPr="002A4EF7">
              <w:rPr>
                <w:rStyle w:val="Hyperlink"/>
                <w:rFonts w:ascii="Avenir Book" w:eastAsia="Arial" w:hAnsi="Avenir Book" w:cstheme="minorHAnsi"/>
                <w:bCs/>
                <w:noProof/>
              </w:rPr>
              <w:t>Ensure people with disability, particularly women and girls enjoy sexual and reproductive rights</w:t>
            </w:r>
            <w:r w:rsidR="00413B0E">
              <w:rPr>
                <w:noProof/>
                <w:webHidden/>
              </w:rPr>
              <w:tab/>
            </w:r>
            <w:r w:rsidR="00413B0E">
              <w:rPr>
                <w:noProof/>
                <w:webHidden/>
              </w:rPr>
              <w:fldChar w:fldCharType="begin"/>
            </w:r>
            <w:r w:rsidR="00413B0E">
              <w:rPr>
                <w:noProof/>
                <w:webHidden/>
              </w:rPr>
              <w:instrText xml:space="preserve"> PAGEREF _Toc156825217 \h </w:instrText>
            </w:r>
            <w:r w:rsidR="00413B0E">
              <w:rPr>
                <w:noProof/>
                <w:webHidden/>
              </w:rPr>
            </w:r>
            <w:r w:rsidR="00413B0E">
              <w:rPr>
                <w:noProof/>
                <w:webHidden/>
              </w:rPr>
              <w:fldChar w:fldCharType="separate"/>
            </w:r>
            <w:r w:rsidR="00EB42DD">
              <w:rPr>
                <w:noProof/>
                <w:webHidden/>
              </w:rPr>
              <w:t>24</w:t>
            </w:r>
            <w:r w:rsidR="00413B0E">
              <w:rPr>
                <w:noProof/>
                <w:webHidden/>
              </w:rPr>
              <w:fldChar w:fldCharType="end"/>
            </w:r>
          </w:hyperlink>
        </w:p>
        <w:p w14:paraId="03923BF3" w14:textId="60394628" w:rsidR="00413B0E" w:rsidRDefault="00000000" w:rsidP="00413B0E">
          <w:pPr>
            <w:pStyle w:val="TOC3"/>
            <w:tabs>
              <w:tab w:val="clear" w:pos="851"/>
              <w:tab w:val="left" w:pos="709"/>
            </w:tabs>
            <w:ind w:left="709"/>
            <w:rPr>
              <w:rFonts w:eastAsiaTheme="minorEastAsia"/>
              <w:noProof/>
              <w:kern w:val="2"/>
              <w:lang w:val="en-AU" w:eastAsia="en-GB"/>
              <w14:ligatures w14:val="standardContextual"/>
            </w:rPr>
          </w:pPr>
          <w:hyperlink w:anchor="_Toc156825218" w:history="1">
            <w:r w:rsidR="00413B0E" w:rsidRPr="002A4EF7">
              <w:rPr>
                <w:rStyle w:val="Hyperlink"/>
                <w:rFonts w:ascii="Avenir Book" w:hAnsi="Avenir Book" w:cstheme="minorHAnsi"/>
                <w:noProof/>
              </w:rPr>
              <w:t>3.5</w:t>
            </w:r>
            <w:r w:rsidR="00413B0E">
              <w:rPr>
                <w:rFonts w:eastAsiaTheme="minorEastAsia"/>
                <w:noProof/>
                <w:kern w:val="2"/>
                <w:lang w:val="en-AU" w:eastAsia="en-GB"/>
                <w14:ligatures w14:val="standardContextual"/>
              </w:rPr>
              <w:tab/>
            </w:r>
            <w:r w:rsidR="00413B0E" w:rsidRPr="002A4EF7">
              <w:rPr>
                <w:rStyle w:val="Hyperlink"/>
                <w:rFonts w:ascii="Avenir Book" w:eastAsia="Arial" w:hAnsi="Avenir Book" w:cstheme="minorHAnsi"/>
                <w:bCs/>
                <w:noProof/>
              </w:rPr>
              <w:t>Urgently address indefinite detention and deprivation of liberty of people with disability, particularly First Nations people with disability, people with cognitive disability, and people with psychosocial disability</w:t>
            </w:r>
            <w:r w:rsidR="00413B0E">
              <w:rPr>
                <w:noProof/>
                <w:webHidden/>
              </w:rPr>
              <w:tab/>
            </w:r>
            <w:r w:rsidR="00413B0E">
              <w:rPr>
                <w:noProof/>
                <w:webHidden/>
              </w:rPr>
              <w:fldChar w:fldCharType="begin"/>
            </w:r>
            <w:r w:rsidR="00413B0E">
              <w:rPr>
                <w:noProof/>
                <w:webHidden/>
              </w:rPr>
              <w:instrText xml:space="preserve"> PAGEREF _Toc156825218 \h </w:instrText>
            </w:r>
            <w:r w:rsidR="00413B0E">
              <w:rPr>
                <w:noProof/>
                <w:webHidden/>
              </w:rPr>
            </w:r>
            <w:r w:rsidR="00413B0E">
              <w:rPr>
                <w:noProof/>
                <w:webHidden/>
              </w:rPr>
              <w:fldChar w:fldCharType="separate"/>
            </w:r>
            <w:r w:rsidR="00EB42DD">
              <w:rPr>
                <w:noProof/>
                <w:webHidden/>
              </w:rPr>
              <w:t>28</w:t>
            </w:r>
            <w:r w:rsidR="00413B0E">
              <w:rPr>
                <w:noProof/>
                <w:webHidden/>
              </w:rPr>
              <w:fldChar w:fldCharType="end"/>
            </w:r>
          </w:hyperlink>
        </w:p>
        <w:p w14:paraId="0511F75C" w14:textId="699B6E33" w:rsidR="00413B0E" w:rsidRDefault="00000000" w:rsidP="00413B0E">
          <w:pPr>
            <w:pStyle w:val="TOC3"/>
            <w:tabs>
              <w:tab w:val="clear" w:pos="851"/>
              <w:tab w:val="left" w:pos="709"/>
            </w:tabs>
            <w:ind w:left="709"/>
            <w:rPr>
              <w:rFonts w:eastAsiaTheme="minorEastAsia"/>
              <w:noProof/>
              <w:kern w:val="2"/>
              <w:lang w:val="en-AU" w:eastAsia="en-GB"/>
              <w14:ligatures w14:val="standardContextual"/>
            </w:rPr>
          </w:pPr>
          <w:hyperlink w:anchor="_Toc156825238" w:history="1">
            <w:r w:rsidR="00413B0E" w:rsidRPr="002A4EF7">
              <w:rPr>
                <w:rStyle w:val="Hyperlink"/>
                <w:rFonts w:ascii="Avenir Book" w:hAnsi="Avenir Book" w:cs="Calibri"/>
                <w:noProof/>
              </w:rPr>
              <w:t>3.6</w:t>
            </w:r>
            <w:r w:rsidR="00413B0E">
              <w:rPr>
                <w:rFonts w:eastAsiaTheme="minorEastAsia"/>
                <w:noProof/>
                <w:kern w:val="2"/>
                <w:lang w:val="en-AU" w:eastAsia="en-GB"/>
                <w14:ligatures w14:val="standardContextual"/>
              </w:rPr>
              <w:tab/>
            </w:r>
            <w:r w:rsidR="00413B0E" w:rsidRPr="002A4EF7">
              <w:rPr>
                <w:rStyle w:val="Hyperlink"/>
                <w:rFonts w:ascii="Avenir Book" w:eastAsia="Arial" w:hAnsi="Avenir Book" w:cstheme="minorHAnsi"/>
                <w:bCs/>
                <w:noProof/>
              </w:rPr>
              <w:t>End discrimination against migrants and refugees with disability</w:t>
            </w:r>
            <w:r w:rsidR="00413B0E">
              <w:rPr>
                <w:noProof/>
                <w:webHidden/>
              </w:rPr>
              <w:tab/>
            </w:r>
            <w:r w:rsidR="00413B0E">
              <w:rPr>
                <w:noProof/>
                <w:webHidden/>
              </w:rPr>
              <w:fldChar w:fldCharType="begin"/>
            </w:r>
            <w:r w:rsidR="00413B0E">
              <w:rPr>
                <w:noProof/>
                <w:webHidden/>
              </w:rPr>
              <w:instrText xml:space="preserve"> PAGEREF _Toc156825238 \h </w:instrText>
            </w:r>
            <w:r w:rsidR="00413B0E">
              <w:rPr>
                <w:noProof/>
                <w:webHidden/>
              </w:rPr>
            </w:r>
            <w:r w:rsidR="00413B0E">
              <w:rPr>
                <w:noProof/>
                <w:webHidden/>
              </w:rPr>
              <w:fldChar w:fldCharType="separate"/>
            </w:r>
            <w:r w:rsidR="00EB42DD">
              <w:rPr>
                <w:noProof/>
                <w:webHidden/>
              </w:rPr>
              <w:t>35</w:t>
            </w:r>
            <w:r w:rsidR="00413B0E">
              <w:rPr>
                <w:noProof/>
                <w:webHidden/>
              </w:rPr>
              <w:fldChar w:fldCharType="end"/>
            </w:r>
          </w:hyperlink>
        </w:p>
        <w:p w14:paraId="4FC2BACC" w14:textId="04616154" w:rsidR="00413B0E" w:rsidRDefault="00000000" w:rsidP="00413B0E">
          <w:pPr>
            <w:pStyle w:val="TOC3"/>
            <w:tabs>
              <w:tab w:val="clear" w:pos="851"/>
              <w:tab w:val="left" w:pos="709"/>
            </w:tabs>
            <w:ind w:left="709"/>
            <w:rPr>
              <w:rFonts w:eastAsiaTheme="minorEastAsia"/>
              <w:noProof/>
              <w:kern w:val="2"/>
              <w:lang w:val="en-AU" w:eastAsia="en-GB"/>
              <w14:ligatures w14:val="standardContextual"/>
            </w:rPr>
          </w:pPr>
          <w:hyperlink w:anchor="_Toc156825241" w:history="1">
            <w:r w:rsidR="00413B0E" w:rsidRPr="002A4EF7">
              <w:rPr>
                <w:rStyle w:val="Hyperlink"/>
                <w:rFonts w:ascii="Avenir Book" w:hAnsi="Avenir Book" w:cs="Calibri"/>
                <w:noProof/>
              </w:rPr>
              <w:t>3.7</w:t>
            </w:r>
            <w:r w:rsidR="00413B0E">
              <w:rPr>
                <w:rFonts w:eastAsiaTheme="minorEastAsia"/>
                <w:noProof/>
                <w:kern w:val="2"/>
                <w:lang w:val="en-AU" w:eastAsia="en-GB"/>
                <w14:ligatures w14:val="standardContextual"/>
              </w:rPr>
              <w:tab/>
            </w:r>
            <w:r w:rsidR="00413B0E" w:rsidRPr="002A4EF7">
              <w:rPr>
                <w:rStyle w:val="Hyperlink"/>
                <w:rFonts w:ascii="Avenir Book" w:eastAsia="Arial" w:hAnsi="Avenir Book" w:cstheme="minorHAnsi"/>
                <w:bCs/>
                <w:noProof/>
              </w:rPr>
              <w:t>Urgently address the over-representation of people with disability living in poverty and ensure an adequate standard of living and social protection</w:t>
            </w:r>
            <w:r w:rsidR="00413B0E">
              <w:rPr>
                <w:noProof/>
                <w:webHidden/>
              </w:rPr>
              <w:tab/>
            </w:r>
            <w:r w:rsidR="00413B0E">
              <w:rPr>
                <w:noProof/>
                <w:webHidden/>
              </w:rPr>
              <w:fldChar w:fldCharType="begin"/>
            </w:r>
            <w:r w:rsidR="00413B0E">
              <w:rPr>
                <w:noProof/>
                <w:webHidden/>
              </w:rPr>
              <w:instrText xml:space="preserve"> PAGEREF _Toc156825241 \h </w:instrText>
            </w:r>
            <w:r w:rsidR="00413B0E">
              <w:rPr>
                <w:noProof/>
                <w:webHidden/>
              </w:rPr>
            </w:r>
            <w:r w:rsidR="00413B0E">
              <w:rPr>
                <w:noProof/>
                <w:webHidden/>
              </w:rPr>
              <w:fldChar w:fldCharType="separate"/>
            </w:r>
            <w:r w:rsidR="00EB42DD">
              <w:rPr>
                <w:noProof/>
                <w:webHidden/>
              </w:rPr>
              <w:t>36</w:t>
            </w:r>
            <w:r w:rsidR="00413B0E">
              <w:rPr>
                <w:noProof/>
                <w:webHidden/>
              </w:rPr>
              <w:fldChar w:fldCharType="end"/>
            </w:r>
          </w:hyperlink>
        </w:p>
        <w:p w14:paraId="517903D3" w14:textId="764DDEE4" w:rsidR="00413B0E" w:rsidRDefault="00000000" w:rsidP="00413B0E">
          <w:pPr>
            <w:pStyle w:val="TOC3"/>
            <w:tabs>
              <w:tab w:val="clear" w:pos="851"/>
              <w:tab w:val="left" w:pos="709"/>
            </w:tabs>
            <w:ind w:left="709"/>
            <w:rPr>
              <w:rFonts w:eastAsiaTheme="minorEastAsia"/>
              <w:noProof/>
              <w:kern w:val="2"/>
              <w:lang w:val="en-AU" w:eastAsia="en-GB"/>
              <w14:ligatures w14:val="standardContextual"/>
            </w:rPr>
          </w:pPr>
          <w:hyperlink w:anchor="_Toc156825248" w:history="1">
            <w:r w:rsidR="00413B0E" w:rsidRPr="002A4EF7">
              <w:rPr>
                <w:rStyle w:val="Hyperlink"/>
                <w:rFonts w:ascii="Avenir Book" w:hAnsi="Avenir Book" w:cs="Calibri"/>
                <w:noProof/>
              </w:rPr>
              <w:t>3.8</w:t>
            </w:r>
            <w:r w:rsidR="00413B0E">
              <w:rPr>
                <w:rFonts w:eastAsiaTheme="minorEastAsia"/>
                <w:noProof/>
                <w:kern w:val="2"/>
                <w:lang w:val="en-AU" w:eastAsia="en-GB"/>
                <w14:ligatures w14:val="standardContextual"/>
              </w:rPr>
              <w:tab/>
            </w:r>
            <w:r w:rsidR="00413B0E" w:rsidRPr="002A4EF7">
              <w:rPr>
                <w:rStyle w:val="Hyperlink"/>
                <w:rFonts w:ascii="Avenir Book" w:eastAsia="Arial" w:hAnsi="Avenir Book" w:cstheme="minorHAnsi"/>
                <w:noProof/>
              </w:rPr>
              <w:t>Ensure effective participation of people with disability including through their representative organisations in all matters that affect them</w:t>
            </w:r>
            <w:r w:rsidR="00413B0E">
              <w:rPr>
                <w:noProof/>
                <w:webHidden/>
              </w:rPr>
              <w:tab/>
            </w:r>
            <w:r w:rsidR="00413B0E">
              <w:rPr>
                <w:noProof/>
                <w:webHidden/>
              </w:rPr>
              <w:fldChar w:fldCharType="begin"/>
            </w:r>
            <w:r w:rsidR="00413B0E">
              <w:rPr>
                <w:noProof/>
                <w:webHidden/>
              </w:rPr>
              <w:instrText xml:space="preserve"> PAGEREF _Toc156825248 \h </w:instrText>
            </w:r>
            <w:r w:rsidR="00413B0E">
              <w:rPr>
                <w:noProof/>
                <w:webHidden/>
              </w:rPr>
            </w:r>
            <w:r w:rsidR="00413B0E">
              <w:rPr>
                <w:noProof/>
                <w:webHidden/>
              </w:rPr>
              <w:fldChar w:fldCharType="separate"/>
            </w:r>
            <w:r w:rsidR="00EB42DD">
              <w:rPr>
                <w:noProof/>
                <w:webHidden/>
              </w:rPr>
              <w:t>39</w:t>
            </w:r>
            <w:r w:rsidR="00413B0E">
              <w:rPr>
                <w:noProof/>
                <w:webHidden/>
              </w:rPr>
              <w:fldChar w:fldCharType="end"/>
            </w:r>
          </w:hyperlink>
        </w:p>
        <w:p w14:paraId="7B773F24" w14:textId="01223D50" w:rsidR="00413B0E" w:rsidRDefault="00000000" w:rsidP="00413B0E">
          <w:pPr>
            <w:pStyle w:val="TOC3"/>
            <w:tabs>
              <w:tab w:val="clear" w:pos="851"/>
              <w:tab w:val="left" w:pos="709"/>
            </w:tabs>
            <w:ind w:left="709"/>
            <w:rPr>
              <w:rFonts w:eastAsiaTheme="minorEastAsia"/>
              <w:noProof/>
              <w:kern w:val="2"/>
              <w:lang w:val="en-AU" w:eastAsia="en-GB"/>
              <w14:ligatures w14:val="standardContextual"/>
            </w:rPr>
          </w:pPr>
          <w:hyperlink w:anchor="_Toc156825254" w:history="1">
            <w:r w:rsidR="00413B0E" w:rsidRPr="002A4EF7">
              <w:rPr>
                <w:rStyle w:val="Hyperlink"/>
                <w:rFonts w:ascii="Avenir Book" w:hAnsi="Avenir Book" w:cs="Calibri"/>
                <w:noProof/>
              </w:rPr>
              <w:t>3.9</w:t>
            </w:r>
            <w:r w:rsidR="00413B0E">
              <w:rPr>
                <w:rFonts w:eastAsiaTheme="minorEastAsia"/>
                <w:noProof/>
                <w:kern w:val="2"/>
                <w:lang w:val="en-AU" w:eastAsia="en-GB"/>
                <w14:ligatures w14:val="standardContextual"/>
              </w:rPr>
              <w:tab/>
            </w:r>
            <w:r w:rsidR="00413B0E" w:rsidRPr="002A4EF7">
              <w:rPr>
                <w:rStyle w:val="Hyperlink"/>
                <w:rFonts w:ascii="Avenir Book" w:hAnsi="Avenir Book" w:cs="Calibri"/>
                <w:noProof/>
              </w:rPr>
              <w:t>Implement a Disability Royal Commission Redress and Reparation Scheme</w:t>
            </w:r>
            <w:r w:rsidR="00413B0E">
              <w:rPr>
                <w:noProof/>
                <w:webHidden/>
              </w:rPr>
              <w:tab/>
            </w:r>
            <w:r w:rsidR="00413B0E">
              <w:rPr>
                <w:noProof/>
                <w:webHidden/>
              </w:rPr>
              <w:fldChar w:fldCharType="begin"/>
            </w:r>
            <w:r w:rsidR="00413B0E">
              <w:rPr>
                <w:noProof/>
                <w:webHidden/>
              </w:rPr>
              <w:instrText xml:space="preserve"> PAGEREF _Toc156825254 \h </w:instrText>
            </w:r>
            <w:r w:rsidR="00413B0E">
              <w:rPr>
                <w:noProof/>
                <w:webHidden/>
              </w:rPr>
            </w:r>
            <w:r w:rsidR="00413B0E">
              <w:rPr>
                <w:noProof/>
                <w:webHidden/>
              </w:rPr>
              <w:fldChar w:fldCharType="separate"/>
            </w:r>
            <w:r w:rsidR="00EB42DD">
              <w:rPr>
                <w:noProof/>
                <w:webHidden/>
              </w:rPr>
              <w:t>43</w:t>
            </w:r>
            <w:r w:rsidR="00413B0E">
              <w:rPr>
                <w:noProof/>
                <w:webHidden/>
              </w:rPr>
              <w:fldChar w:fldCharType="end"/>
            </w:r>
          </w:hyperlink>
        </w:p>
        <w:p w14:paraId="28BE4D4D" w14:textId="3D0D8B8E" w:rsidR="00413B0E" w:rsidRDefault="00000000" w:rsidP="00413B0E">
          <w:pPr>
            <w:pStyle w:val="TOC3"/>
            <w:tabs>
              <w:tab w:val="clear" w:pos="851"/>
              <w:tab w:val="left" w:pos="709"/>
            </w:tabs>
            <w:ind w:left="709"/>
            <w:rPr>
              <w:rFonts w:eastAsiaTheme="minorEastAsia"/>
              <w:noProof/>
              <w:kern w:val="2"/>
              <w:lang w:val="en-AU" w:eastAsia="en-GB"/>
              <w14:ligatures w14:val="standardContextual"/>
            </w:rPr>
          </w:pPr>
          <w:hyperlink w:anchor="_Toc156825257" w:history="1">
            <w:r w:rsidR="00413B0E" w:rsidRPr="002A4EF7">
              <w:rPr>
                <w:rStyle w:val="Hyperlink"/>
                <w:rFonts w:ascii="Avenir Book" w:hAnsi="Avenir Book" w:cs="Calibri"/>
                <w:noProof/>
              </w:rPr>
              <w:t>3.10</w:t>
            </w:r>
            <w:r w:rsidR="00413B0E">
              <w:rPr>
                <w:rFonts w:eastAsiaTheme="minorEastAsia"/>
                <w:noProof/>
                <w:kern w:val="2"/>
                <w:lang w:val="en-AU" w:eastAsia="en-GB"/>
                <w14:ligatures w14:val="standardContextual"/>
              </w:rPr>
              <w:tab/>
            </w:r>
            <w:r w:rsidR="00413B0E" w:rsidRPr="002A4EF7">
              <w:rPr>
                <w:rStyle w:val="Hyperlink"/>
                <w:rFonts w:ascii="Avenir Book" w:hAnsi="Avenir Book" w:cs="Calibri"/>
                <w:noProof/>
              </w:rPr>
              <w:t>Embed human rights of people with disability into law and policy</w:t>
            </w:r>
            <w:r w:rsidR="00413B0E">
              <w:rPr>
                <w:noProof/>
                <w:webHidden/>
              </w:rPr>
              <w:tab/>
            </w:r>
            <w:r w:rsidR="00413B0E">
              <w:rPr>
                <w:noProof/>
                <w:webHidden/>
              </w:rPr>
              <w:fldChar w:fldCharType="begin"/>
            </w:r>
            <w:r w:rsidR="00413B0E">
              <w:rPr>
                <w:noProof/>
                <w:webHidden/>
              </w:rPr>
              <w:instrText xml:space="preserve"> PAGEREF _Toc156825257 \h </w:instrText>
            </w:r>
            <w:r w:rsidR="00413B0E">
              <w:rPr>
                <w:noProof/>
                <w:webHidden/>
              </w:rPr>
            </w:r>
            <w:r w:rsidR="00413B0E">
              <w:rPr>
                <w:noProof/>
                <w:webHidden/>
              </w:rPr>
              <w:fldChar w:fldCharType="separate"/>
            </w:r>
            <w:r w:rsidR="00EB42DD">
              <w:rPr>
                <w:noProof/>
                <w:webHidden/>
              </w:rPr>
              <w:t>47</w:t>
            </w:r>
            <w:r w:rsidR="00413B0E">
              <w:rPr>
                <w:noProof/>
                <w:webHidden/>
              </w:rPr>
              <w:fldChar w:fldCharType="end"/>
            </w:r>
          </w:hyperlink>
        </w:p>
        <w:p w14:paraId="27A85B2A" w14:textId="566F5523" w:rsidR="00413B0E" w:rsidRDefault="00000000">
          <w:pPr>
            <w:pStyle w:val="TOC2"/>
            <w:rPr>
              <w:rFonts w:eastAsiaTheme="minorEastAsia"/>
              <w:noProof/>
              <w:kern w:val="2"/>
              <w:lang w:val="en-AU" w:eastAsia="en-GB"/>
              <w14:ligatures w14:val="standardContextual"/>
            </w:rPr>
          </w:pPr>
          <w:hyperlink w:anchor="_Toc156825258" w:history="1">
            <w:r w:rsidR="00413B0E" w:rsidRPr="002A4EF7">
              <w:rPr>
                <w:rStyle w:val="Hyperlink"/>
                <w:rFonts w:ascii="Avenir Book" w:hAnsi="Avenir Book" w:cs="Calibri"/>
                <w:noProof/>
              </w:rPr>
              <w:t>Endnotes</w:t>
            </w:r>
            <w:r w:rsidR="00413B0E">
              <w:rPr>
                <w:noProof/>
                <w:webHidden/>
              </w:rPr>
              <w:tab/>
            </w:r>
            <w:r w:rsidR="00413B0E">
              <w:rPr>
                <w:noProof/>
                <w:webHidden/>
              </w:rPr>
              <w:fldChar w:fldCharType="begin"/>
            </w:r>
            <w:r w:rsidR="00413B0E">
              <w:rPr>
                <w:noProof/>
                <w:webHidden/>
              </w:rPr>
              <w:instrText xml:space="preserve"> PAGEREF _Toc156825258 \h </w:instrText>
            </w:r>
            <w:r w:rsidR="00413B0E">
              <w:rPr>
                <w:noProof/>
                <w:webHidden/>
              </w:rPr>
            </w:r>
            <w:r w:rsidR="00413B0E">
              <w:rPr>
                <w:noProof/>
                <w:webHidden/>
              </w:rPr>
              <w:fldChar w:fldCharType="separate"/>
            </w:r>
            <w:r w:rsidR="00EB42DD">
              <w:rPr>
                <w:noProof/>
                <w:webHidden/>
              </w:rPr>
              <w:t>52</w:t>
            </w:r>
            <w:r w:rsidR="00413B0E">
              <w:rPr>
                <w:noProof/>
                <w:webHidden/>
              </w:rPr>
              <w:fldChar w:fldCharType="end"/>
            </w:r>
          </w:hyperlink>
        </w:p>
        <w:p w14:paraId="33DE0EC5" w14:textId="00BE2C15" w:rsidR="0040289D" w:rsidRPr="00F82630" w:rsidRDefault="0040289D" w:rsidP="00413B0E">
          <w:pPr>
            <w:pStyle w:val="TOC2"/>
            <w:ind w:left="0" w:firstLine="0"/>
            <w:rPr>
              <w:rFonts w:ascii="Calibri" w:eastAsiaTheme="minorEastAsia" w:hAnsi="Calibri" w:cs="Calibri"/>
              <w:b/>
              <w:noProof/>
              <w:color w:val="17365D"/>
              <w:lang w:val="en-AU"/>
            </w:rPr>
          </w:pPr>
          <w:r w:rsidRPr="00E902AE">
            <w:rPr>
              <w:rFonts w:ascii="Avenir Book" w:hAnsi="Avenir Book" w:cs="Calibri"/>
              <w:b/>
              <w:bCs/>
              <w:noProof/>
              <w:color w:val="17365D"/>
            </w:rPr>
            <w:fldChar w:fldCharType="end"/>
          </w:r>
        </w:p>
      </w:sdtContent>
    </w:sdt>
    <w:p w14:paraId="68E9666B" w14:textId="77777777" w:rsidR="00E05752" w:rsidRPr="00A16838" w:rsidRDefault="00E05752" w:rsidP="00121931">
      <w:pPr>
        <w:pStyle w:val="Heading2"/>
        <w:jc w:val="left"/>
        <w:rPr>
          <w:rFonts w:ascii="Calibri" w:hAnsi="Calibri" w:cs="Calibri"/>
          <w:sz w:val="20"/>
          <w:szCs w:val="20"/>
        </w:rPr>
      </w:pPr>
      <w:r w:rsidRPr="00A16838">
        <w:rPr>
          <w:rFonts w:ascii="Calibri" w:hAnsi="Calibri" w:cs="Calibri"/>
          <w:sz w:val="20"/>
          <w:szCs w:val="20"/>
        </w:rPr>
        <w:br w:type="page"/>
      </w:r>
    </w:p>
    <w:p w14:paraId="10AD8644" w14:textId="25834856" w:rsidR="007A27CF" w:rsidRPr="00457ADB" w:rsidRDefault="001777B3" w:rsidP="00C74146">
      <w:pPr>
        <w:pStyle w:val="Heading2"/>
        <w:numPr>
          <w:ilvl w:val="0"/>
          <w:numId w:val="2"/>
        </w:numPr>
        <w:ind w:left="425" w:hanging="425"/>
        <w:jc w:val="left"/>
        <w:rPr>
          <w:rFonts w:ascii="Avenir Book" w:hAnsi="Avenir Book" w:cs="Calibri"/>
          <w:color w:val="AC1F79"/>
          <w:szCs w:val="28"/>
        </w:rPr>
      </w:pPr>
      <w:bookmarkStart w:id="90" w:name="_Toc156825209"/>
      <w:r>
        <w:rPr>
          <w:rFonts w:ascii="Avenir Book" w:hAnsi="Avenir Book" w:cs="Calibri"/>
          <w:color w:val="AC1F79"/>
          <w:szCs w:val="28"/>
        </w:rPr>
        <w:lastRenderedPageBreak/>
        <w:t xml:space="preserve">Preliminary </w:t>
      </w:r>
      <w:r w:rsidR="007A27CF" w:rsidRPr="00457ADB">
        <w:rPr>
          <w:rFonts w:ascii="Avenir Book" w:hAnsi="Avenir Book" w:cs="Calibri"/>
          <w:color w:val="AC1F79"/>
          <w:szCs w:val="28"/>
        </w:rPr>
        <w:t>Recommendations</w:t>
      </w:r>
      <w:bookmarkEnd w:id="90"/>
    </w:p>
    <w:p w14:paraId="6C049ACB" w14:textId="77777777" w:rsidR="007A27CF" w:rsidRDefault="007A27CF" w:rsidP="007A27CF">
      <w:pPr>
        <w:rPr>
          <w:rFonts w:ascii="Avenir Book" w:hAnsi="Avenir Book" w:cs="Calibri"/>
          <w:color w:val="7030A0"/>
          <w:sz w:val="22"/>
          <w:szCs w:val="22"/>
        </w:rPr>
      </w:pPr>
    </w:p>
    <w:p w14:paraId="5929B752" w14:textId="168279CE" w:rsidR="00DC0666" w:rsidRPr="00DC0666" w:rsidRDefault="00DC0666" w:rsidP="003B486B">
      <w:pPr>
        <w:spacing w:after="120"/>
        <w:rPr>
          <w:rFonts w:ascii="Avenir Book" w:hAnsi="Avenir Book" w:cs="Calibri"/>
          <w:color w:val="7030A0"/>
        </w:rPr>
      </w:pPr>
      <w:r w:rsidRPr="00DC0666">
        <w:rPr>
          <w:rFonts w:ascii="Avenir Book" w:hAnsi="Avenir Book" w:cs="Calibri"/>
          <w:color w:val="7030A0"/>
        </w:rPr>
        <w:t>Overarching</w:t>
      </w:r>
    </w:p>
    <w:p w14:paraId="6D64B79D" w14:textId="095D5181" w:rsidR="00B24BFC" w:rsidRDefault="001777B3" w:rsidP="00C74146">
      <w:pPr>
        <w:pStyle w:val="ListParagraph"/>
        <w:numPr>
          <w:ilvl w:val="1"/>
          <w:numId w:val="2"/>
        </w:numPr>
        <w:spacing w:line="276" w:lineRule="auto"/>
        <w:ind w:left="709" w:hanging="709"/>
        <w:rPr>
          <w:rFonts w:ascii="Avenir Book" w:hAnsi="Avenir Book" w:cs="Calibri"/>
        </w:rPr>
      </w:pPr>
      <w:r w:rsidRPr="001777B3">
        <w:rPr>
          <w:rFonts w:ascii="Avenir Book" w:eastAsia="Arial" w:hAnsi="Avenir Book" w:cs="Calibri"/>
          <w:lang w:eastAsia="en-GB"/>
        </w:rPr>
        <w:t xml:space="preserve">People with disability through our representative organisations </w:t>
      </w:r>
      <w:r w:rsidR="00B24BFC">
        <w:rPr>
          <w:rFonts w:ascii="Avenir Book" w:eastAsia="Arial" w:hAnsi="Avenir Book" w:cs="Calibri"/>
          <w:lang w:eastAsia="en-GB"/>
        </w:rPr>
        <w:t xml:space="preserve">must </w:t>
      </w:r>
      <w:r w:rsidRPr="001777B3">
        <w:rPr>
          <w:rFonts w:ascii="Avenir Book" w:eastAsia="Arial" w:hAnsi="Avenir Book" w:cs="Calibri"/>
          <w:lang w:eastAsia="en-GB"/>
        </w:rPr>
        <w:t xml:space="preserve">be closely </w:t>
      </w:r>
      <w:r w:rsidRPr="00DC0666">
        <w:rPr>
          <w:rFonts w:ascii="Avenir Book" w:eastAsia="Arial" w:hAnsi="Avenir Book" w:cs="Calibri"/>
          <w:lang w:eastAsia="en-GB"/>
        </w:rPr>
        <w:t xml:space="preserve">consulted and actively involved in all aspects of evaluation, refinement, and implementation of recommendations arising from the </w:t>
      </w:r>
      <w:r w:rsidR="00DC0666" w:rsidRPr="00DC0666">
        <w:rPr>
          <w:rFonts w:ascii="Avenir Book" w:eastAsia="Arial" w:hAnsi="Avenir Book" w:cstheme="minorHAnsi"/>
        </w:rPr>
        <w:t>Disability Royal Commission.</w:t>
      </w:r>
      <w:r w:rsidR="00DC0666" w:rsidRPr="00DC0666">
        <w:rPr>
          <w:rStyle w:val="EndnoteReference"/>
          <w:rFonts w:ascii="Avenir Book" w:eastAsia="Arial" w:hAnsi="Avenir Book" w:cstheme="minorHAnsi"/>
        </w:rPr>
        <w:endnoteReference w:id="1"/>
      </w:r>
      <w:r w:rsidR="007A27CF" w:rsidRPr="001777B3">
        <w:rPr>
          <w:rFonts w:ascii="Avenir Book" w:hAnsi="Avenir Book" w:cs="Calibri"/>
        </w:rPr>
        <w:t xml:space="preserve"> </w:t>
      </w:r>
    </w:p>
    <w:p w14:paraId="151D3AC2" w14:textId="77777777" w:rsidR="00E637AA" w:rsidRDefault="00E637AA" w:rsidP="00EC3599">
      <w:pPr>
        <w:pStyle w:val="ListParagraph"/>
        <w:spacing w:line="276" w:lineRule="auto"/>
        <w:ind w:left="567"/>
        <w:contextualSpacing w:val="0"/>
        <w:rPr>
          <w:rFonts w:ascii="Avenir Book" w:hAnsi="Avenir Book" w:cs="Calibri"/>
        </w:rPr>
      </w:pPr>
    </w:p>
    <w:p w14:paraId="05E411B3" w14:textId="069824F8" w:rsidR="00DC0666" w:rsidRPr="003B486B" w:rsidRDefault="00E230C1" w:rsidP="003B486B">
      <w:pPr>
        <w:spacing w:after="120"/>
        <w:rPr>
          <w:rFonts w:ascii="Avenir Book" w:hAnsi="Avenir Book" w:cs="Calibri"/>
          <w:color w:val="7030A0"/>
        </w:rPr>
      </w:pPr>
      <w:r>
        <w:rPr>
          <w:rFonts w:ascii="Avenir Book" w:hAnsi="Avenir Book" w:cs="Calibri"/>
          <w:color w:val="7030A0"/>
        </w:rPr>
        <w:t>End Segregation of people with disability</w:t>
      </w:r>
    </w:p>
    <w:p w14:paraId="19E0DBED" w14:textId="077BE3C3" w:rsidR="00890425" w:rsidRDefault="00890425" w:rsidP="00C74146">
      <w:pPr>
        <w:pStyle w:val="ListParagraph"/>
        <w:numPr>
          <w:ilvl w:val="1"/>
          <w:numId w:val="2"/>
        </w:numPr>
        <w:ind w:left="709" w:hanging="709"/>
        <w:rPr>
          <w:rFonts w:ascii="Avenir Book" w:hAnsi="Avenir Book" w:cs="Calibri"/>
        </w:rPr>
      </w:pPr>
      <w:r w:rsidRPr="00890425">
        <w:rPr>
          <w:rFonts w:ascii="Avenir Book" w:hAnsi="Avenir Book" w:cs="Calibri"/>
        </w:rPr>
        <w:t xml:space="preserve">In line with Australia’s international human rights obligations, ensure that all measures adopted to respond to the DRC are underpinned by an understanding that segregation on the basis of impairment constitutes discrimination, and that segregation fosters violence, abuse, neglect and exploitation. </w:t>
      </w:r>
    </w:p>
    <w:p w14:paraId="2B62563B" w14:textId="77777777" w:rsidR="00890425" w:rsidRDefault="00890425" w:rsidP="00890425">
      <w:pPr>
        <w:pStyle w:val="ListParagraph"/>
        <w:ind w:left="709"/>
        <w:rPr>
          <w:rFonts w:ascii="Avenir Book" w:hAnsi="Avenir Book" w:cs="Calibri"/>
        </w:rPr>
      </w:pPr>
    </w:p>
    <w:p w14:paraId="6261C1DA" w14:textId="77777777" w:rsidR="00890425" w:rsidRDefault="00890425" w:rsidP="00C74146">
      <w:pPr>
        <w:pStyle w:val="ListParagraph"/>
        <w:numPr>
          <w:ilvl w:val="1"/>
          <w:numId w:val="2"/>
        </w:numPr>
        <w:ind w:left="709" w:hanging="709"/>
        <w:rPr>
          <w:rFonts w:ascii="Avenir Book" w:hAnsi="Avenir Book" w:cs="Calibri"/>
        </w:rPr>
      </w:pPr>
      <w:r w:rsidRPr="00890425">
        <w:rPr>
          <w:rFonts w:ascii="Avenir Book" w:hAnsi="Avenir Book" w:cs="Calibri"/>
        </w:rPr>
        <w:t>Based on the DRC recommendations to end segregation (recommendations 7.14, 7.32 and 7.43), develop, implement and resource national plans and strategies, with established timeframes and comprehensive measures to urgently end segregation in education, employment and housing (group homes).</w:t>
      </w:r>
    </w:p>
    <w:p w14:paraId="38E498E0" w14:textId="77777777" w:rsidR="00890425" w:rsidRPr="00890425" w:rsidRDefault="00890425" w:rsidP="00890425">
      <w:pPr>
        <w:pStyle w:val="ListParagraph"/>
        <w:rPr>
          <w:rFonts w:ascii="Avenir Book" w:hAnsi="Avenir Book" w:cs="Calibri"/>
        </w:rPr>
      </w:pPr>
    </w:p>
    <w:p w14:paraId="5B56AF38" w14:textId="5EB36164" w:rsidR="00890425" w:rsidRDefault="00890425" w:rsidP="00C74146">
      <w:pPr>
        <w:pStyle w:val="ListParagraph"/>
        <w:numPr>
          <w:ilvl w:val="1"/>
          <w:numId w:val="2"/>
        </w:numPr>
        <w:spacing w:line="276" w:lineRule="auto"/>
        <w:ind w:left="709" w:hanging="709"/>
        <w:rPr>
          <w:rFonts w:ascii="Avenir Book" w:hAnsi="Avenir Book" w:cs="Calibri"/>
        </w:rPr>
      </w:pPr>
      <w:r w:rsidRPr="00890425">
        <w:rPr>
          <w:rFonts w:ascii="Avenir Book" w:eastAsia="Arial" w:hAnsi="Avenir Book" w:cs="Calibri"/>
        </w:rPr>
        <w:t xml:space="preserve">Review and amend </w:t>
      </w:r>
      <w:r w:rsidRPr="00890425">
        <w:rPr>
          <w:rFonts w:ascii="Avenir Book" w:hAnsi="Avenir Book" w:cs="Calibri"/>
        </w:rPr>
        <w:t>law, policy, systems and practice frameworks to ensure they do not legitimise segregation on the basis of disability and to transition from segregated settings to inclusive ones, and ensure anti-discrimination and equal opportunity laws protect the right of people with disability not to be segregated.</w:t>
      </w:r>
    </w:p>
    <w:p w14:paraId="4FF6A1DA" w14:textId="77777777" w:rsidR="00890425" w:rsidRPr="00890425" w:rsidRDefault="00890425" w:rsidP="00B54DE9">
      <w:pPr>
        <w:pStyle w:val="ListParagraph"/>
        <w:spacing w:line="276" w:lineRule="auto"/>
        <w:rPr>
          <w:rFonts w:ascii="Avenir Book" w:hAnsi="Avenir Book" w:cs="Calibri"/>
        </w:rPr>
      </w:pPr>
    </w:p>
    <w:p w14:paraId="278CEE2F" w14:textId="77777777" w:rsidR="00890425" w:rsidRPr="00890425" w:rsidRDefault="00890425" w:rsidP="00C74146">
      <w:pPr>
        <w:pStyle w:val="ListParagraph"/>
        <w:numPr>
          <w:ilvl w:val="1"/>
          <w:numId w:val="2"/>
        </w:numPr>
        <w:spacing w:line="276" w:lineRule="auto"/>
        <w:ind w:left="709" w:hanging="709"/>
        <w:rPr>
          <w:rFonts w:ascii="Avenir Book" w:hAnsi="Avenir Book" w:cs="Calibri"/>
        </w:rPr>
      </w:pPr>
      <w:r w:rsidRPr="00890425">
        <w:rPr>
          <w:rFonts w:ascii="Avenir Book" w:eastAsia="Arial" w:hAnsi="Avenir Book" w:cs="Calibri"/>
        </w:rPr>
        <w:t xml:space="preserve">Ensure that people with disability, including those who may require support in making decisions, are not obliged to ‘choose’ between services and settings that do not comply with the CRPD. </w:t>
      </w:r>
    </w:p>
    <w:p w14:paraId="29E9B4E0" w14:textId="77777777" w:rsidR="00890425" w:rsidRPr="00B54DE9" w:rsidRDefault="00890425" w:rsidP="00890425">
      <w:pPr>
        <w:pStyle w:val="Heading2"/>
        <w:jc w:val="left"/>
        <w:rPr>
          <w:rFonts w:ascii="Avenir Book" w:hAnsi="Avenir Book" w:cs="Calibri"/>
          <w:color w:val="7030A0"/>
          <w:sz w:val="24"/>
        </w:rPr>
      </w:pPr>
    </w:p>
    <w:p w14:paraId="273B677C" w14:textId="77777777" w:rsidR="00890425" w:rsidRDefault="00890425" w:rsidP="00890425">
      <w:pPr>
        <w:spacing w:after="120"/>
        <w:rPr>
          <w:rFonts w:ascii="Avenir Book" w:hAnsi="Avenir Book" w:cs="Calibri"/>
          <w:color w:val="7030A0"/>
        </w:rPr>
      </w:pPr>
      <w:r>
        <w:rPr>
          <w:rFonts w:ascii="Avenir Book" w:hAnsi="Avenir Book" w:cs="Calibri"/>
          <w:color w:val="7030A0"/>
        </w:rPr>
        <w:t>Ensure all people with disability enjoy legal capacity and equality before the law</w:t>
      </w:r>
    </w:p>
    <w:p w14:paraId="737C4F98" w14:textId="77777777" w:rsidR="00B54DE9" w:rsidRPr="00B54DE9" w:rsidRDefault="00B54DE9" w:rsidP="00C74146">
      <w:pPr>
        <w:pStyle w:val="ListParagraph"/>
        <w:numPr>
          <w:ilvl w:val="1"/>
          <w:numId w:val="2"/>
        </w:numPr>
        <w:spacing w:line="276" w:lineRule="auto"/>
        <w:ind w:left="709" w:hanging="709"/>
        <w:rPr>
          <w:rFonts w:ascii="Avenir Book" w:hAnsi="Avenir Book" w:cs="Calibri"/>
        </w:rPr>
      </w:pPr>
      <w:r w:rsidRPr="00B54DE9">
        <w:rPr>
          <w:rFonts w:ascii="Avenir Book" w:hAnsi="Avenir Book"/>
        </w:rPr>
        <w:t>Review the DRC recommendations for establishing supported decision-making mechanisms in order to identify and implement appropriate amendments to ensure compliance with the principles and standards of the CRPD.</w:t>
      </w:r>
    </w:p>
    <w:p w14:paraId="010A5DC3" w14:textId="77777777" w:rsidR="00B54DE9" w:rsidRPr="00B54DE9" w:rsidRDefault="00B54DE9" w:rsidP="00B54DE9">
      <w:pPr>
        <w:pStyle w:val="ListParagraph"/>
        <w:spacing w:line="276" w:lineRule="auto"/>
        <w:ind w:left="709"/>
        <w:rPr>
          <w:rFonts w:ascii="Avenir Book" w:hAnsi="Avenir Book" w:cs="Calibri"/>
        </w:rPr>
      </w:pPr>
    </w:p>
    <w:p w14:paraId="5D8594A3" w14:textId="63DF9ED2" w:rsidR="008F45ED" w:rsidRDefault="00B54DE9" w:rsidP="00695DFD">
      <w:pPr>
        <w:pStyle w:val="ListParagraph"/>
        <w:numPr>
          <w:ilvl w:val="1"/>
          <w:numId w:val="2"/>
        </w:numPr>
        <w:spacing w:line="276" w:lineRule="auto"/>
        <w:ind w:left="709" w:hanging="709"/>
        <w:rPr>
          <w:rFonts w:ascii="Avenir Book" w:hAnsi="Avenir Book"/>
        </w:rPr>
      </w:pPr>
      <w:r w:rsidRPr="008F45ED">
        <w:rPr>
          <w:rFonts w:ascii="Avenir Book" w:hAnsi="Avenir Book"/>
        </w:rPr>
        <w:t>Develop a comprehensive, timebound transition plan to undertake legislative and policy reform to replace substitute decision-making with supported decision-making, including in the areas of guardianship, financial management, mental health, aged care, family and child protection and criminal justice</w:t>
      </w:r>
      <w:r w:rsidR="008F45ED" w:rsidRPr="008F45ED">
        <w:rPr>
          <w:rFonts w:ascii="Avenir Book" w:hAnsi="Avenir Book"/>
        </w:rPr>
        <w:t xml:space="preserve">. </w:t>
      </w:r>
    </w:p>
    <w:p w14:paraId="4CE0B72A" w14:textId="04EA20F5" w:rsidR="00B54DE9" w:rsidRPr="008F45ED" w:rsidRDefault="008F45ED" w:rsidP="008F45ED">
      <w:pPr>
        <w:rPr>
          <w:rFonts w:ascii="Avenir Book" w:eastAsiaTheme="minorHAnsi" w:hAnsi="Avenir Book" w:cstheme="minorBidi"/>
          <w:lang w:val="en-GB"/>
        </w:rPr>
      </w:pPr>
      <w:r>
        <w:rPr>
          <w:rFonts w:ascii="Avenir Book" w:hAnsi="Avenir Book"/>
        </w:rPr>
        <w:br w:type="page"/>
      </w:r>
    </w:p>
    <w:p w14:paraId="26FE5C2A" w14:textId="77777777" w:rsidR="00B54DE9" w:rsidRPr="00B54DE9" w:rsidRDefault="00B54DE9" w:rsidP="00C74146">
      <w:pPr>
        <w:pStyle w:val="ListParagraph"/>
        <w:numPr>
          <w:ilvl w:val="1"/>
          <w:numId w:val="2"/>
        </w:numPr>
        <w:spacing w:line="276" w:lineRule="auto"/>
        <w:ind w:left="709" w:hanging="709"/>
        <w:rPr>
          <w:rFonts w:ascii="Avenir Book" w:hAnsi="Avenir Book" w:cs="Calibri"/>
        </w:rPr>
      </w:pPr>
      <w:r w:rsidRPr="00B54DE9">
        <w:rPr>
          <w:rFonts w:ascii="Avenir Book" w:hAnsi="Avenir Book"/>
        </w:rPr>
        <w:lastRenderedPageBreak/>
        <w:t>Implement legislative and policy measures to ensure that supported decision-making mechanisms replace the common law doctrine of ‘</w:t>
      </w:r>
      <w:proofErr w:type="spellStart"/>
      <w:r w:rsidRPr="00B54DE9">
        <w:rPr>
          <w:rFonts w:ascii="Avenir Book" w:hAnsi="Avenir Book"/>
        </w:rPr>
        <w:t>parens</w:t>
      </w:r>
      <w:proofErr w:type="spellEnd"/>
      <w:r w:rsidRPr="00B54DE9">
        <w:rPr>
          <w:rFonts w:ascii="Avenir Book" w:hAnsi="Avenir Book"/>
        </w:rPr>
        <w:t xml:space="preserve"> patriae’ for people with disability.</w:t>
      </w:r>
    </w:p>
    <w:p w14:paraId="7BDE4133" w14:textId="77777777" w:rsidR="00B54DE9" w:rsidRPr="00B54DE9" w:rsidRDefault="00B54DE9" w:rsidP="00B54DE9">
      <w:pPr>
        <w:pStyle w:val="ListParagraph"/>
        <w:spacing w:line="276" w:lineRule="auto"/>
        <w:rPr>
          <w:rFonts w:ascii="Avenir Book" w:hAnsi="Avenir Book" w:cs="Calibri"/>
        </w:rPr>
      </w:pPr>
    </w:p>
    <w:p w14:paraId="0722748E" w14:textId="77777777" w:rsidR="00B54DE9" w:rsidRPr="00B54DE9" w:rsidRDefault="00B54DE9" w:rsidP="00C74146">
      <w:pPr>
        <w:pStyle w:val="ListParagraph"/>
        <w:numPr>
          <w:ilvl w:val="1"/>
          <w:numId w:val="2"/>
        </w:numPr>
        <w:spacing w:line="276" w:lineRule="auto"/>
        <w:ind w:left="709" w:hanging="709"/>
        <w:rPr>
          <w:rFonts w:ascii="Avenir Book" w:hAnsi="Avenir Book" w:cs="Calibri"/>
        </w:rPr>
      </w:pPr>
      <w:r w:rsidRPr="00B54DE9">
        <w:rPr>
          <w:rFonts w:ascii="Avenir Book" w:hAnsi="Avenir Book"/>
        </w:rPr>
        <w:t>Implement legislative and policy reform measures to ensure that the ‘best interests of the child’ principle is understood in the context of human rights as elaborated by the CRC and the CRPD, and that the will and preferences of children with disability are respected on an equal basis with other children.</w:t>
      </w:r>
    </w:p>
    <w:p w14:paraId="5960CBBE" w14:textId="77777777" w:rsidR="00B54DE9" w:rsidRPr="00B54DE9" w:rsidRDefault="00B54DE9" w:rsidP="00B54DE9">
      <w:pPr>
        <w:pStyle w:val="ListParagraph"/>
        <w:spacing w:line="276" w:lineRule="auto"/>
        <w:rPr>
          <w:rFonts w:ascii="Avenir Book" w:hAnsi="Avenir Book" w:cs="Calibri"/>
        </w:rPr>
      </w:pPr>
    </w:p>
    <w:p w14:paraId="4FDE2608" w14:textId="4D7C35FD" w:rsidR="00B54DE9" w:rsidRPr="00B54DE9" w:rsidRDefault="00B54DE9" w:rsidP="00C74146">
      <w:pPr>
        <w:pStyle w:val="ListParagraph"/>
        <w:numPr>
          <w:ilvl w:val="1"/>
          <w:numId w:val="2"/>
        </w:numPr>
        <w:spacing w:line="276" w:lineRule="auto"/>
        <w:ind w:left="709" w:hanging="709"/>
        <w:rPr>
          <w:rFonts w:ascii="Avenir Book" w:hAnsi="Avenir Book" w:cs="Calibri"/>
        </w:rPr>
      </w:pPr>
      <w:r w:rsidRPr="00B54DE9">
        <w:rPr>
          <w:rFonts w:ascii="Avenir Book" w:hAnsi="Avenir Book"/>
        </w:rPr>
        <w:t>Withdraw Australia’s interpretative declaration to Article 12 of the CRPD.</w:t>
      </w:r>
    </w:p>
    <w:p w14:paraId="07172767" w14:textId="77777777" w:rsidR="00B54DE9" w:rsidRDefault="00B54DE9" w:rsidP="00B54DE9">
      <w:pPr>
        <w:pStyle w:val="Heading2"/>
        <w:jc w:val="left"/>
        <w:rPr>
          <w:rFonts w:ascii="Avenir Book" w:hAnsi="Avenir Book" w:cs="Calibri"/>
          <w:color w:val="7030A0"/>
          <w:sz w:val="24"/>
        </w:rPr>
      </w:pPr>
    </w:p>
    <w:p w14:paraId="6291A5B1" w14:textId="5C666C59" w:rsidR="00B54DE9" w:rsidRDefault="00B54DE9" w:rsidP="00B54DE9">
      <w:pPr>
        <w:spacing w:after="120"/>
        <w:rPr>
          <w:rFonts w:ascii="Avenir Book" w:hAnsi="Avenir Book" w:cs="Calibri"/>
          <w:color w:val="7030A0"/>
        </w:rPr>
      </w:pPr>
      <w:r>
        <w:rPr>
          <w:rFonts w:ascii="Avenir Book" w:hAnsi="Avenir Book" w:cs="Calibri"/>
          <w:color w:val="7030A0"/>
        </w:rPr>
        <w:t>End all forms of forced treatment and restrictive practices</w:t>
      </w:r>
    </w:p>
    <w:p w14:paraId="67E311E3" w14:textId="77777777" w:rsidR="00B54DE9" w:rsidRDefault="00B54DE9" w:rsidP="00C74146">
      <w:pPr>
        <w:pStyle w:val="ListParagraph"/>
        <w:numPr>
          <w:ilvl w:val="1"/>
          <w:numId w:val="2"/>
        </w:numPr>
        <w:spacing w:line="276" w:lineRule="auto"/>
        <w:ind w:left="709" w:hanging="709"/>
        <w:rPr>
          <w:rFonts w:ascii="Avenir Book" w:hAnsi="Avenir Book" w:cs="Calibri"/>
        </w:rPr>
      </w:pPr>
      <w:r w:rsidRPr="00B54DE9">
        <w:rPr>
          <w:rFonts w:ascii="Avenir Book" w:hAnsi="Avenir Book" w:cs="Calibri"/>
        </w:rPr>
        <w:t xml:space="preserve">Implement the recommendations from the DRC commissioned research report into Restrictive Practices: </w:t>
      </w:r>
      <w:r w:rsidRPr="00B54DE9">
        <w:rPr>
          <w:rFonts w:ascii="Avenir Book" w:hAnsi="Avenir Book" w:cs="Calibri"/>
          <w:i/>
          <w:iCs/>
        </w:rPr>
        <w:t>‘Restrictive practices: A pathway to elimination’</w:t>
      </w:r>
      <w:r w:rsidRPr="00B54DE9">
        <w:rPr>
          <w:rFonts w:ascii="Avenir Book" w:hAnsi="Avenir Book" w:cs="Calibri"/>
        </w:rPr>
        <w:t xml:space="preserve"> (July 2023).</w:t>
      </w:r>
      <w:r w:rsidRPr="00EB0C66">
        <w:rPr>
          <w:vertAlign w:val="superscript"/>
        </w:rPr>
        <w:endnoteReference w:id="2"/>
      </w:r>
    </w:p>
    <w:p w14:paraId="5684D67D" w14:textId="77777777" w:rsidR="00B54DE9" w:rsidRDefault="00B54DE9" w:rsidP="00B54DE9">
      <w:pPr>
        <w:pStyle w:val="ListParagraph"/>
        <w:spacing w:line="276" w:lineRule="auto"/>
        <w:ind w:left="709"/>
        <w:rPr>
          <w:rFonts w:ascii="Avenir Book" w:hAnsi="Avenir Book" w:cs="Calibri"/>
        </w:rPr>
      </w:pPr>
    </w:p>
    <w:p w14:paraId="0D321FFD" w14:textId="77777777" w:rsidR="00B54DE9" w:rsidRPr="00B54DE9" w:rsidRDefault="00B54DE9" w:rsidP="00C74146">
      <w:pPr>
        <w:pStyle w:val="ListParagraph"/>
        <w:numPr>
          <w:ilvl w:val="1"/>
          <w:numId w:val="2"/>
        </w:numPr>
        <w:spacing w:line="276" w:lineRule="auto"/>
        <w:ind w:left="709" w:hanging="709"/>
        <w:rPr>
          <w:rFonts w:ascii="Avenir Book" w:hAnsi="Avenir Book" w:cs="Calibri"/>
        </w:rPr>
      </w:pPr>
      <w:r w:rsidRPr="00B54DE9">
        <w:rPr>
          <w:rFonts w:ascii="Avenir Book" w:hAnsi="Avenir Book"/>
        </w:rPr>
        <w:t>Review the DRC recommendations relating to authorisation and regulation of restrictive practices in order to identify and implement appropriate amendments to ensure compliance with the principles and standards of the CRPD and to ensure national consistency across service systems including disability services, mental health, aged care, education, child welfare and criminal justice.</w:t>
      </w:r>
    </w:p>
    <w:p w14:paraId="5B1605FE" w14:textId="77777777" w:rsidR="00B54DE9" w:rsidRPr="00B54DE9" w:rsidRDefault="00B54DE9" w:rsidP="00B54DE9">
      <w:pPr>
        <w:pStyle w:val="ListParagraph"/>
        <w:rPr>
          <w:rFonts w:ascii="Avenir Book" w:hAnsi="Avenir Book" w:cs="Calibri"/>
        </w:rPr>
      </w:pPr>
    </w:p>
    <w:p w14:paraId="5701EB2D" w14:textId="77777777" w:rsidR="00B54DE9" w:rsidRDefault="00B54DE9" w:rsidP="00C74146">
      <w:pPr>
        <w:pStyle w:val="ListParagraph"/>
        <w:numPr>
          <w:ilvl w:val="1"/>
          <w:numId w:val="2"/>
        </w:numPr>
        <w:spacing w:line="276" w:lineRule="auto"/>
        <w:ind w:left="709" w:hanging="709"/>
        <w:rPr>
          <w:rFonts w:ascii="Avenir Book" w:hAnsi="Avenir Book" w:cs="Calibri"/>
        </w:rPr>
      </w:pPr>
      <w:r w:rsidRPr="00B54DE9">
        <w:rPr>
          <w:rFonts w:ascii="Avenir Book" w:hAnsi="Avenir Book"/>
        </w:rPr>
        <w:t xml:space="preserve">Ensure the DRC recommendations for strengthening the evidence base (recommendation 6.38) and for the collection and reporting of data (recommendation 6.39) includes diverse groups of people with disability, including </w:t>
      </w:r>
      <w:r w:rsidRPr="00B54DE9">
        <w:rPr>
          <w:rFonts w:ascii="Avenir Book" w:hAnsi="Avenir Book" w:cs="Calibri"/>
        </w:rPr>
        <w:t xml:space="preserve">First Nations people with disability, LGBTIQA+ people with disability, people with disability from culturally and linguistically diverse backgrounds, women and girls with disability, children with disability and older people with disability. </w:t>
      </w:r>
    </w:p>
    <w:p w14:paraId="2F6D3FE7" w14:textId="77777777" w:rsidR="00B54DE9" w:rsidRPr="00B54DE9" w:rsidRDefault="00B54DE9" w:rsidP="00B54DE9">
      <w:pPr>
        <w:pStyle w:val="ListParagraph"/>
        <w:rPr>
          <w:rFonts w:ascii="Avenir Book" w:hAnsi="Avenir Book" w:cs="Calibri"/>
        </w:rPr>
      </w:pPr>
    </w:p>
    <w:p w14:paraId="7FA7F503" w14:textId="77777777" w:rsidR="00B54DE9" w:rsidRPr="00B54DE9" w:rsidRDefault="00B54DE9" w:rsidP="00C74146">
      <w:pPr>
        <w:pStyle w:val="ListParagraph"/>
        <w:numPr>
          <w:ilvl w:val="1"/>
          <w:numId w:val="2"/>
        </w:numPr>
        <w:spacing w:line="276" w:lineRule="auto"/>
        <w:ind w:left="709" w:hanging="709"/>
        <w:rPr>
          <w:rFonts w:ascii="Avenir Book" w:hAnsi="Avenir Book" w:cs="Calibri"/>
        </w:rPr>
      </w:pPr>
      <w:r w:rsidRPr="00B54DE9">
        <w:rPr>
          <w:rFonts w:ascii="Avenir Book" w:hAnsi="Avenir Book"/>
        </w:rPr>
        <w:t>Withdraw the interpretative declaration to article 17 of the CRPD.</w:t>
      </w:r>
    </w:p>
    <w:p w14:paraId="3C736503" w14:textId="77777777" w:rsidR="00B54DE9" w:rsidRPr="00B54DE9" w:rsidRDefault="00B54DE9" w:rsidP="00B54DE9">
      <w:pPr>
        <w:pStyle w:val="ListParagraph"/>
        <w:rPr>
          <w:rFonts w:ascii="Avenir Book" w:hAnsi="Avenir Book" w:cs="Calibri"/>
        </w:rPr>
      </w:pPr>
    </w:p>
    <w:p w14:paraId="696F61DC" w14:textId="77777777" w:rsidR="00B54DE9" w:rsidRDefault="00B54DE9" w:rsidP="00C74146">
      <w:pPr>
        <w:pStyle w:val="ListParagraph"/>
        <w:numPr>
          <w:ilvl w:val="1"/>
          <w:numId w:val="2"/>
        </w:numPr>
        <w:spacing w:line="276" w:lineRule="auto"/>
        <w:ind w:left="709" w:hanging="709"/>
        <w:rPr>
          <w:rFonts w:ascii="Avenir Book" w:hAnsi="Avenir Book" w:cs="Calibri"/>
        </w:rPr>
      </w:pPr>
      <w:r w:rsidRPr="00B54DE9">
        <w:rPr>
          <w:rFonts w:ascii="Avenir Book" w:hAnsi="Avenir Book"/>
        </w:rPr>
        <w:t xml:space="preserve">Undertake work with state and territory governments to establish and implement a comprehensive plan to repeal or amend legislative, policy and practice frameworks that authorise </w:t>
      </w:r>
      <w:r w:rsidRPr="00B54DE9">
        <w:rPr>
          <w:rFonts w:ascii="Avenir Book" w:hAnsi="Avenir Book" w:cs="Calibri"/>
        </w:rPr>
        <w:t>forced treatment, restrictive practices and forced detention on the basis of impairment, including in mental health systems.</w:t>
      </w:r>
      <w:r>
        <w:rPr>
          <w:rStyle w:val="EndnoteReference"/>
          <w:rFonts w:ascii="Avenir Book" w:hAnsi="Avenir Book" w:cs="Calibri"/>
        </w:rPr>
        <w:endnoteReference w:id="3"/>
      </w:r>
    </w:p>
    <w:p w14:paraId="216A6D26" w14:textId="77777777" w:rsidR="00B54DE9" w:rsidRPr="00B54DE9" w:rsidRDefault="00B54DE9" w:rsidP="00B54DE9">
      <w:pPr>
        <w:pStyle w:val="ListParagraph"/>
        <w:rPr>
          <w:rFonts w:ascii="Avenir Book" w:hAnsi="Avenir Book" w:cs="Calibri"/>
        </w:rPr>
      </w:pPr>
    </w:p>
    <w:p w14:paraId="2F5F57A6" w14:textId="3E13D6A2" w:rsidR="00DA65EB" w:rsidRPr="00DA65EB" w:rsidRDefault="00B54DE9" w:rsidP="00DA65EB">
      <w:pPr>
        <w:pStyle w:val="ListParagraph"/>
        <w:numPr>
          <w:ilvl w:val="1"/>
          <w:numId w:val="2"/>
        </w:numPr>
        <w:spacing w:line="276" w:lineRule="auto"/>
        <w:ind w:left="709" w:hanging="709"/>
        <w:rPr>
          <w:rFonts w:ascii="Avenir Book" w:hAnsi="Avenir Book"/>
        </w:rPr>
      </w:pPr>
      <w:r w:rsidRPr="00B54DE9">
        <w:rPr>
          <w:rFonts w:ascii="Avenir Book" w:hAnsi="Avenir Book"/>
        </w:rPr>
        <w:t>Prohibit deferrable medical interventions, including surgical and hormonal interventions, that are applied to infants and children born with innate variations of sex characteristics (intersex) without free and informed personal consent;</w:t>
      </w:r>
      <w:r>
        <w:rPr>
          <w:rStyle w:val="EndnoteReference"/>
          <w:rFonts w:ascii="Avenir Book" w:hAnsi="Avenir Book"/>
        </w:rPr>
        <w:endnoteReference w:id="4"/>
      </w:r>
      <w:r w:rsidRPr="00B54DE9">
        <w:rPr>
          <w:rFonts w:ascii="Avenir Book" w:hAnsi="Avenir Book"/>
        </w:rPr>
        <w:t xml:space="preserve"> and implement the recommendations from the Australian Human Rights Commission </w:t>
      </w:r>
      <w:r w:rsidR="00DA65EB" w:rsidRPr="00DA65EB">
        <w:rPr>
          <w:rFonts w:ascii="Avenir Book" w:hAnsi="Avenir Book"/>
        </w:rPr>
        <w:br w:type="page"/>
      </w:r>
    </w:p>
    <w:p w14:paraId="710A12CE" w14:textId="79D9B0C4" w:rsidR="00B54DE9" w:rsidRPr="00AC7079" w:rsidRDefault="00B54DE9" w:rsidP="00C74146">
      <w:pPr>
        <w:pStyle w:val="ListParagraph"/>
        <w:numPr>
          <w:ilvl w:val="1"/>
          <w:numId w:val="2"/>
        </w:numPr>
        <w:spacing w:line="276" w:lineRule="auto"/>
        <w:ind w:left="709" w:hanging="709"/>
        <w:rPr>
          <w:rFonts w:ascii="Avenir Book" w:hAnsi="Avenir Book" w:cs="Calibri"/>
        </w:rPr>
      </w:pPr>
      <w:r w:rsidRPr="00B54DE9">
        <w:rPr>
          <w:rFonts w:ascii="Avenir Book" w:hAnsi="Avenir Book"/>
        </w:rPr>
        <w:lastRenderedPageBreak/>
        <w:t>inquiry report, ‘</w:t>
      </w:r>
      <w:r w:rsidRPr="00B54DE9">
        <w:rPr>
          <w:rFonts w:ascii="Avenir Book" w:hAnsi="Avenir Book"/>
          <w:i/>
          <w:iCs/>
        </w:rPr>
        <w:t xml:space="preserve">Ensuring health and bodily integrity: towards a human rights approach for people born with variations in sex characteristics’ </w:t>
      </w:r>
      <w:r w:rsidRPr="00B54DE9">
        <w:rPr>
          <w:rFonts w:ascii="Avenir Book" w:hAnsi="Avenir Book"/>
        </w:rPr>
        <w:t>(2021).</w:t>
      </w:r>
      <w:r>
        <w:rPr>
          <w:rStyle w:val="EndnoteReference"/>
          <w:rFonts w:ascii="Avenir Book" w:hAnsi="Avenir Book"/>
        </w:rPr>
        <w:endnoteReference w:id="5"/>
      </w:r>
    </w:p>
    <w:p w14:paraId="78A63788" w14:textId="77777777" w:rsidR="00AC7079" w:rsidRDefault="00AC7079" w:rsidP="00AC7079">
      <w:pPr>
        <w:pStyle w:val="ListParagraph"/>
        <w:rPr>
          <w:rFonts w:ascii="Avenir Book" w:hAnsi="Avenir Book" w:cs="Calibri"/>
        </w:rPr>
      </w:pPr>
    </w:p>
    <w:p w14:paraId="44A59C39" w14:textId="24D762A8" w:rsidR="00AC7079" w:rsidRPr="00AC7079" w:rsidRDefault="00AC7079" w:rsidP="00AC7079">
      <w:pPr>
        <w:spacing w:after="120"/>
        <w:rPr>
          <w:rFonts w:ascii="Avenir Book" w:hAnsi="Avenir Book" w:cs="Calibri"/>
          <w:color w:val="7030A0"/>
        </w:rPr>
      </w:pPr>
      <w:r>
        <w:rPr>
          <w:rFonts w:ascii="Avenir Book" w:hAnsi="Avenir Book" w:cs="Calibri"/>
          <w:color w:val="7030A0"/>
        </w:rPr>
        <w:t>Ensure people with disability, particularly women and girls enjoy sexual and reproductive rights</w:t>
      </w:r>
    </w:p>
    <w:p w14:paraId="07A957D5" w14:textId="77777777" w:rsidR="00350072" w:rsidRDefault="00AC7079" w:rsidP="00C74146">
      <w:pPr>
        <w:pStyle w:val="Heading3"/>
        <w:numPr>
          <w:ilvl w:val="1"/>
          <w:numId w:val="2"/>
        </w:numPr>
        <w:snapToGrid w:val="0"/>
        <w:spacing w:line="240" w:lineRule="auto"/>
        <w:ind w:left="851" w:hanging="862"/>
        <w:rPr>
          <w:rFonts w:ascii="Avenir Book" w:hAnsi="Avenir Book"/>
          <w:b w:val="0"/>
          <w:bCs/>
          <w:color w:val="000000" w:themeColor="text1"/>
        </w:rPr>
      </w:pPr>
      <w:bookmarkStart w:id="91" w:name="_Toc156825210"/>
      <w:r w:rsidRPr="00350072">
        <w:rPr>
          <w:rFonts w:ascii="Avenir Book" w:hAnsi="Avenir Book"/>
          <w:b w:val="0"/>
          <w:bCs/>
          <w:color w:val="000000" w:themeColor="text1"/>
        </w:rPr>
        <w:t>Review recommendation 8.23 to consider the implications of a separate Action Plan to end violence against women and children with disability as opposed to prioritising women and children with disability in the national Plan to End Violence against Women and Children 2022-2032.</w:t>
      </w:r>
      <w:bookmarkEnd w:id="91"/>
    </w:p>
    <w:p w14:paraId="1FCA52E2" w14:textId="77777777" w:rsidR="00350072" w:rsidRPr="00350072" w:rsidRDefault="00350072" w:rsidP="00350072"/>
    <w:p w14:paraId="37DD6831" w14:textId="2FDA6A0A" w:rsidR="00AC7079" w:rsidRDefault="00AC7079" w:rsidP="00C74146">
      <w:pPr>
        <w:pStyle w:val="Heading3"/>
        <w:numPr>
          <w:ilvl w:val="1"/>
          <w:numId w:val="2"/>
        </w:numPr>
        <w:snapToGrid w:val="0"/>
        <w:spacing w:line="240" w:lineRule="auto"/>
        <w:ind w:left="851" w:hanging="862"/>
        <w:rPr>
          <w:rFonts w:ascii="Avenir Book" w:hAnsi="Avenir Book" w:cs="Calibri"/>
          <w:b w:val="0"/>
          <w:bCs/>
          <w:color w:val="000000" w:themeColor="text1"/>
        </w:rPr>
      </w:pPr>
      <w:bookmarkStart w:id="92" w:name="_Toc156825211"/>
      <w:r w:rsidRPr="00350072">
        <w:rPr>
          <w:rFonts w:ascii="Avenir Book" w:hAnsi="Avenir Book"/>
          <w:b w:val="0"/>
          <w:bCs/>
        </w:rPr>
        <w:t xml:space="preserve">Review the DRC recommendation 6.41 in relation to sterilisation in order to remove ambiguous terminology (‘non-therapeutic’), clarify exceptions (‘threat to the life of the person with disability’) and to ensure compliance with the principles and standards of the CRPD, and with the aim of enacting nationally consistent legislation that prohibits the sterilisation of </w:t>
      </w:r>
      <w:r w:rsidRPr="00350072">
        <w:rPr>
          <w:rFonts w:ascii="Avenir Book" w:hAnsi="Avenir Book" w:cs="Calibri"/>
          <w:b w:val="0"/>
          <w:bCs/>
          <w:color w:val="000000" w:themeColor="text1"/>
        </w:rPr>
        <w:t>children, and the sterilisation of adults in the absence of their prior, fully informed and free consent.</w:t>
      </w:r>
      <w:bookmarkEnd w:id="92"/>
    </w:p>
    <w:p w14:paraId="78648CF9" w14:textId="77777777" w:rsidR="00350072" w:rsidRDefault="00350072" w:rsidP="00350072"/>
    <w:p w14:paraId="43F2E3B0" w14:textId="49198883" w:rsidR="00AC7079" w:rsidRPr="00350072" w:rsidRDefault="00AC7079" w:rsidP="00C74146">
      <w:pPr>
        <w:pStyle w:val="ListParagraph"/>
        <w:numPr>
          <w:ilvl w:val="1"/>
          <w:numId w:val="2"/>
        </w:numPr>
        <w:ind w:left="851" w:hanging="851"/>
        <w:rPr>
          <w:rFonts w:ascii="Avenir Book" w:hAnsi="Avenir Book" w:cs="Calibri"/>
          <w:bCs/>
          <w:color w:val="000000" w:themeColor="text1"/>
        </w:rPr>
      </w:pPr>
      <w:r w:rsidRPr="00350072">
        <w:rPr>
          <w:rFonts w:ascii="Avenir Book" w:hAnsi="Avenir Book" w:cs="Calibri"/>
          <w:bCs/>
          <w:color w:val="000000" w:themeColor="text1"/>
        </w:rPr>
        <w:t xml:space="preserve">Abolish the practice of non-consensual administration of menstrual suppressant drugs and anti-androgenic treatments. </w:t>
      </w:r>
    </w:p>
    <w:p w14:paraId="411683B1" w14:textId="77777777" w:rsidR="00350072" w:rsidRPr="00350072" w:rsidRDefault="00350072" w:rsidP="00350072">
      <w:pPr>
        <w:pStyle w:val="ListParagraph"/>
        <w:ind w:left="851" w:hanging="851"/>
        <w:rPr>
          <w:rFonts w:ascii="Avenir Book" w:hAnsi="Avenir Book"/>
        </w:rPr>
      </w:pPr>
    </w:p>
    <w:p w14:paraId="618909A6" w14:textId="77777777" w:rsidR="00350072" w:rsidRPr="00350072" w:rsidRDefault="00AC7079" w:rsidP="00C74146">
      <w:pPr>
        <w:pStyle w:val="ListParagraph"/>
        <w:numPr>
          <w:ilvl w:val="1"/>
          <w:numId w:val="2"/>
        </w:numPr>
        <w:ind w:left="851" w:hanging="851"/>
        <w:rPr>
          <w:rFonts w:ascii="Avenir Book" w:hAnsi="Avenir Book"/>
        </w:rPr>
      </w:pPr>
      <w:r w:rsidRPr="00350072">
        <w:rPr>
          <w:rFonts w:ascii="Avenir Book" w:hAnsi="Avenir Book" w:cs="Calibri"/>
          <w:color w:val="000000" w:themeColor="text1"/>
        </w:rPr>
        <w:t>Implement the recommendations from WWDA’s submission to the DRC:</w:t>
      </w:r>
      <w:r w:rsidRPr="00350072">
        <w:rPr>
          <w:rFonts w:ascii="Avenir Book" w:hAnsi="Avenir Book" w:cs="Calibri"/>
        </w:rPr>
        <w:t xml:space="preserve"> </w:t>
      </w:r>
      <w:r w:rsidRPr="00350072">
        <w:rPr>
          <w:rFonts w:ascii="Avenir Book" w:hAnsi="Avenir Book" w:cs="Calibri"/>
          <w:i/>
          <w:iCs/>
        </w:rPr>
        <w:t xml:space="preserve">‘WWDA Submission on Sexual and Reproductive Rights of Women and Girls with Disability’ </w:t>
      </w:r>
      <w:r w:rsidRPr="00350072">
        <w:rPr>
          <w:rFonts w:ascii="Avenir Book" w:hAnsi="Avenir Book" w:cs="Calibri"/>
        </w:rPr>
        <w:t>(December 2022).</w:t>
      </w:r>
      <w:r>
        <w:rPr>
          <w:rStyle w:val="EndnoteReference"/>
          <w:rFonts w:ascii="Avenir Book" w:hAnsi="Avenir Book" w:cs="Calibri"/>
        </w:rPr>
        <w:endnoteReference w:id="6"/>
      </w:r>
    </w:p>
    <w:p w14:paraId="61440A02" w14:textId="77777777" w:rsidR="00350072" w:rsidRPr="00350072" w:rsidRDefault="00350072" w:rsidP="00350072">
      <w:pPr>
        <w:pStyle w:val="ListParagraph"/>
        <w:rPr>
          <w:rFonts w:ascii="Avenir Book" w:hAnsi="Avenir Book" w:cs="Calibri"/>
        </w:rPr>
      </w:pPr>
    </w:p>
    <w:p w14:paraId="3C500D71" w14:textId="77777777" w:rsidR="00350072" w:rsidRPr="00350072" w:rsidRDefault="00AC7079" w:rsidP="00C74146">
      <w:pPr>
        <w:pStyle w:val="ListParagraph"/>
        <w:numPr>
          <w:ilvl w:val="1"/>
          <w:numId w:val="2"/>
        </w:numPr>
        <w:ind w:left="851" w:hanging="851"/>
        <w:rPr>
          <w:rFonts w:ascii="Avenir Book" w:hAnsi="Avenir Book"/>
        </w:rPr>
      </w:pPr>
      <w:r w:rsidRPr="00350072">
        <w:rPr>
          <w:rFonts w:ascii="Avenir Book" w:hAnsi="Avenir Book" w:cs="Calibri"/>
          <w:color w:val="000000" w:themeColor="text1"/>
        </w:rPr>
        <w:t>Using an intersectional lens, conduct disability-inclusive research and inquiries into the sexual and reproductive rights of people with disability, including for women and girls with disability, men and boys with disability, First Nations people with disability, LGBTIQA+ people with disability, culturally and linguistically diverse people with disability, and older people with disability.</w:t>
      </w:r>
    </w:p>
    <w:p w14:paraId="66208961" w14:textId="77777777" w:rsidR="00350072" w:rsidRPr="00350072" w:rsidRDefault="00350072" w:rsidP="00350072">
      <w:pPr>
        <w:pStyle w:val="ListParagraph"/>
        <w:rPr>
          <w:rFonts w:ascii="Avenir Book" w:hAnsi="Avenir Book" w:cs="Calibri"/>
          <w:color w:val="000000" w:themeColor="text1"/>
        </w:rPr>
      </w:pPr>
    </w:p>
    <w:p w14:paraId="28C87065" w14:textId="34DAC427" w:rsidR="00AC7079" w:rsidRPr="00350072" w:rsidRDefault="00AC7079" w:rsidP="00C74146">
      <w:pPr>
        <w:pStyle w:val="ListParagraph"/>
        <w:numPr>
          <w:ilvl w:val="1"/>
          <w:numId w:val="2"/>
        </w:numPr>
        <w:ind w:left="851" w:hanging="851"/>
        <w:rPr>
          <w:rFonts w:ascii="Avenir Book" w:hAnsi="Avenir Book"/>
        </w:rPr>
      </w:pPr>
      <w:r w:rsidRPr="00350072">
        <w:rPr>
          <w:rFonts w:ascii="Avenir Book" w:hAnsi="Avenir Book" w:cs="Calibri"/>
          <w:color w:val="000000" w:themeColor="text1"/>
        </w:rPr>
        <w:t xml:space="preserve">Commission a national inquiry into the legal, policy and social support environment that gives rise to the removal of babies and children from parents with disability, at a rate at 10 times higher than non-disabled parents, with a specific focus on First Nations parents with disability. </w:t>
      </w:r>
    </w:p>
    <w:p w14:paraId="18DAE6A8" w14:textId="77777777" w:rsidR="00350072" w:rsidRPr="00350072" w:rsidRDefault="00350072" w:rsidP="00350072">
      <w:pPr>
        <w:pStyle w:val="ListParagraph"/>
        <w:rPr>
          <w:rFonts w:ascii="Avenir Book" w:hAnsi="Avenir Book"/>
        </w:rPr>
      </w:pPr>
    </w:p>
    <w:p w14:paraId="2C8C9A79" w14:textId="77777777" w:rsidR="00AC7079" w:rsidRPr="00350072" w:rsidRDefault="00AC7079" w:rsidP="00C74146">
      <w:pPr>
        <w:pStyle w:val="ListParagraph"/>
        <w:numPr>
          <w:ilvl w:val="1"/>
          <w:numId w:val="2"/>
        </w:numPr>
        <w:ind w:left="851" w:hanging="851"/>
        <w:rPr>
          <w:rFonts w:ascii="Avenir Book" w:hAnsi="Avenir Book"/>
        </w:rPr>
      </w:pPr>
      <w:r w:rsidRPr="00350072">
        <w:rPr>
          <w:rFonts w:ascii="Avenir Book" w:hAnsi="Avenir Book" w:cs="Calibri"/>
          <w:color w:val="000000" w:themeColor="text1"/>
        </w:rPr>
        <w:t xml:space="preserve">Implement the recommendations from the </w:t>
      </w:r>
      <w:r w:rsidRPr="00350072">
        <w:rPr>
          <w:rFonts w:ascii="Avenir Book" w:hAnsi="Avenir Book" w:cs="Calibri"/>
        </w:rPr>
        <w:t xml:space="preserve">DRC commissioned research report into parenting: </w:t>
      </w:r>
      <w:r w:rsidRPr="00350072">
        <w:rPr>
          <w:rFonts w:ascii="Avenir Book" w:hAnsi="Avenir Book" w:cs="Calibri"/>
          <w:i/>
          <w:iCs/>
        </w:rPr>
        <w:t>‘Parents with disability and their experiences of child protection systems’</w:t>
      </w:r>
      <w:r w:rsidRPr="00350072">
        <w:rPr>
          <w:rFonts w:ascii="Avenir Book" w:hAnsi="Avenir Book" w:cs="Calibri"/>
        </w:rPr>
        <w:t xml:space="preserve"> (July 2023).</w:t>
      </w:r>
      <w:r>
        <w:rPr>
          <w:rStyle w:val="EndnoteReference"/>
          <w:rFonts w:ascii="Avenir Book" w:hAnsi="Avenir Book" w:cs="Calibri"/>
        </w:rPr>
        <w:endnoteReference w:id="7"/>
      </w:r>
    </w:p>
    <w:p w14:paraId="1A851FBF" w14:textId="77777777" w:rsidR="00350072" w:rsidRPr="00350072" w:rsidRDefault="00350072" w:rsidP="00350072">
      <w:pPr>
        <w:pStyle w:val="ListParagraph"/>
        <w:rPr>
          <w:rFonts w:ascii="Avenir Book" w:hAnsi="Avenir Book"/>
        </w:rPr>
      </w:pPr>
    </w:p>
    <w:p w14:paraId="275BC9DD" w14:textId="2DEDD96B" w:rsidR="004533D5" w:rsidRPr="00066E72" w:rsidRDefault="00AC7079" w:rsidP="00066E72">
      <w:pPr>
        <w:pStyle w:val="ListParagraph"/>
        <w:numPr>
          <w:ilvl w:val="1"/>
          <w:numId w:val="2"/>
        </w:numPr>
        <w:ind w:left="851" w:hanging="851"/>
        <w:rPr>
          <w:rFonts w:ascii="Avenir Book" w:hAnsi="Avenir Book" w:cs="Calibri"/>
          <w:color w:val="000000" w:themeColor="text1"/>
        </w:rPr>
      </w:pPr>
      <w:r w:rsidRPr="00350072">
        <w:rPr>
          <w:rFonts w:ascii="Avenir Book" w:hAnsi="Avenir Book" w:cs="Calibri"/>
          <w:color w:val="000000" w:themeColor="text1"/>
        </w:rPr>
        <w:t xml:space="preserve">In co-design with people with disability, the National Disability Insurance Scheme (NDIS) should develop a </w:t>
      </w:r>
      <w:r w:rsidRPr="00350072">
        <w:rPr>
          <w:rFonts w:ascii="Avenir Book" w:hAnsi="Avenir Book" w:cs="Calibri"/>
          <w:i/>
          <w:iCs/>
          <w:color w:val="000000" w:themeColor="text1"/>
        </w:rPr>
        <w:t>‘Sexuality &amp; Relationships Policy’</w:t>
      </w:r>
      <w:r w:rsidRPr="00350072">
        <w:rPr>
          <w:rFonts w:ascii="Avenir Book" w:hAnsi="Avenir Book" w:cs="Calibri"/>
          <w:color w:val="000000" w:themeColor="text1"/>
        </w:rPr>
        <w:t xml:space="preserve"> which includes explicit provisions for NDIS participants to access funded supports that enable them to realise their rights to sexual health information, sexual pleasure, expression, association, freedom, autonomy and self-determination.</w:t>
      </w:r>
      <w:r w:rsidRPr="000224CA">
        <w:rPr>
          <w:vertAlign w:val="superscript"/>
        </w:rPr>
        <w:endnoteReference w:id="8"/>
      </w:r>
      <w:r w:rsidR="00066E72" w:rsidRPr="00066E72">
        <w:rPr>
          <w:rFonts w:ascii="Avenir Book" w:hAnsi="Avenir Book" w:cs="Calibri"/>
          <w:color w:val="000000" w:themeColor="text1"/>
        </w:rPr>
        <w:br w:type="page"/>
      </w:r>
    </w:p>
    <w:p w14:paraId="414862FB" w14:textId="73BDFD7F" w:rsidR="00AC7079" w:rsidRPr="004533D5" w:rsidRDefault="004533D5" w:rsidP="004533D5">
      <w:pPr>
        <w:spacing w:after="120"/>
        <w:rPr>
          <w:rFonts w:ascii="Avenir Book" w:hAnsi="Avenir Book" w:cs="Calibri"/>
          <w:color w:val="7030A0"/>
        </w:rPr>
      </w:pPr>
      <w:r>
        <w:rPr>
          <w:rFonts w:ascii="Avenir Book" w:hAnsi="Avenir Book" w:cs="Calibri"/>
          <w:color w:val="7030A0"/>
        </w:rPr>
        <w:lastRenderedPageBreak/>
        <w:t>Urgently address indefinite detention and deprivation of liberty of people with disability, particularly First Nations people with disability, people with cognitive disability and people with psychosocial disability</w:t>
      </w:r>
    </w:p>
    <w:p w14:paraId="476E19FC" w14:textId="77777777" w:rsidR="00AF5FB9" w:rsidRPr="00AF5FB9" w:rsidRDefault="00AF5FB9" w:rsidP="00C74146">
      <w:pPr>
        <w:pStyle w:val="ListParagraph"/>
        <w:numPr>
          <w:ilvl w:val="1"/>
          <w:numId w:val="2"/>
        </w:numPr>
        <w:spacing w:line="276" w:lineRule="auto"/>
        <w:ind w:left="709" w:hanging="709"/>
        <w:rPr>
          <w:rFonts w:ascii="Avenir Book" w:hAnsi="Avenir Book" w:cs="Calibri"/>
        </w:rPr>
      </w:pPr>
      <w:r w:rsidRPr="00AF5FB9">
        <w:rPr>
          <w:rFonts w:ascii="Avenir Book" w:hAnsi="Avenir Book"/>
          <w:bCs/>
        </w:rPr>
        <w:t xml:space="preserve">Implement DRC recommendations in relation to OPCAT </w:t>
      </w:r>
      <w:r w:rsidRPr="00AF5FB9">
        <w:rPr>
          <w:rFonts w:ascii="Avenir Book" w:hAnsi="Avenir Book" w:cs="Calibri"/>
          <w:bCs/>
          <w:color w:val="000000" w:themeColor="text1"/>
        </w:rPr>
        <w:t>– recommendations 8.2 and 11.6-11.11 – as a matter of priority.</w:t>
      </w:r>
    </w:p>
    <w:p w14:paraId="35F37B8F" w14:textId="77777777" w:rsidR="00AF5FB9" w:rsidRPr="00AF5FB9" w:rsidRDefault="00AF5FB9" w:rsidP="00AF5FB9">
      <w:pPr>
        <w:pStyle w:val="ListParagraph"/>
        <w:spacing w:line="276" w:lineRule="auto"/>
        <w:ind w:left="709"/>
        <w:rPr>
          <w:rFonts w:ascii="Avenir Book" w:hAnsi="Avenir Book" w:cs="Calibri"/>
        </w:rPr>
      </w:pPr>
    </w:p>
    <w:p w14:paraId="65E7B1C9" w14:textId="77777777" w:rsidR="00AF5FB9" w:rsidRPr="00AF5FB9" w:rsidRDefault="00AF5FB9" w:rsidP="00C74146">
      <w:pPr>
        <w:pStyle w:val="ListParagraph"/>
        <w:numPr>
          <w:ilvl w:val="1"/>
          <w:numId w:val="2"/>
        </w:numPr>
        <w:spacing w:line="276" w:lineRule="auto"/>
        <w:ind w:left="709" w:hanging="709"/>
        <w:rPr>
          <w:rFonts w:ascii="Avenir Book" w:hAnsi="Avenir Book" w:cs="Calibri"/>
        </w:rPr>
      </w:pPr>
      <w:r w:rsidRPr="00AF5FB9">
        <w:rPr>
          <w:rFonts w:ascii="Avenir Book" w:hAnsi="Avenir Book" w:cs="Calibri"/>
          <w:bCs/>
          <w:color w:val="000000" w:themeColor="text1"/>
        </w:rPr>
        <w:t>Implement DRC recommendation 8.22, Age of criminal responsibility as a matter of priority.</w:t>
      </w:r>
    </w:p>
    <w:p w14:paraId="65CC3D8A" w14:textId="77777777" w:rsidR="00AF5FB9" w:rsidRPr="00AF5FB9" w:rsidRDefault="00AF5FB9" w:rsidP="00AF5FB9">
      <w:pPr>
        <w:pStyle w:val="ListParagraph"/>
        <w:rPr>
          <w:rFonts w:ascii="Avenir Book" w:hAnsi="Avenir Book" w:cs="Calibri"/>
        </w:rPr>
      </w:pPr>
    </w:p>
    <w:p w14:paraId="049C52AD" w14:textId="77777777" w:rsidR="00AF5FB9" w:rsidRPr="00AF5FB9" w:rsidRDefault="00AF5FB9" w:rsidP="00C74146">
      <w:pPr>
        <w:pStyle w:val="ListParagraph"/>
        <w:numPr>
          <w:ilvl w:val="1"/>
          <w:numId w:val="2"/>
        </w:numPr>
        <w:spacing w:line="276" w:lineRule="auto"/>
        <w:ind w:left="709" w:hanging="709"/>
        <w:rPr>
          <w:rFonts w:ascii="Avenir Book" w:hAnsi="Avenir Book" w:cs="Calibri"/>
        </w:rPr>
      </w:pPr>
      <w:r w:rsidRPr="00AF5FB9">
        <w:rPr>
          <w:rFonts w:ascii="Avenir Book" w:hAnsi="Avenir Book" w:cs="Calibri"/>
          <w:bCs/>
          <w:color w:val="000000" w:themeColor="text1"/>
        </w:rPr>
        <w:t>Review recommendation 8.3, Prohibiting solitary confinement in youth detention to ensure greater clarity and stronger safeguards to respond to histories of child trauma, abuse and neglect and to the specific development, health and well-being needs of children.</w:t>
      </w:r>
    </w:p>
    <w:p w14:paraId="510BBF2D" w14:textId="77777777" w:rsidR="00AF5FB9" w:rsidRPr="00AF5FB9" w:rsidRDefault="00AF5FB9" w:rsidP="00AF5FB9">
      <w:pPr>
        <w:pStyle w:val="ListParagraph"/>
        <w:rPr>
          <w:rFonts w:ascii="Avenir Book" w:hAnsi="Avenir Book" w:cs="Calibri"/>
        </w:rPr>
      </w:pPr>
    </w:p>
    <w:p w14:paraId="7C1C647A" w14:textId="77777777" w:rsidR="00AF5FB9" w:rsidRPr="00AF5FB9" w:rsidRDefault="00AF5FB9" w:rsidP="00C74146">
      <w:pPr>
        <w:pStyle w:val="ListParagraph"/>
        <w:numPr>
          <w:ilvl w:val="1"/>
          <w:numId w:val="2"/>
        </w:numPr>
        <w:spacing w:line="276" w:lineRule="auto"/>
        <w:ind w:left="709" w:hanging="709"/>
        <w:rPr>
          <w:rFonts w:ascii="Avenir Book" w:hAnsi="Avenir Book" w:cs="Calibri"/>
        </w:rPr>
      </w:pPr>
      <w:r w:rsidRPr="00AF5FB9">
        <w:rPr>
          <w:rFonts w:ascii="Avenir Book" w:hAnsi="Avenir Book" w:cs="Calibri"/>
          <w:bCs/>
          <w:color w:val="000000" w:themeColor="text1"/>
        </w:rPr>
        <w:t>Review recommendation 8.4, Screening and assessment for disability in youth detention to ensure that it applies to all children and young people.</w:t>
      </w:r>
    </w:p>
    <w:p w14:paraId="08B4F7A7" w14:textId="77777777" w:rsidR="00AF5FB9" w:rsidRPr="00AF5FB9" w:rsidRDefault="00AF5FB9" w:rsidP="00AF5FB9">
      <w:pPr>
        <w:pStyle w:val="ListParagraph"/>
        <w:rPr>
          <w:rFonts w:ascii="Avenir Book" w:hAnsi="Avenir Book" w:cs="Calibri"/>
        </w:rPr>
      </w:pPr>
    </w:p>
    <w:p w14:paraId="68478DE9" w14:textId="77777777" w:rsidR="00AF5FB9" w:rsidRPr="00AF5FB9" w:rsidRDefault="00AF5FB9" w:rsidP="00C74146">
      <w:pPr>
        <w:pStyle w:val="ListParagraph"/>
        <w:numPr>
          <w:ilvl w:val="1"/>
          <w:numId w:val="2"/>
        </w:numPr>
        <w:spacing w:line="276" w:lineRule="auto"/>
        <w:ind w:left="709" w:hanging="709"/>
        <w:rPr>
          <w:rFonts w:ascii="Avenir Book" w:hAnsi="Avenir Book" w:cs="Calibri"/>
        </w:rPr>
      </w:pPr>
      <w:r w:rsidRPr="00AF5FB9">
        <w:rPr>
          <w:rFonts w:ascii="Avenir Book" w:hAnsi="Avenir Book" w:cs="Calibri"/>
          <w:bCs/>
          <w:color w:val="000000" w:themeColor="text1"/>
        </w:rPr>
        <w:t xml:space="preserve">In line with the CRPD, amend and/or repeal all state, territory and federal legislation that limits the legal capacity of persons with disability allowing them to be indefinitely detained and guarantee access to justice on an equal basis with others throughout judicial proceedings. This action should be mandatory, irrespective of endorsement and implementation of the National Principles. </w:t>
      </w:r>
    </w:p>
    <w:p w14:paraId="7A7C9A27" w14:textId="77777777" w:rsidR="00AF5FB9" w:rsidRPr="00AF5FB9" w:rsidRDefault="00AF5FB9" w:rsidP="00AF5FB9">
      <w:pPr>
        <w:pStyle w:val="ListParagraph"/>
        <w:rPr>
          <w:rFonts w:ascii="Avenir Book" w:hAnsi="Avenir Book" w:cs="Calibri"/>
        </w:rPr>
      </w:pPr>
    </w:p>
    <w:p w14:paraId="1C1C0B93" w14:textId="77777777" w:rsidR="00AF5FB9" w:rsidRPr="00AF5FB9" w:rsidRDefault="00AF5FB9" w:rsidP="00C74146">
      <w:pPr>
        <w:pStyle w:val="ListParagraph"/>
        <w:numPr>
          <w:ilvl w:val="1"/>
          <w:numId w:val="2"/>
        </w:numPr>
        <w:spacing w:line="276" w:lineRule="auto"/>
        <w:ind w:left="709" w:hanging="709"/>
        <w:rPr>
          <w:rFonts w:ascii="Avenir Book" w:hAnsi="Avenir Book" w:cs="Calibri"/>
        </w:rPr>
      </w:pPr>
      <w:r w:rsidRPr="00AF5FB9">
        <w:rPr>
          <w:rFonts w:ascii="Avenir Book" w:hAnsi="Avenir Book" w:cs="Calibri"/>
          <w:bCs/>
          <w:color w:val="000000" w:themeColor="text1"/>
        </w:rPr>
        <w:t>Establish and implement supported decision-making mechanisms and gender, age and culturally appropriate support and assistance programs to facilitate access to justice (CRPD article 13), to enable the exercise of legal capacity (CRPD article 12), and to avoid ‘unfit to plead’ declarations and the trajectory to indefinite detention (CRPD article 14).</w:t>
      </w:r>
    </w:p>
    <w:p w14:paraId="695D597D" w14:textId="77777777" w:rsidR="00AF5FB9" w:rsidRPr="00AF5FB9" w:rsidRDefault="00AF5FB9" w:rsidP="00AF5FB9">
      <w:pPr>
        <w:pStyle w:val="ListParagraph"/>
        <w:rPr>
          <w:rFonts w:ascii="Avenir Book" w:hAnsi="Avenir Book" w:cs="Calibri"/>
        </w:rPr>
      </w:pPr>
    </w:p>
    <w:p w14:paraId="7AF4B767" w14:textId="77777777" w:rsidR="00AF5FB9" w:rsidRPr="00AF5FB9" w:rsidRDefault="00AF5FB9" w:rsidP="00C74146">
      <w:pPr>
        <w:pStyle w:val="ListParagraph"/>
        <w:numPr>
          <w:ilvl w:val="1"/>
          <w:numId w:val="2"/>
        </w:numPr>
        <w:spacing w:line="276" w:lineRule="auto"/>
        <w:ind w:left="709" w:hanging="709"/>
        <w:rPr>
          <w:rFonts w:ascii="Avenir Book" w:hAnsi="Avenir Book" w:cs="Calibri"/>
        </w:rPr>
      </w:pPr>
      <w:r w:rsidRPr="00AF5FB9">
        <w:rPr>
          <w:rFonts w:ascii="Avenir Book" w:hAnsi="Avenir Book" w:cs="Calibri"/>
          <w:bCs/>
          <w:color w:val="000000" w:themeColor="text1"/>
        </w:rPr>
        <w:t>Develop and implement a national disability justice strategy to address the over-representation of people with disability, particularly First Nations people with disability in the criminal justice system that includes comprehensive measures to prevent and respond to the criminalisation of disability, such as establishing justice reinvestment strategies</w:t>
      </w:r>
      <w:r>
        <w:rPr>
          <w:rStyle w:val="EndnoteReference"/>
          <w:rFonts w:ascii="Avenir Book" w:hAnsi="Avenir Book" w:cs="Calibri"/>
          <w:bCs/>
          <w:color w:val="000000" w:themeColor="text1"/>
        </w:rPr>
        <w:endnoteReference w:id="9"/>
      </w:r>
      <w:r w:rsidRPr="00AF5FB9">
        <w:rPr>
          <w:rFonts w:ascii="Avenir Book" w:hAnsi="Avenir Book" w:cs="Calibri"/>
          <w:bCs/>
          <w:color w:val="000000" w:themeColor="text1"/>
        </w:rPr>
        <w:t xml:space="preserve"> and intensive and gender, age and culturally appropriate coordinated support from multiple agencies.</w:t>
      </w:r>
    </w:p>
    <w:p w14:paraId="77C7DD6F" w14:textId="77777777" w:rsidR="00AF5FB9" w:rsidRPr="00AF5FB9" w:rsidRDefault="00AF5FB9" w:rsidP="00AF5FB9">
      <w:pPr>
        <w:pStyle w:val="ListParagraph"/>
        <w:rPr>
          <w:rFonts w:ascii="Avenir Book" w:hAnsi="Avenir Book" w:cs="Calibri"/>
        </w:rPr>
      </w:pPr>
    </w:p>
    <w:p w14:paraId="4CB6A358" w14:textId="77777777" w:rsidR="00066E72" w:rsidRDefault="00AF5FB9" w:rsidP="00C74146">
      <w:pPr>
        <w:pStyle w:val="ListParagraph"/>
        <w:numPr>
          <w:ilvl w:val="1"/>
          <w:numId w:val="2"/>
        </w:numPr>
        <w:spacing w:line="276" w:lineRule="auto"/>
        <w:ind w:left="709" w:hanging="709"/>
        <w:rPr>
          <w:rFonts w:ascii="Avenir Book" w:hAnsi="Avenir Book" w:cs="Calibri"/>
          <w:bCs/>
          <w:color w:val="000000" w:themeColor="text1"/>
        </w:rPr>
      </w:pPr>
      <w:r w:rsidRPr="00AF5FB9">
        <w:rPr>
          <w:rFonts w:ascii="Avenir Book" w:hAnsi="Avenir Book" w:cs="Calibri"/>
          <w:bCs/>
          <w:color w:val="000000" w:themeColor="text1"/>
        </w:rPr>
        <w:t>Undertake an analysis of recommendations from previous inquiries and reports</w:t>
      </w:r>
      <w:r w:rsidRPr="00434136">
        <w:rPr>
          <w:vertAlign w:val="superscript"/>
        </w:rPr>
        <w:endnoteReference w:id="10"/>
      </w:r>
      <w:r w:rsidRPr="00AF5FB9">
        <w:rPr>
          <w:rFonts w:ascii="Avenir Book" w:hAnsi="Avenir Book" w:cs="Calibri"/>
          <w:bCs/>
          <w:color w:val="000000" w:themeColor="text1"/>
        </w:rPr>
        <w:t xml:space="preserve"> to ensure that, in combination with the DRC recommendations, a full suite of </w:t>
      </w:r>
    </w:p>
    <w:p w14:paraId="7E32E832" w14:textId="77777777" w:rsidR="00066E72" w:rsidRDefault="00066E72">
      <w:pPr>
        <w:rPr>
          <w:rFonts w:ascii="Avenir Book" w:eastAsiaTheme="minorHAnsi" w:hAnsi="Avenir Book" w:cs="Calibri"/>
          <w:bCs/>
          <w:color w:val="000000" w:themeColor="text1"/>
          <w:lang w:val="en-GB"/>
        </w:rPr>
      </w:pPr>
      <w:r>
        <w:rPr>
          <w:rFonts w:ascii="Avenir Book" w:hAnsi="Avenir Book" w:cs="Calibri"/>
          <w:bCs/>
          <w:color w:val="000000" w:themeColor="text1"/>
        </w:rPr>
        <w:br w:type="page"/>
      </w:r>
    </w:p>
    <w:p w14:paraId="192CE2AE" w14:textId="15A536C5" w:rsidR="00AF5FB9" w:rsidRPr="00AF5FB9" w:rsidRDefault="00AF5FB9" w:rsidP="00C74146">
      <w:pPr>
        <w:pStyle w:val="ListParagraph"/>
        <w:numPr>
          <w:ilvl w:val="1"/>
          <w:numId w:val="2"/>
        </w:numPr>
        <w:spacing w:line="276" w:lineRule="auto"/>
        <w:ind w:left="709" w:hanging="709"/>
        <w:rPr>
          <w:rFonts w:ascii="Avenir Book" w:hAnsi="Avenir Book" w:cs="Calibri"/>
        </w:rPr>
      </w:pPr>
      <w:r w:rsidRPr="00AF5FB9">
        <w:rPr>
          <w:rFonts w:ascii="Avenir Book" w:hAnsi="Avenir Book" w:cs="Calibri"/>
          <w:bCs/>
          <w:color w:val="000000" w:themeColor="text1"/>
        </w:rPr>
        <w:lastRenderedPageBreak/>
        <w:t xml:space="preserve">recommendations is implemented to address the situation of people with disability in the criminal justice system. </w:t>
      </w:r>
    </w:p>
    <w:p w14:paraId="237AE204" w14:textId="77777777" w:rsidR="00AF5FB9" w:rsidRPr="00AF5FB9" w:rsidRDefault="00AF5FB9" w:rsidP="00AF5FB9">
      <w:pPr>
        <w:pStyle w:val="ListParagraph"/>
        <w:rPr>
          <w:rFonts w:ascii="Avenir Book" w:hAnsi="Avenir Book" w:cs="Calibri"/>
        </w:rPr>
      </w:pPr>
    </w:p>
    <w:p w14:paraId="27915D05" w14:textId="6A00F537" w:rsidR="00B54DE9" w:rsidRPr="005401F8" w:rsidRDefault="00AF5FB9" w:rsidP="00C74146">
      <w:pPr>
        <w:pStyle w:val="ListParagraph"/>
        <w:numPr>
          <w:ilvl w:val="1"/>
          <w:numId w:val="2"/>
        </w:numPr>
        <w:spacing w:line="276" w:lineRule="auto"/>
        <w:ind w:left="709" w:hanging="709"/>
        <w:rPr>
          <w:rFonts w:ascii="Avenir Book" w:hAnsi="Avenir Book" w:cs="Calibri"/>
        </w:rPr>
      </w:pPr>
      <w:r w:rsidRPr="00AF5FB9">
        <w:rPr>
          <w:rFonts w:ascii="Avenir Book" w:hAnsi="Avenir Book" w:cs="Calibri"/>
          <w:bCs/>
          <w:color w:val="000000" w:themeColor="text1"/>
        </w:rPr>
        <w:t>Ensure close engagement with the Australian Human Rights Commission (AHRC) investigation into youth justice system reforms and child well-being across Australia.</w:t>
      </w:r>
    </w:p>
    <w:p w14:paraId="57C2D769" w14:textId="77777777" w:rsidR="005401F8" w:rsidRDefault="005401F8" w:rsidP="005401F8">
      <w:pPr>
        <w:pStyle w:val="ListParagraph"/>
        <w:rPr>
          <w:rFonts w:ascii="Avenir Book" w:hAnsi="Avenir Book" w:cs="Calibri"/>
        </w:rPr>
      </w:pPr>
    </w:p>
    <w:p w14:paraId="01996933" w14:textId="26B7FED4" w:rsidR="005401F8" w:rsidRPr="004533D5" w:rsidRDefault="005401F8" w:rsidP="005401F8">
      <w:pPr>
        <w:spacing w:after="120"/>
        <w:rPr>
          <w:rFonts w:ascii="Avenir Book" w:hAnsi="Avenir Book" w:cs="Calibri"/>
          <w:color w:val="7030A0"/>
        </w:rPr>
      </w:pPr>
      <w:r>
        <w:rPr>
          <w:rFonts w:ascii="Avenir Book" w:hAnsi="Avenir Book" w:cs="Calibri"/>
          <w:color w:val="7030A0"/>
        </w:rPr>
        <w:t>End discrimination against migrants and refugees with disability</w:t>
      </w:r>
    </w:p>
    <w:p w14:paraId="422041E6" w14:textId="77777777" w:rsidR="000E10D1" w:rsidRPr="000E10D1" w:rsidRDefault="000E10D1" w:rsidP="00C74146">
      <w:pPr>
        <w:pStyle w:val="ListParagraph"/>
        <w:numPr>
          <w:ilvl w:val="1"/>
          <w:numId w:val="2"/>
        </w:numPr>
        <w:spacing w:line="276" w:lineRule="auto"/>
        <w:ind w:left="709" w:hanging="709"/>
        <w:rPr>
          <w:rFonts w:ascii="Avenir Book" w:hAnsi="Avenir Book" w:cs="Calibri"/>
        </w:rPr>
      </w:pPr>
      <w:r w:rsidRPr="000E10D1">
        <w:rPr>
          <w:rFonts w:ascii="Avenir Book" w:hAnsi="Avenir Book" w:cs="Calibri"/>
          <w:color w:val="000000" w:themeColor="text1"/>
        </w:rPr>
        <w:t>Withdraw Australia’s interpretative declaration on article 18 of the CRPD.</w:t>
      </w:r>
    </w:p>
    <w:p w14:paraId="4BF91DBE" w14:textId="77777777" w:rsidR="000E10D1" w:rsidRPr="000E10D1" w:rsidRDefault="000E10D1" w:rsidP="00EC3599">
      <w:pPr>
        <w:pStyle w:val="ListParagraph"/>
        <w:spacing w:line="276" w:lineRule="auto"/>
        <w:ind w:left="709"/>
        <w:contextualSpacing w:val="0"/>
        <w:rPr>
          <w:rFonts w:ascii="Avenir Book" w:hAnsi="Avenir Book" w:cs="Calibri"/>
        </w:rPr>
      </w:pPr>
    </w:p>
    <w:p w14:paraId="6A8CED6B" w14:textId="77777777" w:rsidR="000E10D1" w:rsidRPr="000E10D1" w:rsidRDefault="000E10D1" w:rsidP="00C74146">
      <w:pPr>
        <w:pStyle w:val="ListParagraph"/>
        <w:numPr>
          <w:ilvl w:val="1"/>
          <w:numId w:val="2"/>
        </w:numPr>
        <w:spacing w:line="276" w:lineRule="auto"/>
        <w:ind w:left="709" w:hanging="709"/>
        <w:rPr>
          <w:rFonts w:ascii="Avenir Book" w:hAnsi="Avenir Book" w:cs="Calibri"/>
        </w:rPr>
      </w:pPr>
      <w:r w:rsidRPr="000E10D1">
        <w:rPr>
          <w:rFonts w:ascii="Avenir Book" w:hAnsi="Avenir Book" w:cs="Calibri"/>
          <w:color w:val="000000" w:themeColor="text1"/>
        </w:rPr>
        <w:t xml:space="preserve">Remove the exemption in the DDA in relation to the </w:t>
      </w:r>
      <w:r w:rsidRPr="000E10D1">
        <w:rPr>
          <w:rFonts w:ascii="Avenir Book" w:hAnsi="Avenir Book" w:cs="Calibri"/>
          <w:i/>
          <w:iCs/>
          <w:color w:val="000000" w:themeColor="text1"/>
        </w:rPr>
        <w:t>Migration Act 1958</w:t>
      </w:r>
      <w:r w:rsidRPr="000E10D1">
        <w:rPr>
          <w:rFonts w:ascii="Avenir Book" w:hAnsi="Avenir Book" w:cs="Calibri"/>
          <w:color w:val="000000" w:themeColor="text1"/>
        </w:rPr>
        <w:t xml:space="preserve"> (</w:t>
      </w:r>
      <w:proofErr w:type="spellStart"/>
      <w:r w:rsidRPr="000E10D1">
        <w:rPr>
          <w:rFonts w:ascii="Avenir Book" w:hAnsi="Avenir Book" w:cs="Calibri"/>
          <w:color w:val="000000" w:themeColor="text1"/>
        </w:rPr>
        <w:t>Cth</w:t>
      </w:r>
      <w:proofErr w:type="spellEnd"/>
      <w:r w:rsidRPr="000E10D1">
        <w:rPr>
          <w:rFonts w:ascii="Avenir Book" w:hAnsi="Avenir Book" w:cs="Calibri"/>
          <w:color w:val="000000" w:themeColor="text1"/>
        </w:rPr>
        <w:t>) and amend migration laws and policies to eliminate discrimination in migration and asylum policies and procedures.</w:t>
      </w:r>
    </w:p>
    <w:p w14:paraId="6855EA53" w14:textId="77777777" w:rsidR="000E10D1" w:rsidRPr="000E10D1" w:rsidRDefault="000E10D1" w:rsidP="000E10D1">
      <w:pPr>
        <w:pStyle w:val="ListParagraph"/>
        <w:rPr>
          <w:rFonts w:ascii="Avenir Book" w:hAnsi="Avenir Book" w:cs="Calibri"/>
        </w:rPr>
      </w:pPr>
    </w:p>
    <w:p w14:paraId="1FA412EB" w14:textId="77777777" w:rsidR="000E10D1" w:rsidRPr="000E10D1" w:rsidRDefault="000E10D1" w:rsidP="00C74146">
      <w:pPr>
        <w:pStyle w:val="ListParagraph"/>
        <w:numPr>
          <w:ilvl w:val="1"/>
          <w:numId w:val="2"/>
        </w:numPr>
        <w:spacing w:line="276" w:lineRule="auto"/>
        <w:ind w:left="709" w:hanging="709"/>
        <w:rPr>
          <w:rFonts w:ascii="Avenir Book" w:hAnsi="Avenir Book" w:cs="Calibri"/>
        </w:rPr>
      </w:pPr>
      <w:r w:rsidRPr="000E10D1">
        <w:rPr>
          <w:rFonts w:ascii="Avenir Book" w:hAnsi="Avenir Book" w:cs="Calibri"/>
          <w:color w:val="000000" w:themeColor="text1"/>
        </w:rPr>
        <w:t xml:space="preserve">Implement the recommendations set out by </w:t>
      </w:r>
      <w:r w:rsidRPr="000E10D1">
        <w:rPr>
          <w:rFonts w:ascii="Avenir Book" w:hAnsi="Avenir Book" w:cs="Calibri"/>
          <w:i/>
          <w:iCs/>
          <w:color w:val="000000" w:themeColor="text1"/>
        </w:rPr>
        <w:t>Welcoming Australia</w:t>
      </w:r>
      <w:r w:rsidRPr="000B4717">
        <w:rPr>
          <w:i/>
          <w:iCs/>
          <w:vertAlign w:val="superscript"/>
        </w:rPr>
        <w:endnoteReference w:id="11"/>
      </w:r>
      <w:r w:rsidRPr="000E10D1">
        <w:rPr>
          <w:rFonts w:ascii="Avenir Book" w:hAnsi="Avenir Book" w:cs="Calibri"/>
          <w:color w:val="000000" w:themeColor="text1"/>
        </w:rPr>
        <w:t xml:space="preserve"> in its Position Statement on Migration and Disability</w:t>
      </w:r>
      <w:r w:rsidRPr="000B4717">
        <w:rPr>
          <w:vertAlign w:val="superscript"/>
        </w:rPr>
        <w:endnoteReference w:id="12"/>
      </w:r>
      <w:r w:rsidRPr="000E10D1">
        <w:rPr>
          <w:rFonts w:ascii="Avenir Book" w:hAnsi="Avenir Book" w:cs="Calibri"/>
          <w:color w:val="000000" w:themeColor="text1"/>
        </w:rPr>
        <w:t xml:space="preserve"> and its submission</w:t>
      </w:r>
      <w:r w:rsidRPr="000B4717">
        <w:rPr>
          <w:vertAlign w:val="superscript"/>
        </w:rPr>
        <w:endnoteReference w:id="13"/>
      </w:r>
      <w:r w:rsidRPr="000E10D1">
        <w:rPr>
          <w:rFonts w:ascii="Avenir Book" w:hAnsi="Avenir Book" w:cs="Calibri"/>
          <w:color w:val="000000" w:themeColor="text1"/>
        </w:rPr>
        <w:t xml:space="preserve"> to the Department of Home Affairs’ Review of Australia’s visa Significant Cost Threshold (SCT).</w:t>
      </w:r>
      <w:r w:rsidRPr="000B4717">
        <w:rPr>
          <w:rStyle w:val="EndnoteReference"/>
          <w:rFonts w:ascii="Avenir Book" w:hAnsi="Avenir Book" w:cs="Calibri"/>
          <w:color w:val="000000" w:themeColor="text1"/>
        </w:rPr>
        <w:endnoteReference w:id="14"/>
      </w:r>
    </w:p>
    <w:p w14:paraId="747686C0" w14:textId="77777777" w:rsidR="000E10D1" w:rsidRPr="000E10D1" w:rsidRDefault="000E10D1" w:rsidP="000E10D1">
      <w:pPr>
        <w:pStyle w:val="ListParagraph"/>
        <w:rPr>
          <w:rFonts w:ascii="Avenir Book" w:hAnsi="Avenir Book" w:cs="Calibri"/>
          <w:color w:val="000000" w:themeColor="text1"/>
        </w:rPr>
      </w:pPr>
    </w:p>
    <w:p w14:paraId="4743EA99" w14:textId="1D28241D" w:rsidR="000E10D1" w:rsidRPr="000E10D1" w:rsidRDefault="000E10D1" w:rsidP="00C74146">
      <w:pPr>
        <w:pStyle w:val="ListParagraph"/>
        <w:numPr>
          <w:ilvl w:val="1"/>
          <w:numId w:val="2"/>
        </w:numPr>
        <w:spacing w:line="276" w:lineRule="auto"/>
        <w:ind w:left="709" w:hanging="709"/>
        <w:rPr>
          <w:rFonts w:ascii="Avenir Book" w:hAnsi="Avenir Book" w:cs="Calibri"/>
        </w:rPr>
      </w:pPr>
      <w:r w:rsidRPr="000E10D1">
        <w:rPr>
          <w:rFonts w:ascii="Avenir Book" w:hAnsi="Avenir Book" w:cs="Calibri"/>
          <w:color w:val="000000" w:themeColor="text1"/>
        </w:rPr>
        <w:t>Remove the 10-year qualifying period for migrants to access the Age and Disability Support Pensions and ensure asylum seekers and/or people with disability living in Australia on non-permanent visas can access the NDIS.</w:t>
      </w:r>
    </w:p>
    <w:p w14:paraId="417A37B2" w14:textId="77777777" w:rsidR="000E10D1" w:rsidRPr="000E10D1" w:rsidRDefault="000E10D1" w:rsidP="000E10D1">
      <w:pPr>
        <w:pStyle w:val="ListParagraph"/>
        <w:rPr>
          <w:rFonts w:ascii="Avenir Book" w:hAnsi="Avenir Book" w:cs="Calibri"/>
        </w:rPr>
      </w:pPr>
    </w:p>
    <w:p w14:paraId="138BB8F1" w14:textId="77777777" w:rsidR="000E10D1" w:rsidRPr="000E10D1" w:rsidRDefault="000E10D1" w:rsidP="00C74146">
      <w:pPr>
        <w:pStyle w:val="ListParagraph"/>
        <w:numPr>
          <w:ilvl w:val="1"/>
          <w:numId w:val="2"/>
        </w:numPr>
        <w:spacing w:line="276" w:lineRule="auto"/>
        <w:ind w:left="709" w:hanging="709"/>
        <w:rPr>
          <w:rFonts w:ascii="Avenir Book" w:hAnsi="Avenir Book" w:cs="Calibri"/>
        </w:rPr>
      </w:pPr>
      <w:r w:rsidRPr="000E10D1">
        <w:rPr>
          <w:rFonts w:ascii="Avenir Book" w:hAnsi="Avenir Book" w:cs="Calibri"/>
          <w:color w:val="000000" w:themeColor="text1"/>
        </w:rPr>
        <w:t xml:space="preserve">Conduct an independent inquiry into the asylum seeker laws, policies and practices, including mandatory immigration detention. </w:t>
      </w:r>
    </w:p>
    <w:p w14:paraId="38587987" w14:textId="77777777" w:rsidR="005401F8" w:rsidRDefault="005401F8" w:rsidP="000E10D1">
      <w:pPr>
        <w:pStyle w:val="ListParagraph"/>
        <w:spacing w:line="276" w:lineRule="auto"/>
        <w:ind w:left="709"/>
        <w:rPr>
          <w:rFonts w:ascii="Avenir Book" w:hAnsi="Avenir Book" w:cs="Calibri"/>
        </w:rPr>
      </w:pPr>
    </w:p>
    <w:p w14:paraId="319ACE39" w14:textId="0AC07E6C" w:rsidR="000E10D1" w:rsidRPr="000E10D1" w:rsidRDefault="000E10D1" w:rsidP="000E10D1">
      <w:pPr>
        <w:spacing w:after="120"/>
        <w:rPr>
          <w:rFonts w:ascii="Avenir Book" w:hAnsi="Avenir Book" w:cs="Calibri"/>
          <w:color w:val="7030A0"/>
        </w:rPr>
      </w:pPr>
      <w:r>
        <w:rPr>
          <w:rFonts w:ascii="Avenir Book" w:hAnsi="Avenir Book" w:cs="Calibri"/>
          <w:color w:val="7030A0"/>
        </w:rPr>
        <w:t>Urgently address the over-representation of people with disability living in poverty and ensure an adequate standard of living and social protection</w:t>
      </w:r>
    </w:p>
    <w:p w14:paraId="49EC94B1" w14:textId="51C6C405" w:rsidR="000E10D1" w:rsidRPr="000E10D1" w:rsidRDefault="000E10D1" w:rsidP="00C74146">
      <w:pPr>
        <w:pStyle w:val="ListParagraph"/>
        <w:numPr>
          <w:ilvl w:val="1"/>
          <w:numId w:val="2"/>
        </w:numPr>
        <w:spacing w:line="276" w:lineRule="auto"/>
        <w:ind w:left="709" w:hanging="709"/>
        <w:rPr>
          <w:rFonts w:ascii="Avenir Book" w:hAnsi="Avenir Book" w:cs="Calibri"/>
        </w:rPr>
      </w:pPr>
      <w:r w:rsidRPr="000E10D1">
        <w:rPr>
          <w:rFonts w:ascii="Avenir Book" w:hAnsi="Avenir Book" w:cs="Calibri"/>
          <w:color w:val="000000" w:themeColor="text1"/>
        </w:rPr>
        <w:t>Develop a disability-inclusive National Poverty Reduction Plan, with specific priority actions for First Nations peoples, recognition of intersectionality and linkages with other national plans, such as the National Disability Strategy, Closing the Gap, and the National Strategy to Achieve Gender Equality.</w:t>
      </w:r>
      <w:r w:rsidRPr="004B1314">
        <w:rPr>
          <w:rStyle w:val="EndnoteReference"/>
          <w:rFonts w:ascii="Avenir Book" w:hAnsi="Avenir Book" w:cs="Calibri"/>
          <w:color w:val="000000" w:themeColor="text1"/>
        </w:rPr>
        <w:endnoteReference w:id="15"/>
      </w:r>
    </w:p>
    <w:p w14:paraId="16B74CE1" w14:textId="77777777" w:rsidR="000E10D1" w:rsidRPr="000E10D1" w:rsidRDefault="000E10D1" w:rsidP="000E10D1">
      <w:pPr>
        <w:pStyle w:val="ListParagraph"/>
        <w:spacing w:line="276" w:lineRule="auto"/>
        <w:ind w:left="709"/>
        <w:rPr>
          <w:rFonts w:ascii="Avenir Book" w:hAnsi="Avenir Book" w:cs="Calibri"/>
        </w:rPr>
      </w:pPr>
    </w:p>
    <w:p w14:paraId="141130A8" w14:textId="77777777" w:rsidR="000E10D1" w:rsidRPr="000E10D1" w:rsidRDefault="000E10D1" w:rsidP="00C74146">
      <w:pPr>
        <w:pStyle w:val="ListParagraph"/>
        <w:numPr>
          <w:ilvl w:val="1"/>
          <w:numId w:val="2"/>
        </w:numPr>
        <w:spacing w:line="276" w:lineRule="auto"/>
        <w:ind w:left="709" w:hanging="709"/>
        <w:rPr>
          <w:rFonts w:ascii="Avenir Book" w:hAnsi="Avenir Book" w:cs="Calibri"/>
        </w:rPr>
      </w:pPr>
      <w:r w:rsidRPr="000E10D1">
        <w:rPr>
          <w:rFonts w:ascii="Avenir Book" w:hAnsi="Avenir Book"/>
        </w:rPr>
        <w:t xml:space="preserve">Review the Final Report from the Senate Community Affairs References Committee inquiry into the extent and nature of poverty in Australia and incorporate recommendations into the National Poverty Reduction Plan. </w:t>
      </w:r>
    </w:p>
    <w:p w14:paraId="6CE94F0F" w14:textId="77777777" w:rsidR="000E10D1" w:rsidRPr="000E10D1" w:rsidRDefault="000E10D1" w:rsidP="000E10D1">
      <w:pPr>
        <w:pStyle w:val="ListParagraph"/>
        <w:rPr>
          <w:rFonts w:ascii="Avenir Book" w:hAnsi="Avenir Book" w:cs="Calibri"/>
        </w:rPr>
      </w:pPr>
    </w:p>
    <w:p w14:paraId="41B43C8C" w14:textId="38D18FAC" w:rsidR="000E10D1" w:rsidRPr="00066E72" w:rsidRDefault="000E10D1" w:rsidP="00066E72">
      <w:pPr>
        <w:pStyle w:val="ListParagraph"/>
        <w:numPr>
          <w:ilvl w:val="1"/>
          <w:numId w:val="2"/>
        </w:numPr>
        <w:spacing w:line="276" w:lineRule="auto"/>
        <w:ind w:left="709" w:hanging="709"/>
        <w:rPr>
          <w:rFonts w:ascii="Avenir Book" w:hAnsi="Avenir Book"/>
        </w:rPr>
      </w:pPr>
      <w:r w:rsidRPr="000E10D1">
        <w:rPr>
          <w:rFonts w:ascii="Avenir Book" w:hAnsi="Avenir Book"/>
        </w:rPr>
        <w:t>Implement the recommendations from the Senate Community Affairs References Committee inquiry into the purpose, intent and adequacy of the Disability Support Pension (DSP).</w:t>
      </w:r>
      <w:r w:rsidRPr="00A301A7">
        <w:rPr>
          <w:rFonts w:cs="Calibri"/>
          <w:color w:val="000000" w:themeColor="text1"/>
          <w:vertAlign w:val="superscript"/>
        </w:rPr>
        <w:endnoteReference w:id="16"/>
      </w:r>
      <w:r w:rsidR="00066E72" w:rsidRPr="00066E72">
        <w:rPr>
          <w:rFonts w:ascii="Avenir Book" w:hAnsi="Avenir Book"/>
        </w:rPr>
        <w:br w:type="page"/>
      </w:r>
    </w:p>
    <w:p w14:paraId="59C394E1" w14:textId="77777777" w:rsidR="000E10D1" w:rsidRPr="000E10D1" w:rsidRDefault="000E10D1" w:rsidP="00C74146">
      <w:pPr>
        <w:pStyle w:val="ListParagraph"/>
        <w:numPr>
          <w:ilvl w:val="1"/>
          <w:numId w:val="2"/>
        </w:numPr>
        <w:spacing w:line="276" w:lineRule="auto"/>
        <w:ind w:left="709" w:hanging="709"/>
        <w:rPr>
          <w:rFonts w:ascii="Avenir Book" w:hAnsi="Avenir Book" w:cs="Calibri"/>
        </w:rPr>
      </w:pPr>
      <w:r w:rsidRPr="000E10D1">
        <w:rPr>
          <w:rFonts w:ascii="Avenir Book" w:hAnsi="Avenir Book" w:cs="Calibri"/>
          <w:color w:val="000000" w:themeColor="text1"/>
        </w:rPr>
        <w:lastRenderedPageBreak/>
        <w:t>Raise the rate of income support payments in line with recommendations from the Australian Council of Social Services (ACOSS).</w:t>
      </w:r>
      <w:r w:rsidRPr="00A301A7">
        <w:rPr>
          <w:vertAlign w:val="superscript"/>
        </w:rPr>
        <w:endnoteReference w:id="17"/>
      </w:r>
    </w:p>
    <w:p w14:paraId="4B23BAC7" w14:textId="77777777" w:rsidR="000E10D1" w:rsidRPr="000E10D1" w:rsidRDefault="000E10D1" w:rsidP="000E10D1">
      <w:pPr>
        <w:pStyle w:val="ListParagraph"/>
        <w:rPr>
          <w:rFonts w:ascii="Avenir Book" w:hAnsi="Avenir Book" w:cs="Calibri"/>
        </w:rPr>
      </w:pPr>
    </w:p>
    <w:p w14:paraId="3F33622A" w14:textId="77777777" w:rsidR="000E10D1" w:rsidRPr="000E10D1" w:rsidRDefault="000E10D1" w:rsidP="00C74146">
      <w:pPr>
        <w:pStyle w:val="ListParagraph"/>
        <w:numPr>
          <w:ilvl w:val="1"/>
          <w:numId w:val="2"/>
        </w:numPr>
        <w:spacing w:line="276" w:lineRule="auto"/>
        <w:ind w:left="709" w:hanging="709"/>
        <w:rPr>
          <w:rFonts w:ascii="Avenir Book" w:hAnsi="Avenir Book" w:cs="Calibri"/>
        </w:rPr>
      </w:pPr>
      <w:r w:rsidRPr="000E10D1">
        <w:rPr>
          <w:rFonts w:ascii="Avenir Book" w:hAnsi="Avenir Book"/>
        </w:rPr>
        <w:t xml:space="preserve">Urgently address the lack of </w:t>
      </w:r>
      <w:r w:rsidRPr="000E10D1">
        <w:rPr>
          <w:rFonts w:ascii="Avenir Book" w:hAnsi="Avenir Book" w:cs="Calibri"/>
          <w:color w:val="000000" w:themeColor="text1"/>
        </w:rPr>
        <w:t>appropriate, available, accessible and affordable housing for people with disability, including by implementing the DRC recommendations 7.33–7.40.</w:t>
      </w:r>
    </w:p>
    <w:p w14:paraId="39F601CB" w14:textId="77777777" w:rsidR="000E10D1" w:rsidRPr="000E10D1" w:rsidRDefault="000E10D1" w:rsidP="000E10D1">
      <w:pPr>
        <w:pStyle w:val="ListParagraph"/>
        <w:rPr>
          <w:rFonts w:ascii="Avenir Book" w:hAnsi="Avenir Book" w:cs="Calibri"/>
        </w:rPr>
      </w:pPr>
    </w:p>
    <w:p w14:paraId="3149CAB6" w14:textId="77777777" w:rsidR="000E10D1" w:rsidRPr="000E10D1" w:rsidRDefault="000E10D1" w:rsidP="00C74146">
      <w:pPr>
        <w:pStyle w:val="ListParagraph"/>
        <w:numPr>
          <w:ilvl w:val="1"/>
          <w:numId w:val="2"/>
        </w:numPr>
        <w:spacing w:line="276" w:lineRule="auto"/>
        <w:ind w:left="709" w:hanging="709"/>
        <w:rPr>
          <w:rFonts w:ascii="Avenir Book" w:hAnsi="Avenir Book" w:cs="Calibri"/>
        </w:rPr>
      </w:pPr>
      <w:r w:rsidRPr="000E10D1">
        <w:rPr>
          <w:rFonts w:ascii="Avenir Book" w:hAnsi="Avenir Book"/>
        </w:rPr>
        <w:t xml:space="preserve">Undertake disability-inclusive research to </w:t>
      </w:r>
      <w:r w:rsidRPr="000E10D1">
        <w:rPr>
          <w:rFonts w:ascii="Avenir Book" w:hAnsi="Avenir Book" w:cs="Calibri"/>
          <w:color w:val="000000" w:themeColor="text1"/>
        </w:rPr>
        <w:t>assess the specific situation of women with disability in relation to poverty, social protection, housing and homelessness, as well as for other groups of people with disability, including children, older persons, First Nations peoples, LGBTIQA+ people and people with disability from culturally and linguistically diverse backgrounds.</w:t>
      </w:r>
    </w:p>
    <w:p w14:paraId="6234F710" w14:textId="77777777" w:rsidR="000E10D1" w:rsidRDefault="000E10D1" w:rsidP="0025643C">
      <w:pPr>
        <w:spacing w:line="276" w:lineRule="auto"/>
        <w:rPr>
          <w:rFonts w:ascii="Avenir Book" w:eastAsiaTheme="minorHAnsi" w:hAnsi="Avenir Book" w:cs="Calibri"/>
        </w:rPr>
      </w:pPr>
    </w:p>
    <w:p w14:paraId="0CA004DD" w14:textId="4951D10E" w:rsidR="005401F8" w:rsidRPr="000039C3" w:rsidRDefault="000E10D1" w:rsidP="000039C3">
      <w:pPr>
        <w:spacing w:after="120"/>
        <w:rPr>
          <w:rFonts w:ascii="Avenir Book" w:hAnsi="Avenir Book" w:cs="Calibri"/>
          <w:color w:val="7030A0"/>
        </w:rPr>
      </w:pPr>
      <w:r>
        <w:rPr>
          <w:rFonts w:ascii="Avenir Book" w:hAnsi="Avenir Book" w:cs="Calibri"/>
          <w:color w:val="7030A0"/>
        </w:rPr>
        <w:t xml:space="preserve">Ensure effective participation of people with disability including through their representative organisations in all matters that affect them </w:t>
      </w:r>
    </w:p>
    <w:p w14:paraId="3C31419B" w14:textId="77777777" w:rsidR="000039C3" w:rsidRPr="000039C3" w:rsidRDefault="000039C3" w:rsidP="00C74146">
      <w:pPr>
        <w:pStyle w:val="ListParagraph"/>
        <w:numPr>
          <w:ilvl w:val="1"/>
          <w:numId w:val="2"/>
        </w:numPr>
        <w:spacing w:line="276" w:lineRule="auto"/>
        <w:ind w:left="709" w:hanging="709"/>
        <w:rPr>
          <w:rFonts w:ascii="Avenir Book" w:hAnsi="Avenir Book" w:cs="Calibri"/>
        </w:rPr>
      </w:pPr>
      <w:r w:rsidRPr="000039C3">
        <w:rPr>
          <w:rFonts w:ascii="Avenir Book" w:hAnsi="Avenir Book"/>
        </w:rPr>
        <w:t xml:space="preserve">Co-designed with </w:t>
      </w:r>
      <w:r w:rsidRPr="000039C3">
        <w:rPr>
          <w:rFonts w:ascii="Avenir Book" w:hAnsi="Avenir Book" w:cs="Calibri"/>
          <w:bCs/>
          <w:color w:val="000000" w:themeColor="text1"/>
        </w:rPr>
        <w:t>people with disability through their representative organisations, and in line with articles 4(3) and 33(3) of the CRPD, establish a formal, permanent, and adequately resourced national OPD/DPO</w:t>
      </w:r>
      <w:r>
        <w:rPr>
          <w:rStyle w:val="EndnoteReference"/>
          <w:rFonts w:ascii="Avenir Book" w:hAnsi="Avenir Book" w:cs="Calibri"/>
          <w:bCs/>
          <w:color w:val="000000" w:themeColor="text1"/>
        </w:rPr>
        <w:endnoteReference w:id="18"/>
      </w:r>
      <w:r w:rsidRPr="000039C3">
        <w:rPr>
          <w:rFonts w:ascii="Avenir Book" w:hAnsi="Avenir Book" w:cs="Calibri"/>
          <w:bCs/>
          <w:color w:val="000000" w:themeColor="text1"/>
        </w:rPr>
        <w:t xml:space="preserve"> Implementation and Monitoring Committee to ensure close consultation and active involvement of people with disability in the implementation and monitoring of the CRPD and other decision-making processes. </w:t>
      </w:r>
    </w:p>
    <w:p w14:paraId="23081856" w14:textId="77777777" w:rsidR="000039C3" w:rsidRPr="000039C3" w:rsidRDefault="000039C3" w:rsidP="0025643C">
      <w:pPr>
        <w:pStyle w:val="ListParagraph"/>
        <w:spacing w:line="276" w:lineRule="auto"/>
        <w:ind w:left="709"/>
        <w:rPr>
          <w:rFonts w:ascii="Avenir Book" w:hAnsi="Avenir Book" w:cs="Calibri"/>
        </w:rPr>
      </w:pPr>
    </w:p>
    <w:p w14:paraId="48AEB186" w14:textId="77777777" w:rsidR="000039C3" w:rsidRPr="000039C3" w:rsidRDefault="000039C3" w:rsidP="00C74146">
      <w:pPr>
        <w:pStyle w:val="ListParagraph"/>
        <w:numPr>
          <w:ilvl w:val="1"/>
          <w:numId w:val="2"/>
        </w:numPr>
        <w:spacing w:line="276" w:lineRule="auto"/>
        <w:ind w:left="709" w:hanging="709"/>
        <w:rPr>
          <w:rFonts w:ascii="Avenir Book" w:hAnsi="Avenir Book" w:cs="Calibri"/>
        </w:rPr>
      </w:pPr>
      <w:r w:rsidRPr="000039C3">
        <w:rPr>
          <w:rFonts w:ascii="Avenir Book" w:hAnsi="Avenir Book"/>
        </w:rPr>
        <w:t xml:space="preserve">Review funding arrangements of organisations of people with disability (OPDs/DPOs) </w:t>
      </w:r>
      <w:r w:rsidRPr="000039C3">
        <w:rPr>
          <w:rFonts w:ascii="Avenir Book" w:hAnsi="Avenir Book" w:cs="Calibri"/>
          <w:bCs/>
          <w:color w:val="000000" w:themeColor="text1"/>
        </w:rPr>
        <w:t>to ensure adequate, long-term, sustainable funding that is inclusive of funding for systemic advocacy, representation, capacity building and research and that recognises the increase in activities associated with recent review processes, including the DRC and the NDIS review.</w:t>
      </w:r>
    </w:p>
    <w:p w14:paraId="2250BC71" w14:textId="77777777" w:rsidR="000039C3" w:rsidRPr="000039C3" w:rsidRDefault="000039C3" w:rsidP="000039C3">
      <w:pPr>
        <w:pStyle w:val="ListParagraph"/>
        <w:rPr>
          <w:rFonts w:ascii="Avenir Book" w:hAnsi="Avenir Book" w:cs="Calibri"/>
        </w:rPr>
      </w:pPr>
    </w:p>
    <w:p w14:paraId="70DD2FD4" w14:textId="6A703238" w:rsidR="000039C3" w:rsidRPr="000039C3" w:rsidRDefault="000039C3" w:rsidP="00C74146">
      <w:pPr>
        <w:pStyle w:val="ListParagraph"/>
        <w:numPr>
          <w:ilvl w:val="1"/>
          <w:numId w:val="2"/>
        </w:numPr>
        <w:spacing w:line="276" w:lineRule="auto"/>
        <w:ind w:left="709" w:hanging="709"/>
        <w:rPr>
          <w:rFonts w:ascii="Avenir Book" w:hAnsi="Avenir Book" w:cs="Calibri"/>
        </w:rPr>
      </w:pPr>
      <w:r w:rsidRPr="000039C3">
        <w:rPr>
          <w:rFonts w:ascii="Avenir Book" w:hAnsi="Avenir Book"/>
        </w:rPr>
        <w:t>Review DRC recommendation 4.11, Consultation with people with disability to ensure it recognises the priority role of people with disability and their representative organisations in consultation processes in line with the CRPD Committee’s general comment no.</w:t>
      </w:r>
      <w:r>
        <w:rPr>
          <w:rFonts w:ascii="Avenir Book" w:hAnsi="Avenir Book"/>
        </w:rPr>
        <w:t xml:space="preserve"> </w:t>
      </w:r>
      <w:r w:rsidRPr="000039C3">
        <w:rPr>
          <w:rFonts w:ascii="Avenir Book" w:hAnsi="Avenir Book"/>
        </w:rPr>
        <w:t xml:space="preserve">7. </w:t>
      </w:r>
    </w:p>
    <w:p w14:paraId="71F17327" w14:textId="77777777" w:rsidR="000039C3" w:rsidRPr="000039C3" w:rsidRDefault="000039C3" w:rsidP="000039C3">
      <w:pPr>
        <w:pStyle w:val="ListParagraph"/>
        <w:rPr>
          <w:rFonts w:ascii="Avenir Book" w:hAnsi="Avenir Book" w:cs="Calibri"/>
        </w:rPr>
      </w:pPr>
    </w:p>
    <w:p w14:paraId="7080C329" w14:textId="77777777" w:rsidR="000039C3" w:rsidRPr="000039C3" w:rsidRDefault="000039C3" w:rsidP="00C74146">
      <w:pPr>
        <w:pStyle w:val="ListParagraph"/>
        <w:numPr>
          <w:ilvl w:val="1"/>
          <w:numId w:val="2"/>
        </w:numPr>
        <w:spacing w:line="276" w:lineRule="auto"/>
        <w:ind w:left="709" w:hanging="709"/>
        <w:rPr>
          <w:rFonts w:ascii="Avenir Book" w:hAnsi="Avenir Book" w:cs="Calibri"/>
        </w:rPr>
      </w:pPr>
      <w:r w:rsidRPr="000039C3">
        <w:rPr>
          <w:rFonts w:ascii="Avenir Book" w:hAnsi="Avenir Book" w:cs="Calibri"/>
          <w:bCs/>
          <w:color w:val="000000" w:themeColor="text1"/>
        </w:rPr>
        <w:t xml:space="preserve">Undertake further consultation with people with disability through their representative organisations in relation to the proposed ‘system for voluntary registration’ and associated ‘approval process’. </w:t>
      </w:r>
    </w:p>
    <w:p w14:paraId="790BC564" w14:textId="77777777" w:rsidR="000039C3" w:rsidRPr="000039C3" w:rsidRDefault="000039C3" w:rsidP="000039C3">
      <w:pPr>
        <w:pStyle w:val="ListParagraph"/>
        <w:rPr>
          <w:rFonts w:ascii="Avenir Book" w:hAnsi="Avenir Book" w:cs="Calibri"/>
        </w:rPr>
      </w:pPr>
    </w:p>
    <w:p w14:paraId="2415DCAF" w14:textId="736C8C0C" w:rsidR="00066E72" w:rsidRPr="00066E72" w:rsidRDefault="000039C3" w:rsidP="00066E72">
      <w:pPr>
        <w:pStyle w:val="ListParagraph"/>
        <w:numPr>
          <w:ilvl w:val="1"/>
          <w:numId w:val="2"/>
        </w:numPr>
        <w:spacing w:line="276" w:lineRule="auto"/>
        <w:ind w:left="709" w:hanging="709"/>
        <w:rPr>
          <w:rFonts w:ascii="Avenir Book" w:hAnsi="Avenir Book"/>
        </w:rPr>
      </w:pPr>
      <w:r w:rsidRPr="000039C3">
        <w:rPr>
          <w:rFonts w:ascii="Avenir Book" w:hAnsi="Avenir Book"/>
        </w:rPr>
        <w:t xml:space="preserve">Ensure that the DRC Taskforce and other key stakeholders analysing and implementing DRC recommendations do not misunderstand the interchangeable </w:t>
      </w:r>
      <w:r w:rsidR="00066E72" w:rsidRPr="00066E72">
        <w:rPr>
          <w:rFonts w:ascii="Avenir Book" w:hAnsi="Avenir Book"/>
        </w:rPr>
        <w:br w:type="page"/>
      </w:r>
    </w:p>
    <w:p w14:paraId="16CBF25C" w14:textId="199FD75D" w:rsidR="000039C3" w:rsidRPr="000039C3" w:rsidRDefault="000039C3" w:rsidP="00C74146">
      <w:pPr>
        <w:pStyle w:val="ListParagraph"/>
        <w:numPr>
          <w:ilvl w:val="1"/>
          <w:numId w:val="2"/>
        </w:numPr>
        <w:spacing w:line="276" w:lineRule="auto"/>
        <w:ind w:left="709" w:hanging="709"/>
        <w:rPr>
          <w:rFonts w:ascii="Avenir Book" w:hAnsi="Avenir Book" w:cs="Calibri"/>
        </w:rPr>
      </w:pPr>
      <w:r w:rsidRPr="000039C3">
        <w:rPr>
          <w:rFonts w:ascii="Avenir Book" w:hAnsi="Avenir Book"/>
        </w:rPr>
        <w:lastRenderedPageBreak/>
        <w:t xml:space="preserve">use of the terminology ‘DPO’ and ‘DRO’ in the Final Report as inferring </w:t>
      </w:r>
      <w:r w:rsidRPr="000039C3">
        <w:rPr>
          <w:rFonts w:ascii="Avenir Book" w:hAnsi="Avenir Book" w:cs="Calibri"/>
          <w:bCs/>
          <w:color w:val="000000" w:themeColor="text1"/>
        </w:rPr>
        <w:t>that people with disability through their representative organisations are not the main interlocutors in CRPD implementation and monitoring, and</w:t>
      </w:r>
      <w:r w:rsidRPr="000039C3">
        <w:rPr>
          <w:rFonts w:ascii="Avenir Book" w:hAnsi="Avenir Book"/>
        </w:rPr>
        <w:t xml:space="preserve"> that they understand the distinction </w:t>
      </w:r>
      <w:r w:rsidRPr="000039C3">
        <w:rPr>
          <w:rFonts w:ascii="Avenir Book" w:hAnsi="Avenir Book" w:cs="Calibri"/>
          <w:color w:val="000000" w:themeColor="text1"/>
        </w:rPr>
        <w:t>between organisations of people with disability and organisations for people with disability.</w:t>
      </w:r>
      <w:r w:rsidRPr="000039C3">
        <w:rPr>
          <w:rFonts w:ascii="Avenir Book" w:hAnsi="Avenir Book"/>
        </w:rPr>
        <w:t xml:space="preserve"> </w:t>
      </w:r>
    </w:p>
    <w:p w14:paraId="18364E9E" w14:textId="77777777" w:rsidR="000E10D1" w:rsidRDefault="000E10D1" w:rsidP="000039C3">
      <w:pPr>
        <w:rPr>
          <w:rFonts w:ascii="Avenir Book" w:hAnsi="Avenir Book" w:cs="Calibri"/>
          <w:color w:val="7030A0"/>
        </w:rPr>
      </w:pPr>
    </w:p>
    <w:p w14:paraId="2D53D937" w14:textId="3A8C31D0" w:rsidR="000E10D1" w:rsidRDefault="000E10D1" w:rsidP="000E10D1">
      <w:pPr>
        <w:spacing w:after="120"/>
        <w:rPr>
          <w:rFonts w:ascii="Avenir Book" w:hAnsi="Avenir Book" w:cs="Calibri"/>
          <w:color w:val="7030A0"/>
        </w:rPr>
      </w:pPr>
      <w:r>
        <w:rPr>
          <w:rFonts w:ascii="Avenir Book" w:hAnsi="Avenir Book" w:cs="Calibri"/>
          <w:color w:val="7030A0"/>
        </w:rPr>
        <w:t>Implement a Disability Royal Commission Redress and Reparation Scheme</w:t>
      </w:r>
    </w:p>
    <w:p w14:paraId="5B3A6756" w14:textId="77777777" w:rsidR="0025643C" w:rsidRPr="0025643C" w:rsidRDefault="0025643C" w:rsidP="00C74146">
      <w:pPr>
        <w:pStyle w:val="ListParagraph"/>
        <w:numPr>
          <w:ilvl w:val="1"/>
          <w:numId w:val="2"/>
        </w:numPr>
        <w:spacing w:line="276" w:lineRule="auto"/>
        <w:ind w:left="709" w:hanging="709"/>
        <w:rPr>
          <w:rFonts w:ascii="Avenir Book" w:hAnsi="Avenir Book" w:cs="Calibri"/>
        </w:rPr>
      </w:pPr>
      <w:r w:rsidRPr="0025643C">
        <w:rPr>
          <w:rFonts w:ascii="Avenir Book" w:hAnsi="Avenir Book" w:cs="Calibri"/>
          <w:bCs/>
          <w:color w:val="000000" w:themeColor="text1"/>
        </w:rPr>
        <w:t xml:space="preserve">Consistent with international human rights obligations, the </w:t>
      </w:r>
      <w:r w:rsidRPr="0025643C">
        <w:rPr>
          <w:rFonts w:ascii="Avenir Book" w:hAnsi="Avenir Book" w:cs="Calibri"/>
          <w:bCs/>
          <w:color w:val="000000" w:themeColor="text1"/>
          <w:lang w:val="en-US"/>
        </w:rPr>
        <w:t xml:space="preserve">Van Boven Principles, and the </w:t>
      </w:r>
      <w:r w:rsidRPr="0025643C">
        <w:rPr>
          <w:rFonts w:ascii="Avenir Book" w:hAnsi="Avenir Book" w:cs="Calibri"/>
          <w:bCs/>
          <w:color w:val="000000" w:themeColor="text1"/>
        </w:rPr>
        <w:t xml:space="preserve">International Principles and Guidelines on Access to Justice for Persons with Disabilities, the Australian Government establish a National Disability Royal Commission Redress and Reparation Scheme co-designed with people with disability and their representative organisations and drawing on ‘lived experience-led’ and disability-inclusive research. </w:t>
      </w:r>
    </w:p>
    <w:p w14:paraId="7B3530DD" w14:textId="77777777" w:rsidR="000E10D1" w:rsidRDefault="000E10D1" w:rsidP="0025643C">
      <w:pPr>
        <w:rPr>
          <w:rFonts w:ascii="Avenir Book" w:hAnsi="Avenir Book" w:cs="Calibri"/>
          <w:color w:val="7030A0"/>
        </w:rPr>
      </w:pPr>
    </w:p>
    <w:p w14:paraId="221A3F18" w14:textId="073776C1" w:rsidR="000E10D1" w:rsidRPr="004533D5" w:rsidRDefault="000E10D1" w:rsidP="000E10D1">
      <w:pPr>
        <w:spacing w:after="120"/>
        <w:rPr>
          <w:rFonts w:ascii="Avenir Book" w:hAnsi="Avenir Book" w:cs="Calibri"/>
          <w:color w:val="7030A0"/>
        </w:rPr>
      </w:pPr>
      <w:r>
        <w:rPr>
          <w:rFonts w:ascii="Avenir Book" w:hAnsi="Avenir Book" w:cs="Calibri"/>
          <w:color w:val="7030A0"/>
        </w:rPr>
        <w:t>Embed human rights of people with disability into law and policy</w:t>
      </w:r>
    </w:p>
    <w:p w14:paraId="2C6F9862" w14:textId="77777777" w:rsidR="0025643C" w:rsidRPr="0025643C" w:rsidRDefault="0025643C" w:rsidP="00C74146">
      <w:pPr>
        <w:pStyle w:val="ListParagraph"/>
        <w:numPr>
          <w:ilvl w:val="1"/>
          <w:numId w:val="2"/>
        </w:numPr>
        <w:spacing w:line="276" w:lineRule="auto"/>
        <w:ind w:left="709" w:hanging="709"/>
        <w:rPr>
          <w:rFonts w:ascii="Avenir Book" w:hAnsi="Avenir Book" w:cs="Calibri"/>
        </w:rPr>
      </w:pPr>
      <w:r w:rsidRPr="0025643C">
        <w:rPr>
          <w:rFonts w:ascii="Avenir Book" w:hAnsi="Avenir Book"/>
        </w:rPr>
        <w:t xml:space="preserve">Defer consideration of the DRC recommendation 4.1 for the establishment of a Disability Rights Act until the Parliamentary Joint Committee on Human Rights (PJCHR) has released its report, due on 31 March 2024. </w:t>
      </w:r>
    </w:p>
    <w:p w14:paraId="190C4DA6" w14:textId="77777777" w:rsidR="0025643C" w:rsidRPr="0025643C" w:rsidRDefault="0025643C" w:rsidP="0025643C">
      <w:pPr>
        <w:pStyle w:val="ListParagraph"/>
        <w:spacing w:line="276" w:lineRule="auto"/>
        <w:ind w:left="709"/>
        <w:rPr>
          <w:rFonts w:ascii="Avenir Book" w:hAnsi="Avenir Book" w:cs="Calibri"/>
        </w:rPr>
      </w:pPr>
    </w:p>
    <w:p w14:paraId="5035B3F4" w14:textId="77777777" w:rsidR="0025643C" w:rsidRPr="0025643C" w:rsidRDefault="0025643C" w:rsidP="00C74146">
      <w:pPr>
        <w:pStyle w:val="ListParagraph"/>
        <w:numPr>
          <w:ilvl w:val="1"/>
          <w:numId w:val="2"/>
        </w:numPr>
        <w:spacing w:line="276" w:lineRule="auto"/>
        <w:ind w:left="709" w:hanging="709"/>
        <w:rPr>
          <w:rFonts w:ascii="Avenir Book" w:hAnsi="Avenir Book" w:cs="Calibri"/>
        </w:rPr>
      </w:pPr>
      <w:r w:rsidRPr="0025643C">
        <w:rPr>
          <w:rFonts w:ascii="Avenir Book" w:hAnsi="Avenir Book"/>
        </w:rPr>
        <w:t xml:space="preserve">Integrate DRC recommendations for a Disability Rights Act into a comprehensive, judicially enforceable Human Rights Act that incorporates Australia’s obligations under the CRPD, under other human rights treaties and under UNDRIP. </w:t>
      </w:r>
    </w:p>
    <w:p w14:paraId="57DB3EA1" w14:textId="77777777" w:rsidR="0025643C" w:rsidRPr="0025643C" w:rsidRDefault="0025643C" w:rsidP="0025643C">
      <w:pPr>
        <w:pStyle w:val="ListParagraph"/>
        <w:rPr>
          <w:rFonts w:ascii="Avenir Book" w:hAnsi="Avenir Book" w:cs="Calibri"/>
        </w:rPr>
      </w:pPr>
    </w:p>
    <w:p w14:paraId="37457501" w14:textId="77777777" w:rsidR="0025643C" w:rsidRPr="0025643C" w:rsidRDefault="0025643C" w:rsidP="00C74146">
      <w:pPr>
        <w:pStyle w:val="ListParagraph"/>
        <w:numPr>
          <w:ilvl w:val="1"/>
          <w:numId w:val="2"/>
        </w:numPr>
        <w:spacing w:line="276" w:lineRule="auto"/>
        <w:ind w:left="709" w:hanging="709"/>
        <w:rPr>
          <w:rFonts w:ascii="Avenir Book" w:hAnsi="Avenir Book" w:cs="Calibri"/>
        </w:rPr>
      </w:pPr>
      <w:r w:rsidRPr="0025643C">
        <w:rPr>
          <w:rFonts w:ascii="Avenir Book" w:hAnsi="Avenir Book"/>
        </w:rPr>
        <w:t>Ensure the right to liberty and security of person in a national Human Rights Act is in line with the CRPD.</w:t>
      </w:r>
    </w:p>
    <w:p w14:paraId="7F804AC3" w14:textId="77777777" w:rsidR="0025643C" w:rsidRPr="0025643C" w:rsidRDefault="0025643C" w:rsidP="0025643C">
      <w:pPr>
        <w:pStyle w:val="ListParagraph"/>
        <w:rPr>
          <w:rFonts w:ascii="Avenir Book" w:hAnsi="Avenir Book" w:cs="Calibri"/>
        </w:rPr>
      </w:pPr>
    </w:p>
    <w:p w14:paraId="7EA66746" w14:textId="77777777" w:rsidR="0025643C" w:rsidRPr="0025643C" w:rsidRDefault="0025643C" w:rsidP="00C74146">
      <w:pPr>
        <w:pStyle w:val="ListParagraph"/>
        <w:numPr>
          <w:ilvl w:val="1"/>
          <w:numId w:val="2"/>
        </w:numPr>
        <w:spacing w:line="276" w:lineRule="auto"/>
        <w:ind w:left="709" w:hanging="709"/>
        <w:rPr>
          <w:rFonts w:ascii="Avenir Book" w:hAnsi="Avenir Book" w:cs="Calibri"/>
        </w:rPr>
      </w:pPr>
      <w:r w:rsidRPr="0025643C">
        <w:rPr>
          <w:rFonts w:ascii="Avenir Book" w:hAnsi="Avenir Book"/>
        </w:rPr>
        <w:t>Expand the role and functions of the Australian Human Rights Commission (AHRC) and the Disability Discrimination Commissioner (DDC) to include a disability rights mandate, including by designating the AHRC as an independent monitoring mechanism of CRPD implementation in line with article 33(2), and renaming the DDC as Disability Rights Commissioner (DRC).</w:t>
      </w:r>
    </w:p>
    <w:p w14:paraId="2863AE3E" w14:textId="77777777" w:rsidR="0025643C" w:rsidRPr="0025643C" w:rsidRDefault="0025643C" w:rsidP="0025643C">
      <w:pPr>
        <w:pStyle w:val="ListParagraph"/>
        <w:rPr>
          <w:rFonts w:ascii="Avenir Book" w:hAnsi="Avenir Book" w:cs="Calibri"/>
        </w:rPr>
      </w:pPr>
    </w:p>
    <w:p w14:paraId="50D4E64F" w14:textId="77777777" w:rsidR="0025643C" w:rsidRPr="0025643C" w:rsidRDefault="0025643C" w:rsidP="00C74146">
      <w:pPr>
        <w:pStyle w:val="ListParagraph"/>
        <w:numPr>
          <w:ilvl w:val="1"/>
          <w:numId w:val="2"/>
        </w:numPr>
        <w:spacing w:line="276" w:lineRule="auto"/>
        <w:ind w:left="709" w:hanging="709"/>
        <w:rPr>
          <w:rFonts w:ascii="Avenir Book" w:hAnsi="Avenir Book" w:cs="Calibri"/>
        </w:rPr>
      </w:pPr>
      <w:r w:rsidRPr="0025643C">
        <w:rPr>
          <w:rFonts w:ascii="Avenir Book" w:hAnsi="Avenir Book"/>
        </w:rPr>
        <w:t>Provide appropriate resourcing for the AHRC and the DRC to perform expanded roles.</w:t>
      </w:r>
    </w:p>
    <w:p w14:paraId="0CFE5557" w14:textId="77777777" w:rsidR="0025643C" w:rsidRPr="0025643C" w:rsidRDefault="0025643C" w:rsidP="0025643C">
      <w:pPr>
        <w:pStyle w:val="ListParagraph"/>
        <w:rPr>
          <w:rFonts w:ascii="Avenir Book" w:hAnsi="Avenir Book" w:cs="Calibri"/>
        </w:rPr>
      </w:pPr>
    </w:p>
    <w:p w14:paraId="5C871FF5" w14:textId="66C65CC5" w:rsidR="00B54DE9" w:rsidRPr="0025643C" w:rsidRDefault="0025643C" w:rsidP="00C74146">
      <w:pPr>
        <w:pStyle w:val="ListParagraph"/>
        <w:numPr>
          <w:ilvl w:val="1"/>
          <w:numId w:val="2"/>
        </w:numPr>
        <w:spacing w:line="276" w:lineRule="auto"/>
        <w:ind w:left="709" w:hanging="709"/>
        <w:rPr>
          <w:rFonts w:ascii="Avenir Book" w:hAnsi="Avenir Book" w:cs="Calibri"/>
        </w:rPr>
      </w:pPr>
      <w:r w:rsidRPr="0025643C">
        <w:rPr>
          <w:rFonts w:ascii="Avenir Book" w:hAnsi="Avenir Book"/>
        </w:rPr>
        <w:t>Implement recommendations 4.22 - 4.30 and 4.32-4.34 to revise and strengthen the DDA.</w:t>
      </w:r>
      <w:r w:rsidR="00B54DE9" w:rsidRPr="0025643C">
        <w:rPr>
          <w:rFonts w:ascii="Avenir Book" w:eastAsia="Arial" w:hAnsi="Avenir Book" w:cstheme="minorHAnsi"/>
          <w:bCs/>
          <w:color w:val="000000" w:themeColor="text1"/>
        </w:rPr>
        <w:br w:type="page"/>
      </w:r>
    </w:p>
    <w:p w14:paraId="4392A960" w14:textId="03472C9C" w:rsidR="001777B3" w:rsidRPr="006D22F9" w:rsidRDefault="001777B3" w:rsidP="00C74146">
      <w:pPr>
        <w:pStyle w:val="Heading2"/>
        <w:numPr>
          <w:ilvl w:val="0"/>
          <w:numId w:val="4"/>
        </w:numPr>
        <w:ind w:left="426" w:hanging="426"/>
        <w:jc w:val="left"/>
        <w:rPr>
          <w:rFonts w:ascii="Avenir Book" w:hAnsi="Avenir Book" w:cs="Calibri"/>
          <w:color w:val="AC1F79"/>
          <w:sz w:val="22"/>
        </w:rPr>
      </w:pPr>
      <w:bookmarkStart w:id="93" w:name="_Toc156825212"/>
      <w:r w:rsidRPr="006D22F9">
        <w:rPr>
          <w:rFonts w:ascii="Avenir Book" w:hAnsi="Avenir Book" w:cs="Calibri"/>
          <w:color w:val="AC1F79"/>
        </w:rPr>
        <w:lastRenderedPageBreak/>
        <w:t>Introduction</w:t>
      </w:r>
      <w:bookmarkEnd w:id="93"/>
      <w:r w:rsidRPr="006D22F9">
        <w:rPr>
          <w:rFonts w:ascii="Avenir Book" w:hAnsi="Avenir Book" w:cs="Calibri"/>
          <w:color w:val="AC1F79"/>
        </w:rPr>
        <w:t xml:space="preserve"> </w:t>
      </w:r>
    </w:p>
    <w:p w14:paraId="3861D403" w14:textId="5231B900" w:rsidR="001777B3" w:rsidRPr="00FB7083" w:rsidRDefault="001777B3" w:rsidP="00121931">
      <w:pPr>
        <w:spacing w:line="276" w:lineRule="auto"/>
        <w:rPr>
          <w:rFonts w:ascii="Avenir Book" w:hAnsi="Avenir Book" w:cs="Calibri"/>
        </w:rPr>
      </w:pPr>
    </w:p>
    <w:p w14:paraId="0E4FB3DA" w14:textId="5D3BA151" w:rsidR="00766755" w:rsidRPr="00EC3599" w:rsidRDefault="00766755" w:rsidP="00C74146">
      <w:pPr>
        <w:pStyle w:val="ListParagraph"/>
        <w:numPr>
          <w:ilvl w:val="1"/>
          <w:numId w:val="11"/>
        </w:numPr>
        <w:spacing w:line="276" w:lineRule="auto"/>
        <w:ind w:left="709" w:hanging="709"/>
        <w:rPr>
          <w:rFonts w:ascii="Avenir Book" w:eastAsia="Arial" w:hAnsi="Avenir Book" w:cstheme="minorHAnsi"/>
        </w:rPr>
      </w:pPr>
      <w:r w:rsidRPr="00EC3599">
        <w:rPr>
          <w:rFonts w:ascii="Avenir Book" w:eastAsia="Arial" w:hAnsi="Avenir Book" w:cstheme="minorHAnsi"/>
        </w:rPr>
        <w:t>This submission has been prepared by Women With Disabilities Australia (WWDA).  It provides our initial analysis and response to the Final Report of the Royal Commission into Violence, Abuse, Neglect and Exploitation of People with Disability (Disability R</w:t>
      </w:r>
      <w:r w:rsidR="00E637AA" w:rsidRPr="00EC3599">
        <w:rPr>
          <w:rFonts w:ascii="Avenir Book" w:eastAsia="Arial" w:hAnsi="Avenir Book" w:cstheme="minorHAnsi"/>
        </w:rPr>
        <w:t xml:space="preserve">oyal </w:t>
      </w:r>
      <w:r w:rsidRPr="00EC3599">
        <w:rPr>
          <w:rFonts w:ascii="Avenir Book" w:eastAsia="Arial" w:hAnsi="Avenir Book" w:cstheme="minorHAnsi"/>
        </w:rPr>
        <w:t>C</w:t>
      </w:r>
      <w:r w:rsidR="00E637AA" w:rsidRPr="00EC3599">
        <w:rPr>
          <w:rFonts w:ascii="Avenir Book" w:eastAsia="Arial" w:hAnsi="Avenir Book" w:cstheme="minorHAnsi"/>
        </w:rPr>
        <w:t>ommission / DRC</w:t>
      </w:r>
      <w:r w:rsidRPr="00EC3599">
        <w:rPr>
          <w:rFonts w:ascii="Avenir Book" w:eastAsia="Arial" w:hAnsi="Avenir Book" w:cstheme="minorHAnsi"/>
        </w:rPr>
        <w:t xml:space="preserve">) and its 222 recommendations, which was tabled in the Australian Parliament on 29 September 2023.  </w:t>
      </w:r>
    </w:p>
    <w:p w14:paraId="3C50D266" w14:textId="77777777" w:rsidR="00755718" w:rsidRPr="00755718" w:rsidRDefault="00755718" w:rsidP="00DC0666">
      <w:pPr>
        <w:pStyle w:val="ListParagraph"/>
        <w:spacing w:line="276" w:lineRule="auto"/>
        <w:ind w:left="851" w:hanging="851"/>
        <w:rPr>
          <w:rFonts w:ascii="Avenir Book" w:eastAsia="Arial" w:hAnsi="Avenir Book" w:cstheme="minorHAnsi"/>
        </w:rPr>
      </w:pPr>
    </w:p>
    <w:p w14:paraId="55F198EF" w14:textId="5CE4E458" w:rsidR="00766755" w:rsidRPr="00755718" w:rsidRDefault="00766755" w:rsidP="00C74146">
      <w:pPr>
        <w:pStyle w:val="ListParagraph"/>
        <w:numPr>
          <w:ilvl w:val="1"/>
          <w:numId w:val="11"/>
        </w:numPr>
        <w:spacing w:line="276" w:lineRule="auto"/>
        <w:ind w:left="709" w:hanging="709"/>
        <w:rPr>
          <w:rFonts w:ascii="Avenir Book" w:eastAsia="Arial" w:hAnsi="Avenir Book" w:cstheme="minorHAnsi"/>
        </w:rPr>
      </w:pPr>
      <w:r w:rsidRPr="00755718">
        <w:rPr>
          <w:rFonts w:ascii="Avenir Book" w:eastAsia="Arial" w:hAnsi="Avenir Book" w:cstheme="minorHAnsi"/>
        </w:rPr>
        <w:t xml:space="preserve">The </w:t>
      </w:r>
      <w:r w:rsidR="00E637AA">
        <w:rPr>
          <w:rFonts w:ascii="Avenir Book" w:eastAsia="Arial" w:hAnsi="Avenir Book" w:cstheme="minorHAnsi"/>
        </w:rPr>
        <w:t>DRC</w:t>
      </w:r>
      <w:r w:rsidRPr="00755718">
        <w:rPr>
          <w:rFonts w:ascii="Avenir Book" w:eastAsia="Arial" w:hAnsi="Avenir Book" w:cstheme="minorHAnsi"/>
        </w:rPr>
        <w:t xml:space="preserve"> was conducted over four years from September 2019 - September 2023.    It is the culmination of tireless and persistent advocacy over two decades by </w:t>
      </w:r>
      <w:r w:rsidR="0027439C">
        <w:rPr>
          <w:rFonts w:ascii="Avenir Book" w:eastAsia="Arial" w:hAnsi="Avenir Book" w:cstheme="minorHAnsi"/>
        </w:rPr>
        <w:t xml:space="preserve">WWDA and </w:t>
      </w:r>
      <w:r w:rsidRPr="00755718">
        <w:rPr>
          <w:rFonts w:ascii="Avenir Book" w:eastAsia="Arial" w:hAnsi="Avenir Book" w:cstheme="minorHAnsi"/>
        </w:rPr>
        <w:t>the disability community</w:t>
      </w:r>
      <w:r w:rsidR="0027439C">
        <w:rPr>
          <w:rFonts w:ascii="Avenir Book" w:eastAsia="Arial" w:hAnsi="Avenir Book" w:cstheme="minorHAnsi"/>
        </w:rPr>
        <w:t xml:space="preserve"> </w:t>
      </w:r>
      <w:r w:rsidRPr="00755718">
        <w:rPr>
          <w:rFonts w:ascii="Avenir Book" w:eastAsia="Arial" w:hAnsi="Avenir Book" w:cstheme="minorHAnsi"/>
        </w:rPr>
        <w:t xml:space="preserve">for recognition of, response to, and redress for the significant violence, abuse, neglect and exploitation experienced by people with disability in all situations and settings, and which is underpinned by a lack of respect for our human rights. </w:t>
      </w:r>
    </w:p>
    <w:p w14:paraId="5BDBB171" w14:textId="77777777" w:rsidR="00755718" w:rsidRPr="00755718" w:rsidRDefault="00755718" w:rsidP="00DC0666">
      <w:pPr>
        <w:pStyle w:val="ListParagraph"/>
        <w:ind w:left="851" w:hanging="851"/>
        <w:rPr>
          <w:rFonts w:ascii="Avenir Book" w:eastAsia="Arial" w:hAnsi="Avenir Book" w:cstheme="minorHAnsi"/>
        </w:rPr>
      </w:pPr>
    </w:p>
    <w:p w14:paraId="75825F38" w14:textId="57DA8CD2" w:rsidR="00766755" w:rsidRPr="00755718" w:rsidRDefault="00766755" w:rsidP="00C74146">
      <w:pPr>
        <w:pStyle w:val="ListParagraph"/>
        <w:numPr>
          <w:ilvl w:val="1"/>
          <w:numId w:val="11"/>
        </w:numPr>
        <w:spacing w:line="276" w:lineRule="auto"/>
        <w:ind w:left="709" w:hanging="709"/>
        <w:rPr>
          <w:rFonts w:ascii="Avenir Book" w:eastAsia="Arial" w:hAnsi="Avenir Book" w:cstheme="minorHAnsi"/>
        </w:rPr>
      </w:pPr>
      <w:r w:rsidRPr="00755718">
        <w:rPr>
          <w:rFonts w:ascii="Avenir Book" w:eastAsia="Arial" w:hAnsi="Avenir Book" w:cstheme="minorHAnsi"/>
        </w:rPr>
        <w:t>We are committed to working collaboratively with the Commonwealth Disability Royal Commission Taskforce (DRC Taskforce), which has been established by the Australian Government as a means of coordinating a holistic response across departments and agencies to the recommendations contained in the Final Report</w:t>
      </w:r>
      <w:r w:rsidR="00965A70">
        <w:rPr>
          <w:rFonts w:ascii="Avenir Book" w:eastAsia="Arial" w:hAnsi="Avenir Book" w:cstheme="minorHAnsi"/>
        </w:rPr>
        <w:t>.</w:t>
      </w:r>
      <w:r w:rsidRPr="00755718">
        <w:rPr>
          <w:rStyle w:val="EndnoteReference"/>
          <w:rFonts w:ascii="Avenir Book" w:eastAsia="Arial" w:hAnsi="Avenir Book" w:cstheme="minorHAnsi"/>
        </w:rPr>
        <w:endnoteReference w:id="19"/>
      </w:r>
      <w:r w:rsidRPr="00755718">
        <w:rPr>
          <w:rFonts w:ascii="Avenir Book" w:eastAsia="Arial" w:hAnsi="Avenir Book" w:cstheme="minorHAnsi"/>
        </w:rPr>
        <w:t xml:space="preserve">  </w:t>
      </w:r>
    </w:p>
    <w:p w14:paraId="3E5E3456" w14:textId="77777777" w:rsidR="00755718" w:rsidRPr="00755718" w:rsidRDefault="00755718" w:rsidP="00755718">
      <w:pPr>
        <w:pStyle w:val="ListParagraph"/>
        <w:ind w:left="567" w:hanging="567"/>
        <w:rPr>
          <w:rFonts w:ascii="Avenir Book" w:eastAsia="Arial" w:hAnsi="Avenir Book" w:cstheme="minorHAnsi"/>
        </w:rPr>
      </w:pPr>
    </w:p>
    <w:p w14:paraId="70AC85FC" w14:textId="77777777" w:rsidR="00965A70" w:rsidRDefault="00766755" w:rsidP="00C74146">
      <w:pPr>
        <w:pStyle w:val="ListParagraph"/>
        <w:numPr>
          <w:ilvl w:val="1"/>
          <w:numId w:val="11"/>
        </w:numPr>
        <w:spacing w:line="276" w:lineRule="auto"/>
        <w:ind w:left="709" w:hanging="709"/>
        <w:rPr>
          <w:rFonts w:ascii="Avenir Book" w:eastAsia="Arial" w:hAnsi="Avenir Book" w:cstheme="minorHAnsi"/>
        </w:rPr>
      </w:pPr>
      <w:r w:rsidRPr="00755718">
        <w:rPr>
          <w:rFonts w:ascii="Avenir Book" w:eastAsia="Arial" w:hAnsi="Avenir Book" w:cstheme="minorHAnsi"/>
        </w:rPr>
        <w:t xml:space="preserve">We have been actively involved in all aspects of the </w:t>
      </w:r>
      <w:r w:rsidR="00E637AA">
        <w:rPr>
          <w:rFonts w:ascii="Avenir Book" w:eastAsia="Arial" w:hAnsi="Avenir Book" w:cstheme="minorHAnsi"/>
        </w:rPr>
        <w:t>DRC</w:t>
      </w:r>
      <w:r w:rsidRPr="00755718">
        <w:rPr>
          <w:rFonts w:ascii="Avenir Book" w:eastAsia="Arial" w:hAnsi="Avenir Book" w:cstheme="minorHAnsi"/>
        </w:rPr>
        <w:t xml:space="preserve"> inquiry, including by giving direct evidence at public hearings, participating in private sessions, providing evidence-based submissions, attending forums, contributing to commissioned research, working collaboratively with Commissioners and staff of the </w:t>
      </w:r>
      <w:r w:rsidR="00E637AA">
        <w:rPr>
          <w:rFonts w:ascii="Avenir Book" w:eastAsia="Arial" w:hAnsi="Avenir Book" w:cstheme="minorHAnsi"/>
        </w:rPr>
        <w:t>DRC</w:t>
      </w:r>
      <w:r w:rsidRPr="00755718">
        <w:rPr>
          <w:rFonts w:ascii="Avenir Book" w:eastAsia="Arial" w:hAnsi="Avenir Book" w:cstheme="minorHAnsi"/>
        </w:rPr>
        <w:t xml:space="preserve">, and engaging in stakeholder groups, sector coordination and much more. </w:t>
      </w:r>
    </w:p>
    <w:p w14:paraId="259D1A12" w14:textId="77777777" w:rsidR="00965A70" w:rsidRPr="00965A70" w:rsidRDefault="00965A70" w:rsidP="00DC0666">
      <w:pPr>
        <w:pStyle w:val="ListParagraph"/>
        <w:ind w:left="851" w:hanging="851"/>
        <w:rPr>
          <w:rFonts w:ascii="Avenir Book" w:eastAsia="Arial" w:hAnsi="Avenir Book" w:cstheme="minorHAnsi"/>
        </w:rPr>
      </w:pPr>
    </w:p>
    <w:p w14:paraId="024782BB" w14:textId="224FF667" w:rsidR="00766755" w:rsidRPr="00755718" w:rsidRDefault="00766755" w:rsidP="00C74146">
      <w:pPr>
        <w:pStyle w:val="ListParagraph"/>
        <w:numPr>
          <w:ilvl w:val="1"/>
          <w:numId w:val="11"/>
        </w:numPr>
        <w:spacing w:line="276" w:lineRule="auto"/>
        <w:ind w:left="709" w:hanging="709"/>
        <w:rPr>
          <w:rFonts w:ascii="Avenir Book" w:eastAsia="Arial" w:hAnsi="Avenir Book" w:cstheme="minorHAnsi"/>
        </w:rPr>
      </w:pPr>
      <w:r w:rsidRPr="00755718">
        <w:rPr>
          <w:rFonts w:ascii="Avenir Book" w:eastAsia="Arial" w:hAnsi="Avenir Book" w:cstheme="minorHAnsi"/>
        </w:rPr>
        <w:t>We have significant expertise to contribute to discussions about the 222 recommendations, and as key beneficiaries of these recommendations, we are instrumental to identifying measures that strengthen efforts to achieve the vision outlined in the Final Report - an inclusive Australia, where people with disability live free from violence, abuse, neglect and exploitation and where human rights are protected and respected.</w:t>
      </w:r>
      <w:r w:rsidRPr="00755718">
        <w:rPr>
          <w:rStyle w:val="EndnoteReference"/>
          <w:rFonts w:ascii="Avenir Book" w:eastAsia="Arial" w:hAnsi="Avenir Book" w:cstheme="minorHAnsi"/>
        </w:rPr>
        <w:endnoteReference w:id="20"/>
      </w:r>
      <w:r w:rsidRPr="00755718">
        <w:rPr>
          <w:rFonts w:ascii="Avenir Book" w:eastAsia="Arial" w:hAnsi="Avenir Book" w:cstheme="minorHAnsi"/>
        </w:rPr>
        <w:t xml:space="preserve"> </w:t>
      </w:r>
    </w:p>
    <w:p w14:paraId="3C761E18" w14:textId="77777777" w:rsidR="00755718" w:rsidRPr="00755718" w:rsidRDefault="00755718" w:rsidP="00DC0666">
      <w:pPr>
        <w:pStyle w:val="ListParagraph"/>
        <w:ind w:left="851" w:hanging="851"/>
        <w:rPr>
          <w:rFonts w:ascii="Avenir Book" w:eastAsia="Arial" w:hAnsi="Avenir Book" w:cstheme="minorHAnsi"/>
        </w:rPr>
      </w:pPr>
    </w:p>
    <w:p w14:paraId="4C87EBA9" w14:textId="4D1D14E2" w:rsidR="00755718" w:rsidRDefault="00766755" w:rsidP="00C74146">
      <w:pPr>
        <w:pStyle w:val="ListParagraph"/>
        <w:numPr>
          <w:ilvl w:val="1"/>
          <w:numId w:val="11"/>
        </w:numPr>
        <w:spacing w:line="276" w:lineRule="auto"/>
        <w:ind w:left="709" w:hanging="709"/>
        <w:rPr>
          <w:rFonts w:ascii="Avenir Book" w:eastAsia="Arial" w:hAnsi="Avenir Book" w:cstheme="minorHAnsi"/>
        </w:rPr>
      </w:pPr>
      <w:r w:rsidRPr="00755718">
        <w:rPr>
          <w:rFonts w:ascii="Avenir Book" w:eastAsia="Arial" w:hAnsi="Avenir Book" w:cstheme="minorHAnsi"/>
        </w:rPr>
        <w:t xml:space="preserve">We pay tribute to each and every person with disability, ally and advocate, who contributed to the </w:t>
      </w:r>
      <w:r w:rsidR="00E637AA">
        <w:rPr>
          <w:rFonts w:ascii="Avenir Book" w:eastAsia="Arial" w:hAnsi="Avenir Book" w:cstheme="minorHAnsi"/>
        </w:rPr>
        <w:t>DRC</w:t>
      </w:r>
      <w:r w:rsidRPr="00755718">
        <w:rPr>
          <w:rFonts w:ascii="Avenir Book" w:eastAsia="Arial" w:hAnsi="Avenir Book" w:cstheme="minorHAnsi"/>
        </w:rPr>
        <w:t xml:space="preserve">, and we acknowledge the distress and trauma that many have experienced, re-experienced, and continue to experience in this endeavour. We trust that, as an outcome of our </w:t>
      </w:r>
      <w:r w:rsidR="00E637AA">
        <w:rPr>
          <w:rFonts w:ascii="Avenir Book" w:eastAsia="Arial" w:hAnsi="Avenir Book" w:cstheme="minorHAnsi"/>
        </w:rPr>
        <w:t>DRC</w:t>
      </w:r>
      <w:r w:rsidRPr="00755718">
        <w:rPr>
          <w:rFonts w:ascii="Avenir Book" w:eastAsia="Arial" w:hAnsi="Avenir Book" w:cstheme="minorHAnsi"/>
        </w:rPr>
        <w:t xml:space="preserve">, the Australian Government will act to </w:t>
      </w:r>
      <w:r w:rsidRPr="00755718">
        <w:rPr>
          <w:rFonts w:ascii="Avenir Book" w:eastAsia="Arial" w:hAnsi="Avenir Book" w:cstheme="minorHAnsi"/>
        </w:rPr>
        <w:lastRenderedPageBreak/>
        <w:t>ensure that all people with disability who are victim/survivors of violence, abuse, neglect and exploitation - be it historical or current - are provided with redress and reparation.</w:t>
      </w:r>
      <w:r w:rsidRPr="00755718">
        <w:rPr>
          <w:rStyle w:val="EndnoteReference"/>
          <w:rFonts w:ascii="Avenir Book" w:eastAsia="Arial" w:hAnsi="Avenir Book" w:cstheme="minorHAnsi"/>
        </w:rPr>
        <w:endnoteReference w:id="21"/>
      </w:r>
    </w:p>
    <w:p w14:paraId="3354F0FD" w14:textId="77777777" w:rsidR="00965A70" w:rsidRPr="00965A70" w:rsidRDefault="00965A70" w:rsidP="00965A70">
      <w:pPr>
        <w:spacing w:line="276" w:lineRule="auto"/>
        <w:rPr>
          <w:rFonts w:ascii="Avenir Book" w:eastAsia="Arial" w:hAnsi="Avenir Book" w:cstheme="minorHAnsi"/>
        </w:rPr>
      </w:pPr>
    </w:p>
    <w:p w14:paraId="2C56A808" w14:textId="77777777" w:rsidR="00965A70" w:rsidRDefault="00766755" w:rsidP="00C74146">
      <w:pPr>
        <w:pStyle w:val="ListParagraph"/>
        <w:numPr>
          <w:ilvl w:val="1"/>
          <w:numId w:val="11"/>
        </w:numPr>
        <w:spacing w:after="120" w:line="276" w:lineRule="auto"/>
        <w:ind w:left="709" w:hanging="709"/>
        <w:contextualSpacing w:val="0"/>
        <w:rPr>
          <w:rFonts w:ascii="Avenir Book" w:eastAsia="Arial" w:hAnsi="Avenir Book" w:cstheme="minorHAnsi"/>
        </w:rPr>
      </w:pPr>
      <w:r w:rsidRPr="00755718">
        <w:rPr>
          <w:rFonts w:ascii="Avenir Book" w:eastAsia="Arial" w:hAnsi="Avenir Book" w:cstheme="minorHAnsi"/>
        </w:rPr>
        <w:t>Our submission does not provide an analysis of all 222 recommendations, or all the information contained in the 12 volumes of the Final Report.  For the purpose of this submission, our analysis focuses on ten areas for action, which we have long considered to be priorities in the context of moving forward to end all forms of violence, abuse, neglect and exploitation of people with disability</w:t>
      </w:r>
      <w:r w:rsidR="00965A70">
        <w:rPr>
          <w:rFonts w:ascii="Avenir Book" w:eastAsia="Arial" w:hAnsi="Avenir Book" w:cstheme="minorHAnsi"/>
        </w:rPr>
        <w:t>:</w:t>
      </w:r>
    </w:p>
    <w:p w14:paraId="446AA1E4" w14:textId="77777777" w:rsidR="00965A70" w:rsidRPr="00965A70" w:rsidRDefault="00965A70" w:rsidP="00C74146">
      <w:pPr>
        <w:pStyle w:val="ListParagraph"/>
        <w:numPr>
          <w:ilvl w:val="0"/>
          <w:numId w:val="6"/>
        </w:numPr>
        <w:spacing w:after="60" w:line="276" w:lineRule="auto"/>
        <w:ind w:left="993" w:hanging="284"/>
        <w:rPr>
          <w:rFonts w:ascii="Avenir Book" w:eastAsia="Arial" w:hAnsi="Avenir Book" w:cstheme="minorHAnsi"/>
        </w:rPr>
      </w:pPr>
      <w:r w:rsidRPr="00965A70">
        <w:rPr>
          <w:rFonts w:ascii="Avenir Book" w:eastAsia="Arial" w:hAnsi="Avenir Book" w:cstheme="minorHAnsi"/>
        </w:rPr>
        <w:t>End segregation of people with disability in all settings and contexts.</w:t>
      </w:r>
    </w:p>
    <w:p w14:paraId="49D18BB5" w14:textId="77777777" w:rsidR="00965A70" w:rsidRPr="00965A70" w:rsidRDefault="00965A70" w:rsidP="00C74146">
      <w:pPr>
        <w:pStyle w:val="ListParagraph"/>
        <w:numPr>
          <w:ilvl w:val="0"/>
          <w:numId w:val="6"/>
        </w:numPr>
        <w:spacing w:after="60" w:line="276" w:lineRule="auto"/>
        <w:ind w:left="993" w:hanging="284"/>
        <w:rPr>
          <w:rFonts w:ascii="Avenir Book" w:eastAsia="Arial" w:hAnsi="Avenir Book" w:cstheme="minorHAnsi"/>
        </w:rPr>
      </w:pPr>
      <w:r w:rsidRPr="00965A70">
        <w:rPr>
          <w:rFonts w:ascii="Avenir Book" w:eastAsia="Arial" w:hAnsi="Avenir Book" w:cstheme="minorHAnsi"/>
        </w:rPr>
        <w:t>Ensure all people with disability enjoy legal capacity and equality before the law.</w:t>
      </w:r>
    </w:p>
    <w:p w14:paraId="06E97D78" w14:textId="3F74AD92" w:rsidR="00965A70" w:rsidRPr="00965A70" w:rsidRDefault="00965A70" w:rsidP="00C74146">
      <w:pPr>
        <w:pStyle w:val="ListParagraph"/>
        <w:numPr>
          <w:ilvl w:val="0"/>
          <w:numId w:val="6"/>
        </w:numPr>
        <w:spacing w:after="60" w:line="276" w:lineRule="auto"/>
        <w:ind w:left="993" w:hanging="284"/>
        <w:rPr>
          <w:rFonts w:ascii="Avenir Book" w:eastAsia="Arial" w:hAnsi="Avenir Book" w:cstheme="minorHAnsi"/>
        </w:rPr>
      </w:pPr>
      <w:r w:rsidRPr="00965A70">
        <w:rPr>
          <w:rFonts w:ascii="Avenir Book" w:eastAsia="Arial" w:hAnsi="Avenir Book" w:cstheme="minorHAnsi"/>
        </w:rPr>
        <w:t>End all forms of forced treatment and restrictive practices.</w:t>
      </w:r>
    </w:p>
    <w:p w14:paraId="467F087C" w14:textId="77777777" w:rsidR="00965A70" w:rsidRPr="00965A70" w:rsidRDefault="00965A70" w:rsidP="00C74146">
      <w:pPr>
        <w:pStyle w:val="ListParagraph"/>
        <w:numPr>
          <w:ilvl w:val="0"/>
          <w:numId w:val="6"/>
        </w:numPr>
        <w:spacing w:after="60" w:line="276" w:lineRule="auto"/>
        <w:ind w:left="993" w:hanging="284"/>
        <w:rPr>
          <w:rFonts w:ascii="Avenir Book" w:eastAsia="Arial" w:hAnsi="Avenir Book" w:cstheme="minorHAnsi"/>
        </w:rPr>
      </w:pPr>
      <w:r w:rsidRPr="00965A70">
        <w:rPr>
          <w:rFonts w:ascii="Avenir Book" w:eastAsia="Arial" w:hAnsi="Avenir Book" w:cstheme="minorHAnsi"/>
        </w:rPr>
        <w:t>Ensure people with disability, particularly women and girls enjoy sexual and reproductive rights.</w:t>
      </w:r>
    </w:p>
    <w:p w14:paraId="1275571D" w14:textId="77777777" w:rsidR="00965A70" w:rsidRPr="00965A70" w:rsidRDefault="00965A70" w:rsidP="00C74146">
      <w:pPr>
        <w:pStyle w:val="ListParagraph"/>
        <w:numPr>
          <w:ilvl w:val="0"/>
          <w:numId w:val="6"/>
        </w:numPr>
        <w:spacing w:after="60" w:line="276" w:lineRule="auto"/>
        <w:ind w:left="993" w:hanging="284"/>
        <w:rPr>
          <w:rFonts w:ascii="Avenir Book" w:eastAsia="Arial" w:hAnsi="Avenir Book" w:cstheme="minorHAnsi"/>
        </w:rPr>
      </w:pPr>
      <w:r w:rsidRPr="00965A70">
        <w:rPr>
          <w:rFonts w:ascii="Avenir Book" w:eastAsia="Arial" w:hAnsi="Avenir Book" w:cstheme="minorHAnsi"/>
        </w:rPr>
        <w:t>Urgently address indefinite detention and deprivation of liberty of people with disability, particularly First Nations people with disability, people with cognitive disability and people with psychosocial disability.</w:t>
      </w:r>
    </w:p>
    <w:p w14:paraId="3A9BB3C0" w14:textId="77777777" w:rsidR="00965A70" w:rsidRPr="00965A70" w:rsidRDefault="00965A70" w:rsidP="00C74146">
      <w:pPr>
        <w:pStyle w:val="ListParagraph"/>
        <w:numPr>
          <w:ilvl w:val="0"/>
          <w:numId w:val="6"/>
        </w:numPr>
        <w:spacing w:after="60" w:line="276" w:lineRule="auto"/>
        <w:ind w:left="993" w:hanging="284"/>
        <w:rPr>
          <w:rFonts w:ascii="Avenir Book" w:eastAsia="Arial" w:hAnsi="Avenir Book" w:cstheme="minorHAnsi"/>
        </w:rPr>
      </w:pPr>
      <w:r w:rsidRPr="00965A70">
        <w:rPr>
          <w:rFonts w:ascii="Avenir Book" w:eastAsia="Arial" w:hAnsi="Avenir Book" w:cstheme="minorHAnsi"/>
        </w:rPr>
        <w:t>End discrimination against migrants and refugees with disability.</w:t>
      </w:r>
    </w:p>
    <w:p w14:paraId="024B99C8" w14:textId="77777777" w:rsidR="00965A70" w:rsidRPr="00965A70" w:rsidRDefault="00965A70" w:rsidP="00C74146">
      <w:pPr>
        <w:pStyle w:val="ListParagraph"/>
        <w:numPr>
          <w:ilvl w:val="0"/>
          <w:numId w:val="6"/>
        </w:numPr>
        <w:spacing w:after="60" w:line="276" w:lineRule="auto"/>
        <w:ind w:left="993" w:hanging="284"/>
        <w:rPr>
          <w:rFonts w:ascii="Avenir Book" w:eastAsia="Arial" w:hAnsi="Avenir Book" w:cstheme="minorHAnsi"/>
        </w:rPr>
      </w:pPr>
      <w:r w:rsidRPr="00965A70">
        <w:rPr>
          <w:rFonts w:ascii="Avenir Book" w:eastAsia="Arial" w:hAnsi="Avenir Book" w:cstheme="minorHAnsi"/>
        </w:rPr>
        <w:t>Urgently address the over-representation of people with disability living in poverty and ensure an adequate standard of living and social protection.</w:t>
      </w:r>
    </w:p>
    <w:p w14:paraId="295736A5" w14:textId="58FE72A2" w:rsidR="00965A70" w:rsidRPr="00965A70" w:rsidRDefault="00965A70" w:rsidP="00C74146">
      <w:pPr>
        <w:pStyle w:val="ListParagraph"/>
        <w:numPr>
          <w:ilvl w:val="0"/>
          <w:numId w:val="6"/>
        </w:numPr>
        <w:spacing w:after="60" w:line="276" w:lineRule="auto"/>
        <w:ind w:left="993" w:hanging="284"/>
        <w:rPr>
          <w:rFonts w:ascii="Avenir Book" w:eastAsia="Arial" w:hAnsi="Avenir Book" w:cstheme="minorHAnsi"/>
        </w:rPr>
      </w:pPr>
      <w:r w:rsidRPr="00965A70">
        <w:rPr>
          <w:rFonts w:ascii="Avenir Book" w:eastAsia="Arial" w:hAnsi="Avenir Book" w:cstheme="minorHAnsi"/>
        </w:rPr>
        <w:t xml:space="preserve">Ensure </w:t>
      </w:r>
      <w:r w:rsidR="00F20708">
        <w:rPr>
          <w:rFonts w:ascii="Avenir Book" w:eastAsia="Arial" w:hAnsi="Avenir Book" w:cstheme="minorHAnsi"/>
        </w:rPr>
        <w:t>effective</w:t>
      </w:r>
      <w:r w:rsidRPr="00965A70">
        <w:rPr>
          <w:rFonts w:ascii="Avenir Book" w:eastAsia="Arial" w:hAnsi="Avenir Book" w:cstheme="minorHAnsi"/>
        </w:rPr>
        <w:t xml:space="preserve"> participation of people with disability including through their representative organisations in all matters that affect them.</w:t>
      </w:r>
    </w:p>
    <w:p w14:paraId="11D81922" w14:textId="5EE8B640" w:rsidR="00965A70" w:rsidRPr="00965A70" w:rsidRDefault="00965A70" w:rsidP="00C74146">
      <w:pPr>
        <w:pStyle w:val="ListParagraph"/>
        <w:numPr>
          <w:ilvl w:val="0"/>
          <w:numId w:val="6"/>
        </w:numPr>
        <w:spacing w:after="60" w:line="276" w:lineRule="auto"/>
        <w:ind w:left="993" w:hanging="284"/>
        <w:rPr>
          <w:rFonts w:ascii="Avenir Book" w:eastAsia="Arial" w:hAnsi="Avenir Book" w:cstheme="minorHAnsi"/>
        </w:rPr>
      </w:pPr>
      <w:r w:rsidRPr="00965A70">
        <w:rPr>
          <w:rFonts w:ascii="Avenir Book" w:eastAsia="Arial" w:hAnsi="Avenir Book" w:cstheme="minorHAnsi"/>
        </w:rPr>
        <w:t>Implement a Disability Royal Commission Redress and Reparation Scheme.</w:t>
      </w:r>
    </w:p>
    <w:p w14:paraId="13790BE8" w14:textId="3FBED1D6" w:rsidR="00965A70" w:rsidRPr="00965A70" w:rsidRDefault="00965A70" w:rsidP="00C74146">
      <w:pPr>
        <w:pStyle w:val="ListParagraph"/>
        <w:numPr>
          <w:ilvl w:val="0"/>
          <w:numId w:val="6"/>
        </w:numPr>
        <w:spacing w:after="60" w:line="276" w:lineRule="auto"/>
        <w:ind w:left="993" w:hanging="284"/>
        <w:rPr>
          <w:rFonts w:ascii="Avenir Book" w:eastAsia="Arial" w:hAnsi="Avenir Book" w:cstheme="minorHAnsi"/>
        </w:rPr>
      </w:pPr>
      <w:r>
        <w:rPr>
          <w:rFonts w:ascii="Avenir Book" w:eastAsia="Arial" w:hAnsi="Avenir Book" w:cstheme="minorHAnsi"/>
        </w:rPr>
        <w:t>Embed human rights of people with disability into law and policy.</w:t>
      </w:r>
    </w:p>
    <w:p w14:paraId="6070EFC9" w14:textId="227597A4" w:rsidR="00755718" w:rsidRPr="00965A70" w:rsidRDefault="00766755" w:rsidP="00965A70">
      <w:pPr>
        <w:pStyle w:val="ListParagraph"/>
        <w:spacing w:line="276" w:lineRule="auto"/>
        <w:ind w:left="567"/>
        <w:rPr>
          <w:rFonts w:ascii="Avenir Book" w:eastAsia="Arial" w:hAnsi="Avenir Book" w:cstheme="minorHAnsi"/>
        </w:rPr>
      </w:pPr>
      <w:r w:rsidRPr="00755718">
        <w:rPr>
          <w:rFonts w:ascii="Avenir Book" w:eastAsia="Arial" w:hAnsi="Avenir Book" w:cstheme="minorHAnsi"/>
        </w:rPr>
        <w:t xml:space="preserve">  </w:t>
      </w:r>
    </w:p>
    <w:p w14:paraId="4D9D897C" w14:textId="77777777" w:rsidR="00965A70" w:rsidRDefault="00965A70" w:rsidP="00C74146">
      <w:pPr>
        <w:pStyle w:val="ListParagraph"/>
        <w:numPr>
          <w:ilvl w:val="1"/>
          <w:numId w:val="11"/>
        </w:numPr>
        <w:spacing w:line="276" w:lineRule="auto"/>
        <w:ind w:left="709" w:hanging="709"/>
        <w:rPr>
          <w:rFonts w:ascii="Avenir Book" w:eastAsia="Arial" w:hAnsi="Avenir Book" w:cstheme="minorHAnsi"/>
        </w:rPr>
      </w:pPr>
      <w:r w:rsidRPr="00755718">
        <w:rPr>
          <w:rFonts w:ascii="Avenir Book" w:eastAsia="Arial" w:hAnsi="Avenir Book" w:cstheme="minorHAnsi"/>
        </w:rPr>
        <w:t xml:space="preserve">The ten priority areas for action broadly relate to the thematic issues covered by key </w:t>
      </w:r>
      <w:r>
        <w:rPr>
          <w:rFonts w:ascii="Avenir Book" w:eastAsia="Arial" w:hAnsi="Avenir Book" w:cstheme="minorHAnsi"/>
        </w:rPr>
        <w:t>DRC</w:t>
      </w:r>
      <w:r w:rsidRPr="00755718">
        <w:rPr>
          <w:rFonts w:ascii="Avenir Book" w:eastAsia="Arial" w:hAnsi="Avenir Book" w:cstheme="minorHAnsi"/>
        </w:rPr>
        <w:t xml:space="preserve"> recommendations.  They provide additional context and content to strengthen and complement the </w:t>
      </w:r>
      <w:r>
        <w:rPr>
          <w:rFonts w:ascii="Avenir Book" w:eastAsia="Arial" w:hAnsi="Avenir Book" w:cstheme="minorHAnsi"/>
        </w:rPr>
        <w:t>DRC</w:t>
      </w:r>
      <w:r w:rsidRPr="00755718">
        <w:rPr>
          <w:rFonts w:ascii="Avenir Book" w:eastAsia="Arial" w:hAnsi="Avenir Book" w:cstheme="minorHAnsi"/>
        </w:rPr>
        <w:t xml:space="preserve"> recommendations, outline areas where there are gaps in recommendations and provide our strong concerns regarding recommendations that do not adhere to the human rights of people with disability.  </w:t>
      </w:r>
    </w:p>
    <w:p w14:paraId="18DF9951" w14:textId="77777777" w:rsidR="00965A70" w:rsidRPr="00755718" w:rsidRDefault="00965A70" w:rsidP="00965A70">
      <w:pPr>
        <w:pStyle w:val="ListParagraph"/>
        <w:spacing w:line="276" w:lineRule="auto"/>
        <w:ind w:left="567"/>
        <w:rPr>
          <w:rFonts w:ascii="Avenir Book" w:eastAsia="Arial" w:hAnsi="Avenir Book" w:cstheme="minorHAnsi"/>
        </w:rPr>
      </w:pPr>
    </w:p>
    <w:p w14:paraId="3227FF45" w14:textId="596AC40B" w:rsidR="00755718" w:rsidRPr="00755718" w:rsidRDefault="00766755" w:rsidP="00C74146">
      <w:pPr>
        <w:pStyle w:val="ListParagraph"/>
        <w:numPr>
          <w:ilvl w:val="1"/>
          <w:numId w:val="11"/>
        </w:numPr>
        <w:spacing w:after="120" w:line="276" w:lineRule="auto"/>
        <w:ind w:left="709" w:hanging="709"/>
        <w:contextualSpacing w:val="0"/>
        <w:rPr>
          <w:rFonts w:ascii="Avenir Book" w:eastAsia="Arial" w:hAnsi="Avenir Book" w:cstheme="minorHAnsi"/>
        </w:rPr>
      </w:pPr>
      <w:r w:rsidRPr="00755718">
        <w:rPr>
          <w:rFonts w:ascii="Avenir Book" w:eastAsia="Arial" w:hAnsi="Avenir Book" w:cstheme="minorHAnsi"/>
        </w:rPr>
        <w:t xml:space="preserve">The ten priority areas for action are strongly focused on actions that respect, protect and fulfil the human rights of people with disability. They recognise that the Terms of Reference (ToR) for the </w:t>
      </w:r>
      <w:r w:rsidR="00E637AA">
        <w:rPr>
          <w:rFonts w:ascii="Avenir Book" w:eastAsia="Arial" w:hAnsi="Avenir Book" w:cstheme="minorHAnsi"/>
        </w:rPr>
        <w:t>DRC</w:t>
      </w:r>
      <w:r w:rsidRPr="00755718">
        <w:rPr>
          <w:rFonts w:ascii="Avenir Book" w:eastAsia="Arial" w:hAnsi="Avenir Book" w:cstheme="minorHAnsi"/>
        </w:rPr>
        <w:t xml:space="preserve"> acknowledge Australia’s international human rights obligations, and specifically its obligations: </w:t>
      </w:r>
    </w:p>
    <w:p w14:paraId="6D3CD2B6" w14:textId="12F36D13" w:rsidR="00755718" w:rsidRPr="00965A70" w:rsidRDefault="00766755" w:rsidP="00965A70">
      <w:pPr>
        <w:pStyle w:val="ListParagraph"/>
        <w:spacing w:line="276" w:lineRule="auto"/>
        <w:ind w:left="993" w:right="701"/>
        <w:rPr>
          <w:rFonts w:ascii="Avenir Book" w:eastAsia="Arial" w:hAnsi="Avenir Book" w:cstheme="minorHAnsi"/>
        </w:rPr>
      </w:pPr>
      <w:r w:rsidRPr="00755718">
        <w:rPr>
          <w:rFonts w:ascii="Avenir Book" w:eastAsia="Arial" w:hAnsi="Avenir Book" w:cstheme="minorHAnsi"/>
        </w:rPr>
        <w:t xml:space="preserve">“to take appropriate legislative, administrative and other measures to promote the human rights of people with disability, including to protect </w:t>
      </w:r>
      <w:r w:rsidRPr="00755718">
        <w:rPr>
          <w:rFonts w:ascii="Avenir Book" w:eastAsia="Arial" w:hAnsi="Avenir Book" w:cstheme="minorHAnsi"/>
        </w:rPr>
        <w:lastRenderedPageBreak/>
        <w:t>people with disability from all forms of exploitation, violence and abuse under the Convention on the Rights of Persons with Disabilities”.</w:t>
      </w:r>
      <w:r w:rsidRPr="00755718">
        <w:rPr>
          <w:rStyle w:val="EndnoteReference"/>
          <w:rFonts w:ascii="Avenir Book" w:eastAsia="Arial" w:hAnsi="Avenir Book" w:cstheme="minorHAnsi"/>
        </w:rPr>
        <w:endnoteReference w:id="22"/>
      </w:r>
    </w:p>
    <w:p w14:paraId="60CEE0C6" w14:textId="77777777" w:rsidR="00755718" w:rsidRPr="00755718" w:rsidRDefault="00755718" w:rsidP="00755718">
      <w:pPr>
        <w:pStyle w:val="ListParagraph"/>
        <w:spacing w:line="276" w:lineRule="auto"/>
        <w:ind w:left="567"/>
        <w:rPr>
          <w:rFonts w:ascii="Avenir Book" w:eastAsia="Arial" w:hAnsi="Avenir Book" w:cstheme="minorHAnsi"/>
        </w:rPr>
      </w:pPr>
    </w:p>
    <w:p w14:paraId="7FF815F2" w14:textId="23D7148B" w:rsidR="00755718" w:rsidRPr="00755718" w:rsidRDefault="00766755" w:rsidP="00C74146">
      <w:pPr>
        <w:pStyle w:val="ListParagraph"/>
        <w:numPr>
          <w:ilvl w:val="1"/>
          <w:numId w:val="11"/>
        </w:numPr>
        <w:spacing w:after="120" w:line="276" w:lineRule="auto"/>
        <w:ind w:left="709" w:hanging="709"/>
        <w:contextualSpacing w:val="0"/>
        <w:rPr>
          <w:rFonts w:ascii="Avenir Book" w:eastAsia="Arial" w:hAnsi="Avenir Book" w:cstheme="minorHAnsi"/>
        </w:rPr>
      </w:pPr>
      <w:r w:rsidRPr="00755718">
        <w:rPr>
          <w:rFonts w:ascii="Avenir Book" w:eastAsia="Arial" w:hAnsi="Avenir Book" w:cstheme="minorHAnsi"/>
        </w:rPr>
        <w:t xml:space="preserve">The Chair of the </w:t>
      </w:r>
      <w:r w:rsidR="00E637AA">
        <w:rPr>
          <w:rFonts w:ascii="Avenir Book" w:eastAsia="Arial" w:hAnsi="Avenir Book" w:cstheme="minorHAnsi"/>
        </w:rPr>
        <w:t>DRC</w:t>
      </w:r>
      <w:r w:rsidRPr="00755718">
        <w:rPr>
          <w:rFonts w:ascii="Avenir Book" w:eastAsia="Arial" w:hAnsi="Avenir Book" w:cstheme="minorHAnsi"/>
        </w:rPr>
        <w:t>,</w:t>
      </w:r>
      <w:r w:rsidRPr="00755718">
        <w:rPr>
          <w:rFonts w:ascii="Avenir Book" w:hAnsi="Avenir Book" w:cstheme="minorHAnsi"/>
        </w:rPr>
        <w:t xml:space="preserve"> Commissioner Hon Ronald Sackville </w:t>
      </w:r>
      <w:r w:rsidRPr="00755718">
        <w:rPr>
          <w:rFonts w:ascii="Avenir Book" w:eastAsia="Arial" w:hAnsi="Avenir Book" w:cstheme="minorHAnsi"/>
        </w:rPr>
        <w:t xml:space="preserve">AO QC stated in his 2019 opening statement: </w:t>
      </w:r>
    </w:p>
    <w:p w14:paraId="12860C0A" w14:textId="77777777" w:rsidR="00766755" w:rsidRPr="00755718" w:rsidRDefault="00766755" w:rsidP="005608D0">
      <w:pPr>
        <w:pStyle w:val="NormalWeb"/>
        <w:spacing w:before="0" w:beforeAutospacing="0" w:after="0" w:afterAutospacing="0" w:line="276" w:lineRule="auto"/>
        <w:ind w:left="993" w:right="701"/>
        <w:rPr>
          <w:rFonts w:ascii="Avenir Book" w:hAnsi="Avenir Book" w:cstheme="minorHAnsi"/>
        </w:rPr>
      </w:pPr>
      <w:r w:rsidRPr="00755718">
        <w:rPr>
          <w:rFonts w:ascii="Avenir Book" w:eastAsia="Arial" w:hAnsi="Avenir Book" w:cstheme="minorHAnsi"/>
        </w:rPr>
        <w:t>“</w:t>
      </w:r>
      <w:r w:rsidRPr="00755718">
        <w:rPr>
          <w:rFonts w:ascii="Avenir Book" w:hAnsi="Avenir Book" w:cstheme="minorHAnsi"/>
        </w:rPr>
        <w:t>With the active participation of people with disability and the disability community at large, the Royal Commission provides an opportunity to achieve transformational change. It is a very large challenge, but it is one that should be embraced… The Royal Commission provides an unprecedented opportunity, on a national scale, to shine a light on the abuse of people with disability, and to help realise the rights of people with disability, and to promote a more inclusive society. It is an opportunity for healing and a real step towards justice for people with disability.”</w:t>
      </w:r>
      <w:r w:rsidRPr="00755718">
        <w:rPr>
          <w:rStyle w:val="EndnoteReference"/>
          <w:rFonts w:ascii="Avenir Book" w:hAnsi="Avenir Book" w:cstheme="minorHAnsi"/>
        </w:rPr>
        <w:endnoteReference w:id="23"/>
      </w:r>
    </w:p>
    <w:p w14:paraId="7CFFE14C" w14:textId="77777777" w:rsidR="00755718" w:rsidRPr="00755718" w:rsidRDefault="00755718" w:rsidP="00755718">
      <w:pPr>
        <w:pStyle w:val="NormalWeb"/>
        <w:spacing w:before="0" w:beforeAutospacing="0" w:after="0" w:afterAutospacing="0"/>
        <w:ind w:left="993" w:right="701"/>
        <w:rPr>
          <w:rFonts w:ascii="Avenir Book" w:hAnsi="Avenir Book" w:cstheme="minorHAnsi"/>
        </w:rPr>
      </w:pPr>
    </w:p>
    <w:p w14:paraId="03BB5642" w14:textId="77777777" w:rsidR="00766755" w:rsidRPr="00755718" w:rsidRDefault="00766755" w:rsidP="00C74146">
      <w:pPr>
        <w:pStyle w:val="ListParagraph"/>
        <w:numPr>
          <w:ilvl w:val="1"/>
          <w:numId w:val="11"/>
        </w:numPr>
        <w:spacing w:line="276" w:lineRule="auto"/>
        <w:ind w:left="709" w:hanging="709"/>
        <w:rPr>
          <w:rFonts w:ascii="Avenir Book" w:eastAsia="Arial" w:hAnsi="Avenir Book" w:cstheme="minorHAnsi"/>
        </w:rPr>
      </w:pPr>
      <w:r w:rsidRPr="00755718">
        <w:rPr>
          <w:rFonts w:ascii="Avenir Book" w:eastAsia="Arial" w:hAnsi="Avenir Book" w:cstheme="minorHAnsi"/>
        </w:rPr>
        <w:t>Our submission reflects this statement, with the ten priority areas for action focused on facilitating transformational change, providing a clear pathway to genuine equality and inclusion of all people with disability in society, facilitating healing and justice and prioritising and implementing actions to realise all human rights and fundamental freedoms, including civil, political, economic, social and cultural rights set out in the Convention on the Rights of Persons with Disabilities (CRPD)</w:t>
      </w:r>
      <w:r w:rsidRPr="00755718">
        <w:rPr>
          <w:rStyle w:val="EndnoteReference"/>
          <w:rFonts w:ascii="Avenir Book" w:eastAsia="Arial" w:hAnsi="Avenir Book" w:cstheme="minorHAnsi"/>
        </w:rPr>
        <w:endnoteReference w:id="24"/>
      </w:r>
      <w:r w:rsidRPr="00755718">
        <w:rPr>
          <w:rFonts w:ascii="Avenir Book" w:eastAsia="Arial" w:hAnsi="Avenir Book" w:cstheme="minorHAnsi"/>
        </w:rPr>
        <w:t xml:space="preserve"> and the other international human rights treaties to which Australia is a party.  </w:t>
      </w:r>
    </w:p>
    <w:p w14:paraId="28DE6613" w14:textId="77777777" w:rsidR="00755718" w:rsidRPr="00755718" w:rsidRDefault="00755718" w:rsidP="00755718">
      <w:pPr>
        <w:pStyle w:val="ListParagraph"/>
        <w:spacing w:line="276" w:lineRule="auto"/>
        <w:ind w:left="567"/>
        <w:rPr>
          <w:rFonts w:ascii="Avenir Book" w:eastAsia="Arial" w:hAnsi="Avenir Book" w:cstheme="minorHAnsi"/>
        </w:rPr>
      </w:pPr>
    </w:p>
    <w:p w14:paraId="32D8DA3F" w14:textId="4E962CE1" w:rsidR="00766755" w:rsidRPr="00755718" w:rsidRDefault="00766755" w:rsidP="00C74146">
      <w:pPr>
        <w:pStyle w:val="ListParagraph"/>
        <w:numPr>
          <w:ilvl w:val="1"/>
          <w:numId w:val="11"/>
        </w:numPr>
        <w:spacing w:line="276" w:lineRule="auto"/>
        <w:ind w:left="709" w:hanging="709"/>
        <w:rPr>
          <w:rFonts w:ascii="Avenir Book" w:eastAsia="Arial" w:hAnsi="Avenir Book" w:cstheme="minorHAnsi"/>
        </w:rPr>
      </w:pPr>
      <w:r w:rsidRPr="00755718">
        <w:rPr>
          <w:rFonts w:ascii="Avenir Book" w:eastAsia="Arial" w:hAnsi="Avenir Book" w:cstheme="minorHAnsi"/>
        </w:rPr>
        <w:t xml:space="preserve">We cannot accept the outcome of our </w:t>
      </w:r>
      <w:r w:rsidR="00E637AA">
        <w:rPr>
          <w:rFonts w:ascii="Avenir Book" w:eastAsia="Arial" w:hAnsi="Avenir Book" w:cstheme="minorHAnsi"/>
        </w:rPr>
        <w:t>DRC</w:t>
      </w:r>
      <w:r w:rsidRPr="00755718">
        <w:rPr>
          <w:rFonts w:ascii="Avenir Book" w:eastAsia="Arial" w:hAnsi="Avenir Book" w:cstheme="minorHAnsi"/>
        </w:rPr>
        <w:t xml:space="preserve"> to be anything other than transformative. We cannot accept actions that merely ‘tweak’ the status quo and deliver less than a clear pathway to genuine equality and inclusion of people with disability in our society.  </w:t>
      </w:r>
    </w:p>
    <w:p w14:paraId="2CCA8FA4" w14:textId="77777777" w:rsidR="00755718" w:rsidRPr="00755718" w:rsidRDefault="00755718" w:rsidP="00DC0666">
      <w:pPr>
        <w:pStyle w:val="ListParagraph"/>
        <w:ind w:left="709" w:hanging="709"/>
        <w:rPr>
          <w:rFonts w:ascii="Avenir Book" w:eastAsia="Arial" w:hAnsi="Avenir Book" w:cstheme="minorHAnsi"/>
        </w:rPr>
      </w:pPr>
    </w:p>
    <w:p w14:paraId="6992DE59" w14:textId="67579BD9" w:rsidR="00766755" w:rsidRPr="00755718" w:rsidRDefault="00766755" w:rsidP="00C74146">
      <w:pPr>
        <w:pStyle w:val="ListParagraph"/>
        <w:numPr>
          <w:ilvl w:val="1"/>
          <w:numId w:val="11"/>
        </w:numPr>
        <w:spacing w:after="120" w:line="276" w:lineRule="auto"/>
        <w:ind w:left="709" w:hanging="709"/>
        <w:contextualSpacing w:val="0"/>
        <w:rPr>
          <w:rFonts w:ascii="Avenir Book" w:eastAsia="Arial" w:hAnsi="Avenir Book" w:cstheme="minorHAnsi"/>
        </w:rPr>
      </w:pPr>
      <w:r w:rsidRPr="00755718">
        <w:rPr>
          <w:rFonts w:ascii="Avenir Book" w:eastAsia="Arial" w:hAnsi="Avenir Book" w:cstheme="minorHAnsi"/>
        </w:rPr>
        <w:t xml:space="preserve">With this in mind, and recognising that more comprehensive </w:t>
      </w:r>
      <w:r w:rsidRPr="00755718">
        <w:rPr>
          <w:rFonts w:ascii="Avenir Book" w:hAnsi="Avenir Book" w:cstheme="minorHAnsi"/>
        </w:rPr>
        <w:t xml:space="preserve">analysis and response is required for </w:t>
      </w:r>
      <w:r w:rsidR="00965A70">
        <w:rPr>
          <w:rFonts w:ascii="Avenir Book" w:hAnsi="Avenir Book" w:cstheme="minorHAnsi"/>
        </w:rPr>
        <w:t xml:space="preserve">many of </w:t>
      </w:r>
      <w:r w:rsidRPr="00755718">
        <w:rPr>
          <w:rFonts w:ascii="Avenir Book" w:hAnsi="Avenir Book" w:cstheme="minorHAnsi"/>
        </w:rPr>
        <w:t xml:space="preserve">the 222 recommendations and the 12 volumes of the Final Report, </w:t>
      </w:r>
      <w:r w:rsidRPr="00755718">
        <w:rPr>
          <w:rFonts w:ascii="Avenir Book" w:eastAsia="Arial" w:hAnsi="Avenir Book" w:cstheme="minorHAnsi"/>
        </w:rPr>
        <w:t>our overarching recommendation is that:</w:t>
      </w:r>
    </w:p>
    <w:p w14:paraId="4268E8E7" w14:textId="757AEA71" w:rsidR="00766755" w:rsidRPr="00755718" w:rsidRDefault="00766755" w:rsidP="00755718">
      <w:pPr>
        <w:pStyle w:val="ListParagraph"/>
        <w:spacing w:line="276" w:lineRule="auto"/>
        <w:ind w:left="851" w:right="701"/>
        <w:rPr>
          <w:rFonts w:ascii="Avenir Book" w:eastAsia="Arial" w:hAnsi="Avenir Book" w:cstheme="minorHAnsi"/>
          <w:i/>
          <w:iCs/>
        </w:rPr>
      </w:pPr>
      <w:r w:rsidRPr="00755718">
        <w:rPr>
          <w:rFonts w:ascii="Avenir Book" w:eastAsia="Arial" w:hAnsi="Avenir Book" w:cstheme="minorHAnsi"/>
          <w:i/>
          <w:iCs/>
        </w:rPr>
        <w:t>people with disability through our representative organisations must be closely consulted and actively involved in all aspects of evaluation, refinement, and implementation of recommendations arising from the Disability R</w:t>
      </w:r>
      <w:r w:rsidR="00E637AA">
        <w:rPr>
          <w:rFonts w:ascii="Avenir Book" w:eastAsia="Arial" w:hAnsi="Avenir Book" w:cstheme="minorHAnsi"/>
          <w:i/>
          <w:iCs/>
        </w:rPr>
        <w:t xml:space="preserve">oyal </w:t>
      </w:r>
      <w:r w:rsidRPr="00755718">
        <w:rPr>
          <w:rFonts w:ascii="Avenir Book" w:eastAsia="Arial" w:hAnsi="Avenir Book" w:cstheme="minorHAnsi"/>
          <w:i/>
          <w:iCs/>
        </w:rPr>
        <w:t>C</w:t>
      </w:r>
      <w:r w:rsidR="00E637AA">
        <w:rPr>
          <w:rFonts w:ascii="Avenir Book" w:eastAsia="Arial" w:hAnsi="Avenir Book" w:cstheme="minorHAnsi"/>
          <w:i/>
          <w:iCs/>
        </w:rPr>
        <w:t>ommission</w:t>
      </w:r>
      <w:r w:rsidRPr="00755718">
        <w:rPr>
          <w:rFonts w:ascii="Avenir Book" w:eastAsia="Arial" w:hAnsi="Avenir Book" w:cstheme="minorHAnsi"/>
          <w:i/>
          <w:iCs/>
        </w:rPr>
        <w:t>.</w:t>
      </w:r>
      <w:r w:rsidRPr="00755718">
        <w:rPr>
          <w:rStyle w:val="EndnoteReference"/>
          <w:rFonts w:ascii="Avenir Book" w:eastAsia="Arial" w:hAnsi="Avenir Book" w:cstheme="minorHAnsi"/>
          <w:i/>
          <w:iCs/>
        </w:rPr>
        <w:endnoteReference w:id="25"/>
      </w:r>
      <w:r w:rsidRPr="00755718">
        <w:rPr>
          <w:rFonts w:ascii="Avenir Book" w:eastAsia="Arial" w:hAnsi="Avenir Book" w:cstheme="minorHAnsi"/>
          <w:i/>
          <w:iCs/>
        </w:rPr>
        <w:t xml:space="preserve"> </w:t>
      </w:r>
    </w:p>
    <w:p w14:paraId="58930D57" w14:textId="77777777" w:rsidR="001777B3" w:rsidRPr="002F5171" w:rsidRDefault="001777B3" w:rsidP="00121931">
      <w:pPr>
        <w:spacing w:line="276" w:lineRule="auto"/>
        <w:rPr>
          <w:rFonts w:ascii="Avenir Book" w:hAnsi="Avenir Book" w:cs="Calibri"/>
          <w:sz w:val="22"/>
          <w:szCs w:val="22"/>
        </w:rPr>
      </w:pPr>
    </w:p>
    <w:p w14:paraId="019F30AC" w14:textId="0FE404F8" w:rsidR="001777B3" w:rsidRDefault="001777B3">
      <w:pPr>
        <w:rPr>
          <w:rFonts w:ascii="Calibri" w:eastAsiaTheme="minorHAnsi" w:hAnsi="Calibri" w:cs="Calibri"/>
          <w:b/>
          <w:color w:val="7030A0"/>
          <w:sz w:val="28"/>
        </w:rPr>
      </w:pPr>
    </w:p>
    <w:p w14:paraId="4A7EC9C2" w14:textId="6AE3029B" w:rsidR="001777B3" w:rsidRPr="00896999" w:rsidRDefault="003F44F5" w:rsidP="00C74146">
      <w:pPr>
        <w:pStyle w:val="Heading2"/>
        <w:numPr>
          <w:ilvl w:val="0"/>
          <w:numId w:val="11"/>
        </w:numPr>
        <w:ind w:left="426" w:hanging="426"/>
        <w:jc w:val="left"/>
        <w:rPr>
          <w:rFonts w:ascii="Avenir Book" w:hAnsi="Avenir Book" w:cs="Calibri"/>
          <w:color w:val="AC1F79"/>
        </w:rPr>
      </w:pPr>
      <w:r>
        <w:rPr>
          <w:rFonts w:ascii="Avenir Book" w:hAnsi="Avenir Book" w:cs="Calibri"/>
          <w:color w:val="AC1F79"/>
        </w:rPr>
        <w:br w:type="column"/>
      </w:r>
      <w:bookmarkStart w:id="94" w:name="_Toc156825213"/>
      <w:r w:rsidR="003E782D">
        <w:rPr>
          <w:rFonts w:ascii="Avenir Book" w:hAnsi="Avenir Book" w:cs="Calibri"/>
          <w:color w:val="AC1F79"/>
        </w:rPr>
        <w:lastRenderedPageBreak/>
        <w:t>Priority Areas for Action</w:t>
      </w:r>
      <w:bookmarkEnd w:id="94"/>
      <w:r w:rsidR="003E782D">
        <w:rPr>
          <w:rFonts w:ascii="Avenir Book" w:hAnsi="Avenir Book" w:cs="Calibri"/>
          <w:color w:val="AC1F79"/>
        </w:rPr>
        <w:t xml:space="preserve"> </w:t>
      </w:r>
    </w:p>
    <w:p w14:paraId="237AF231" w14:textId="77777777" w:rsidR="001777B3" w:rsidRPr="003B486B" w:rsidRDefault="001777B3" w:rsidP="00430D9C">
      <w:pPr>
        <w:rPr>
          <w:rFonts w:ascii="Avenir Book" w:hAnsi="Avenir Book"/>
        </w:rPr>
      </w:pPr>
    </w:p>
    <w:p w14:paraId="188427DB" w14:textId="7EA0F150" w:rsidR="001777B3" w:rsidRPr="00A007ED" w:rsidRDefault="003E782D" w:rsidP="006C4974">
      <w:pPr>
        <w:pStyle w:val="Heading3"/>
        <w:spacing w:after="120"/>
        <w:ind w:left="851" w:hanging="851"/>
        <w:rPr>
          <w:rFonts w:ascii="Avenir Book" w:hAnsi="Avenir Book"/>
          <w:color w:val="000000" w:themeColor="text1"/>
        </w:rPr>
      </w:pPr>
      <w:bookmarkStart w:id="95" w:name="_Toc156825214"/>
      <w:r w:rsidRPr="00A007ED">
        <w:rPr>
          <w:rFonts w:ascii="Avenir Book" w:hAnsi="Avenir Book"/>
          <w:color w:val="000000" w:themeColor="text1"/>
        </w:rPr>
        <w:t>3.1</w:t>
      </w:r>
      <w:r w:rsidRPr="00A007ED">
        <w:rPr>
          <w:rFonts w:ascii="Avenir Book" w:hAnsi="Avenir Book"/>
          <w:color w:val="000000" w:themeColor="text1"/>
        </w:rPr>
        <w:tab/>
        <w:t>End segregation of people with disability in all settings and contexts</w:t>
      </w:r>
      <w:bookmarkEnd w:id="95"/>
    </w:p>
    <w:p w14:paraId="608B1FDD" w14:textId="1C34FDA2" w:rsidR="00714265" w:rsidRPr="00030A40" w:rsidRDefault="00714265" w:rsidP="00C74146">
      <w:pPr>
        <w:pStyle w:val="ListParagraph"/>
        <w:numPr>
          <w:ilvl w:val="2"/>
          <w:numId w:val="11"/>
        </w:numPr>
        <w:spacing w:line="276" w:lineRule="auto"/>
        <w:ind w:left="851" w:hanging="851"/>
        <w:rPr>
          <w:rFonts w:ascii="Avenir Book" w:eastAsia="Arial" w:hAnsi="Avenir Book" w:cstheme="minorHAnsi"/>
        </w:rPr>
      </w:pPr>
      <w:r w:rsidRPr="00030A40">
        <w:rPr>
          <w:rFonts w:ascii="Avenir Book" w:eastAsia="Arial" w:hAnsi="Avenir Book" w:cstheme="minorHAnsi"/>
        </w:rPr>
        <w:t>The long-standing and dominant ableist law, policy and practice response to people with disability fosters ‘special’, segregated service systems and social arrangements as legitimate and benevolent in order to provide care, treatment and protection.</w:t>
      </w:r>
      <w:r w:rsidRPr="00030A40">
        <w:rPr>
          <w:rStyle w:val="EndnoteReference"/>
          <w:rFonts w:ascii="Avenir Book" w:eastAsia="Arial" w:hAnsi="Avenir Book" w:cstheme="minorHAnsi"/>
        </w:rPr>
        <w:endnoteReference w:id="26"/>
      </w:r>
      <w:r w:rsidRPr="00030A40">
        <w:rPr>
          <w:rFonts w:ascii="Avenir Book" w:eastAsia="Arial" w:hAnsi="Avenir Book" w:cstheme="minorHAnsi"/>
        </w:rPr>
        <w:t xml:space="preserve"> On the basis of impairment, many people with disability are separated from the rest of the community in a range of ‘special’, segregated arrangements such as: special schools, units or classrooms;</w:t>
      </w:r>
      <w:r w:rsidRPr="00030A40">
        <w:rPr>
          <w:rStyle w:val="EndnoteReference"/>
          <w:rFonts w:ascii="Avenir Book" w:eastAsia="Arial" w:hAnsi="Avenir Book" w:cstheme="minorHAnsi"/>
        </w:rPr>
        <w:endnoteReference w:id="27"/>
      </w:r>
      <w:r w:rsidRPr="00030A40">
        <w:rPr>
          <w:rFonts w:ascii="Avenir Book" w:eastAsia="Arial" w:hAnsi="Avenir Book" w:cstheme="minorHAnsi"/>
        </w:rPr>
        <w:t xml:space="preserve"> group homes and other institutional living settings (e.g.: boarding houses, specialist residential services (SRS), semi-supported residential facilities, congregate care residential facilities, aged care facilities); psychiatric facilities and forensic disability units; disability day care programs and segregated workplaces, including Australian Disability Enterprises (ADEs) (also known as sheltered workshops).</w:t>
      </w:r>
      <w:r w:rsidRPr="00030A40">
        <w:rPr>
          <w:rStyle w:val="EndnoteReference"/>
          <w:rFonts w:ascii="Avenir Book" w:eastAsia="Arial" w:hAnsi="Avenir Book" w:cstheme="minorHAnsi"/>
        </w:rPr>
        <w:endnoteReference w:id="28"/>
      </w:r>
      <w:r w:rsidRPr="00030A40">
        <w:rPr>
          <w:rFonts w:ascii="Avenir Book" w:eastAsia="Arial" w:hAnsi="Avenir Book" w:cstheme="minorHAnsi"/>
        </w:rPr>
        <w:t xml:space="preserve"> Not only does segregation expose the “social apartheid”</w:t>
      </w:r>
      <w:r w:rsidRPr="00030A40">
        <w:rPr>
          <w:rStyle w:val="EndnoteReference"/>
          <w:rFonts w:ascii="Avenir Book" w:eastAsia="Arial" w:hAnsi="Avenir Book" w:cstheme="minorHAnsi"/>
        </w:rPr>
        <w:endnoteReference w:id="29"/>
      </w:r>
      <w:r w:rsidRPr="00030A40">
        <w:rPr>
          <w:rFonts w:ascii="Avenir Book" w:eastAsia="Arial" w:hAnsi="Avenir Book" w:cstheme="minorHAnsi"/>
        </w:rPr>
        <w:t xml:space="preserve"> experienced by people with disability, it also significantly contributes to, and increases the experience and risk of violence, abuse, neglect and exploitation in our daily lives.</w:t>
      </w:r>
      <w:r w:rsidRPr="00030A40">
        <w:rPr>
          <w:rStyle w:val="EndnoteReference"/>
          <w:rFonts w:ascii="Avenir Book" w:eastAsia="Arial" w:hAnsi="Avenir Book" w:cstheme="minorHAnsi"/>
        </w:rPr>
        <w:endnoteReference w:id="30"/>
      </w:r>
    </w:p>
    <w:p w14:paraId="7983F5A9" w14:textId="77777777" w:rsidR="00714265" w:rsidRPr="00030A40" w:rsidRDefault="00714265" w:rsidP="00030A40">
      <w:pPr>
        <w:pStyle w:val="ListParagraph"/>
        <w:spacing w:line="276" w:lineRule="auto"/>
        <w:ind w:left="709" w:hanging="709"/>
        <w:rPr>
          <w:rFonts w:ascii="Avenir Book" w:eastAsia="Arial" w:hAnsi="Avenir Book" w:cstheme="minorHAnsi"/>
        </w:rPr>
      </w:pPr>
    </w:p>
    <w:p w14:paraId="719EED33" w14:textId="77777777" w:rsidR="00714265" w:rsidRPr="00030A40" w:rsidRDefault="00714265" w:rsidP="00C74146">
      <w:pPr>
        <w:pStyle w:val="ListParagraph"/>
        <w:numPr>
          <w:ilvl w:val="2"/>
          <w:numId w:val="11"/>
        </w:numPr>
        <w:spacing w:line="276" w:lineRule="auto"/>
        <w:ind w:left="851" w:hanging="851"/>
        <w:rPr>
          <w:rFonts w:ascii="Avenir Book" w:eastAsia="Arial" w:hAnsi="Avenir Book" w:cstheme="minorHAnsi"/>
        </w:rPr>
      </w:pPr>
      <w:r w:rsidRPr="00030A40">
        <w:rPr>
          <w:rFonts w:ascii="Avenir Book" w:eastAsia="Arial" w:hAnsi="Avenir Book" w:cstheme="minorHAnsi"/>
        </w:rPr>
        <w:t>The CRPD, consistent with international human rights law, holds that segregation based on impairment is discrimination.</w:t>
      </w:r>
      <w:r w:rsidRPr="00030A40">
        <w:rPr>
          <w:rStyle w:val="EndnoteReference"/>
          <w:rFonts w:ascii="Avenir Book" w:eastAsia="Arial" w:hAnsi="Avenir Book" w:cstheme="minorHAnsi"/>
        </w:rPr>
        <w:endnoteReference w:id="31"/>
      </w:r>
      <w:r w:rsidRPr="00030A40">
        <w:rPr>
          <w:rFonts w:ascii="Avenir Book" w:eastAsia="Arial" w:hAnsi="Avenir Book" w:cstheme="minorHAnsi"/>
        </w:rPr>
        <w:t xml:space="preserve"> The principles of equality and non-discrimination are foundational human rights contained in all the core international human rights conventions, and because they are interconnected with human dignity, they are the cornerstones of all human rights.</w:t>
      </w:r>
      <w:r w:rsidRPr="00030A40">
        <w:rPr>
          <w:rStyle w:val="EndnoteReference"/>
          <w:rFonts w:ascii="Avenir Book" w:eastAsia="Arial" w:hAnsi="Avenir Book" w:cstheme="minorHAnsi"/>
        </w:rPr>
        <w:endnoteReference w:id="32"/>
      </w:r>
      <w:r w:rsidRPr="00030A40">
        <w:rPr>
          <w:rFonts w:ascii="Avenir Book" w:eastAsia="Arial" w:hAnsi="Avenir Book" w:cstheme="minorHAnsi"/>
        </w:rPr>
        <w:t xml:space="preserve"> Legitimising segregated systems, policies and practices</w:t>
      </w:r>
      <w:r w:rsidRPr="00030A40">
        <w:rPr>
          <w:rFonts w:ascii="Avenir Book" w:eastAsia="Arial" w:hAnsi="Avenir Book" w:cstheme="minorHAnsi"/>
          <w:sz w:val="20"/>
          <w:szCs w:val="20"/>
        </w:rPr>
        <w:t xml:space="preserve"> </w:t>
      </w:r>
      <w:r w:rsidRPr="00030A40">
        <w:rPr>
          <w:rFonts w:ascii="Avenir Book" w:eastAsia="Arial" w:hAnsi="Avenir Book" w:cstheme="minorHAnsi"/>
        </w:rPr>
        <w:t>for people with disability is a direct contravention of the CRPD and the human rights normative standard of equality and non-discrimination.</w:t>
      </w:r>
      <w:r w:rsidRPr="00030A40">
        <w:rPr>
          <w:rStyle w:val="EndnoteReference"/>
          <w:rFonts w:ascii="Avenir Book" w:eastAsia="Arial" w:hAnsi="Avenir Book" w:cstheme="minorHAnsi"/>
        </w:rPr>
        <w:endnoteReference w:id="33"/>
      </w:r>
      <w:r w:rsidRPr="00030A40">
        <w:rPr>
          <w:rFonts w:ascii="Avenir Book" w:eastAsia="Arial" w:hAnsi="Avenir Book" w:cstheme="minorHAnsi"/>
        </w:rPr>
        <w:t xml:space="preserve"> </w:t>
      </w:r>
    </w:p>
    <w:p w14:paraId="0C1AA3BD" w14:textId="77777777" w:rsidR="00714265" w:rsidRPr="00030A40" w:rsidRDefault="00714265" w:rsidP="006C4974">
      <w:pPr>
        <w:spacing w:line="276" w:lineRule="auto"/>
        <w:ind w:left="851" w:hanging="851"/>
        <w:rPr>
          <w:rFonts w:ascii="Avenir Book" w:eastAsia="Arial" w:hAnsi="Avenir Book" w:cstheme="minorHAnsi"/>
        </w:rPr>
      </w:pPr>
    </w:p>
    <w:p w14:paraId="5E4331CE" w14:textId="77777777" w:rsidR="00714265" w:rsidRPr="00030A40" w:rsidRDefault="00714265" w:rsidP="00C74146">
      <w:pPr>
        <w:pStyle w:val="ListParagraph"/>
        <w:numPr>
          <w:ilvl w:val="2"/>
          <w:numId w:val="11"/>
        </w:numPr>
        <w:spacing w:line="276" w:lineRule="auto"/>
        <w:ind w:left="851" w:hanging="851"/>
        <w:rPr>
          <w:rFonts w:ascii="Avenir Book" w:eastAsia="Arial" w:hAnsi="Avenir Book" w:cstheme="minorHAnsi"/>
        </w:rPr>
      </w:pPr>
      <w:r w:rsidRPr="00030A40">
        <w:rPr>
          <w:rFonts w:ascii="Avenir Book" w:eastAsia="Arial" w:hAnsi="Avenir Book" w:cstheme="minorHAnsi"/>
        </w:rPr>
        <w:t>Under Australia’s international human rights obligations,</w:t>
      </w:r>
      <w:r w:rsidRPr="00030A40">
        <w:rPr>
          <w:rStyle w:val="EndnoteReference"/>
          <w:rFonts w:ascii="Avenir Book" w:eastAsia="Arial" w:hAnsi="Avenir Book" w:cstheme="minorHAnsi"/>
        </w:rPr>
        <w:endnoteReference w:id="34"/>
      </w:r>
      <w:r w:rsidRPr="00030A40">
        <w:rPr>
          <w:rFonts w:ascii="Avenir Book" w:eastAsia="Arial" w:hAnsi="Avenir Book" w:cstheme="minorHAnsi"/>
        </w:rPr>
        <w:t xml:space="preserve"> segregation cannot </w:t>
      </w:r>
      <w:r w:rsidRPr="00030A40">
        <w:rPr>
          <w:rFonts w:ascii="Avenir Book" w:eastAsia="Arial" w:hAnsi="Avenir Book" w:cstheme="minorHAnsi"/>
          <w:b/>
          <w:bCs/>
        </w:rPr>
        <w:t>under any circumstances</w:t>
      </w:r>
      <w:r w:rsidRPr="00030A40">
        <w:rPr>
          <w:rFonts w:ascii="Avenir Book" w:eastAsia="Arial" w:hAnsi="Avenir Book" w:cstheme="minorHAnsi"/>
        </w:rPr>
        <w:t>, be justified as a transitionary measure to achieve equality.</w:t>
      </w:r>
      <w:r w:rsidRPr="00030A40">
        <w:rPr>
          <w:rStyle w:val="EndnoteReference"/>
          <w:rFonts w:ascii="Avenir Book" w:eastAsia="Arial" w:hAnsi="Avenir Book" w:cstheme="minorHAnsi"/>
        </w:rPr>
        <w:endnoteReference w:id="35"/>
      </w:r>
      <w:r w:rsidRPr="00030A40">
        <w:rPr>
          <w:rFonts w:ascii="Avenir Book" w:eastAsia="Arial" w:hAnsi="Avenir Book" w:cstheme="minorHAnsi"/>
        </w:rPr>
        <w:t xml:space="preserve"> Further, segregation can never be viewed as a form of protection of people with disability or a ‘choice’.</w:t>
      </w:r>
      <w:r w:rsidRPr="00030A40">
        <w:rPr>
          <w:rStyle w:val="EndnoteReference"/>
          <w:rFonts w:ascii="Avenir Book" w:eastAsia="Arial" w:hAnsi="Avenir Book" w:cstheme="minorHAnsi"/>
        </w:rPr>
        <w:endnoteReference w:id="36"/>
      </w:r>
      <w:r w:rsidRPr="00030A40">
        <w:rPr>
          <w:rFonts w:ascii="Avenir Book" w:eastAsia="Arial" w:hAnsi="Avenir Book" w:cstheme="minorHAnsi"/>
        </w:rPr>
        <w:t xml:space="preserve">  Following its reviews of Australia in 2013 and 2019, the Committee on the Rights of Persons with Disabilities (CRPD Committee) recommended concerted action be taken to replace segregated systems with inclusive ones.</w:t>
      </w:r>
      <w:r w:rsidRPr="00030A40">
        <w:rPr>
          <w:rStyle w:val="EndnoteReference"/>
          <w:rFonts w:ascii="Avenir Book" w:eastAsia="Arial" w:hAnsi="Avenir Book" w:cstheme="minorHAnsi"/>
        </w:rPr>
        <w:endnoteReference w:id="37"/>
      </w:r>
      <w:r w:rsidRPr="00030A40">
        <w:rPr>
          <w:rFonts w:ascii="Avenir Book" w:eastAsia="Arial" w:hAnsi="Avenir Book" w:cstheme="minorHAnsi"/>
        </w:rPr>
        <w:t xml:space="preserve"> </w:t>
      </w:r>
    </w:p>
    <w:p w14:paraId="2395D423" w14:textId="77777777" w:rsidR="00714265" w:rsidRPr="00030A40" w:rsidRDefault="00714265" w:rsidP="006C4974">
      <w:pPr>
        <w:spacing w:line="276" w:lineRule="auto"/>
        <w:ind w:left="851" w:hanging="851"/>
        <w:rPr>
          <w:rFonts w:ascii="Avenir Book" w:eastAsia="Arial" w:hAnsi="Avenir Book" w:cstheme="minorHAnsi"/>
        </w:rPr>
      </w:pPr>
    </w:p>
    <w:p w14:paraId="25DF3D28" w14:textId="439DC60B" w:rsidR="00714265" w:rsidRPr="00030A40" w:rsidRDefault="00714265" w:rsidP="00C74146">
      <w:pPr>
        <w:pStyle w:val="ListParagraph"/>
        <w:numPr>
          <w:ilvl w:val="2"/>
          <w:numId w:val="11"/>
        </w:numPr>
        <w:spacing w:line="276" w:lineRule="auto"/>
        <w:ind w:left="851" w:hanging="851"/>
        <w:rPr>
          <w:rFonts w:ascii="Avenir Book" w:eastAsia="Arial" w:hAnsi="Avenir Book" w:cstheme="minorHAnsi"/>
        </w:rPr>
      </w:pPr>
      <w:r w:rsidRPr="00030A40">
        <w:rPr>
          <w:rFonts w:ascii="Avenir Book" w:eastAsia="Arial" w:hAnsi="Avenir Book" w:cstheme="minorHAnsi"/>
        </w:rPr>
        <w:t xml:space="preserve">The </w:t>
      </w:r>
      <w:r w:rsidR="00414B6F">
        <w:rPr>
          <w:rFonts w:ascii="Avenir Book" w:eastAsia="Arial" w:hAnsi="Avenir Book" w:cstheme="minorHAnsi"/>
        </w:rPr>
        <w:t>DRC</w:t>
      </w:r>
      <w:r w:rsidRPr="00030A40">
        <w:rPr>
          <w:rFonts w:ascii="Avenir Book" w:eastAsia="Arial" w:hAnsi="Avenir Book" w:cstheme="minorHAnsi"/>
        </w:rPr>
        <w:t xml:space="preserve"> only focused its investigation on specific areas of segregation - education, employment and housing (group homes).  During the </w:t>
      </w:r>
      <w:r w:rsidR="00414B6F">
        <w:rPr>
          <w:rFonts w:ascii="Avenir Book" w:eastAsia="Arial" w:hAnsi="Avenir Book" w:cstheme="minorHAnsi"/>
        </w:rPr>
        <w:t>DRC</w:t>
      </w:r>
      <w:r w:rsidRPr="00030A40">
        <w:rPr>
          <w:rFonts w:ascii="Avenir Book" w:eastAsia="Arial" w:hAnsi="Avenir Book" w:cstheme="minorHAnsi"/>
        </w:rPr>
        <w:t xml:space="preserve">, there was a significant amount of evidence, research and information provided by the </w:t>
      </w:r>
      <w:r w:rsidRPr="00030A40">
        <w:rPr>
          <w:rFonts w:ascii="Avenir Book" w:eastAsia="Arial" w:hAnsi="Avenir Book" w:cstheme="minorHAnsi"/>
        </w:rPr>
        <w:lastRenderedPageBreak/>
        <w:t xml:space="preserve">disability community, human rights experts, researchers and advocates that emphasised the link between the segregation of people with disability and the experience of violence, abuse, neglect and exploitation, and that outlined Australia’s obligation under the CRPD to eliminate segregation based on impairment.  </w:t>
      </w:r>
    </w:p>
    <w:p w14:paraId="6F85963A" w14:textId="77777777" w:rsidR="00714265" w:rsidRPr="00030A40" w:rsidRDefault="00714265" w:rsidP="00030A40">
      <w:pPr>
        <w:spacing w:line="276" w:lineRule="auto"/>
        <w:ind w:left="709" w:hanging="709"/>
        <w:rPr>
          <w:rFonts w:ascii="Avenir Book" w:eastAsia="Arial" w:hAnsi="Avenir Book" w:cstheme="minorHAnsi"/>
        </w:rPr>
      </w:pPr>
    </w:p>
    <w:p w14:paraId="4ACC7CC6" w14:textId="64A3E208" w:rsidR="00714265" w:rsidRPr="00030A40" w:rsidRDefault="00714265" w:rsidP="00C74146">
      <w:pPr>
        <w:pStyle w:val="ListParagraph"/>
        <w:numPr>
          <w:ilvl w:val="2"/>
          <w:numId w:val="11"/>
        </w:numPr>
        <w:spacing w:line="276" w:lineRule="auto"/>
        <w:ind w:left="851" w:hanging="851"/>
        <w:rPr>
          <w:rFonts w:ascii="Avenir Book" w:eastAsia="Arial" w:hAnsi="Avenir Book" w:cstheme="minorHAnsi"/>
        </w:rPr>
      </w:pPr>
      <w:r w:rsidRPr="00030A40">
        <w:rPr>
          <w:rFonts w:ascii="Avenir Book" w:eastAsia="Arial" w:hAnsi="Avenir Book" w:cstheme="minorHAnsi"/>
        </w:rPr>
        <w:t xml:space="preserve">In light of the evidence, there was agreement between the Commissioners of the </w:t>
      </w:r>
      <w:r w:rsidR="00414B6F">
        <w:rPr>
          <w:rFonts w:ascii="Avenir Book" w:eastAsia="Arial" w:hAnsi="Avenir Book" w:cstheme="minorHAnsi"/>
        </w:rPr>
        <w:t>DRC</w:t>
      </w:r>
      <w:r w:rsidRPr="00030A40">
        <w:rPr>
          <w:rFonts w:ascii="Avenir Book" w:eastAsia="Arial" w:hAnsi="Avenir Book" w:cstheme="minorHAnsi"/>
        </w:rPr>
        <w:t xml:space="preserve"> that mainstream systems “must be significantly reformed, and in some cases transformed, to remove multiple barriers to access and enable meaningful inclusion”.</w:t>
      </w:r>
      <w:r w:rsidRPr="00030A40">
        <w:rPr>
          <w:rStyle w:val="EndnoteReference"/>
          <w:rFonts w:ascii="Avenir Book" w:eastAsia="Arial" w:hAnsi="Avenir Book" w:cstheme="minorHAnsi"/>
        </w:rPr>
        <w:endnoteReference w:id="38"/>
      </w:r>
      <w:r w:rsidRPr="00030A40">
        <w:rPr>
          <w:rFonts w:ascii="Avenir Book" w:eastAsia="Arial" w:hAnsi="Avenir Book" w:cstheme="minorHAnsi"/>
        </w:rPr>
        <w:t xml:space="preserve"> This includes in relation to safe, equal and inclusive education,</w:t>
      </w:r>
      <w:r w:rsidRPr="00030A40">
        <w:rPr>
          <w:rStyle w:val="EndnoteReference"/>
          <w:rFonts w:ascii="Avenir Book" w:eastAsia="Arial" w:hAnsi="Avenir Book" w:cstheme="minorHAnsi"/>
        </w:rPr>
        <w:endnoteReference w:id="39"/>
      </w:r>
      <w:r w:rsidRPr="00030A40">
        <w:rPr>
          <w:rFonts w:ascii="Avenir Book" w:eastAsia="Arial" w:hAnsi="Avenir Book" w:cstheme="minorHAnsi"/>
        </w:rPr>
        <w:t xml:space="preserve"> inclusive employment,</w:t>
      </w:r>
      <w:r w:rsidRPr="00030A40">
        <w:rPr>
          <w:rStyle w:val="EndnoteReference"/>
          <w:rFonts w:ascii="Avenir Book" w:eastAsia="Arial" w:hAnsi="Avenir Book" w:cstheme="minorHAnsi"/>
        </w:rPr>
        <w:endnoteReference w:id="40"/>
      </w:r>
      <w:r w:rsidRPr="00030A40">
        <w:rPr>
          <w:rFonts w:ascii="Avenir Book" w:eastAsia="Arial" w:hAnsi="Avenir Book" w:cstheme="minorHAnsi"/>
        </w:rPr>
        <w:t xml:space="preserve"> and inclusive housing.</w:t>
      </w:r>
      <w:r w:rsidRPr="00030A40">
        <w:rPr>
          <w:rStyle w:val="EndnoteReference"/>
          <w:rFonts w:ascii="Avenir Book" w:eastAsia="Arial" w:hAnsi="Avenir Book" w:cstheme="minorHAnsi"/>
        </w:rPr>
        <w:endnoteReference w:id="41"/>
      </w:r>
    </w:p>
    <w:p w14:paraId="4704DA29" w14:textId="77777777" w:rsidR="00714265" w:rsidRPr="00030A40" w:rsidRDefault="00714265" w:rsidP="006C4974">
      <w:pPr>
        <w:pStyle w:val="ListParagraph"/>
        <w:spacing w:line="276" w:lineRule="auto"/>
        <w:ind w:left="851" w:hanging="851"/>
        <w:rPr>
          <w:rFonts w:ascii="Avenir Book" w:eastAsia="Arial" w:hAnsi="Avenir Book" w:cstheme="minorHAnsi"/>
        </w:rPr>
      </w:pPr>
    </w:p>
    <w:p w14:paraId="7D23ED43" w14:textId="58D1540B" w:rsidR="00714265" w:rsidRPr="0070051B" w:rsidRDefault="00714265" w:rsidP="00C74146">
      <w:pPr>
        <w:pStyle w:val="ListParagraph"/>
        <w:numPr>
          <w:ilvl w:val="2"/>
          <w:numId w:val="11"/>
        </w:numPr>
        <w:spacing w:line="276" w:lineRule="auto"/>
        <w:ind w:left="851" w:hanging="851"/>
        <w:rPr>
          <w:rFonts w:ascii="Avenir Book" w:eastAsia="Arial" w:hAnsi="Avenir Book" w:cstheme="minorHAnsi"/>
        </w:rPr>
      </w:pPr>
      <w:r w:rsidRPr="0070051B">
        <w:rPr>
          <w:rFonts w:ascii="Avenir Book" w:eastAsia="Arial" w:hAnsi="Avenir Book" w:cstheme="minorHAnsi"/>
        </w:rPr>
        <w:t xml:space="preserve">However, we are extremely concerned that the substantial evidence provided to the </w:t>
      </w:r>
      <w:r w:rsidR="00414B6F" w:rsidRPr="0070051B">
        <w:rPr>
          <w:rFonts w:ascii="Avenir Book" w:eastAsia="Arial" w:hAnsi="Avenir Book" w:cstheme="minorHAnsi"/>
        </w:rPr>
        <w:t>DRC</w:t>
      </w:r>
      <w:r w:rsidRPr="0070051B">
        <w:rPr>
          <w:rFonts w:ascii="Avenir Book" w:eastAsia="Arial" w:hAnsi="Avenir Book" w:cstheme="minorHAnsi"/>
        </w:rPr>
        <w:t xml:space="preserve"> was not entirely accepted by all Commissioners.  A majority of Commissioners</w:t>
      </w:r>
      <w:r w:rsidRPr="0070051B">
        <w:rPr>
          <w:rStyle w:val="EndnoteReference"/>
          <w:rFonts w:ascii="Avenir Book" w:eastAsia="Arial" w:hAnsi="Avenir Book" w:cstheme="minorHAnsi"/>
        </w:rPr>
        <w:endnoteReference w:id="42"/>
      </w:r>
      <w:r w:rsidRPr="0070051B">
        <w:rPr>
          <w:rFonts w:ascii="Avenir Book" w:eastAsia="Arial" w:hAnsi="Avenir Book" w:cstheme="minorHAnsi"/>
        </w:rPr>
        <w:t xml:space="preserve">  considered that “segregation is inherently harmful</w:t>
      </w:r>
      <w:r w:rsidR="001A289B" w:rsidRPr="0070051B">
        <w:rPr>
          <w:rFonts w:ascii="Avenir Book" w:eastAsia="Arial" w:hAnsi="Avenir Book" w:cstheme="minorHAnsi"/>
        </w:rPr>
        <w:t>”,</w:t>
      </w:r>
      <w:r w:rsidRPr="0070051B">
        <w:rPr>
          <w:rStyle w:val="EndnoteReference"/>
          <w:rFonts w:ascii="Avenir Book" w:eastAsia="Arial" w:hAnsi="Avenir Book" w:cstheme="minorHAnsi"/>
        </w:rPr>
        <w:endnoteReference w:id="43"/>
      </w:r>
      <w:r w:rsidRPr="0070051B">
        <w:rPr>
          <w:rFonts w:ascii="Avenir Book" w:eastAsia="Arial" w:hAnsi="Avenir Book" w:cstheme="minorHAnsi"/>
        </w:rPr>
        <w:t xml:space="preserve"> </w:t>
      </w:r>
      <w:r w:rsidR="001A289B" w:rsidRPr="0070051B">
        <w:rPr>
          <w:rFonts w:ascii="Avenir Book" w:eastAsia="Arial" w:hAnsi="Avenir Book" w:cstheme="minorHAnsi"/>
        </w:rPr>
        <w:t xml:space="preserve">yet Commissioners were divided in their response to segregation. </w:t>
      </w:r>
      <w:r w:rsidR="0070051B" w:rsidRPr="0070051B">
        <w:rPr>
          <w:rFonts w:ascii="Avenir Book" w:eastAsia="Arial" w:hAnsi="Avenir Book" w:cstheme="minorHAnsi"/>
        </w:rPr>
        <w:t>Despite agreement on measures to significantly enhance inclusion, a minority of Commissioners maintained support for segregated education,</w:t>
      </w:r>
      <w:r w:rsidR="0070051B" w:rsidRPr="0070051B">
        <w:rPr>
          <w:rStyle w:val="EndnoteReference"/>
          <w:rFonts w:ascii="Avenir Book" w:eastAsia="Arial" w:hAnsi="Avenir Book" w:cstheme="minorHAnsi"/>
        </w:rPr>
        <w:endnoteReference w:id="44"/>
      </w:r>
      <w:r w:rsidR="0070051B" w:rsidRPr="0070051B">
        <w:rPr>
          <w:rFonts w:ascii="Avenir Book" w:eastAsia="Arial" w:hAnsi="Avenir Book" w:cstheme="minorHAnsi"/>
        </w:rPr>
        <w:t xml:space="preserve"> employment</w:t>
      </w:r>
      <w:r w:rsidR="0070051B" w:rsidRPr="0070051B">
        <w:rPr>
          <w:rStyle w:val="EndnoteReference"/>
          <w:rFonts w:ascii="Avenir Book" w:eastAsia="Arial" w:hAnsi="Avenir Book" w:cstheme="minorHAnsi"/>
        </w:rPr>
        <w:endnoteReference w:id="45"/>
      </w:r>
      <w:r w:rsidR="0070051B" w:rsidRPr="0070051B">
        <w:rPr>
          <w:rFonts w:ascii="Avenir Book" w:eastAsia="Arial" w:hAnsi="Avenir Book" w:cstheme="minorHAnsi"/>
        </w:rPr>
        <w:t xml:space="preserve"> and housing (group homes)</w:t>
      </w:r>
      <w:r w:rsidR="0070051B" w:rsidRPr="0070051B">
        <w:rPr>
          <w:rStyle w:val="EndnoteReference"/>
          <w:rFonts w:ascii="Avenir Book" w:eastAsia="Arial" w:hAnsi="Avenir Book" w:cstheme="minorHAnsi"/>
        </w:rPr>
        <w:endnoteReference w:id="46"/>
      </w:r>
      <w:r w:rsidR="0070051B" w:rsidRPr="0070051B">
        <w:rPr>
          <w:rFonts w:ascii="Avenir Book" w:eastAsia="Arial" w:hAnsi="Avenir Book" w:cstheme="minorHAnsi"/>
        </w:rPr>
        <w:t xml:space="preserve"> based on a range of opinions.  </w:t>
      </w:r>
      <w:r w:rsidRPr="0070051B">
        <w:rPr>
          <w:rFonts w:ascii="Avenir Book" w:eastAsia="Arial" w:hAnsi="Avenir Book" w:cstheme="minorHAnsi"/>
        </w:rPr>
        <w:t>These opinions included that the word ‘segregation’ itself denotes negativity and more neutral terms should be used;</w:t>
      </w:r>
      <w:r w:rsidRPr="0070051B">
        <w:rPr>
          <w:rStyle w:val="EndnoteReference"/>
          <w:rFonts w:ascii="Avenir Book" w:eastAsia="Arial" w:hAnsi="Avenir Book" w:cstheme="minorHAnsi"/>
        </w:rPr>
        <w:endnoteReference w:id="47"/>
      </w:r>
      <w:r w:rsidRPr="0070051B">
        <w:rPr>
          <w:rFonts w:ascii="Avenir Book" w:eastAsia="Arial" w:hAnsi="Avenir Book" w:cstheme="minorHAnsi"/>
        </w:rPr>
        <w:t xml:space="preserve"> that settings that segregate people with disability may not necessarily be detrimental or harmful;</w:t>
      </w:r>
      <w:r w:rsidRPr="0070051B">
        <w:rPr>
          <w:rStyle w:val="EndnoteReference"/>
          <w:rFonts w:ascii="Avenir Book" w:eastAsia="Arial" w:hAnsi="Avenir Book" w:cstheme="minorHAnsi"/>
        </w:rPr>
        <w:endnoteReference w:id="48"/>
      </w:r>
      <w:r w:rsidRPr="0070051B">
        <w:rPr>
          <w:rFonts w:ascii="Avenir Book" w:eastAsia="Arial" w:hAnsi="Avenir Book" w:cstheme="minorHAnsi"/>
        </w:rPr>
        <w:t xml:space="preserve"> that certain groups of people with disability – those with complex support and educational needs</w:t>
      </w:r>
      <w:r w:rsidRPr="0070051B">
        <w:rPr>
          <w:rStyle w:val="EndnoteReference"/>
          <w:rFonts w:ascii="Avenir Book" w:eastAsia="Arial" w:hAnsi="Avenir Book" w:cstheme="minorHAnsi"/>
        </w:rPr>
        <w:endnoteReference w:id="49"/>
      </w:r>
      <w:r w:rsidRPr="0070051B">
        <w:rPr>
          <w:rFonts w:ascii="Avenir Book" w:eastAsia="Arial" w:hAnsi="Avenir Book" w:cstheme="minorHAnsi"/>
        </w:rPr>
        <w:t xml:space="preserve"> or with intense health and aging support needs</w:t>
      </w:r>
      <w:r w:rsidRPr="0070051B">
        <w:rPr>
          <w:rStyle w:val="EndnoteReference"/>
          <w:rFonts w:ascii="Avenir Book" w:eastAsia="Arial" w:hAnsi="Avenir Book" w:cstheme="minorHAnsi"/>
        </w:rPr>
        <w:endnoteReference w:id="50"/>
      </w:r>
      <w:r w:rsidRPr="0070051B">
        <w:rPr>
          <w:rFonts w:ascii="Avenir Book" w:eastAsia="Arial" w:hAnsi="Avenir Book" w:cstheme="minorHAnsi"/>
        </w:rPr>
        <w:t xml:space="preserve"> and those with intellectual or cognitive disabilities</w:t>
      </w:r>
      <w:r w:rsidRPr="0070051B">
        <w:rPr>
          <w:rStyle w:val="EndnoteReference"/>
          <w:rFonts w:ascii="Avenir Book" w:eastAsia="Arial" w:hAnsi="Avenir Book" w:cstheme="minorHAnsi"/>
        </w:rPr>
        <w:endnoteReference w:id="51"/>
      </w:r>
      <w:r w:rsidRPr="0070051B">
        <w:rPr>
          <w:rFonts w:ascii="Avenir Book" w:eastAsia="Arial" w:hAnsi="Avenir Book" w:cstheme="minorHAnsi"/>
        </w:rPr>
        <w:t xml:space="preserve"> – may have their needs better met in segregated settings; and that segregated options may be the preferred choice of people with disability.</w:t>
      </w:r>
      <w:r w:rsidRPr="0070051B">
        <w:rPr>
          <w:rStyle w:val="EndnoteReference"/>
          <w:rFonts w:ascii="Avenir Book" w:eastAsia="Arial" w:hAnsi="Avenir Book" w:cstheme="minorHAnsi"/>
        </w:rPr>
        <w:endnoteReference w:id="52"/>
      </w:r>
    </w:p>
    <w:p w14:paraId="45C5A91E" w14:textId="77777777" w:rsidR="00714265" w:rsidRPr="00030A40" w:rsidRDefault="00714265" w:rsidP="006C4974">
      <w:pPr>
        <w:pStyle w:val="ListParagraph"/>
        <w:spacing w:line="276" w:lineRule="auto"/>
        <w:ind w:left="851" w:hanging="851"/>
        <w:rPr>
          <w:rFonts w:ascii="Avenir Book" w:eastAsia="Arial" w:hAnsi="Avenir Book" w:cstheme="minorHAnsi"/>
        </w:rPr>
      </w:pPr>
    </w:p>
    <w:p w14:paraId="61E7B502" w14:textId="7358BD49" w:rsidR="00714265" w:rsidRPr="00030A40" w:rsidRDefault="00714265" w:rsidP="00C74146">
      <w:pPr>
        <w:pStyle w:val="ListParagraph"/>
        <w:numPr>
          <w:ilvl w:val="2"/>
          <w:numId w:val="11"/>
        </w:numPr>
        <w:spacing w:after="120" w:line="276" w:lineRule="auto"/>
        <w:ind w:left="851" w:hanging="851"/>
        <w:contextualSpacing w:val="0"/>
        <w:rPr>
          <w:rFonts w:ascii="Avenir Book" w:eastAsia="Arial" w:hAnsi="Avenir Book" w:cstheme="minorHAnsi"/>
        </w:rPr>
      </w:pPr>
      <w:r w:rsidRPr="00030A40">
        <w:rPr>
          <w:rFonts w:ascii="Avenir Book" w:eastAsia="Arial" w:hAnsi="Avenir Book" w:cstheme="minorHAnsi"/>
        </w:rPr>
        <w:t>We argue that these views reaffirm and reinforce long-standing ableist policy positions that legitimise the denial and limitation of the human rights of people with disability. The CRPD refutes these ableist policy positions by stipulating that impairment cannot be the basis for the denial or limitation of human rights.</w:t>
      </w:r>
      <w:r w:rsidRPr="00030A40">
        <w:rPr>
          <w:rStyle w:val="EndnoteReference"/>
          <w:rFonts w:ascii="Avenir Book" w:eastAsia="Arial" w:hAnsi="Avenir Book" w:cstheme="minorHAnsi"/>
        </w:rPr>
        <w:endnoteReference w:id="53"/>
      </w:r>
      <w:r w:rsidRPr="00030A40">
        <w:rPr>
          <w:rFonts w:ascii="Avenir Book" w:eastAsia="Arial" w:hAnsi="Avenir Book" w:cstheme="minorHAnsi"/>
        </w:rPr>
        <w:t xml:space="preserve"> This means that:</w:t>
      </w:r>
    </w:p>
    <w:p w14:paraId="532E4C51" w14:textId="77777777" w:rsidR="00714265" w:rsidRPr="00030A40" w:rsidRDefault="00714265" w:rsidP="00C74146">
      <w:pPr>
        <w:numPr>
          <w:ilvl w:val="0"/>
          <w:numId w:val="5"/>
        </w:numPr>
        <w:spacing w:after="120" w:line="276" w:lineRule="auto"/>
        <w:ind w:left="1134" w:hanging="283"/>
        <w:rPr>
          <w:rFonts w:ascii="Avenir Book" w:eastAsia="Arial" w:hAnsi="Avenir Book" w:cstheme="minorHAnsi"/>
        </w:rPr>
      </w:pPr>
      <w:r w:rsidRPr="00030A40">
        <w:rPr>
          <w:rFonts w:ascii="Avenir Book" w:eastAsia="Arial" w:hAnsi="Avenir Book" w:cstheme="minorHAnsi"/>
        </w:rPr>
        <w:t>Regardless of terminology or the use of neutral terms instead of the word ‘segregation’, the outcome and effects of actions that separate people with disability on the basis of impairment is discrimination;</w:t>
      </w:r>
    </w:p>
    <w:p w14:paraId="3232AE65" w14:textId="77777777" w:rsidR="00714265" w:rsidRPr="00030A40" w:rsidRDefault="00714265" w:rsidP="00C74146">
      <w:pPr>
        <w:numPr>
          <w:ilvl w:val="0"/>
          <w:numId w:val="5"/>
        </w:numPr>
        <w:spacing w:after="120" w:line="276" w:lineRule="auto"/>
        <w:ind w:left="1134" w:hanging="283"/>
        <w:rPr>
          <w:rFonts w:ascii="Avenir Book" w:eastAsia="Arial" w:hAnsi="Avenir Book" w:cstheme="minorHAnsi"/>
        </w:rPr>
      </w:pPr>
      <w:r w:rsidRPr="00030A40">
        <w:rPr>
          <w:rFonts w:ascii="Avenir Book" w:eastAsia="Arial" w:hAnsi="Avenir Book" w:cstheme="minorHAnsi"/>
        </w:rPr>
        <w:t xml:space="preserve">Settings that separate people with disability from the rest of the community based on their impairment are detrimental because this separation constitutes discrimination; discrimination is inherently detrimental; </w:t>
      </w:r>
    </w:p>
    <w:p w14:paraId="5D5932E7" w14:textId="77777777" w:rsidR="00714265" w:rsidRPr="00030A40" w:rsidRDefault="00714265" w:rsidP="00C74146">
      <w:pPr>
        <w:numPr>
          <w:ilvl w:val="0"/>
          <w:numId w:val="5"/>
        </w:numPr>
        <w:spacing w:after="120" w:line="276" w:lineRule="auto"/>
        <w:ind w:left="1134" w:hanging="283"/>
        <w:rPr>
          <w:rFonts w:ascii="Avenir Book" w:eastAsia="Arial" w:hAnsi="Avenir Book" w:cstheme="minorHAnsi"/>
        </w:rPr>
      </w:pPr>
      <w:r w:rsidRPr="00030A40">
        <w:rPr>
          <w:rFonts w:ascii="Avenir Book" w:eastAsia="Arial" w:hAnsi="Avenir Book" w:cstheme="minorHAnsi"/>
        </w:rPr>
        <w:lastRenderedPageBreak/>
        <w:t xml:space="preserve">Human rights cannot be limited or denied based on the type or degree of impairment; </w:t>
      </w:r>
      <w:r w:rsidRPr="00030A40">
        <w:rPr>
          <w:rFonts w:ascii="Avenir Book" w:eastAsia="Arial" w:hAnsi="Avenir Book" w:cstheme="minorHAnsi"/>
          <w:b/>
          <w:bCs/>
          <w:i/>
          <w:iCs/>
        </w:rPr>
        <w:t>all</w:t>
      </w:r>
      <w:r w:rsidRPr="00030A40">
        <w:rPr>
          <w:rFonts w:ascii="Avenir Book" w:eastAsia="Arial" w:hAnsi="Avenir Book" w:cstheme="minorHAnsi"/>
        </w:rPr>
        <w:t xml:space="preserve"> people with disability are entitled to “the full and equal enjoyment of all human rights and fundamental freedoms”;</w:t>
      </w:r>
      <w:r w:rsidRPr="00030A40">
        <w:rPr>
          <w:rStyle w:val="EndnoteReference"/>
          <w:rFonts w:ascii="Avenir Book" w:eastAsia="Arial" w:hAnsi="Avenir Book" w:cstheme="minorHAnsi"/>
        </w:rPr>
        <w:endnoteReference w:id="54"/>
      </w:r>
    </w:p>
    <w:p w14:paraId="7A7A3202" w14:textId="761BFA7E" w:rsidR="00714265" w:rsidRPr="00030A40" w:rsidRDefault="00714265" w:rsidP="00C74146">
      <w:pPr>
        <w:numPr>
          <w:ilvl w:val="0"/>
          <w:numId w:val="5"/>
        </w:numPr>
        <w:spacing w:line="276" w:lineRule="auto"/>
        <w:ind w:left="1134" w:hanging="283"/>
        <w:rPr>
          <w:rFonts w:ascii="Avenir Book" w:eastAsia="Arial" w:hAnsi="Avenir Book" w:cstheme="minorHAnsi"/>
        </w:rPr>
      </w:pPr>
      <w:r w:rsidRPr="00030A40">
        <w:rPr>
          <w:rFonts w:ascii="Avenir Book" w:eastAsia="Arial" w:hAnsi="Avenir Book" w:cstheme="minorHAnsi"/>
        </w:rPr>
        <w:t xml:space="preserve">People with disability do not have a </w:t>
      </w:r>
      <w:r w:rsidRPr="00030A40">
        <w:rPr>
          <w:rFonts w:ascii="Avenir Book" w:eastAsia="Arial" w:hAnsi="Avenir Book" w:cstheme="minorHAnsi"/>
          <w:b/>
          <w:bCs/>
          <w:i/>
          <w:iCs/>
        </w:rPr>
        <w:t>genuine</w:t>
      </w:r>
      <w:r w:rsidRPr="00030A40">
        <w:rPr>
          <w:rFonts w:ascii="Avenir Book" w:eastAsia="Arial" w:hAnsi="Avenir Book" w:cstheme="minorHAnsi"/>
        </w:rPr>
        <w:t xml:space="preserve"> choice when segregated systems did not emerge historically through the exercise of choice by people with disability, when there are no alternatives to segregated systems, when people with disability are </w:t>
      </w:r>
      <w:r w:rsidR="0070051B">
        <w:rPr>
          <w:rFonts w:ascii="Avenir Book" w:eastAsia="Arial" w:hAnsi="Avenir Book" w:cstheme="minorHAnsi"/>
        </w:rPr>
        <w:t>referred</w:t>
      </w:r>
      <w:r w:rsidRPr="00030A40">
        <w:rPr>
          <w:rFonts w:ascii="Avenir Book" w:eastAsia="Arial" w:hAnsi="Avenir Book" w:cstheme="minorHAnsi"/>
        </w:rPr>
        <w:t xml:space="preserve"> t</w:t>
      </w:r>
      <w:r w:rsidR="0070051B">
        <w:rPr>
          <w:rFonts w:ascii="Avenir Book" w:eastAsia="Arial" w:hAnsi="Avenir Book" w:cstheme="minorHAnsi"/>
        </w:rPr>
        <w:t>hrough</w:t>
      </w:r>
      <w:r w:rsidRPr="00030A40">
        <w:rPr>
          <w:rFonts w:ascii="Avenir Book" w:eastAsia="Arial" w:hAnsi="Avenir Book" w:cstheme="minorHAnsi"/>
        </w:rPr>
        <w:t xml:space="preserve"> </w:t>
      </w:r>
      <w:r w:rsidR="0070051B">
        <w:rPr>
          <w:rFonts w:ascii="Avenir Book" w:eastAsia="Arial" w:hAnsi="Avenir Book" w:cstheme="minorHAnsi"/>
        </w:rPr>
        <w:t xml:space="preserve">pathways of segregated </w:t>
      </w:r>
      <w:r w:rsidRPr="00030A40">
        <w:rPr>
          <w:rFonts w:ascii="Avenir Book" w:eastAsia="Arial" w:hAnsi="Avenir Book" w:cstheme="minorHAnsi"/>
        </w:rPr>
        <w:t>systems</w:t>
      </w:r>
      <w:r w:rsidR="0070051B">
        <w:rPr>
          <w:rFonts w:ascii="Avenir Book" w:eastAsia="Arial" w:hAnsi="Avenir Book" w:cstheme="minorHAnsi"/>
        </w:rPr>
        <w:t xml:space="preserve">, when people with disability have only experienced segregation, </w:t>
      </w:r>
      <w:r w:rsidRPr="00030A40">
        <w:rPr>
          <w:rFonts w:ascii="Avenir Book" w:eastAsia="Arial" w:hAnsi="Avenir Book" w:cstheme="minorHAnsi"/>
        </w:rPr>
        <w:t xml:space="preserve">when segregated systems constitute discrimination and when segregated systems do not reflect the underlying purpose of the CRPD and its principles and standards.  </w:t>
      </w:r>
    </w:p>
    <w:p w14:paraId="7E03B31B" w14:textId="77777777" w:rsidR="00714265" w:rsidRPr="00030A40" w:rsidRDefault="00714265" w:rsidP="00030A40">
      <w:pPr>
        <w:spacing w:line="276" w:lineRule="auto"/>
        <w:ind w:left="709" w:hanging="709"/>
        <w:rPr>
          <w:rFonts w:ascii="Avenir Book" w:eastAsia="Arial" w:hAnsi="Avenir Book" w:cstheme="minorHAnsi"/>
        </w:rPr>
      </w:pPr>
    </w:p>
    <w:p w14:paraId="6EFB0945" w14:textId="23E31D0A" w:rsidR="00714265" w:rsidRDefault="00714265" w:rsidP="00C74146">
      <w:pPr>
        <w:pStyle w:val="ListParagraph"/>
        <w:numPr>
          <w:ilvl w:val="2"/>
          <w:numId w:val="11"/>
        </w:numPr>
        <w:spacing w:line="276" w:lineRule="auto"/>
        <w:ind w:left="851" w:hanging="851"/>
        <w:rPr>
          <w:rFonts w:ascii="Avenir Book" w:eastAsia="Arial" w:hAnsi="Avenir Book" w:cstheme="minorHAnsi"/>
        </w:rPr>
      </w:pPr>
      <w:r w:rsidRPr="00030A40">
        <w:rPr>
          <w:rFonts w:ascii="Avenir Book" w:eastAsia="Arial" w:hAnsi="Avenir Book" w:cstheme="minorHAnsi"/>
        </w:rPr>
        <w:t xml:space="preserve">A failure to accept segregation on the basis of impairment as discrimination and to take measures to address the segregation of people with disability fundamentally undermines the </w:t>
      </w:r>
      <w:r w:rsidR="00414B6F">
        <w:rPr>
          <w:rFonts w:ascii="Avenir Book" w:eastAsia="Arial" w:hAnsi="Avenir Book" w:cstheme="minorHAnsi"/>
        </w:rPr>
        <w:t>DRC</w:t>
      </w:r>
      <w:r w:rsidRPr="00030A40">
        <w:rPr>
          <w:rFonts w:ascii="Avenir Book" w:eastAsia="Arial" w:hAnsi="Avenir Book" w:cstheme="minorHAnsi"/>
        </w:rPr>
        <w:t xml:space="preserve"> vision for an inclusive Australia, where people with disability live free from violence, abuse, neglect and exploitation and where human rights are protected and respected.</w:t>
      </w:r>
      <w:r w:rsidRPr="00030A40">
        <w:rPr>
          <w:rStyle w:val="EndnoteReference"/>
          <w:rFonts w:ascii="Avenir Book" w:eastAsia="Arial" w:hAnsi="Avenir Book" w:cstheme="minorHAnsi"/>
        </w:rPr>
        <w:endnoteReference w:id="55"/>
      </w:r>
    </w:p>
    <w:p w14:paraId="44EC2792" w14:textId="77777777" w:rsidR="00BC35BC" w:rsidRDefault="00BC35BC" w:rsidP="006C4974">
      <w:pPr>
        <w:pStyle w:val="ListParagraph"/>
        <w:spacing w:line="276" w:lineRule="auto"/>
        <w:ind w:left="851" w:hanging="851"/>
        <w:rPr>
          <w:rFonts w:ascii="Avenir Book" w:eastAsia="Arial" w:hAnsi="Avenir Book" w:cstheme="minorHAnsi"/>
        </w:rPr>
      </w:pPr>
    </w:p>
    <w:p w14:paraId="22B74198" w14:textId="34FC2D2B" w:rsidR="00F23505" w:rsidRPr="00F23505" w:rsidRDefault="00F23505" w:rsidP="00C74146">
      <w:pPr>
        <w:pStyle w:val="ListParagraph"/>
        <w:numPr>
          <w:ilvl w:val="2"/>
          <w:numId w:val="11"/>
        </w:numPr>
        <w:spacing w:after="120" w:line="276" w:lineRule="auto"/>
        <w:ind w:left="851" w:hanging="851"/>
        <w:contextualSpacing w:val="0"/>
        <w:rPr>
          <w:rFonts w:ascii="Avenir Book" w:eastAsia="Arial" w:hAnsi="Avenir Book" w:cstheme="minorHAnsi"/>
        </w:rPr>
      </w:pPr>
      <w:r>
        <w:rPr>
          <w:rFonts w:ascii="Avenir Book" w:eastAsia="Arial" w:hAnsi="Avenir Book" w:cstheme="minorHAnsi"/>
        </w:rPr>
        <w:t xml:space="preserve">WWDA supports the following DRC recommendations in principle, noting the need for further consultation on specific timeframes </w:t>
      </w:r>
      <w:r w:rsidR="005316D6">
        <w:rPr>
          <w:rFonts w:ascii="Avenir Book" w:eastAsia="Arial" w:hAnsi="Avenir Book" w:cstheme="minorHAnsi"/>
        </w:rPr>
        <w:t xml:space="preserve">and measures </w:t>
      </w:r>
      <w:r>
        <w:rPr>
          <w:rFonts w:ascii="Avenir Book" w:eastAsia="Arial" w:hAnsi="Avenir Book" w:cstheme="minorHAnsi"/>
        </w:rPr>
        <w:t>to achieve outcomes:</w:t>
      </w:r>
    </w:p>
    <w:p w14:paraId="7BFB77B5" w14:textId="5A747160" w:rsidR="00F23505" w:rsidRDefault="00F23505" w:rsidP="00C74146">
      <w:pPr>
        <w:pStyle w:val="ListParagraph"/>
        <w:numPr>
          <w:ilvl w:val="0"/>
          <w:numId w:val="5"/>
        </w:numPr>
        <w:spacing w:line="276" w:lineRule="auto"/>
        <w:ind w:left="1134" w:hanging="283"/>
        <w:rPr>
          <w:rFonts w:ascii="Avenir Book" w:eastAsia="Arial" w:hAnsi="Avenir Book" w:cstheme="minorHAnsi"/>
        </w:rPr>
      </w:pPr>
      <w:r w:rsidRPr="00F23505">
        <w:rPr>
          <w:rFonts w:ascii="Avenir Book" w:eastAsia="Arial" w:hAnsi="Avenir Book" w:cstheme="minorHAnsi"/>
        </w:rPr>
        <w:t>Recommendation 7.14</w:t>
      </w:r>
      <w:r>
        <w:rPr>
          <w:rFonts w:ascii="Avenir Book" w:eastAsia="Arial" w:hAnsi="Avenir Book" w:cstheme="minorHAnsi"/>
        </w:rPr>
        <w:t>, Phasing out and ending special</w:t>
      </w:r>
      <w:r w:rsidRPr="00F23505">
        <w:rPr>
          <w:rFonts w:ascii="Avenir Book" w:eastAsia="Arial" w:hAnsi="Avenir Book" w:cstheme="minorHAnsi"/>
        </w:rPr>
        <w:t>/segregated education</w:t>
      </w:r>
      <w:r>
        <w:rPr>
          <w:rFonts w:ascii="Avenir Book" w:eastAsia="Arial" w:hAnsi="Avenir Book" w:cstheme="minorHAnsi"/>
        </w:rPr>
        <w:t>.</w:t>
      </w:r>
    </w:p>
    <w:p w14:paraId="3C3B11AB" w14:textId="402E5ADF" w:rsidR="00BC35BC" w:rsidRDefault="00F23505" w:rsidP="00C74146">
      <w:pPr>
        <w:pStyle w:val="ListParagraph"/>
        <w:numPr>
          <w:ilvl w:val="0"/>
          <w:numId w:val="5"/>
        </w:numPr>
        <w:spacing w:line="276" w:lineRule="auto"/>
        <w:ind w:left="1134" w:hanging="283"/>
        <w:rPr>
          <w:rFonts w:ascii="Avenir Book" w:eastAsia="Arial" w:hAnsi="Avenir Book" w:cstheme="minorHAnsi"/>
        </w:rPr>
      </w:pPr>
      <w:r>
        <w:rPr>
          <w:rFonts w:ascii="Avenir Book" w:eastAsia="Arial" w:hAnsi="Avenir Book" w:cstheme="minorHAnsi"/>
        </w:rPr>
        <w:t>R</w:t>
      </w:r>
      <w:r w:rsidRPr="00F23505">
        <w:rPr>
          <w:rFonts w:ascii="Avenir Book" w:eastAsia="Arial" w:hAnsi="Avenir Book" w:cstheme="minorHAnsi"/>
        </w:rPr>
        <w:t>ecommendation 7.</w:t>
      </w:r>
      <w:r>
        <w:rPr>
          <w:rFonts w:ascii="Avenir Book" w:eastAsia="Arial" w:hAnsi="Avenir Book" w:cstheme="minorHAnsi"/>
        </w:rPr>
        <w:t xml:space="preserve">32, End segregated employment. </w:t>
      </w:r>
    </w:p>
    <w:p w14:paraId="1220CC6A" w14:textId="039C09E1" w:rsidR="00F23505" w:rsidRPr="00F23505" w:rsidRDefault="00F23505" w:rsidP="00C74146">
      <w:pPr>
        <w:pStyle w:val="ListParagraph"/>
        <w:numPr>
          <w:ilvl w:val="0"/>
          <w:numId w:val="5"/>
        </w:numPr>
        <w:spacing w:line="276" w:lineRule="auto"/>
        <w:ind w:left="1134" w:hanging="283"/>
        <w:rPr>
          <w:rFonts w:ascii="Avenir Book" w:eastAsia="Arial" w:hAnsi="Avenir Book" w:cstheme="minorHAnsi"/>
        </w:rPr>
      </w:pPr>
      <w:r>
        <w:rPr>
          <w:rFonts w:ascii="Avenir Book" w:eastAsia="Arial" w:hAnsi="Avenir Book" w:cstheme="minorHAnsi"/>
        </w:rPr>
        <w:t xml:space="preserve">Recommendation 7.43, A roadmap to phase out group homes. </w:t>
      </w:r>
    </w:p>
    <w:p w14:paraId="49056C65" w14:textId="77777777" w:rsidR="0070051B" w:rsidRPr="003B486B" w:rsidRDefault="0070051B" w:rsidP="006901C2">
      <w:pPr>
        <w:pStyle w:val="ListParagraph"/>
        <w:ind w:left="0"/>
        <w:rPr>
          <w:rFonts w:ascii="Avenir Book" w:hAnsi="Avenir Book"/>
          <w:b/>
          <w:bCs/>
        </w:rPr>
      </w:pPr>
    </w:p>
    <w:p w14:paraId="7D0EE805" w14:textId="65BC38EF" w:rsidR="001777B3" w:rsidRPr="005316D6" w:rsidRDefault="00030A40" w:rsidP="005316D6">
      <w:pPr>
        <w:spacing w:after="120"/>
        <w:rPr>
          <w:rFonts w:asciiTheme="minorHAnsi" w:hAnsiTheme="minorHAnsi" w:cstheme="minorHAnsi"/>
          <w:b/>
          <w:color w:val="7030A0"/>
        </w:rPr>
      </w:pPr>
      <w:r>
        <w:rPr>
          <w:rFonts w:ascii="Avenir Book" w:hAnsi="Avenir Book" w:cstheme="minorHAnsi"/>
          <w:b/>
          <w:color w:val="AC1F79"/>
        </w:rPr>
        <w:t xml:space="preserve">Preliminary </w:t>
      </w:r>
      <w:r w:rsidR="001777B3" w:rsidRPr="00761F08">
        <w:rPr>
          <w:rFonts w:ascii="Avenir Book" w:hAnsi="Avenir Book" w:cstheme="minorHAnsi"/>
          <w:b/>
          <w:color w:val="AC1F79"/>
        </w:rPr>
        <w:t>Recommendations</w:t>
      </w:r>
    </w:p>
    <w:p w14:paraId="39C8A336" w14:textId="10A1F9DA" w:rsidR="00C97ACE" w:rsidRPr="00E459A7" w:rsidRDefault="001777B3" w:rsidP="00C74146">
      <w:pPr>
        <w:pStyle w:val="ListParagraph"/>
        <w:numPr>
          <w:ilvl w:val="0"/>
          <w:numId w:val="3"/>
        </w:numPr>
        <w:snapToGrid w:val="0"/>
        <w:spacing w:after="120" w:line="276" w:lineRule="auto"/>
        <w:ind w:left="425" w:hanging="425"/>
        <w:contextualSpacing w:val="0"/>
        <w:rPr>
          <w:rFonts w:ascii="Avenir Book" w:hAnsi="Avenir Book" w:cs="Calibri"/>
        </w:rPr>
      </w:pPr>
      <w:r w:rsidRPr="00E459A7">
        <w:rPr>
          <w:rFonts w:ascii="Avenir Book" w:hAnsi="Avenir Book" w:cs="Calibri"/>
        </w:rPr>
        <w:t xml:space="preserve">In line with </w:t>
      </w:r>
      <w:r w:rsidR="00C97ACE" w:rsidRPr="00E459A7">
        <w:rPr>
          <w:rFonts w:ascii="Avenir Book" w:hAnsi="Avenir Book" w:cs="Calibri"/>
        </w:rPr>
        <w:t>Australia’s international human rights obligations, ensure that all measures adopted to respond to the DRC are underpinned by an understanding that segregation on the basis of impairment constitutes discrimination</w:t>
      </w:r>
      <w:r w:rsidR="00E459A7" w:rsidRPr="00E459A7">
        <w:rPr>
          <w:rFonts w:ascii="Avenir Book" w:hAnsi="Avenir Book" w:cs="Calibri"/>
        </w:rPr>
        <w:t xml:space="preserve">, and </w:t>
      </w:r>
      <w:r w:rsidR="00997534">
        <w:rPr>
          <w:rFonts w:ascii="Avenir Book" w:hAnsi="Avenir Book" w:cs="Calibri"/>
        </w:rPr>
        <w:t xml:space="preserve">that segregation fosters </w:t>
      </w:r>
      <w:r w:rsidR="00E459A7" w:rsidRPr="00E459A7">
        <w:rPr>
          <w:rFonts w:ascii="Avenir Book" w:hAnsi="Avenir Book" w:cs="Calibri"/>
        </w:rPr>
        <w:t>violence, abuse, neglect and exploitation.</w:t>
      </w:r>
      <w:r w:rsidR="00C97ACE" w:rsidRPr="00E459A7">
        <w:rPr>
          <w:rFonts w:ascii="Avenir Book" w:hAnsi="Avenir Book" w:cs="Calibri"/>
        </w:rPr>
        <w:t xml:space="preserve"> </w:t>
      </w:r>
    </w:p>
    <w:p w14:paraId="5E7270F5" w14:textId="68BC329A" w:rsidR="000334F9" w:rsidRPr="00E459A7" w:rsidRDefault="00C97ACE" w:rsidP="00C74146">
      <w:pPr>
        <w:pStyle w:val="ListParagraph"/>
        <w:numPr>
          <w:ilvl w:val="0"/>
          <w:numId w:val="3"/>
        </w:numPr>
        <w:snapToGrid w:val="0"/>
        <w:spacing w:after="120" w:line="276" w:lineRule="auto"/>
        <w:ind w:left="425" w:hanging="425"/>
        <w:contextualSpacing w:val="0"/>
        <w:rPr>
          <w:rFonts w:ascii="Avenir Book" w:hAnsi="Avenir Book" w:cs="Calibri"/>
        </w:rPr>
      </w:pPr>
      <w:r w:rsidRPr="00E459A7">
        <w:rPr>
          <w:rFonts w:ascii="Avenir Book" w:hAnsi="Avenir Book" w:cs="Calibri"/>
        </w:rPr>
        <w:t xml:space="preserve">Based on the DRC recommendations to end segregation </w:t>
      </w:r>
      <w:r w:rsidR="000334F9" w:rsidRPr="00E459A7">
        <w:rPr>
          <w:rFonts w:ascii="Avenir Book" w:hAnsi="Avenir Book" w:cs="Calibri"/>
        </w:rPr>
        <w:t>(</w:t>
      </w:r>
      <w:r w:rsidRPr="00E459A7">
        <w:rPr>
          <w:rFonts w:ascii="Avenir Book" w:hAnsi="Avenir Book" w:cs="Calibri"/>
        </w:rPr>
        <w:t xml:space="preserve">recommendations 7.14, 7.32 and </w:t>
      </w:r>
      <w:r w:rsidR="000334F9" w:rsidRPr="00E459A7">
        <w:rPr>
          <w:rFonts w:ascii="Avenir Book" w:hAnsi="Avenir Book" w:cs="Calibri"/>
        </w:rPr>
        <w:t>7.43), develop, implement</w:t>
      </w:r>
      <w:r w:rsidRPr="00E459A7">
        <w:rPr>
          <w:rFonts w:ascii="Avenir Book" w:hAnsi="Avenir Book" w:cs="Calibri"/>
        </w:rPr>
        <w:t xml:space="preserve"> and resource </w:t>
      </w:r>
      <w:r w:rsidR="00C55E6D">
        <w:rPr>
          <w:rFonts w:ascii="Avenir Book" w:hAnsi="Avenir Book" w:cs="Calibri"/>
        </w:rPr>
        <w:t xml:space="preserve">national plans and </w:t>
      </w:r>
      <w:r w:rsidRPr="00E459A7">
        <w:rPr>
          <w:rFonts w:ascii="Avenir Book" w:hAnsi="Avenir Book" w:cs="Calibri"/>
        </w:rPr>
        <w:t>strategies</w:t>
      </w:r>
      <w:r w:rsidR="000334F9" w:rsidRPr="00E459A7">
        <w:rPr>
          <w:rFonts w:ascii="Avenir Book" w:hAnsi="Avenir Book" w:cs="Calibri"/>
        </w:rPr>
        <w:t>, with established time</w:t>
      </w:r>
      <w:r w:rsidR="00706381">
        <w:rPr>
          <w:rFonts w:ascii="Avenir Book" w:hAnsi="Avenir Book" w:cs="Calibri"/>
        </w:rPr>
        <w:t>frame</w:t>
      </w:r>
      <w:r w:rsidR="000334F9" w:rsidRPr="00E459A7">
        <w:rPr>
          <w:rFonts w:ascii="Avenir Book" w:hAnsi="Avenir Book" w:cs="Calibri"/>
        </w:rPr>
        <w:t>s and comprehensive measures to urgently end segregation in education, employment and housing (group homes).</w:t>
      </w:r>
    </w:p>
    <w:p w14:paraId="46A3E389" w14:textId="19C38461" w:rsidR="00F5309A" w:rsidRDefault="00E459A7" w:rsidP="00F5309A">
      <w:pPr>
        <w:pStyle w:val="ListParagraph"/>
        <w:numPr>
          <w:ilvl w:val="0"/>
          <w:numId w:val="3"/>
        </w:numPr>
        <w:snapToGrid w:val="0"/>
        <w:spacing w:after="120" w:line="276" w:lineRule="auto"/>
        <w:ind w:left="425" w:hanging="425"/>
        <w:contextualSpacing w:val="0"/>
        <w:rPr>
          <w:rFonts w:ascii="Avenir Book" w:hAnsi="Avenir Book" w:cs="Calibri"/>
        </w:rPr>
      </w:pPr>
      <w:r w:rsidRPr="00E459A7">
        <w:rPr>
          <w:rFonts w:ascii="Avenir Book" w:eastAsia="Arial" w:hAnsi="Avenir Book" w:cs="Calibri"/>
        </w:rPr>
        <w:t xml:space="preserve">Review and amend </w:t>
      </w:r>
      <w:r w:rsidRPr="00E459A7">
        <w:rPr>
          <w:rFonts w:ascii="Avenir Book" w:hAnsi="Avenir Book" w:cs="Calibri"/>
        </w:rPr>
        <w:t>law, policy, systems and practice frameworks to ensure they do not legitimise segregation on the basis of disability</w:t>
      </w:r>
      <w:r w:rsidR="00C55E6D">
        <w:rPr>
          <w:rFonts w:ascii="Avenir Book" w:hAnsi="Avenir Book" w:cs="Calibri"/>
        </w:rPr>
        <w:t xml:space="preserve"> and to transition from segregated settings to inclusive ones,</w:t>
      </w:r>
      <w:r w:rsidRPr="00E459A7">
        <w:rPr>
          <w:rFonts w:ascii="Avenir Book" w:hAnsi="Avenir Book" w:cs="Calibri"/>
        </w:rPr>
        <w:t xml:space="preserve"> and ensure anti-discrimination and equal opportunity laws protect the right of people with disability not to be segregated.</w:t>
      </w:r>
    </w:p>
    <w:p w14:paraId="22167437" w14:textId="4C16A56B" w:rsidR="001777B3" w:rsidRPr="00F5309A" w:rsidRDefault="00E459A7" w:rsidP="00F5309A">
      <w:pPr>
        <w:pStyle w:val="ListParagraph"/>
        <w:numPr>
          <w:ilvl w:val="0"/>
          <w:numId w:val="3"/>
        </w:numPr>
        <w:snapToGrid w:val="0"/>
        <w:spacing w:after="120" w:line="276" w:lineRule="auto"/>
        <w:ind w:left="425" w:hanging="425"/>
        <w:contextualSpacing w:val="0"/>
        <w:rPr>
          <w:rFonts w:ascii="Avenir Book" w:hAnsi="Avenir Book" w:cs="Calibri"/>
        </w:rPr>
      </w:pPr>
      <w:r w:rsidRPr="00F5309A">
        <w:rPr>
          <w:rFonts w:ascii="Avenir Book" w:eastAsia="Arial" w:hAnsi="Avenir Book" w:cs="Calibri"/>
        </w:rPr>
        <w:lastRenderedPageBreak/>
        <w:t xml:space="preserve">Ensure that people with disability, including those who may require support in making decisions, are not obliged to ‘choose’ between services and settings that do not comply with the CRPD. </w:t>
      </w:r>
    </w:p>
    <w:p w14:paraId="37509573" w14:textId="77777777" w:rsidR="006C4974" w:rsidRPr="006C4974" w:rsidRDefault="006C4974" w:rsidP="00B54DE9">
      <w:pPr>
        <w:snapToGrid w:val="0"/>
        <w:rPr>
          <w:rFonts w:ascii="Avenir Book" w:hAnsi="Avenir Book" w:cs="Calibri"/>
        </w:rPr>
      </w:pPr>
    </w:p>
    <w:p w14:paraId="4E7BF516" w14:textId="1FECB677" w:rsidR="001777B3" w:rsidRPr="00A007ED" w:rsidRDefault="00A237D9" w:rsidP="00C74146">
      <w:pPr>
        <w:pStyle w:val="Heading3"/>
        <w:numPr>
          <w:ilvl w:val="1"/>
          <w:numId w:val="11"/>
        </w:numPr>
        <w:spacing w:after="120"/>
        <w:ind w:left="851" w:hanging="862"/>
        <w:rPr>
          <w:rFonts w:ascii="Avenir Book" w:hAnsi="Avenir Book"/>
          <w:color w:val="000000" w:themeColor="text1"/>
        </w:rPr>
      </w:pPr>
      <w:bookmarkStart w:id="96" w:name="_Toc156825215"/>
      <w:r w:rsidRPr="00A007ED">
        <w:rPr>
          <w:rFonts w:ascii="Avenir Book" w:eastAsia="Arial" w:hAnsi="Avenir Book" w:cstheme="minorHAnsi"/>
          <w:bCs/>
          <w:color w:val="000000" w:themeColor="text1"/>
        </w:rPr>
        <w:t>Ensure all people with disability enjoy legal capacity and equality before the law</w:t>
      </w:r>
      <w:bookmarkEnd w:id="96"/>
    </w:p>
    <w:p w14:paraId="4E2E7C45" w14:textId="16D797E4" w:rsidR="00AB3CD5" w:rsidRPr="00535E30" w:rsidRDefault="00AB3CD5" w:rsidP="00C74146">
      <w:pPr>
        <w:pStyle w:val="ListParagraph"/>
        <w:numPr>
          <w:ilvl w:val="2"/>
          <w:numId w:val="11"/>
        </w:numPr>
        <w:spacing w:line="276" w:lineRule="auto"/>
        <w:ind w:left="851" w:hanging="851"/>
        <w:rPr>
          <w:rFonts w:ascii="Avenir Book" w:hAnsi="Avenir Book"/>
        </w:rPr>
      </w:pPr>
      <w:r w:rsidRPr="00535E30">
        <w:rPr>
          <w:rFonts w:ascii="Avenir Book" w:hAnsi="Avenir Book"/>
        </w:rPr>
        <w:t>Legal capacity underpins personhood,</w:t>
      </w:r>
      <w:r w:rsidRPr="00535E30">
        <w:rPr>
          <w:rFonts w:ascii="Avenir Book" w:hAnsi="Avenir Book"/>
          <w:vertAlign w:val="superscript"/>
        </w:rPr>
        <w:endnoteReference w:id="56"/>
      </w:r>
      <w:r w:rsidRPr="00535E30">
        <w:rPr>
          <w:rFonts w:ascii="Avenir Book" w:hAnsi="Avenir Book"/>
        </w:rPr>
        <w:t xml:space="preserve"> and is essential for human dignity, personal agency and free personal development.</w:t>
      </w:r>
      <w:r w:rsidRPr="00535E30">
        <w:rPr>
          <w:rFonts w:ascii="Avenir Book" w:hAnsi="Avenir Book"/>
          <w:vertAlign w:val="superscript"/>
        </w:rPr>
        <w:endnoteReference w:id="57"/>
      </w:r>
      <w:r w:rsidRPr="00535E30">
        <w:rPr>
          <w:rFonts w:ascii="Avenir Book" w:hAnsi="Avenir Book"/>
        </w:rPr>
        <w:t xml:space="preserve"> Legal capacity is “indispensable for the exercise of other human rights”.</w:t>
      </w:r>
      <w:r w:rsidRPr="00535E30">
        <w:rPr>
          <w:rFonts w:ascii="Avenir Book" w:hAnsi="Avenir Book"/>
          <w:vertAlign w:val="superscript"/>
        </w:rPr>
        <w:endnoteReference w:id="58"/>
      </w:r>
      <w:r w:rsidRPr="00535E30">
        <w:rPr>
          <w:rFonts w:ascii="Avenir Book" w:hAnsi="Avenir Book"/>
        </w:rPr>
        <w:t xml:space="preserve">  It is the key to individual autonomy and personal independence, to full and effective participation and inclusion in society, to freely making one’s own choices and to exercising choice and control over one’s life.</w:t>
      </w:r>
      <w:r w:rsidRPr="00535E30">
        <w:rPr>
          <w:rFonts w:ascii="Avenir Book" w:hAnsi="Avenir Book"/>
          <w:vertAlign w:val="superscript"/>
        </w:rPr>
        <w:endnoteReference w:id="59"/>
      </w:r>
      <w:r w:rsidRPr="00535E30">
        <w:rPr>
          <w:rFonts w:ascii="Avenir Book" w:hAnsi="Avenir Book"/>
        </w:rPr>
        <w:t xml:space="preserve"> Legal capacity – the ability to hold and exercise rights - is central to equality before the law and is guaranteed in article 12 of the CRPD, the Universal Declaration of Human Rights</w:t>
      </w:r>
      <w:r w:rsidRPr="00535E30">
        <w:rPr>
          <w:rFonts w:ascii="Avenir Book" w:hAnsi="Avenir Book"/>
          <w:vertAlign w:val="superscript"/>
        </w:rPr>
        <w:endnoteReference w:id="60"/>
      </w:r>
      <w:r w:rsidRPr="00535E30">
        <w:rPr>
          <w:rFonts w:ascii="Avenir Book" w:hAnsi="Avenir Book"/>
        </w:rPr>
        <w:t xml:space="preserve"> and other core human rights treaties to which Australia is a party.</w:t>
      </w:r>
      <w:r w:rsidRPr="00535E30">
        <w:rPr>
          <w:rFonts w:ascii="Avenir Book" w:hAnsi="Avenir Book"/>
          <w:vertAlign w:val="superscript"/>
        </w:rPr>
        <w:endnoteReference w:id="61"/>
      </w:r>
    </w:p>
    <w:p w14:paraId="22FC7883" w14:textId="77777777" w:rsidR="00B80718" w:rsidRPr="00535E30" w:rsidRDefault="00B80718" w:rsidP="005608D0">
      <w:pPr>
        <w:pStyle w:val="ListParagraph"/>
        <w:spacing w:line="276" w:lineRule="auto"/>
        <w:ind w:left="851" w:hanging="851"/>
        <w:rPr>
          <w:rFonts w:ascii="Avenir Book" w:hAnsi="Avenir Book"/>
        </w:rPr>
      </w:pPr>
    </w:p>
    <w:p w14:paraId="19B679C0" w14:textId="04F1F5C0" w:rsidR="00AB3CD5" w:rsidRPr="00535E30" w:rsidRDefault="00AB3CD5" w:rsidP="00C74146">
      <w:pPr>
        <w:pStyle w:val="ListParagraph"/>
        <w:numPr>
          <w:ilvl w:val="2"/>
          <w:numId w:val="11"/>
        </w:numPr>
        <w:spacing w:line="276" w:lineRule="auto"/>
        <w:ind w:left="851" w:hanging="851"/>
        <w:rPr>
          <w:rFonts w:ascii="Avenir Book" w:hAnsi="Avenir Book"/>
        </w:rPr>
      </w:pPr>
      <w:r w:rsidRPr="00535E30">
        <w:rPr>
          <w:rFonts w:ascii="Avenir Book" w:hAnsi="Avenir Book"/>
        </w:rPr>
        <w:t xml:space="preserve">The denial of legal capacity through substitute decision-making regimes (such as guardianship, financial management, and mental health laws) and the common law doctrine of </w:t>
      </w:r>
      <w:r w:rsidR="00535E30" w:rsidRPr="00535E30">
        <w:rPr>
          <w:rFonts w:ascii="Avenir Book" w:hAnsi="Avenir Book"/>
        </w:rPr>
        <w:t>‘</w:t>
      </w:r>
      <w:proofErr w:type="spellStart"/>
      <w:r w:rsidRPr="00535E30">
        <w:rPr>
          <w:rFonts w:ascii="Avenir Book" w:hAnsi="Avenir Book"/>
        </w:rPr>
        <w:t>parens</w:t>
      </w:r>
      <w:proofErr w:type="spellEnd"/>
      <w:r w:rsidRPr="00535E30">
        <w:rPr>
          <w:rFonts w:ascii="Avenir Book" w:hAnsi="Avenir Book"/>
        </w:rPr>
        <w:t xml:space="preserve"> patriae</w:t>
      </w:r>
      <w:r w:rsidR="00535E30" w:rsidRPr="00535E30">
        <w:rPr>
          <w:rFonts w:ascii="Avenir Book" w:hAnsi="Avenir Book"/>
        </w:rPr>
        <w:t>’</w:t>
      </w:r>
      <w:r w:rsidRPr="00535E30">
        <w:rPr>
          <w:rFonts w:ascii="Avenir Book" w:hAnsi="Avenir Book"/>
          <w:vertAlign w:val="superscript"/>
        </w:rPr>
        <w:endnoteReference w:id="62"/>
      </w:r>
      <w:r w:rsidRPr="00535E30">
        <w:rPr>
          <w:rFonts w:ascii="Avenir Book" w:hAnsi="Avenir Book"/>
        </w:rPr>
        <w:t xml:space="preserve"> gives rise to and enables violence, abuse, neglect and exploitation of people with disability. The CRPD Committee has affirmed that a person’s status as a person with disability or the existence of an impairment, including perceived or actual deficits in “mental capacity”, must </w:t>
      </w:r>
      <w:r w:rsidRPr="00535E30">
        <w:rPr>
          <w:rFonts w:ascii="Avenir Book" w:hAnsi="Avenir Book"/>
          <w:b/>
          <w:bCs/>
        </w:rPr>
        <w:t>never</w:t>
      </w:r>
      <w:r w:rsidRPr="00535E30">
        <w:rPr>
          <w:rFonts w:ascii="Avenir Book" w:hAnsi="Avenir Book"/>
        </w:rPr>
        <w:t xml:space="preserve"> be used as “grounds for denying legal capacity or any of the rights provided for in article 12” of the CRPD.</w:t>
      </w:r>
      <w:r w:rsidRPr="00535E30">
        <w:rPr>
          <w:rFonts w:ascii="Avenir Book" w:hAnsi="Avenir Book"/>
          <w:vertAlign w:val="superscript"/>
        </w:rPr>
        <w:endnoteReference w:id="63"/>
      </w:r>
      <w:r w:rsidRPr="00535E30">
        <w:rPr>
          <w:rFonts w:ascii="Avenir Book" w:hAnsi="Avenir Book"/>
        </w:rPr>
        <w:t xml:space="preserve"> Furthermore, the CRPD Committee has clarified that “the development of supported decision-making systems in parallel with the maintenance of substitute decision-making regimes is not sufficient to comply with article 12 of the Convention”.</w:t>
      </w:r>
      <w:r w:rsidRPr="00535E30">
        <w:rPr>
          <w:rFonts w:ascii="Avenir Book" w:hAnsi="Avenir Book"/>
          <w:vertAlign w:val="superscript"/>
        </w:rPr>
        <w:endnoteReference w:id="64"/>
      </w:r>
    </w:p>
    <w:p w14:paraId="69CD424D" w14:textId="77777777" w:rsidR="003C2534" w:rsidRPr="00535E30" w:rsidRDefault="003C2534" w:rsidP="005608D0">
      <w:pPr>
        <w:pStyle w:val="ListParagraph"/>
        <w:spacing w:line="276" w:lineRule="auto"/>
        <w:ind w:left="851" w:hanging="851"/>
        <w:rPr>
          <w:rFonts w:ascii="Avenir Book" w:hAnsi="Avenir Book"/>
        </w:rPr>
      </w:pPr>
    </w:p>
    <w:p w14:paraId="7D516307" w14:textId="00E29757" w:rsidR="00355212" w:rsidRDefault="00AB3CD5" w:rsidP="005A2C52">
      <w:pPr>
        <w:pStyle w:val="ListParagraph"/>
        <w:numPr>
          <w:ilvl w:val="2"/>
          <w:numId w:val="11"/>
        </w:numPr>
        <w:spacing w:line="276" w:lineRule="auto"/>
        <w:ind w:left="851" w:hanging="851"/>
        <w:rPr>
          <w:rFonts w:ascii="Avenir Book" w:hAnsi="Avenir Book"/>
        </w:rPr>
      </w:pPr>
      <w:r w:rsidRPr="00535E30">
        <w:rPr>
          <w:rFonts w:ascii="Avenir Book" w:hAnsi="Avenir Book"/>
        </w:rPr>
        <w:t>The DRC made a number of recommendations to reform guardianship and administration law and policy with the aim of shifting from substitute decision-making to supported decision-making and upholding the autonomy of people with disability.  While the supported decision-making framework, including the supported decision-making principles recommended by the DRC would move Australia significantly closer to adherence with the CRPD, we are concerned that key recommendations fall short of the principles and standards of the CRPD by retaining substitute decision-making as a last resort option.</w:t>
      </w:r>
      <w:r w:rsidRPr="00535E30">
        <w:rPr>
          <w:rFonts w:ascii="Avenir Book" w:hAnsi="Avenir Book"/>
          <w:vertAlign w:val="superscript"/>
        </w:rPr>
        <w:endnoteReference w:id="65"/>
      </w:r>
      <w:r w:rsidRPr="00535E30">
        <w:rPr>
          <w:rFonts w:ascii="Avenir Book" w:hAnsi="Avenir Book"/>
        </w:rPr>
        <w:t xml:space="preserve">  The CRPD Committee has made clear that “support in the exercise of legal capacity must respect the rights, will and preferences of persons with disabilities and should never amount to substitute decision-making.”</w:t>
      </w:r>
      <w:r w:rsidRPr="00535E30">
        <w:rPr>
          <w:rFonts w:ascii="Avenir Book" w:hAnsi="Avenir Book"/>
          <w:vertAlign w:val="superscript"/>
        </w:rPr>
        <w:endnoteReference w:id="66"/>
      </w:r>
      <w:r w:rsidRPr="00535E30">
        <w:rPr>
          <w:rFonts w:ascii="Avenir Book" w:hAnsi="Avenir Book"/>
        </w:rPr>
        <w:t xml:space="preserve"> </w:t>
      </w:r>
    </w:p>
    <w:p w14:paraId="68A4BD44" w14:textId="77777777" w:rsidR="003D56ED" w:rsidRPr="003D56ED" w:rsidRDefault="003D56ED" w:rsidP="003D56ED">
      <w:pPr>
        <w:spacing w:line="276" w:lineRule="auto"/>
        <w:rPr>
          <w:rFonts w:ascii="Avenir Book" w:eastAsiaTheme="minorHAnsi" w:hAnsi="Avenir Book"/>
        </w:rPr>
      </w:pPr>
    </w:p>
    <w:p w14:paraId="6938A100" w14:textId="38A7E2A2" w:rsidR="00AB3CD5" w:rsidRPr="00535E30" w:rsidRDefault="00AB3CD5" w:rsidP="00C74146">
      <w:pPr>
        <w:pStyle w:val="ListParagraph"/>
        <w:numPr>
          <w:ilvl w:val="2"/>
          <w:numId w:val="11"/>
        </w:numPr>
        <w:spacing w:line="276" w:lineRule="auto"/>
        <w:ind w:left="851" w:hanging="851"/>
        <w:rPr>
          <w:rFonts w:ascii="Avenir Book" w:hAnsi="Avenir Book"/>
        </w:rPr>
      </w:pPr>
      <w:r w:rsidRPr="00535E30">
        <w:rPr>
          <w:rFonts w:ascii="Avenir Book" w:hAnsi="Avenir Book"/>
        </w:rPr>
        <w:t>Confusingly, the DRC states that “some substitute decisions can be considered part of supported decision-making”</w:t>
      </w:r>
      <w:r w:rsidRPr="00535E30">
        <w:rPr>
          <w:rFonts w:ascii="Avenir Book" w:hAnsi="Avenir Book"/>
          <w:vertAlign w:val="superscript"/>
        </w:rPr>
        <w:endnoteReference w:id="67"/>
      </w:r>
      <w:r w:rsidRPr="00535E30">
        <w:rPr>
          <w:rFonts w:ascii="Avenir Book" w:hAnsi="Avenir Book"/>
        </w:rPr>
        <w:t xml:space="preserve"> as long as substitute decision-making is based on a ‘will and preference’ approach and not on a ‘best interests’ approach.  Here, the DRC deviates from the definition of substitute decision-making provided by the CRPD Committee, which clearly situates substitute decision-making within a ‘best interests’ framework as opposed to supported decision-making, which is situated in a ‘rights, will and preference’ framework.</w:t>
      </w:r>
      <w:r w:rsidRPr="00535E30">
        <w:rPr>
          <w:rFonts w:ascii="Avenir Book" w:hAnsi="Avenir Book"/>
          <w:vertAlign w:val="superscript"/>
        </w:rPr>
        <w:endnoteReference w:id="68"/>
      </w:r>
      <w:r w:rsidRPr="00535E30">
        <w:rPr>
          <w:rFonts w:ascii="Avenir Book" w:hAnsi="Avenir Book"/>
        </w:rPr>
        <w:t xml:space="preserve">  This deviation runs the risk of creating unnecessary confusion about CRPD principles and standards and unnecessary obstacles to the implementation of supported decision-making.  </w:t>
      </w:r>
    </w:p>
    <w:p w14:paraId="26151C5E" w14:textId="77777777" w:rsidR="00355212" w:rsidRPr="00535E30" w:rsidRDefault="00355212" w:rsidP="005608D0">
      <w:pPr>
        <w:pStyle w:val="ListParagraph"/>
        <w:spacing w:line="276" w:lineRule="auto"/>
        <w:ind w:left="851" w:hanging="851"/>
        <w:rPr>
          <w:rFonts w:ascii="Avenir Book" w:hAnsi="Avenir Book"/>
        </w:rPr>
      </w:pPr>
    </w:p>
    <w:p w14:paraId="63867A96" w14:textId="77777777" w:rsidR="00AB3CD5" w:rsidRPr="00535E30" w:rsidRDefault="00AB3CD5" w:rsidP="00C74146">
      <w:pPr>
        <w:pStyle w:val="ListParagraph"/>
        <w:numPr>
          <w:ilvl w:val="2"/>
          <w:numId w:val="11"/>
        </w:numPr>
        <w:spacing w:line="276" w:lineRule="auto"/>
        <w:ind w:left="851" w:hanging="851"/>
        <w:rPr>
          <w:rFonts w:ascii="Avenir Book" w:hAnsi="Avenir Book"/>
        </w:rPr>
      </w:pPr>
      <w:r w:rsidRPr="00535E30">
        <w:rPr>
          <w:rFonts w:ascii="Avenir Book" w:hAnsi="Avenir Book"/>
        </w:rPr>
        <w:t>The DRC recommendations also allow for an appointed representative to override a person’s will and preference “when necessary to prevent serious harm”, and in these situations, for the representative to be “guided by the standard of promoting ‘personal and social wellbeing’.”</w:t>
      </w:r>
      <w:r w:rsidRPr="00535E30">
        <w:rPr>
          <w:rFonts w:ascii="Avenir Book" w:hAnsi="Avenir Book"/>
          <w:vertAlign w:val="superscript"/>
        </w:rPr>
        <w:endnoteReference w:id="69"/>
      </w:r>
      <w:r w:rsidRPr="00535E30">
        <w:rPr>
          <w:rFonts w:ascii="Avenir Book" w:hAnsi="Avenir Book"/>
        </w:rPr>
        <w:t xml:space="preserve"> Aside from reference to existing Victorian legislation and policy, there is no guidance or definition of what constitutes ‘serious harm’ or how to prevent a ‘best interests’ interpretation of ‘serious harm’.</w:t>
      </w:r>
      <w:r w:rsidRPr="00535E30">
        <w:rPr>
          <w:rFonts w:ascii="Avenir Book" w:hAnsi="Avenir Book"/>
          <w:vertAlign w:val="superscript"/>
        </w:rPr>
        <w:endnoteReference w:id="70"/>
      </w:r>
      <w:r w:rsidRPr="00535E30">
        <w:rPr>
          <w:rFonts w:ascii="Avenir Book" w:hAnsi="Avenir Book"/>
        </w:rPr>
        <w:t xml:space="preserve">  Similarly, the term ‘personal and social wellbeing’ is not clearly defined except in relation to existing guardianship and administration law, and also runs the risk of ‘best interests’ interpretation and decisions being made that run counter to human rights.</w:t>
      </w:r>
      <w:r w:rsidRPr="00535E30">
        <w:rPr>
          <w:rFonts w:ascii="Avenir Book" w:hAnsi="Avenir Book"/>
          <w:vertAlign w:val="superscript"/>
        </w:rPr>
        <w:endnoteReference w:id="71"/>
      </w:r>
      <w:r w:rsidRPr="00535E30">
        <w:rPr>
          <w:rFonts w:ascii="Avenir Book" w:hAnsi="Avenir Book"/>
        </w:rPr>
        <w:t xml:space="preserve">  </w:t>
      </w:r>
    </w:p>
    <w:p w14:paraId="4494183C" w14:textId="77777777" w:rsidR="00355212" w:rsidRPr="00535E30" w:rsidRDefault="00355212" w:rsidP="005608D0">
      <w:pPr>
        <w:pStyle w:val="ListParagraph"/>
        <w:spacing w:line="276" w:lineRule="auto"/>
        <w:rPr>
          <w:rFonts w:ascii="Avenir Book" w:hAnsi="Avenir Book"/>
        </w:rPr>
      </w:pPr>
    </w:p>
    <w:p w14:paraId="283CDA7C" w14:textId="2B0FD0BB" w:rsidR="00AB3CD5" w:rsidRPr="00535E30" w:rsidRDefault="00AB3CD5" w:rsidP="00C74146">
      <w:pPr>
        <w:pStyle w:val="ListParagraph"/>
        <w:numPr>
          <w:ilvl w:val="2"/>
          <w:numId w:val="11"/>
        </w:numPr>
        <w:spacing w:line="276" w:lineRule="auto"/>
        <w:ind w:left="851" w:hanging="851"/>
        <w:rPr>
          <w:rFonts w:ascii="Avenir Book" w:hAnsi="Avenir Book"/>
        </w:rPr>
      </w:pPr>
      <w:r w:rsidRPr="00535E30">
        <w:rPr>
          <w:rFonts w:ascii="Avenir Book" w:hAnsi="Avenir Book"/>
        </w:rPr>
        <w:t>It is noted by the DRC that the term ‘personal and social wellbeing’ would be more easily understood and provide more clarity than the standard of upholding a person’s human rights that was proposed by the Australian Law Reform Commission in 2014.</w:t>
      </w:r>
      <w:r w:rsidRPr="00535E30">
        <w:rPr>
          <w:rFonts w:ascii="Avenir Book" w:hAnsi="Avenir Book"/>
          <w:vertAlign w:val="superscript"/>
        </w:rPr>
        <w:endnoteReference w:id="72"/>
      </w:r>
      <w:r w:rsidRPr="00535E30">
        <w:rPr>
          <w:rFonts w:ascii="Avenir Book" w:hAnsi="Avenir Book"/>
        </w:rPr>
        <w:t xml:space="preserve">  However, this is a deviation from the ‘rights, will and preference’ standard of the CRPD that should underpin any new supported decision-making system,</w:t>
      </w:r>
      <w:r w:rsidRPr="00535E30">
        <w:rPr>
          <w:rFonts w:ascii="Avenir Book" w:hAnsi="Avenir Book"/>
          <w:vertAlign w:val="superscript"/>
        </w:rPr>
        <w:endnoteReference w:id="73"/>
      </w:r>
      <w:r w:rsidRPr="00535E30">
        <w:rPr>
          <w:rFonts w:ascii="Avenir Book" w:hAnsi="Avenir Book"/>
        </w:rPr>
        <w:t xml:space="preserve"> </w:t>
      </w:r>
      <w:r w:rsidR="00355212" w:rsidRPr="00535E30">
        <w:rPr>
          <w:rFonts w:ascii="Avenir Book" w:hAnsi="Avenir Book"/>
        </w:rPr>
        <w:t xml:space="preserve">and </w:t>
      </w:r>
      <w:r w:rsidRPr="00535E30">
        <w:rPr>
          <w:rFonts w:ascii="Avenir Book" w:hAnsi="Avenir Book"/>
        </w:rPr>
        <w:t xml:space="preserve">which </w:t>
      </w:r>
      <w:r w:rsidR="00355212" w:rsidRPr="00535E30">
        <w:rPr>
          <w:rFonts w:ascii="Avenir Book" w:hAnsi="Avenir Book"/>
        </w:rPr>
        <w:t>would</w:t>
      </w:r>
      <w:r w:rsidRPr="00535E30">
        <w:rPr>
          <w:rFonts w:ascii="Avenir Book" w:hAnsi="Avenir Book"/>
        </w:rPr>
        <w:t xml:space="preserve"> also require appropriate measures to respond to the critical need for education, guidance and information on human rights standards and principles. The lack of respect for and understanding of the human rights of people with disability, which is a key driver of violence, abuse, neglect and exploitation requires concerted action to address, rather than simply adopting “more commonly used language that may be more easily understood”.</w:t>
      </w:r>
      <w:r w:rsidRPr="00535E30">
        <w:rPr>
          <w:rFonts w:ascii="Avenir Book" w:hAnsi="Avenir Book"/>
          <w:vertAlign w:val="superscript"/>
        </w:rPr>
        <w:endnoteReference w:id="74"/>
      </w:r>
      <w:r w:rsidRPr="00535E30">
        <w:rPr>
          <w:rFonts w:ascii="Avenir Book" w:hAnsi="Avenir Book"/>
        </w:rPr>
        <w:t xml:space="preserve"> </w:t>
      </w:r>
    </w:p>
    <w:p w14:paraId="7D782D8B" w14:textId="77777777" w:rsidR="00025946" w:rsidRPr="00535E30" w:rsidRDefault="00025946" w:rsidP="005608D0">
      <w:pPr>
        <w:pStyle w:val="ListParagraph"/>
        <w:spacing w:line="276" w:lineRule="auto"/>
        <w:ind w:left="851" w:hanging="851"/>
        <w:rPr>
          <w:rFonts w:ascii="Avenir Book" w:hAnsi="Avenir Book"/>
        </w:rPr>
      </w:pPr>
    </w:p>
    <w:p w14:paraId="4673E681" w14:textId="37B5FFD7" w:rsidR="00AB3CD5" w:rsidRPr="00535E30" w:rsidRDefault="00AB3CD5" w:rsidP="00C74146">
      <w:pPr>
        <w:pStyle w:val="ListParagraph"/>
        <w:numPr>
          <w:ilvl w:val="2"/>
          <w:numId w:val="11"/>
        </w:numPr>
        <w:spacing w:line="276" w:lineRule="auto"/>
        <w:ind w:left="851" w:hanging="851"/>
        <w:rPr>
          <w:rFonts w:ascii="Avenir Book" w:hAnsi="Avenir Book"/>
        </w:rPr>
      </w:pPr>
      <w:r w:rsidRPr="00535E30">
        <w:rPr>
          <w:rFonts w:ascii="Avenir Book" w:hAnsi="Avenir Book"/>
        </w:rPr>
        <w:t xml:space="preserve">The examination by the DRC of autonomy and supported decision-making only focused on guardianship and administration regimes, with a recognition that </w:t>
      </w:r>
      <w:r w:rsidRPr="00535E30">
        <w:rPr>
          <w:rFonts w:ascii="Avenir Book" w:hAnsi="Avenir Book"/>
        </w:rPr>
        <w:lastRenderedPageBreak/>
        <w:t>“there is a need for wide-ranging reform across different service systems, sectors and areas of law”.</w:t>
      </w:r>
      <w:r w:rsidRPr="00535E30">
        <w:rPr>
          <w:rFonts w:ascii="Avenir Book" w:hAnsi="Avenir Book"/>
          <w:vertAlign w:val="superscript"/>
        </w:rPr>
        <w:endnoteReference w:id="75"/>
      </w:r>
      <w:r w:rsidR="00025946" w:rsidRPr="00535E30">
        <w:rPr>
          <w:rFonts w:ascii="Avenir Book" w:hAnsi="Avenir Book"/>
        </w:rPr>
        <w:t xml:space="preserve"> </w:t>
      </w:r>
      <w:r w:rsidRPr="00535E30">
        <w:rPr>
          <w:rFonts w:ascii="Avenir Book" w:hAnsi="Avenir Book"/>
        </w:rPr>
        <w:t xml:space="preserve"> We strongly agree that there is a need for broader reform, and note with concern the legislative and policy reform required in many areas that deny or restrict legal capacity on the basis of impairment, including in mental health, aged care, family and child protection, and criminal justice.    </w:t>
      </w:r>
    </w:p>
    <w:p w14:paraId="77A02AB6" w14:textId="77777777" w:rsidR="00025946" w:rsidRPr="00535E30" w:rsidRDefault="00025946" w:rsidP="005608D0">
      <w:pPr>
        <w:pStyle w:val="ListParagraph"/>
        <w:spacing w:line="276" w:lineRule="auto"/>
        <w:ind w:left="851" w:hanging="851"/>
        <w:rPr>
          <w:rFonts w:ascii="Avenir Book" w:hAnsi="Avenir Book"/>
        </w:rPr>
      </w:pPr>
    </w:p>
    <w:p w14:paraId="6EC062B5" w14:textId="77777777" w:rsidR="00535E30" w:rsidRPr="00535E30" w:rsidRDefault="00AB3CD5" w:rsidP="00C74146">
      <w:pPr>
        <w:pStyle w:val="ListParagraph"/>
        <w:numPr>
          <w:ilvl w:val="2"/>
          <w:numId w:val="11"/>
        </w:numPr>
        <w:spacing w:line="276" w:lineRule="auto"/>
        <w:ind w:left="851" w:hanging="851"/>
        <w:rPr>
          <w:rFonts w:ascii="Avenir Book" w:hAnsi="Avenir Book"/>
        </w:rPr>
      </w:pPr>
      <w:r w:rsidRPr="00535E30">
        <w:rPr>
          <w:rFonts w:ascii="Avenir Book" w:hAnsi="Avenir Book"/>
        </w:rPr>
        <w:t>We also note with concern that even if guardianship, financial management, mental health and other relevant legislation is reformed, the common law doctrine of ‘</w:t>
      </w:r>
      <w:proofErr w:type="spellStart"/>
      <w:r w:rsidRPr="00535E30">
        <w:rPr>
          <w:rFonts w:ascii="Avenir Book" w:hAnsi="Avenir Book"/>
        </w:rPr>
        <w:t>parens</w:t>
      </w:r>
      <w:proofErr w:type="spellEnd"/>
      <w:r w:rsidRPr="00535E30">
        <w:rPr>
          <w:rFonts w:ascii="Avenir Book" w:hAnsi="Avenir Book"/>
        </w:rPr>
        <w:t xml:space="preserve"> patriae’, which operates as a ‘best interests’ framework underpinned by ableist and gendered assumptions,</w:t>
      </w:r>
      <w:r w:rsidRPr="00535E30">
        <w:rPr>
          <w:rFonts w:ascii="Avenir Book" w:hAnsi="Avenir Book"/>
          <w:vertAlign w:val="superscript"/>
        </w:rPr>
        <w:endnoteReference w:id="76"/>
      </w:r>
      <w:r w:rsidRPr="00535E30">
        <w:rPr>
          <w:rFonts w:ascii="Avenir Book" w:hAnsi="Avenir Book"/>
        </w:rPr>
        <w:t xml:space="preserve"> would still apply to people with disability unless explicitly excluded through legislation. While the DRC discussed the ‘</w:t>
      </w:r>
      <w:proofErr w:type="spellStart"/>
      <w:r w:rsidRPr="00535E30">
        <w:rPr>
          <w:rFonts w:ascii="Avenir Book" w:hAnsi="Avenir Book"/>
        </w:rPr>
        <w:t>parens</w:t>
      </w:r>
      <w:proofErr w:type="spellEnd"/>
      <w:r w:rsidRPr="00535E30">
        <w:rPr>
          <w:rFonts w:ascii="Avenir Book" w:hAnsi="Avenir Book"/>
        </w:rPr>
        <w:t xml:space="preserve"> patriae’ jurisdiction, it did not provide any recommendations for reform, despite noting that rather than protect children and adults with disability from harm, ‘</w:t>
      </w:r>
      <w:proofErr w:type="spellStart"/>
      <w:r w:rsidRPr="00535E30">
        <w:rPr>
          <w:rFonts w:ascii="Avenir Book" w:hAnsi="Avenir Book"/>
        </w:rPr>
        <w:t>parens</w:t>
      </w:r>
      <w:proofErr w:type="spellEnd"/>
      <w:r w:rsidRPr="00535E30">
        <w:rPr>
          <w:rFonts w:ascii="Avenir Book" w:hAnsi="Avenir Book"/>
        </w:rPr>
        <w:t xml:space="preserve"> patriae’ has been used to authorise sterilisation and termination of pregnancies of women and girls with disabilities.</w:t>
      </w:r>
      <w:r w:rsidRPr="00535E30">
        <w:rPr>
          <w:rFonts w:ascii="Avenir Book" w:hAnsi="Avenir Book"/>
          <w:vertAlign w:val="superscript"/>
        </w:rPr>
        <w:endnoteReference w:id="77"/>
      </w:r>
    </w:p>
    <w:p w14:paraId="6597AA38" w14:textId="77777777" w:rsidR="00535E30" w:rsidRPr="00535E30" w:rsidRDefault="00535E30" w:rsidP="005608D0">
      <w:pPr>
        <w:pStyle w:val="ListParagraph"/>
        <w:spacing w:line="276" w:lineRule="auto"/>
        <w:rPr>
          <w:rFonts w:ascii="Avenir Book" w:hAnsi="Avenir Book"/>
        </w:rPr>
      </w:pPr>
    </w:p>
    <w:p w14:paraId="6BD9DC25" w14:textId="1BAE421C" w:rsidR="00AB3CD5" w:rsidRPr="00535E30" w:rsidRDefault="00AB3CD5" w:rsidP="00C74146">
      <w:pPr>
        <w:pStyle w:val="ListParagraph"/>
        <w:numPr>
          <w:ilvl w:val="2"/>
          <w:numId w:val="11"/>
        </w:numPr>
        <w:spacing w:line="276" w:lineRule="auto"/>
        <w:ind w:left="851" w:hanging="851"/>
        <w:rPr>
          <w:rFonts w:ascii="Avenir Book" w:hAnsi="Avenir Book"/>
        </w:rPr>
      </w:pPr>
      <w:r w:rsidRPr="00535E30">
        <w:rPr>
          <w:rFonts w:ascii="Avenir Book" w:hAnsi="Avenir Book"/>
        </w:rPr>
        <w:t>A supported decision-making framework should replace the ‘</w:t>
      </w:r>
      <w:proofErr w:type="spellStart"/>
      <w:r w:rsidRPr="00535E30">
        <w:rPr>
          <w:rFonts w:ascii="Avenir Book" w:hAnsi="Avenir Book"/>
        </w:rPr>
        <w:t>parens</w:t>
      </w:r>
      <w:proofErr w:type="spellEnd"/>
      <w:r w:rsidRPr="00535E30">
        <w:rPr>
          <w:rFonts w:ascii="Avenir Book" w:hAnsi="Avenir Book"/>
        </w:rPr>
        <w:t xml:space="preserve"> patriae’ jurisdiction. The CRPD Committee has made clear that the ‘best interests’ principle “is not a safeguard which complies with article 12 in relation to adults”.</w:t>
      </w:r>
      <w:r w:rsidRPr="00535E30">
        <w:rPr>
          <w:rFonts w:ascii="Avenir Book" w:hAnsi="Avenir Book"/>
          <w:vertAlign w:val="superscript"/>
        </w:rPr>
        <w:endnoteReference w:id="78"/>
      </w:r>
      <w:r w:rsidRPr="00535E30">
        <w:rPr>
          <w:rFonts w:ascii="Avenir Book" w:hAnsi="Avenir Book"/>
        </w:rPr>
        <w:t xml:space="preserve">  In relation to children, the human rights principles and standards require that the ‘best interests of the child’ be a primary consideration in all actions concerning them, that children can freely express their views and that these views are given due weight in accordance with their age and maturity.</w:t>
      </w:r>
      <w:r w:rsidRPr="00535E30">
        <w:rPr>
          <w:rFonts w:ascii="Avenir Book" w:hAnsi="Avenir Book"/>
          <w:vertAlign w:val="superscript"/>
        </w:rPr>
        <w:endnoteReference w:id="79"/>
      </w:r>
      <w:r w:rsidRPr="00535E30">
        <w:rPr>
          <w:rFonts w:ascii="Avenir Book" w:hAnsi="Avenir Book"/>
        </w:rPr>
        <w:t xml:space="preserve"> The CRPD explicitly requires “[r]</w:t>
      </w:r>
      <w:proofErr w:type="spellStart"/>
      <w:r w:rsidRPr="00535E30">
        <w:rPr>
          <w:rFonts w:ascii="Avenir Book" w:hAnsi="Avenir Book"/>
        </w:rPr>
        <w:t>espect</w:t>
      </w:r>
      <w:proofErr w:type="spellEnd"/>
      <w:r w:rsidRPr="00535E30">
        <w:rPr>
          <w:rFonts w:ascii="Avenir Book" w:hAnsi="Avenir Book"/>
        </w:rPr>
        <w:t xml:space="preserve"> for the evolving capacities of children with disabilities”,</w:t>
      </w:r>
      <w:r w:rsidRPr="00535E30">
        <w:rPr>
          <w:rFonts w:ascii="Avenir Book" w:hAnsi="Avenir Book"/>
          <w:vertAlign w:val="superscript"/>
        </w:rPr>
        <w:endnoteReference w:id="80"/>
      </w:r>
      <w:r w:rsidRPr="00535E30">
        <w:rPr>
          <w:rFonts w:ascii="Avenir Book" w:hAnsi="Avenir Book"/>
        </w:rPr>
        <w:t xml:space="preserve"> and in the context of article 12, this requires an examination of laws and policies “to ensure that the will and preferences of children with disabilities are respected on an equal basis with other children”.</w:t>
      </w:r>
      <w:r w:rsidRPr="00535E30">
        <w:rPr>
          <w:rFonts w:ascii="Avenir Book" w:hAnsi="Avenir Book"/>
          <w:vertAlign w:val="superscript"/>
        </w:rPr>
        <w:endnoteReference w:id="81"/>
      </w:r>
      <w:r w:rsidRPr="00535E30">
        <w:rPr>
          <w:rFonts w:ascii="Avenir Book" w:hAnsi="Avenir Book"/>
        </w:rPr>
        <w:t xml:space="preserve"> Importantly, the ‘best interests of the child’ principle should only be applied in the context of human rights as specifically provided for in the Convention on the Rights of the Child (CRC)</w:t>
      </w:r>
      <w:r w:rsidRPr="00535E30">
        <w:rPr>
          <w:rFonts w:ascii="Avenir Book" w:hAnsi="Avenir Book"/>
          <w:vertAlign w:val="superscript"/>
        </w:rPr>
        <w:endnoteReference w:id="82"/>
      </w:r>
      <w:r w:rsidRPr="00535E30">
        <w:rPr>
          <w:rFonts w:ascii="Avenir Book" w:hAnsi="Avenir Book"/>
        </w:rPr>
        <w:t xml:space="preserve"> and further elaborated in the CRPD for children with disabilities.</w:t>
      </w:r>
      <w:r w:rsidRPr="00535E30">
        <w:rPr>
          <w:rFonts w:ascii="Avenir Book" w:hAnsi="Avenir Book"/>
          <w:vertAlign w:val="superscript"/>
        </w:rPr>
        <w:endnoteReference w:id="83"/>
      </w:r>
      <w:r w:rsidRPr="00535E30">
        <w:rPr>
          <w:rFonts w:ascii="Avenir Book" w:hAnsi="Avenir Book"/>
        </w:rPr>
        <w:t xml:space="preserve"> </w:t>
      </w:r>
    </w:p>
    <w:p w14:paraId="4B9E38D7" w14:textId="77777777" w:rsidR="00535E30" w:rsidRPr="00535E30" w:rsidRDefault="00535E30" w:rsidP="005608D0">
      <w:pPr>
        <w:pStyle w:val="ListParagraph"/>
        <w:spacing w:line="276" w:lineRule="auto"/>
        <w:ind w:left="851" w:hanging="851"/>
        <w:rPr>
          <w:rFonts w:ascii="Avenir Book" w:hAnsi="Avenir Book"/>
        </w:rPr>
      </w:pPr>
    </w:p>
    <w:p w14:paraId="5A8ACBDC" w14:textId="77777777" w:rsidR="00AB3CD5" w:rsidRPr="00535E30" w:rsidRDefault="00AB3CD5" w:rsidP="00C74146">
      <w:pPr>
        <w:pStyle w:val="ListParagraph"/>
        <w:numPr>
          <w:ilvl w:val="2"/>
          <w:numId w:val="11"/>
        </w:numPr>
        <w:spacing w:line="276" w:lineRule="auto"/>
        <w:ind w:left="851" w:hanging="851"/>
        <w:rPr>
          <w:rFonts w:ascii="Avenir Book" w:hAnsi="Avenir Book"/>
        </w:rPr>
      </w:pPr>
      <w:r w:rsidRPr="00535E30">
        <w:rPr>
          <w:rFonts w:ascii="Avenir Book" w:hAnsi="Avenir Book"/>
        </w:rPr>
        <w:t>We strongly support the DRC recommendation for the Australian Government to withdraw its interpretative declaration to article 12 of the CRPD.</w:t>
      </w:r>
      <w:r w:rsidRPr="00535E30">
        <w:rPr>
          <w:rFonts w:ascii="Avenir Book" w:hAnsi="Avenir Book"/>
          <w:vertAlign w:val="superscript"/>
        </w:rPr>
        <w:endnoteReference w:id="84"/>
      </w:r>
      <w:r w:rsidRPr="00535E30">
        <w:rPr>
          <w:rFonts w:ascii="Avenir Book" w:hAnsi="Avenir Book"/>
        </w:rPr>
        <w:t xml:space="preserve">  It has been over fifteen years since Australia ratified the CRPD and substantial guidance and interpretation of article 12 has been developed by the CRPD Committee,</w:t>
      </w:r>
      <w:r w:rsidRPr="00535E30">
        <w:rPr>
          <w:rFonts w:ascii="Avenir Book" w:hAnsi="Avenir Book"/>
          <w:vertAlign w:val="superscript"/>
        </w:rPr>
        <w:endnoteReference w:id="85"/>
      </w:r>
      <w:r w:rsidRPr="00535E30">
        <w:rPr>
          <w:rFonts w:ascii="Avenir Book" w:hAnsi="Avenir Book"/>
        </w:rPr>
        <w:t xml:space="preserve"> the Special Rapporteur on the Rights of Persons with Disabilities</w:t>
      </w:r>
      <w:r w:rsidRPr="00535E30">
        <w:rPr>
          <w:rFonts w:ascii="Avenir Book" w:hAnsi="Avenir Book"/>
          <w:vertAlign w:val="superscript"/>
        </w:rPr>
        <w:endnoteReference w:id="86"/>
      </w:r>
      <w:r w:rsidRPr="00535E30">
        <w:rPr>
          <w:rFonts w:ascii="Avenir Book" w:hAnsi="Avenir Book"/>
        </w:rPr>
        <w:t xml:space="preserve"> and other human rights experts and academics</w:t>
      </w:r>
      <w:r w:rsidRPr="00535E30">
        <w:rPr>
          <w:rFonts w:ascii="Avenir Book" w:hAnsi="Avenir Book"/>
          <w:vertAlign w:val="superscript"/>
        </w:rPr>
        <w:endnoteReference w:id="87"/>
      </w:r>
      <w:r w:rsidRPr="00535E30">
        <w:rPr>
          <w:rFonts w:ascii="Avenir Book" w:hAnsi="Avenir Book"/>
        </w:rPr>
        <w:t xml:space="preserve"> that refute Australia’s understanding that article 12 “allows for fully supported or substitute decision-making arrangements, which </w:t>
      </w:r>
      <w:r w:rsidRPr="00535E30">
        <w:rPr>
          <w:rFonts w:ascii="Avenir Book" w:hAnsi="Avenir Book"/>
        </w:rPr>
        <w:lastRenderedPageBreak/>
        <w:t>provide for decisions to be made on behalf of a person”.</w:t>
      </w:r>
      <w:r w:rsidRPr="00535E30">
        <w:rPr>
          <w:rFonts w:ascii="Avenir Book" w:hAnsi="Avenir Book"/>
          <w:vertAlign w:val="superscript"/>
        </w:rPr>
        <w:endnoteReference w:id="88"/>
      </w:r>
      <w:r w:rsidRPr="00535E30">
        <w:rPr>
          <w:rFonts w:ascii="Avenir Book" w:hAnsi="Avenir Book"/>
        </w:rPr>
        <w:t xml:space="preserve"> While the interpretative declaration remains, critical reform will not adhere to the now well-recognised interpretation of article 12 of the CRPD.</w:t>
      </w:r>
    </w:p>
    <w:p w14:paraId="678035D1" w14:textId="77777777" w:rsidR="00535E30" w:rsidRPr="00535E30" w:rsidRDefault="00535E30" w:rsidP="00535E30">
      <w:pPr>
        <w:rPr>
          <w:rFonts w:ascii="Avenir Book" w:hAnsi="Avenir Book"/>
          <w:sz w:val="22"/>
          <w:szCs w:val="22"/>
        </w:rPr>
      </w:pPr>
    </w:p>
    <w:p w14:paraId="68E747DE" w14:textId="2E6BE9CD" w:rsidR="00AB3CD5" w:rsidRPr="00AB3CD5" w:rsidRDefault="00A533A9" w:rsidP="005608D0">
      <w:pPr>
        <w:spacing w:after="120" w:line="276" w:lineRule="auto"/>
        <w:rPr>
          <w:rFonts w:asciiTheme="minorHAnsi" w:hAnsiTheme="minorHAnsi" w:cstheme="minorHAnsi"/>
          <w:b/>
          <w:color w:val="7030A0"/>
        </w:rPr>
      </w:pPr>
      <w:r>
        <w:rPr>
          <w:rFonts w:ascii="Avenir Book" w:hAnsi="Avenir Book" w:cstheme="minorHAnsi"/>
          <w:b/>
          <w:color w:val="AC1F79"/>
        </w:rPr>
        <w:t xml:space="preserve">Preliminary </w:t>
      </w:r>
      <w:r w:rsidRPr="00761F08">
        <w:rPr>
          <w:rFonts w:ascii="Avenir Book" w:hAnsi="Avenir Book" w:cstheme="minorHAnsi"/>
          <w:b/>
          <w:color w:val="AC1F79"/>
        </w:rPr>
        <w:t>Recommendations</w:t>
      </w:r>
    </w:p>
    <w:p w14:paraId="342690CD" w14:textId="575E4881" w:rsidR="00CA3921" w:rsidRPr="003731BD" w:rsidRDefault="00706381" w:rsidP="00C74146">
      <w:pPr>
        <w:pStyle w:val="ListParagraph"/>
        <w:numPr>
          <w:ilvl w:val="0"/>
          <w:numId w:val="3"/>
        </w:numPr>
        <w:spacing w:after="120" w:line="276" w:lineRule="auto"/>
        <w:ind w:left="426" w:hanging="426"/>
        <w:contextualSpacing w:val="0"/>
        <w:rPr>
          <w:rFonts w:ascii="Avenir Book" w:hAnsi="Avenir Book"/>
        </w:rPr>
      </w:pPr>
      <w:r w:rsidRPr="00A533A9">
        <w:rPr>
          <w:rFonts w:ascii="Avenir Book" w:hAnsi="Avenir Book"/>
        </w:rPr>
        <w:t xml:space="preserve">Review the DRC recommendations for establishing supported decision-making </w:t>
      </w:r>
      <w:r w:rsidR="00CA3921" w:rsidRPr="00A533A9">
        <w:rPr>
          <w:rFonts w:ascii="Avenir Book" w:hAnsi="Avenir Book"/>
        </w:rPr>
        <w:t xml:space="preserve">mechanisms </w:t>
      </w:r>
      <w:r w:rsidRPr="00A533A9">
        <w:rPr>
          <w:rFonts w:ascii="Avenir Book" w:hAnsi="Avenir Book"/>
        </w:rPr>
        <w:t xml:space="preserve">in order to </w:t>
      </w:r>
      <w:r w:rsidR="00CA3921" w:rsidRPr="00A533A9">
        <w:rPr>
          <w:rFonts w:ascii="Avenir Book" w:hAnsi="Avenir Book"/>
        </w:rPr>
        <w:t xml:space="preserve">identify and </w:t>
      </w:r>
      <w:r w:rsidRPr="00A533A9">
        <w:rPr>
          <w:rFonts w:ascii="Avenir Book" w:hAnsi="Avenir Book"/>
        </w:rPr>
        <w:t xml:space="preserve">implement appropriate amendments </w:t>
      </w:r>
      <w:r w:rsidR="00CA3921" w:rsidRPr="00A533A9">
        <w:rPr>
          <w:rFonts w:ascii="Avenir Book" w:hAnsi="Avenir Book"/>
        </w:rPr>
        <w:t xml:space="preserve">to ensure compliance with </w:t>
      </w:r>
      <w:r w:rsidRPr="00A533A9">
        <w:rPr>
          <w:rFonts w:ascii="Avenir Book" w:hAnsi="Avenir Book"/>
        </w:rPr>
        <w:t>the principles and standards of the CRPD.</w:t>
      </w:r>
    </w:p>
    <w:p w14:paraId="3F43E2CC" w14:textId="765C9B03" w:rsidR="00A533A9" w:rsidRPr="003731BD" w:rsidRDefault="00A533A9" w:rsidP="00C74146">
      <w:pPr>
        <w:pStyle w:val="ListParagraph"/>
        <w:numPr>
          <w:ilvl w:val="0"/>
          <w:numId w:val="3"/>
        </w:numPr>
        <w:spacing w:after="120" w:line="276" w:lineRule="auto"/>
        <w:ind w:left="426" w:hanging="426"/>
        <w:contextualSpacing w:val="0"/>
        <w:rPr>
          <w:rFonts w:ascii="Avenir Book" w:hAnsi="Avenir Book"/>
        </w:rPr>
      </w:pPr>
      <w:r w:rsidRPr="00AB3CD5">
        <w:rPr>
          <w:rFonts w:ascii="Avenir Book" w:eastAsia="Times New Roman" w:hAnsi="Avenir Book"/>
        </w:rPr>
        <w:t xml:space="preserve">Develop </w:t>
      </w:r>
      <w:r w:rsidR="00C55E6D">
        <w:rPr>
          <w:rFonts w:ascii="Avenir Book" w:eastAsia="Times New Roman" w:hAnsi="Avenir Book"/>
        </w:rPr>
        <w:t xml:space="preserve">a comprehensive, </w:t>
      </w:r>
      <w:r w:rsidRPr="00AB3CD5">
        <w:rPr>
          <w:rFonts w:ascii="Avenir Book" w:eastAsia="Times New Roman" w:hAnsi="Avenir Book"/>
        </w:rPr>
        <w:t xml:space="preserve">timebound transition plan to </w:t>
      </w:r>
      <w:r w:rsidRPr="00A533A9">
        <w:rPr>
          <w:rFonts w:ascii="Avenir Book" w:eastAsia="Times New Roman" w:hAnsi="Avenir Book"/>
        </w:rPr>
        <w:t xml:space="preserve">undertake legislative and policy reform to replace </w:t>
      </w:r>
      <w:r w:rsidRPr="00AB3CD5">
        <w:rPr>
          <w:rFonts w:ascii="Avenir Book" w:eastAsia="Times New Roman" w:hAnsi="Avenir Book"/>
        </w:rPr>
        <w:t>substitute decision-making</w:t>
      </w:r>
      <w:r w:rsidRPr="00A533A9">
        <w:rPr>
          <w:rFonts w:ascii="Avenir Book" w:eastAsia="Times New Roman" w:hAnsi="Avenir Book"/>
        </w:rPr>
        <w:t xml:space="preserve"> with supported decision-making, including in the areas of guardianship, financial management, mental health, aged care, family and child protection and criminal justice.</w:t>
      </w:r>
    </w:p>
    <w:p w14:paraId="761C9308" w14:textId="4A7E5E7C" w:rsidR="00CA3921" w:rsidRPr="003731BD" w:rsidRDefault="00A533A9" w:rsidP="00C74146">
      <w:pPr>
        <w:pStyle w:val="ListParagraph"/>
        <w:numPr>
          <w:ilvl w:val="0"/>
          <w:numId w:val="3"/>
        </w:numPr>
        <w:spacing w:after="120" w:line="276" w:lineRule="auto"/>
        <w:ind w:left="426" w:hanging="426"/>
        <w:contextualSpacing w:val="0"/>
        <w:rPr>
          <w:rFonts w:ascii="Avenir Book" w:hAnsi="Avenir Book"/>
        </w:rPr>
      </w:pPr>
      <w:r w:rsidRPr="00A533A9">
        <w:rPr>
          <w:rFonts w:ascii="Avenir Book" w:hAnsi="Avenir Book"/>
        </w:rPr>
        <w:t>Implement</w:t>
      </w:r>
      <w:r w:rsidR="00CA3921" w:rsidRPr="00A533A9">
        <w:rPr>
          <w:rFonts w:ascii="Avenir Book" w:hAnsi="Avenir Book"/>
        </w:rPr>
        <w:t xml:space="preserve"> legislative and policy measures to ensure that supported decision-making mechanisms replace the common law doctrine of ‘</w:t>
      </w:r>
      <w:proofErr w:type="spellStart"/>
      <w:r w:rsidR="00CA3921" w:rsidRPr="00A533A9">
        <w:rPr>
          <w:rFonts w:ascii="Avenir Book" w:hAnsi="Avenir Book"/>
        </w:rPr>
        <w:t>parens</w:t>
      </w:r>
      <w:proofErr w:type="spellEnd"/>
      <w:r w:rsidR="00CA3921" w:rsidRPr="00A533A9">
        <w:rPr>
          <w:rFonts w:ascii="Avenir Book" w:hAnsi="Avenir Book"/>
        </w:rPr>
        <w:t xml:space="preserve"> patriae’ for people with disability.</w:t>
      </w:r>
    </w:p>
    <w:p w14:paraId="72DAAC6D" w14:textId="3EC6F6F1" w:rsidR="00CA3921" w:rsidRPr="003731BD" w:rsidRDefault="00A533A9" w:rsidP="00C74146">
      <w:pPr>
        <w:pStyle w:val="ListParagraph"/>
        <w:numPr>
          <w:ilvl w:val="0"/>
          <w:numId w:val="3"/>
        </w:numPr>
        <w:spacing w:after="120" w:line="276" w:lineRule="auto"/>
        <w:ind w:left="426" w:hanging="426"/>
        <w:contextualSpacing w:val="0"/>
        <w:rPr>
          <w:rFonts w:ascii="Avenir Book" w:hAnsi="Avenir Book"/>
        </w:rPr>
      </w:pPr>
      <w:r w:rsidRPr="00A533A9">
        <w:rPr>
          <w:rFonts w:ascii="Avenir Book" w:hAnsi="Avenir Book"/>
        </w:rPr>
        <w:t>Implement</w:t>
      </w:r>
      <w:r w:rsidR="00CA3921" w:rsidRPr="00A533A9">
        <w:rPr>
          <w:rFonts w:ascii="Avenir Book" w:hAnsi="Avenir Book"/>
        </w:rPr>
        <w:t xml:space="preserve"> legislative and policy </w:t>
      </w:r>
      <w:r w:rsidRPr="00A533A9">
        <w:rPr>
          <w:rFonts w:ascii="Avenir Book" w:hAnsi="Avenir Book"/>
        </w:rPr>
        <w:t xml:space="preserve">reform </w:t>
      </w:r>
      <w:r w:rsidR="00CA3921" w:rsidRPr="00A533A9">
        <w:rPr>
          <w:rFonts w:ascii="Avenir Book" w:hAnsi="Avenir Book"/>
        </w:rPr>
        <w:t xml:space="preserve">measures to ensure that the ‘best interests of the child’ principle is understood in the context of human rights as elaborated by the CRC and the CRPD, and that the will and preferences of children </w:t>
      </w:r>
      <w:r w:rsidR="00051045">
        <w:rPr>
          <w:rFonts w:ascii="Avenir Book" w:hAnsi="Avenir Book"/>
        </w:rPr>
        <w:t xml:space="preserve">with disability </w:t>
      </w:r>
      <w:r w:rsidR="00CA3921" w:rsidRPr="00A533A9">
        <w:rPr>
          <w:rFonts w:ascii="Avenir Book" w:hAnsi="Avenir Book"/>
        </w:rPr>
        <w:t>are</w:t>
      </w:r>
      <w:r w:rsidR="00051045">
        <w:rPr>
          <w:rFonts w:ascii="Avenir Book" w:hAnsi="Avenir Book"/>
        </w:rPr>
        <w:t xml:space="preserve"> </w:t>
      </w:r>
      <w:r w:rsidR="00CA3921" w:rsidRPr="00A533A9">
        <w:rPr>
          <w:rFonts w:ascii="Avenir Book" w:hAnsi="Avenir Book"/>
        </w:rPr>
        <w:t>respected on an equal basis with other children.</w:t>
      </w:r>
    </w:p>
    <w:p w14:paraId="0BBD0417" w14:textId="555FFDA1" w:rsidR="00AB3CD5" w:rsidRPr="00A533A9" w:rsidRDefault="00AB3CD5" w:rsidP="00C74146">
      <w:pPr>
        <w:pStyle w:val="ListParagraph"/>
        <w:numPr>
          <w:ilvl w:val="0"/>
          <w:numId w:val="3"/>
        </w:numPr>
        <w:spacing w:after="120" w:line="276" w:lineRule="auto"/>
        <w:ind w:left="425" w:hanging="425"/>
        <w:contextualSpacing w:val="0"/>
        <w:rPr>
          <w:rFonts w:ascii="Avenir Book" w:hAnsi="Avenir Book"/>
        </w:rPr>
      </w:pPr>
      <w:r w:rsidRPr="00A533A9">
        <w:rPr>
          <w:rFonts w:ascii="Avenir Book" w:hAnsi="Avenir Book"/>
        </w:rPr>
        <w:t xml:space="preserve">Withdraw Australia’s </w:t>
      </w:r>
      <w:r w:rsidR="00A533A9" w:rsidRPr="00A533A9">
        <w:rPr>
          <w:rFonts w:ascii="Avenir Book" w:hAnsi="Avenir Book"/>
        </w:rPr>
        <w:t>i</w:t>
      </w:r>
      <w:r w:rsidRPr="00A533A9">
        <w:rPr>
          <w:rFonts w:ascii="Avenir Book" w:hAnsi="Avenir Book"/>
        </w:rPr>
        <w:t>nterpretative declaration to Article 12 of the CRPD.</w:t>
      </w:r>
    </w:p>
    <w:p w14:paraId="3DC14E40" w14:textId="77777777" w:rsidR="00EE53D8" w:rsidRPr="00AB3CD5" w:rsidRDefault="00EE53D8" w:rsidP="005608D0">
      <w:pPr>
        <w:spacing w:line="276" w:lineRule="auto"/>
        <w:rPr>
          <w:rFonts w:ascii="Avenir Book" w:hAnsi="Avenir Book"/>
        </w:rPr>
      </w:pPr>
    </w:p>
    <w:p w14:paraId="77F33896" w14:textId="5720B6D1" w:rsidR="00C04C84" w:rsidRPr="00A007ED" w:rsidRDefault="00C04C84" w:rsidP="00C74146">
      <w:pPr>
        <w:pStyle w:val="Heading3"/>
        <w:numPr>
          <w:ilvl w:val="1"/>
          <w:numId w:val="11"/>
        </w:numPr>
        <w:spacing w:after="120"/>
        <w:ind w:left="851" w:hanging="862"/>
        <w:rPr>
          <w:rFonts w:ascii="Avenir Book" w:hAnsi="Avenir Book"/>
          <w:color w:val="000000" w:themeColor="text1"/>
        </w:rPr>
      </w:pPr>
      <w:bookmarkStart w:id="97" w:name="_Toc156825216"/>
      <w:r w:rsidRPr="00A007ED">
        <w:rPr>
          <w:rFonts w:ascii="Avenir Book" w:eastAsia="Arial" w:hAnsi="Avenir Book" w:cstheme="minorHAnsi"/>
          <w:bCs/>
          <w:color w:val="000000" w:themeColor="text1"/>
        </w:rPr>
        <w:t>En</w:t>
      </w:r>
      <w:r w:rsidR="003B486B" w:rsidRPr="00A007ED">
        <w:rPr>
          <w:rFonts w:ascii="Avenir Book" w:eastAsia="Arial" w:hAnsi="Avenir Book" w:cstheme="minorHAnsi"/>
          <w:bCs/>
          <w:color w:val="000000" w:themeColor="text1"/>
        </w:rPr>
        <w:t>d all forms of forced treatment and restrictive practices</w:t>
      </w:r>
      <w:bookmarkEnd w:id="97"/>
    </w:p>
    <w:p w14:paraId="5971B840" w14:textId="392A044B" w:rsidR="00EB0C66" w:rsidRDefault="00EB0C66" w:rsidP="00C74146">
      <w:pPr>
        <w:pStyle w:val="ListParagraph"/>
        <w:numPr>
          <w:ilvl w:val="2"/>
          <w:numId w:val="11"/>
        </w:numPr>
        <w:spacing w:line="276" w:lineRule="auto"/>
        <w:ind w:left="851" w:hanging="851"/>
        <w:rPr>
          <w:rFonts w:ascii="Avenir Book" w:hAnsi="Avenir Book" w:cs="Calibri"/>
        </w:rPr>
      </w:pPr>
      <w:r w:rsidRPr="00524F6D">
        <w:rPr>
          <w:rFonts w:ascii="Avenir Book" w:hAnsi="Avenir Book" w:cs="Calibri"/>
        </w:rPr>
        <w:t>Restrictive practices are forms</w:t>
      </w:r>
      <w:r w:rsidRPr="00EB0C66">
        <w:rPr>
          <w:vertAlign w:val="superscript"/>
        </w:rPr>
        <w:endnoteReference w:id="89"/>
      </w:r>
      <w:r w:rsidRPr="00524F6D">
        <w:rPr>
          <w:rFonts w:ascii="Avenir Book" w:hAnsi="Avenir Book" w:cs="Calibri"/>
        </w:rPr>
        <w:t xml:space="preserve"> of “legally authorised and/or socially and professionally sanctioned violence”</w:t>
      </w:r>
      <w:r w:rsidRPr="00EB0C66">
        <w:rPr>
          <w:vertAlign w:val="superscript"/>
        </w:rPr>
        <w:endnoteReference w:id="90"/>
      </w:r>
      <w:r w:rsidRPr="00524F6D">
        <w:rPr>
          <w:rFonts w:ascii="Avenir Book" w:hAnsi="Avenir Book" w:cs="Calibri"/>
        </w:rPr>
        <w:t xml:space="preserve"> that are applied to people with disability on a discriminatory basis; strip people with disability of dignity; often constitute torture, cruel and punishing treatment; cause lifelong trauma and life-altering effects; are at odds with the human rights of people with disability and contravene the international human rights treaties to which Australia is a party. Research unequivocally demonstrates that people with disability are subject to the greatest use of restrictive practices in segregated and congregated contexts where people with disability are clustered together.</w:t>
      </w:r>
      <w:r w:rsidRPr="00EB0C66">
        <w:rPr>
          <w:vertAlign w:val="superscript"/>
        </w:rPr>
        <w:endnoteReference w:id="91"/>
      </w:r>
    </w:p>
    <w:p w14:paraId="44090199" w14:textId="77777777" w:rsidR="00524F6D" w:rsidRDefault="00524F6D" w:rsidP="00524F6D">
      <w:pPr>
        <w:pStyle w:val="ListParagraph"/>
        <w:spacing w:line="276" w:lineRule="auto"/>
        <w:ind w:left="851"/>
        <w:rPr>
          <w:rFonts w:ascii="Avenir Book" w:hAnsi="Avenir Book" w:cs="Calibri"/>
        </w:rPr>
      </w:pPr>
    </w:p>
    <w:p w14:paraId="0E738081" w14:textId="77777777" w:rsidR="00524F6D" w:rsidRDefault="00EB0C66" w:rsidP="00C74146">
      <w:pPr>
        <w:pStyle w:val="ListParagraph"/>
        <w:numPr>
          <w:ilvl w:val="2"/>
          <w:numId w:val="11"/>
        </w:numPr>
        <w:spacing w:line="276" w:lineRule="auto"/>
        <w:ind w:left="851" w:hanging="851"/>
        <w:rPr>
          <w:rFonts w:ascii="Avenir Book" w:hAnsi="Avenir Book" w:cs="Calibri"/>
        </w:rPr>
      </w:pPr>
      <w:r w:rsidRPr="00524F6D">
        <w:rPr>
          <w:rFonts w:ascii="Avenir Book" w:hAnsi="Avenir Book" w:cs="Calibri"/>
        </w:rPr>
        <w:t xml:space="preserve">Australia has not withdrawn nor repealed legislation, policies and practices that allow for ‘behaviour modification’ practices, restrictive practices and forced treatments against adults and children with disability across the broad range of areas in which they occur, including in disability services, mental health services, </w:t>
      </w:r>
      <w:r w:rsidRPr="00524F6D">
        <w:rPr>
          <w:rFonts w:ascii="Avenir Book" w:hAnsi="Avenir Book" w:cs="Calibri"/>
        </w:rPr>
        <w:lastRenderedPageBreak/>
        <w:t>aged care services, education systems, child welfare systems and criminal justice systems. Across Australia, laws, policy and practice regulate and authorise the forced treatment of people with disability, limiting individual rights to liberty and security, equal recognition before the law, freedom from torture and ill-treatment and exploitation, violence and abuse, and respect for bodily and mental integrity. Laws have failed to prevent, and in some cases actively condone these egregious human rights violations, which include invasive and irreversible treatments.</w:t>
      </w:r>
      <w:r w:rsidRPr="00EB0C66">
        <w:rPr>
          <w:vertAlign w:val="superscript"/>
        </w:rPr>
        <w:endnoteReference w:id="92"/>
      </w:r>
    </w:p>
    <w:p w14:paraId="00157E27" w14:textId="77777777" w:rsidR="00524F6D" w:rsidRPr="00524F6D" w:rsidRDefault="00524F6D" w:rsidP="00524F6D">
      <w:pPr>
        <w:pStyle w:val="ListParagraph"/>
        <w:rPr>
          <w:rFonts w:ascii="Avenir Book" w:hAnsi="Avenir Book" w:cs="Calibri"/>
        </w:rPr>
      </w:pPr>
    </w:p>
    <w:p w14:paraId="7216883C" w14:textId="6E490EC3" w:rsidR="00EB0C66" w:rsidRDefault="00EB0C66" w:rsidP="00C74146">
      <w:pPr>
        <w:pStyle w:val="ListParagraph"/>
        <w:numPr>
          <w:ilvl w:val="2"/>
          <w:numId w:val="11"/>
        </w:numPr>
        <w:spacing w:line="276" w:lineRule="auto"/>
        <w:ind w:left="851" w:hanging="851"/>
        <w:rPr>
          <w:rFonts w:ascii="Avenir Book" w:hAnsi="Avenir Book" w:cs="Calibri"/>
        </w:rPr>
      </w:pPr>
      <w:r w:rsidRPr="00524F6D">
        <w:rPr>
          <w:rFonts w:ascii="Avenir Book" w:hAnsi="Avenir Book" w:cs="Calibri"/>
        </w:rPr>
        <w:t>The treaty monitoring bodies, along with relevant UN Special Rapporteurs, the Office of the High Commissioner for Human Rights (OHCHR) and UN agencies, have made it clear that all forms of restrictive practices and forced treatments</w:t>
      </w:r>
      <w:r w:rsidRPr="00524F6D">
        <w:rPr>
          <w:rFonts w:ascii="Avenir Book" w:hAnsi="Avenir Book" w:cs="Calibri"/>
          <w:b/>
          <w:bCs/>
        </w:rPr>
        <w:t xml:space="preserve"> </w:t>
      </w:r>
      <w:r w:rsidRPr="00524F6D">
        <w:rPr>
          <w:rFonts w:ascii="Avenir Book" w:hAnsi="Avenir Book" w:cs="Calibri"/>
        </w:rPr>
        <w:t>should be</w:t>
      </w:r>
      <w:r w:rsidRPr="00524F6D">
        <w:rPr>
          <w:rFonts w:ascii="Avenir Book" w:hAnsi="Avenir Book" w:cs="Calibri"/>
          <w:b/>
          <w:bCs/>
        </w:rPr>
        <w:t xml:space="preserve"> </w:t>
      </w:r>
      <w:r w:rsidRPr="00524F6D">
        <w:rPr>
          <w:rFonts w:ascii="Avenir Book" w:hAnsi="Avenir Book" w:cs="Calibri"/>
        </w:rPr>
        <w:t>eliminated, rather than regulated.</w:t>
      </w:r>
      <w:r w:rsidRPr="00EB0C66">
        <w:rPr>
          <w:vertAlign w:val="superscript"/>
        </w:rPr>
        <w:endnoteReference w:id="93"/>
      </w:r>
      <w:r w:rsidRPr="00524F6D">
        <w:rPr>
          <w:rFonts w:ascii="Avenir Book" w:hAnsi="Avenir Book" w:cs="Calibri"/>
        </w:rPr>
        <w:t xml:space="preserve"> </w:t>
      </w:r>
    </w:p>
    <w:p w14:paraId="146D0E35" w14:textId="77777777" w:rsidR="00524F6D" w:rsidRPr="00524F6D" w:rsidRDefault="00524F6D" w:rsidP="00524F6D">
      <w:pPr>
        <w:pStyle w:val="ListParagraph"/>
        <w:rPr>
          <w:rFonts w:ascii="Avenir Book" w:hAnsi="Avenir Book" w:cs="Calibri"/>
        </w:rPr>
      </w:pPr>
    </w:p>
    <w:p w14:paraId="63A8E1D0" w14:textId="65B32986" w:rsidR="00EB0C66" w:rsidRDefault="00EB0C66" w:rsidP="00C74146">
      <w:pPr>
        <w:pStyle w:val="ListParagraph"/>
        <w:numPr>
          <w:ilvl w:val="2"/>
          <w:numId w:val="11"/>
        </w:numPr>
        <w:spacing w:line="276" w:lineRule="auto"/>
        <w:ind w:left="851" w:hanging="851"/>
        <w:rPr>
          <w:rFonts w:ascii="Avenir Book" w:hAnsi="Avenir Book" w:cs="Calibri"/>
        </w:rPr>
      </w:pPr>
      <w:r w:rsidRPr="00524F6D">
        <w:rPr>
          <w:rFonts w:ascii="Avenir Book" w:hAnsi="Avenir Book" w:cs="Calibri"/>
        </w:rPr>
        <w:t>We are deeply disappointed that the DRC recommendations maintain the focus on legal and policy frameworks for the authorisation, review and oversight of restrictive practices rather than on prohibition and elimination of restrictive practices.</w:t>
      </w:r>
      <w:r w:rsidRPr="00EB0C66">
        <w:rPr>
          <w:vertAlign w:val="superscript"/>
        </w:rPr>
        <w:endnoteReference w:id="94"/>
      </w:r>
      <w:r w:rsidRPr="00524F6D">
        <w:rPr>
          <w:rFonts w:ascii="Avenir Book" w:hAnsi="Avenir Book" w:cs="Calibri"/>
        </w:rPr>
        <w:t xml:space="preserve">  This means that the DRC reaffirms the policy and legislative context that only applies to people with disability and that is distinguished from broader legal and social contexts that define these practices as violence.</w:t>
      </w:r>
      <w:r w:rsidRPr="00EB0C66">
        <w:rPr>
          <w:vertAlign w:val="superscript"/>
        </w:rPr>
        <w:endnoteReference w:id="95"/>
      </w:r>
      <w:r w:rsidRPr="00524F6D">
        <w:rPr>
          <w:rFonts w:ascii="Avenir Book" w:hAnsi="Avenir Book" w:cs="Calibri"/>
        </w:rPr>
        <w:t xml:space="preserve"> </w:t>
      </w:r>
    </w:p>
    <w:p w14:paraId="4B96FC4A" w14:textId="77777777" w:rsidR="00524F6D" w:rsidRPr="00524F6D" w:rsidRDefault="00524F6D" w:rsidP="00524F6D">
      <w:pPr>
        <w:pStyle w:val="ListParagraph"/>
        <w:rPr>
          <w:rFonts w:ascii="Avenir Book" w:hAnsi="Avenir Book" w:cs="Calibri"/>
        </w:rPr>
      </w:pPr>
    </w:p>
    <w:p w14:paraId="54A9A03F" w14:textId="68313EC3" w:rsidR="00EB0C66" w:rsidRDefault="00EB0C66" w:rsidP="00C74146">
      <w:pPr>
        <w:pStyle w:val="ListParagraph"/>
        <w:numPr>
          <w:ilvl w:val="2"/>
          <w:numId w:val="11"/>
        </w:numPr>
        <w:spacing w:line="276" w:lineRule="auto"/>
        <w:ind w:left="851" w:hanging="851"/>
        <w:rPr>
          <w:rFonts w:ascii="Avenir Book" w:hAnsi="Avenir Book" w:cs="Calibri"/>
        </w:rPr>
      </w:pPr>
      <w:r w:rsidRPr="00524F6D">
        <w:rPr>
          <w:rFonts w:ascii="Avenir Book" w:hAnsi="Avenir Book" w:cs="Calibri"/>
        </w:rPr>
        <w:t>We support the DRC recommendations for strengthening the evidence base on reducing and eliminating restrictive practices</w:t>
      </w:r>
      <w:r w:rsidR="00524F6D">
        <w:rPr>
          <w:rFonts w:ascii="Avenir Book" w:hAnsi="Avenir Book" w:cs="Calibri"/>
        </w:rPr>
        <w:t>,</w:t>
      </w:r>
      <w:r w:rsidRPr="00EB0C66">
        <w:rPr>
          <w:vertAlign w:val="superscript"/>
        </w:rPr>
        <w:endnoteReference w:id="96"/>
      </w:r>
      <w:r w:rsidRPr="00524F6D">
        <w:rPr>
          <w:rFonts w:ascii="Avenir Book" w:hAnsi="Avenir Book" w:cs="Calibri"/>
        </w:rPr>
        <w:t xml:space="preserve"> and for improving the collection and reporting of restrictive practices data,</w:t>
      </w:r>
      <w:r w:rsidRPr="00EB0C66">
        <w:rPr>
          <w:vertAlign w:val="superscript"/>
        </w:rPr>
        <w:endnoteReference w:id="97"/>
      </w:r>
      <w:r w:rsidRPr="00524F6D">
        <w:rPr>
          <w:rFonts w:ascii="Avenir Book" w:hAnsi="Avenir Book" w:cs="Calibri"/>
        </w:rPr>
        <w:t xml:space="preserve"> and for the need for these measures to include diverse groups of p</w:t>
      </w:r>
      <w:r w:rsidR="00524F6D">
        <w:rPr>
          <w:rFonts w:ascii="Avenir Book" w:hAnsi="Avenir Book" w:cs="Calibri"/>
        </w:rPr>
        <w:t>eople</w:t>
      </w:r>
      <w:r w:rsidRPr="00524F6D">
        <w:rPr>
          <w:rFonts w:ascii="Avenir Book" w:hAnsi="Avenir Book" w:cs="Calibri"/>
        </w:rPr>
        <w:t xml:space="preserve"> with disability, including First Nations people with disability, LGBTIQA+ people with disability, and culturally and linguistically diverse people with disability.  These recommendations should ensure the inclusion of </w:t>
      </w:r>
      <w:r w:rsidR="00524F6D">
        <w:rPr>
          <w:rFonts w:ascii="Avenir Book" w:hAnsi="Avenir Book" w:cs="Calibri"/>
        </w:rPr>
        <w:t xml:space="preserve">women with disability </w:t>
      </w:r>
      <w:r w:rsidR="004B1B0D">
        <w:rPr>
          <w:rFonts w:ascii="Avenir Book" w:hAnsi="Avenir Book" w:cs="Calibri"/>
        </w:rPr>
        <w:t xml:space="preserve">and </w:t>
      </w:r>
      <w:r w:rsidRPr="00524F6D">
        <w:rPr>
          <w:rFonts w:ascii="Avenir Book" w:hAnsi="Avenir Book" w:cs="Calibri"/>
        </w:rPr>
        <w:t>older pe</w:t>
      </w:r>
      <w:r w:rsidR="004B1B0D">
        <w:rPr>
          <w:rFonts w:ascii="Avenir Book" w:hAnsi="Avenir Book" w:cs="Calibri"/>
        </w:rPr>
        <w:t>ople</w:t>
      </w:r>
      <w:r w:rsidRPr="00524F6D">
        <w:rPr>
          <w:rFonts w:ascii="Avenir Book" w:hAnsi="Avenir Book" w:cs="Calibri"/>
        </w:rPr>
        <w:t xml:space="preserve"> with disability</w:t>
      </w:r>
      <w:r w:rsidR="004B1B0D">
        <w:rPr>
          <w:rFonts w:ascii="Avenir Book" w:hAnsi="Avenir Book" w:cs="Calibri"/>
        </w:rPr>
        <w:t>,</w:t>
      </w:r>
      <w:r w:rsidRPr="00524F6D">
        <w:rPr>
          <w:rFonts w:ascii="Avenir Book" w:hAnsi="Avenir Book" w:cs="Calibri"/>
        </w:rPr>
        <w:t xml:space="preserve"> and interface with work being undertaken to implement recommendations that have been made by the Royal Commission into Aged Care Quality and Safety,</w:t>
      </w:r>
      <w:r w:rsidRPr="00EB0C66">
        <w:rPr>
          <w:vertAlign w:val="superscript"/>
        </w:rPr>
        <w:endnoteReference w:id="98"/>
      </w:r>
      <w:r w:rsidRPr="00524F6D">
        <w:rPr>
          <w:rFonts w:ascii="Avenir Book" w:hAnsi="Avenir Book" w:cs="Calibri"/>
        </w:rPr>
        <w:t xml:space="preserve"> ensuring that both sets of recommendations adhere to the CRPD. </w:t>
      </w:r>
    </w:p>
    <w:p w14:paraId="43B8956E" w14:textId="77777777" w:rsidR="004B1B0D" w:rsidRPr="004B1B0D" w:rsidRDefault="004B1B0D" w:rsidP="004B1B0D">
      <w:pPr>
        <w:pStyle w:val="ListParagraph"/>
        <w:rPr>
          <w:rFonts w:ascii="Avenir Book" w:hAnsi="Avenir Book" w:cs="Calibri"/>
        </w:rPr>
      </w:pPr>
    </w:p>
    <w:p w14:paraId="56300BDF" w14:textId="77777777" w:rsidR="00EB0C66" w:rsidRDefault="00EB0C66" w:rsidP="00C74146">
      <w:pPr>
        <w:pStyle w:val="ListParagraph"/>
        <w:numPr>
          <w:ilvl w:val="2"/>
          <w:numId w:val="11"/>
        </w:numPr>
        <w:spacing w:line="276" w:lineRule="auto"/>
        <w:ind w:left="851" w:hanging="851"/>
        <w:rPr>
          <w:rFonts w:ascii="Avenir Book" w:hAnsi="Avenir Book" w:cs="Calibri"/>
        </w:rPr>
      </w:pPr>
      <w:r w:rsidRPr="004B1B0D">
        <w:rPr>
          <w:rFonts w:ascii="Avenir Book" w:hAnsi="Avenir Book" w:cs="Calibri"/>
        </w:rPr>
        <w:t>The DRC did not examine the effect of Australia’s interpretative declaration on CRPD article 17, which states that Australia understands the CRPD as allowing for “compulsory assistance or treatment of persons, including measures taken for the treatment of mental disability”.</w:t>
      </w:r>
      <w:r w:rsidRPr="00EB0C66">
        <w:rPr>
          <w:vertAlign w:val="superscript"/>
        </w:rPr>
        <w:endnoteReference w:id="99"/>
      </w:r>
      <w:r w:rsidRPr="004B1B0D">
        <w:rPr>
          <w:rFonts w:ascii="Avenir Book" w:hAnsi="Avenir Book" w:cs="Calibri"/>
        </w:rPr>
        <w:t xml:space="preserve"> Similar to the Interpretative declaration on CRPD article 12, there is now substantial guidance and interpretation that refutes Australia’s understanding of article 17.</w:t>
      </w:r>
      <w:r w:rsidRPr="00EB0C66">
        <w:rPr>
          <w:vertAlign w:val="superscript"/>
        </w:rPr>
        <w:endnoteReference w:id="100"/>
      </w:r>
    </w:p>
    <w:p w14:paraId="1ECB1B47" w14:textId="77777777" w:rsidR="004B1B0D" w:rsidRPr="004B1B0D" w:rsidRDefault="004B1B0D" w:rsidP="004B1B0D">
      <w:pPr>
        <w:pStyle w:val="ListParagraph"/>
        <w:rPr>
          <w:rFonts w:ascii="Avenir Book" w:hAnsi="Avenir Book" w:cs="Calibri"/>
        </w:rPr>
      </w:pPr>
    </w:p>
    <w:p w14:paraId="64B04EE7" w14:textId="77777777" w:rsidR="004B1B0D" w:rsidRDefault="00EB0C66" w:rsidP="00C74146">
      <w:pPr>
        <w:pStyle w:val="ListParagraph"/>
        <w:numPr>
          <w:ilvl w:val="2"/>
          <w:numId w:val="11"/>
        </w:numPr>
        <w:spacing w:line="276" w:lineRule="auto"/>
        <w:ind w:left="851" w:hanging="851"/>
        <w:rPr>
          <w:rFonts w:ascii="Avenir Book" w:hAnsi="Avenir Book" w:cs="Calibri"/>
        </w:rPr>
      </w:pPr>
      <w:r w:rsidRPr="004B1B0D">
        <w:rPr>
          <w:rFonts w:ascii="Avenir Book" w:hAnsi="Avenir Book" w:cs="Calibri"/>
        </w:rPr>
        <w:lastRenderedPageBreak/>
        <w:t>Of particular concern is the lack of specific examination by the DRC of deprivation of liberty on the basis of impairment, forced treatment and the use of restrictive practices that are routinely experienced by people with psychosocial disability</w:t>
      </w:r>
      <w:r w:rsidRPr="00EB0C66">
        <w:rPr>
          <w:vertAlign w:val="superscript"/>
        </w:rPr>
        <w:endnoteReference w:id="101"/>
      </w:r>
      <w:r w:rsidRPr="004B1B0D">
        <w:rPr>
          <w:rFonts w:ascii="Avenir Book" w:hAnsi="Avenir Book" w:cs="Calibri"/>
        </w:rPr>
        <w:t xml:space="preserve"> and that are inherent to mental health law, policy and practice.</w:t>
      </w:r>
      <w:r w:rsidR="004B1B0D" w:rsidRPr="00EB0C66">
        <w:rPr>
          <w:vertAlign w:val="superscript"/>
        </w:rPr>
        <w:endnoteReference w:id="102"/>
      </w:r>
      <w:r w:rsidRPr="004B1B0D">
        <w:rPr>
          <w:rFonts w:ascii="Avenir Book" w:hAnsi="Avenir Book" w:cs="Calibri"/>
        </w:rPr>
        <w:t xml:space="preserve"> For example, the discussion on psychotropic medication in the Final Report was largely focused on people with cognitive disability, which is an important and critical area of examination, but it was based on a problematic assumption that appropriate prescription of psychotropic medication “can improve health outcomes, especially for patients with mental health conditions”.</w:t>
      </w:r>
      <w:r w:rsidRPr="00EB0C66">
        <w:rPr>
          <w:vertAlign w:val="superscript"/>
        </w:rPr>
        <w:endnoteReference w:id="103"/>
      </w:r>
      <w:r w:rsidRPr="004B1B0D">
        <w:rPr>
          <w:rFonts w:ascii="Avenir Book" w:hAnsi="Avenir Book" w:cs="Calibri"/>
        </w:rPr>
        <w:t xml:space="preserve"> This belies evidence that estimates that people with psychosocial disability have a mortality rate 2.2 times that of people without, and that the adverse effects of psychotropic medication and the impact of polypharmacy are among the reasons for this.</w:t>
      </w:r>
      <w:r w:rsidRPr="00EB0C66">
        <w:rPr>
          <w:vertAlign w:val="superscript"/>
        </w:rPr>
        <w:endnoteReference w:id="104"/>
      </w:r>
      <w:r w:rsidRPr="004B1B0D">
        <w:rPr>
          <w:rFonts w:ascii="Avenir Book" w:hAnsi="Avenir Book" w:cs="Calibri"/>
        </w:rPr>
        <w:t xml:space="preserve">  Under mental health law, policy and practice, psychotropic medication is very often prescribed to people with psychosocial disability without their consent.</w:t>
      </w:r>
    </w:p>
    <w:p w14:paraId="5ACFEC40" w14:textId="77777777" w:rsidR="004B1B0D" w:rsidRPr="004B1B0D" w:rsidRDefault="004B1B0D" w:rsidP="004B1B0D">
      <w:pPr>
        <w:pStyle w:val="ListParagraph"/>
        <w:rPr>
          <w:rFonts w:ascii="Avenir Book" w:hAnsi="Avenir Book" w:cs="Calibri"/>
        </w:rPr>
      </w:pPr>
    </w:p>
    <w:p w14:paraId="29A140DE" w14:textId="5DDF01DC" w:rsidR="00EB0C66" w:rsidRDefault="00EB0C66" w:rsidP="00C74146">
      <w:pPr>
        <w:pStyle w:val="ListParagraph"/>
        <w:numPr>
          <w:ilvl w:val="2"/>
          <w:numId w:val="11"/>
        </w:numPr>
        <w:spacing w:line="276" w:lineRule="auto"/>
        <w:ind w:left="851" w:hanging="851"/>
        <w:rPr>
          <w:rFonts w:ascii="Avenir Book" w:hAnsi="Avenir Book" w:cs="Calibri"/>
        </w:rPr>
      </w:pPr>
      <w:r w:rsidRPr="004B1B0D">
        <w:rPr>
          <w:rFonts w:ascii="Avenir Book" w:hAnsi="Avenir Book" w:cs="Calibri"/>
        </w:rPr>
        <w:t>The recent Royal Commission into Victoria’s Mental Health System recognised that “[c]</w:t>
      </w:r>
      <w:proofErr w:type="spellStart"/>
      <w:r w:rsidRPr="004B1B0D">
        <w:rPr>
          <w:rFonts w:ascii="Avenir Book" w:hAnsi="Avenir Book" w:cs="Calibri"/>
        </w:rPr>
        <w:t>onsumers</w:t>
      </w:r>
      <w:proofErr w:type="spellEnd"/>
      <w:r w:rsidRPr="004B1B0D">
        <w:rPr>
          <w:rFonts w:ascii="Avenir Book" w:hAnsi="Avenir Book" w:cs="Calibri"/>
        </w:rPr>
        <w:t xml:space="preserve"> still have their human rights breached through compulsory treatment and the use of seclusion and restraint”,</w:t>
      </w:r>
      <w:r w:rsidRPr="00EB0C66">
        <w:rPr>
          <w:vertAlign w:val="superscript"/>
        </w:rPr>
        <w:endnoteReference w:id="105"/>
      </w:r>
      <w:r w:rsidRPr="004B1B0D">
        <w:rPr>
          <w:rFonts w:ascii="Avenir Book" w:hAnsi="Avenir Book" w:cs="Calibri"/>
        </w:rPr>
        <w:t xml:space="preserve"> and made recommendations for system reform.  However, the recommendations do not ensure compliance with the CRPD, including because they do not contain actions to end forced treatment, eliminate restrictive practices and end forced detention on the basis of impairment.</w:t>
      </w:r>
      <w:r w:rsidRPr="00EB0C66">
        <w:rPr>
          <w:vertAlign w:val="superscript"/>
        </w:rPr>
        <w:endnoteReference w:id="106"/>
      </w:r>
    </w:p>
    <w:p w14:paraId="134E80BE" w14:textId="77777777" w:rsidR="004B1B0D" w:rsidRPr="004B1B0D" w:rsidRDefault="004B1B0D" w:rsidP="004B1B0D">
      <w:pPr>
        <w:pStyle w:val="ListParagraph"/>
        <w:rPr>
          <w:rFonts w:ascii="Avenir Book" w:hAnsi="Avenir Book" w:cs="Calibri"/>
        </w:rPr>
      </w:pPr>
    </w:p>
    <w:p w14:paraId="4EFED548" w14:textId="77777777" w:rsidR="00EB0C66" w:rsidRDefault="00EB0C66" w:rsidP="00C74146">
      <w:pPr>
        <w:pStyle w:val="ListParagraph"/>
        <w:numPr>
          <w:ilvl w:val="2"/>
          <w:numId w:val="11"/>
        </w:numPr>
        <w:spacing w:line="276" w:lineRule="auto"/>
        <w:ind w:left="851" w:hanging="851"/>
        <w:rPr>
          <w:rFonts w:ascii="Avenir Book" w:hAnsi="Avenir Book" w:cs="Calibri"/>
        </w:rPr>
      </w:pPr>
      <w:r w:rsidRPr="004B1B0D">
        <w:rPr>
          <w:rFonts w:ascii="Avenir Book" w:hAnsi="Avenir Book" w:cs="Calibri"/>
        </w:rPr>
        <w:t>In terms of the right to bodily integrity and involuntary medical procedures,</w:t>
      </w:r>
      <w:r w:rsidRPr="00EB0C66">
        <w:rPr>
          <w:vertAlign w:val="superscript"/>
        </w:rPr>
        <w:endnoteReference w:id="107"/>
      </w:r>
      <w:r w:rsidRPr="004B1B0D">
        <w:rPr>
          <w:rFonts w:ascii="Avenir Book" w:hAnsi="Avenir Book" w:cs="Calibri"/>
        </w:rPr>
        <w:t xml:space="preserve"> UN Treaty Bodies have recognised that intersex people who have had unnecessary surgery or treatment without their consent are ‘victims of abuses and mistreatment’</w:t>
      </w:r>
      <w:r w:rsidRPr="00EB0C66">
        <w:rPr>
          <w:vertAlign w:val="superscript"/>
        </w:rPr>
        <w:endnoteReference w:id="108"/>
      </w:r>
      <w:r w:rsidRPr="004B1B0D">
        <w:rPr>
          <w:rFonts w:ascii="Avenir Book" w:hAnsi="Avenir Book" w:cs="Calibri"/>
        </w:rPr>
        <w:t xml:space="preserve"> and have urged Australia to </w:t>
      </w:r>
      <w:r w:rsidRPr="004B1B0D">
        <w:rPr>
          <w:rFonts w:ascii="Avenir Book" w:hAnsi="Avenir Book" w:cs="Calibri"/>
          <w:i/>
          <w:iCs/>
        </w:rPr>
        <w:t>“</w:t>
      </w:r>
      <w:r w:rsidRPr="004B1B0D">
        <w:rPr>
          <w:rFonts w:ascii="Avenir Book" w:hAnsi="Avenir Book" w:cs="Calibri"/>
        </w:rPr>
        <w:t>adopt clear legislative provisions that explicitly prohibit the performance of unnecessary surgical or other medical procedures on intersex children before they reach the legal age of consent”.</w:t>
      </w:r>
      <w:r w:rsidRPr="00EB0C66">
        <w:rPr>
          <w:vertAlign w:val="superscript"/>
        </w:rPr>
        <w:endnoteReference w:id="109"/>
      </w:r>
      <w:r w:rsidRPr="004B1B0D">
        <w:rPr>
          <w:rFonts w:ascii="Avenir Book" w:hAnsi="Avenir Book" w:cs="Calibri"/>
          <w:vertAlign w:val="superscript"/>
        </w:rPr>
        <w:t xml:space="preserve"> </w:t>
      </w:r>
      <w:r w:rsidRPr="004B1B0D">
        <w:rPr>
          <w:rFonts w:ascii="Avenir Book" w:hAnsi="Avenir Book" w:cs="Calibri"/>
        </w:rPr>
        <w:t>Australia has not enacted national legislation against enforced medical interventions for innate variations of sex characteristics, although recent ACT legislation</w:t>
      </w:r>
      <w:r w:rsidRPr="00EB0C66">
        <w:rPr>
          <w:vertAlign w:val="superscript"/>
        </w:rPr>
        <w:endnoteReference w:id="110"/>
      </w:r>
      <w:r w:rsidRPr="004B1B0D">
        <w:rPr>
          <w:rFonts w:ascii="Avenir Book" w:hAnsi="Avenir Book" w:cs="Calibri"/>
        </w:rPr>
        <w:t xml:space="preserve"> to protect intersex people from medical procedures without their consent provides a legislative model for other jurisdictions to follow. </w:t>
      </w:r>
    </w:p>
    <w:p w14:paraId="615AED9E" w14:textId="77777777" w:rsidR="004B1B0D" w:rsidRPr="004B1B0D" w:rsidRDefault="004B1B0D" w:rsidP="004B1B0D">
      <w:pPr>
        <w:pStyle w:val="ListParagraph"/>
        <w:rPr>
          <w:rFonts w:ascii="Avenir Book" w:hAnsi="Avenir Book" w:cs="Calibri"/>
        </w:rPr>
      </w:pPr>
    </w:p>
    <w:p w14:paraId="08406899" w14:textId="77777777" w:rsidR="00EB0C66" w:rsidRPr="00EB0C66" w:rsidRDefault="00EB0C66" w:rsidP="00C74146">
      <w:pPr>
        <w:pStyle w:val="ListParagraph"/>
        <w:numPr>
          <w:ilvl w:val="2"/>
          <w:numId w:val="11"/>
        </w:numPr>
        <w:spacing w:line="276" w:lineRule="auto"/>
        <w:ind w:left="851" w:hanging="851"/>
        <w:rPr>
          <w:rFonts w:ascii="Avenir Book" w:hAnsi="Avenir Book" w:cs="Calibri"/>
        </w:rPr>
      </w:pPr>
      <w:r w:rsidRPr="00EB0C66">
        <w:rPr>
          <w:rFonts w:ascii="Avenir Book" w:hAnsi="Avenir Book" w:cs="Calibri"/>
          <w:lang w:val="en-AU"/>
        </w:rPr>
        <w:t xml:space="preserve">Transformational change to respect, protect and fulfil the rights of all people with disability, requires concerted action to eliminate all forms of restrictive practices, to end involuntary internment on the basis of impairment and to eliminate forced treatment and forced medical interventions. Without this, many people with </w:t>
      </w:r>
      <w:r w:rsidRPr="00EB0C66">
        <w:rPr>
          <w:rFonts w:ascii="Avenir Book" w:hAnsi="Avenir Book" w:cs="Calibri"/>
          <w:lang w:val="en-AU"/>
        </w:rPr>
        <w:lastRenderedPageBreak/>
        <w:t>disability, including those with cognitive and/or psychosocial disability will continue to experience serious breaches of their human rights.</w:t>
      </w:r>
    </w:p>
    <w:p w14:paraId="29F9707A" w14:textId="77777777" w:rsidR="00EB0C66" w:rsidRDefault="00EB0C66" w:rsidP="00EB0C66">
      <w:pPr>
        <w:pStyle w:val="ListParagraph"/>
        <w:rPr>
          <w:rFonts w:ascii="Avenir Book" w:hAnsi="Avenir Book" w:cs="Calibri"/>
          <w:lang w:val="en-AU"/>
        </w:rPr>
      </w:pPr>
    </w:p>
    <w:p w14:paraId="55761E68" w14:textId="77777777" w:rsidR="00C912AE" w:rsidRPr="00AB3CD5" w:rsidRDefault="00C912AE" w:rsidP="00C912AE">
      <w:pPr>
        <w:spacing w:after="120" w:line="276" w:lineRule="auto"/>
        <w:rPr>
          <w:rFonts w:asciiTheme="minorHAnsi" w:hAnsiTheme="minorHAnsi" w:cstheme="minorHAnsi"/>
          <w:b/>
          <w:color w:val="7030A0"/>
        </w:rPr>
      </w:pPr>
      <w:r>
        <w:rPr>
          <w:rFonts w:ascii="Avenir Book" w:hAnsi="Avenir Book" w:cstheme="minorHAnsi"/>
          <w:b/>
          <w:color w:val="AC1F79"/>
        </w:rPr>
        <w:t xml:space="preserve">Preliminary </w:t>
      </w:r>
      <w:r w:rsidRPr="00761F08">
        <w:rPr>
          <w:rFonts w:ascii="Avenir Book" w:hAnsi="Avenir Book" w:cstheme="minorHAnsi"/>
          <w:b/>
          <w:color w:val="AC1F79"/>
        </w:rPr>
        <w:t>Recommendations</w:t>
      </w:r>
    </w:p>
    <w:p w14:paraId="33FC0726" w14:textId="77777777" w:rsidR="009F0A98" w:rsidRPr="00653BFE" w:rsidRDefault="009F0A98" w:rsidP="00C74146">
      <w:pPr>
        <w:pStyle w:val="ListParagraph"/>
        <w:numPr>
          <w:ilvl w:val="0"/>
          <w:numId w:val="3"/>
        </w:numPr>
        <w:spacing w:after="120" w:line="276" w:lineRule="auto"/>
        <w:ind w:left="426" w:hanging="426"/>
        <w:contextualSpacing w:val="0"/>
        <w:rPr>
          <w:rFonts w:ascii="Avenir Book" w:hAnsi="Avenir Book"/>
        </w:rPr>
      </w:pPr>
      <w:r w:rsidRPr="00EB0C66">
        <w:rPr>
          <w:rFonts w:ascii="Avenir Book" w:hAnsi="Avenir Book" w:cs="Calibri"/>
          <w:lang w:val="en-AU"/>
        </w:rPr>
        <w:t xml:space="preserve">Implement the recommendations from the DRC commissioned research report into Restrictive Practices: </w:t>
      </w:r>
      <w:r w:rsidRPr="00EB0C66">
        <w:rPr>
          <w:rFonts w:ascii="Avenir Book" w:hAnsi="Avenir Book" w:cs="Calibri"/>
          <w:i/>
          <w:iCs/>
          <w:lang w:val="en-AU"/>
        </w:rPr>
        <w:t>‘Restrictive practices: A pathway to elimination’</w:t>
      </w:r>
      <w:r w:rsidRPr="00EB0C66">
        <w:rPr>
          <w:rFonts w:ascii="Avenir Book" w:hAnsi="Avenir Book" w:cs="Calibri"/>
          <w:lang w:val="en-AU"/>
        </w:rPr>
        <w:t xml:space="preserve"> (July 2023).</w:t>
      </w:r>
      <w:r w:rsidRPr="00EB0C66">
        <w:rPr>
          <w:rFonts w:ascii="Avenir Book" w:hAnsi="Avenir Book" w:cs="Calibri"/>
          <w:vertAlign w:val="superscript"/>
          <w:lang w:val="en-AU"/>
        </w:rPr>
        <w:endnoteReference w:id="111"/>
      </w:r>
    </w:p>
    <w:p w14:paraId="2F2F913F" w14:textId="4A23C101" w:rsidR="00653BFE" w:rsidRPr="00653BFE" w:rsidRDefault="005D48EF" w:rsidP="00C74146">
      <w:pPr>
        <w:pStyle w:val="ListParagraph"/>
        <w:numPr>
          <w:ilvl w:val="0"/>
          <w:numId w:val="3"/>
        </w:numPr>
        <w:spacing w:after="120" w:line="276" w:lineRule="auto"/>
        <w:ind w:left="426" w:hanging="426"/>
        <w:contextualSpacing w:val="0"/>
        <w:rPr>
          <w:rFonts w:ascii="Avenir Book" w:hAnsi="Avenir Book"/>
        </w:rPr>
      </w:pPr>
      <w:r w:rsidRPr="00A533A9">
        <w:rPr>
          <w:rFonts w:ascii="Avenir Book" w:hAnsi="Avenir Book"/>
        </w:rPr>
        <w:t xml:space="preserve">Review the DRC recommendations </w:t>
      </w:r>
      <w:r>
        <w:rPr>
          <w:rFonts w:ascii="Avenir Book" w:hAnsi="Avenir Book"/>
        </w:rPr>
        <w:t xml:space="preserve">relating to </w:t>
      </w:r>
      <w:r w:rsidR="00997F10">
        <w:rPr>
          <w:rFonts w:ascii="Avenir Book" w:hAnsi="Avenir Book"/>
        </w:rPr>
        <w:t xml:space="preserve">authorisation and regulation of </w:t>
      </w:r>
      <w:r>
        <w:rPr>
          <w:rFonts w:ascii="Avenir Book" w:hAnsi="Avenir Book"/>
        </w:rPr>
        <w:t xml:space="preserve">restrictive practices </w:t>
      </w:r>
      <w:r w:rsidRPr="00A533A9">
        <w:rPr>
          <w:rFonts w:ascii="Avenir Book" w:hAnsi="Avenir Book"/>
        </w:rPr>
        <w:t>in order to identify and implement appropriate amendments to ensure compliance with the principles and standards of the CRPD</w:t>
      </w:r>
      <w:r>
        <w:rPr>
          <w:rFonts w:ascii="Avenir Book" w:hAnsi="Avenir Book"/>
        </w:rPr>
        <w:t xml:space="preserve"> and to ensure national consistency across service systems including disability services, mental health, aged care, education, child welfare and criminal justice</w:t>
      </w:r>
      <w:r w:rsidRPr="00A533A9">
        <w:rPr>
          <w:rFonts w:ascii="Avenir Book" w:hAnsi="Avenir Book"/>
        </w:rPr>
        <w:t>.</w:t>
      </w:r>
    </w:p>
    <w:p w14:paraId="4A0D0553" w14:textId="1FEF335B" w:rsidR="00997F10" w:rsidRPr="00997F10" w:rsidRDefault="00997F10" w:rsidP="00C74146">
      <w:pPr>
        <w:pStyle w:val="ListParagraph"/>
        <w:numPr>
          <w:ilvl w:val="0"/>
          <w:numId w:val="3"/>
        </w:numPr>
        <w:spacing w:after="120" w:line="276" w:lineRule="auto"/>
        <w:ind w:left="426" w:hanging="426"/>
        <w:contextualSpacing w:val="0"/>
        <w:rPr>
          <w:rFonts w:ascii="Avenir Book" w:hAnsi="Avenir Book"/>
        </w:rPr>
      </w:pPr>
      <w:r>
        <w:rPr>
          <w:rFonts w:ascii="Avenir Book" w:hAnsi="Avenir Book"/>
        </w:rPr>
        <w:t xml:space="preserve">Ensure the DRC recommendations for strengthening the evidence base (recommendation 6.38) and for the collection and reporting of data (recommendation 6.39) includes </w:t>
      </w:r>
      <w:r w:rsidR="00653BFE">
        <w:rPr>
          <w:rFonts w:ascii="Avenir Book" w:hAnsi="Avenir Book"/>
        </w:rPr>
        <w:t xml:space="preserve">diverse groups of people with disability, including </w:t>
      </w:r>
      <w:r w:rsidR="00653BFE" w:rsidRPr="005D48EF">
        <w:rPr>
          <w:rFonts w:ascii="Avenir Book" w:hAnsi="Avenir Book" w:cs="Calibri"/>
        </w:rPr>
        <w:t xml:space="preserve">First Nations people with disability, LGBTIQA+ people with disability, </w:t>
      </w:r>
      <w:r w:rsidR="00653BFE">
        <w:rPr>
          <w:rFonts w:ascii="Avenir Book" w:hAnsi="Avenir Book" w:cs="Calibri"/>
        </w:rPr>
        <w:t xml:space="preserve">people with disability from </w:t>
      </w:r>
      <w:r w:rsidR="00653BFE" w:rsidRPr="005D48EF">
        <w:rPr>
          <w:rFonts w:ascii="Avenir Book" w:hAnsi="Avenir Book" w:cs="Calibri"/>
        </w:rPr>
        <w:t xml:space="preserve">culturally and linguistically diverse </w:t>
      </w:r>
      <w:r w:rsidR="00653BFE">
        <w:rPr>
          <w:rFonts w:ascii="Avenir Book" w:hAnsi="Avenir Book" w:cs="Calibri"/>
        </w:rPr>
        <w:t xml:space="preserve">backgrounds, women </w:t>
      </w:r>
      <w:r w:rsidR="009F0A98">
        <w:rPr>
          <w:rFonts w:ascii="Avenir Book" w:hAnsi="Avenir Book" w:cs="Calibri"/>
        </w:rPr>
        <w:t xml:space="preserve">and girls </w:t>
      </w:r>
      <w:r w:rsidR="00653BFE">
        <w:rPr>
          <w:rFonts w:ascii="Avenir Book" w:hAnsi="Avenir Book" w:cs="Calibri"/>
        </w:rPr>
        <w:t xml:space="preserve">with disability, children with disability and older people with disability. </w:t>
      </w:r>
    </w:p>
    <w:p w14:paraId="25200B86" w14:textId="2393ECE9" w:rsidR="00653BFE" w:rsidRDefault="00653BFE" w:rsidP="00C74146">
      <w:pPr>
        <w:pStyle w:val="ListParagraph"/>
        <w:numPr>
          <w:ilvl w:val="0"/>
          <w:numId w:val="3"/>
        </w:numPr>
        <w:spacing w:after="120" w:line="276" w:lineRule="auto"/>
        <w:ind w:left="426" w:hanging="426"/>
        <w:contextualSpacing w:val="0"/>
        <w:rPr>
          <w:rFonts w:ascii="Avenir Book" w:hAnsi="Avenir Book"/>
        </w:rPr>
      </w:pPr>
      <w:r>
        <w:rPr>
          <w:rFonts w:ascii="Avenir Book" w:hAnsi="Avenir Book"/>
        </w:rPr>
        <w:t>Withdraw the interpretative declaration to article 17 of the CRPD.</w:t>
      </w:r>
    </w:p>
    <w:p w14:paraId="45E460EA" w14:textId="3929FEBF" w:rsidR="00653BFE" w:rsidRPr="00653BFE" w:rsidRDefault="009F0A98" w:rsidP="00C74146">
      <w:pPr>
        <w:pStyle w:val="ListParagraph"/>
        <w:numPr>
          <w:ilvl w:val="0"/>
          <w:numId w:val="3"/>
        </w:numPr>
        <w:spacing w:after="120" w:line="276" w:lineRule="auto"/>
        <w:ind w:left="426" w:hanging="426"/>
        <w:contextualSpacing w:val="0"/>
        <w:rPr>
          <w:rFonts w:ascii="Avenir Book" w:hAnsi="Avenir Book"/>
        </w:rPr>
      </w:pPr>
      <w:r>
        <w:rPr>
          <w:rFonts w:ascii="Avenir Book" w:hAnsi="Avenir Book"/>
        </w:rPr>
        <w:t xml:space="preserve">Undertake work with state and territory governments to establish </w:t>
      </w:r>
      <w:r w:rsidR="000D7251">
        <w:rPr>
          <w:rFonts w:ascii="Avenir Book" w:hAnsi="Avenir Book"/>
        </w:rPr>
        <w:t xml:space="preserve">and implement </w:t>
      </w:r>
      <w:r>
        <w:rPr>
          <w:rFonts w:ascii="Avenir Book" w:hAnsi="Avenir Book"/>
        </w:rPr>
        <w:t xml:space="preserve">a comprehensive plan to </w:t>
      </w:r>
      <w:r w:rsidR="007F47EF">
        <w:rPr>
          <w:rFonts w:ascii="Avenir Book" w:hAnsi="Avenir Book"/>
        </w:rPr>
        <w:t xml:space="preserve">repeal or amend legislative, policy and practice frameworks that authorise </w:t>
      </w:r>
      <w:r w:rsidRPr="004B1B0D">
        <w:rPr>
          <w:rFonts w:ascii="Avenir Book" w:hAnsi="Avenir Book" w:cs="Calibri"/>
        </w:rPr>
        <w:t>forced treatment, restrictive practices and forced detention on the basis of impairment</w:t>
      </w:r>
      <w:r w:rsidR="007F47EF">
        <w:rPr>
          <w:rFonts w:ascii="Avenir Book" w:hAnsi="Avenir Book" w:cs="Calibri"/>
        </w:rPr>
        <w:t>, including in mental health system</w:t>
      </w:r>
      <w:r w:rsidR="000D7251">
        <w:rPr>
          <w:rFonts w:ascii="Avenir Book" w:hAnsi="Avenir Book" w:cs="Calibri"/>
        </w:rPr>
        <w:t>s</w:t>
      </w:r>
      <w:r w:rsidR="007F47EF">
        <w:rPr>
          <w:rFonts w:ascii="Avenir Book" w:hAnsi="Avenir Book" w:cs="Calibri"/>
        </w:rPr>
        <w:t>.</w:t>
      </w:r>
      <w:r w:rsidR="007F47EF">
        <w:rPr>
          <w:rStyle w:val="EndnoteReference"/>
          <w:rFonts w:ascii="Avenir Book" w:hAnsi="Avenir Book" w:cs="Calibri"/>
        </w:rPr>
        <w:endnoteReference w:id="112"/>
      </w:r>
    </w:p>
    <w:p w14:paraId="760ED787" w14:textId="00D07EDB" w:rsidR="001777B3" w:rsidRPr="0051440B" w:rsidRDefault="007C247F" w:rsidP="00C74146">
      <w:pPr>
        <w:pStyle w:val="ListParagraph"/>
        <w:numPr>
          <w:ilvl w:val="0"/>
          <w:numId w:val="3"/>
        </w:numPr>
        <w:spacing w:after="120" w:line="276" w:lineRule="auto"/>
        <w:ind w:left="425" w:hanging="425"/>
        <w:contextualSpacing w:val="0"/>
        <w:rPr>
          <w:rFonts w:ascii="Avenir Book" w:hAnsi="Avenir Book"/>
        </w:rPr>
      </w:pPr>
      <w:r>
        <w:rPr>
          <w:rFonts w:ascii="Avenir Book" w:hAnsi="Avenir Book"/>
        </w:rPr>
        <w:t xml:space="preserve">Prohibit deferrable medical interventions, including surgical and hormonal interventions, </w:t>
      </w:r>
      <w:r w:rsidR="009872F8">
        <w:rPr>
          <w:rFonts w:ascii="Avenir Book" w:hAnsi="Avenir Book"/>
        </w:rPr>
        <w:t xml:space="preserve">that are applied to </w:t>
      </w:r>
      <w:r>
        <w:rPr>
          <w:rFonts w:ascii="Avenir Book" w:hAnsi="Avenir Book"/>
        </w:rPr>
        <w:t xml:space="preserve">infants and children born with innate variations of sex characteristics </w:t>
      </w:r>
      <w:r w:rsidR="009872F8">
        <w:rPr>
          <w:rFonts w:ascii="Avenir Book" w:hAnsi="Avenir Book"/>
        </w:rPr>
        <w:t xml:space="preserve">(intersex) </w:t>
      </w:r>
      <w:r>
        <w:rPr>
          <w:rFonts w:ascii="Avenir Book" w:hAnsi="Avenir Book"/>
        </w:rPr>
        <w:t>without free and informed personal consent</w:t>
      </w:r>
      <w:r w:rsidR="00E06A75">
        <w:rPr>
          <w:rFonts w:ascii="Avenir Book" w:hAnsi="Avenir Book"/>
        </w:rPr>
        <w:t>;</w:t>
      </w:r>
      <w:r w:rsidR="009872F8">
        <w:rPr>
          <w:rStyle w:val="EndnoteReference"/>
          <w:rFonts w:ascii="Avenir Book" w:hAnsi="Avenir Book"/>
        </w:rPr>
        <w:endnoteReference w:id="113"/>
      </w:r>
      <w:r w:rsidR="00E06A75">
        <w:rPr>
          <w:rFonts w:ascii="Avenir Book" w:hAnsi="Avenir Book"/>
        </w:rPr>
        <w:t xml:space="preserve"> and implement the recommendations from the Australian Human Rights Commission </w:t>
      </w:r>
      <w:r w:rsidR="000D7251">
        <w:rPr>
          <w:rFonts w:ascii="Avenir Book" w:hAnsi="Avenir Book"/>
        </w:rPr>
        <w:t xml:space="preserve">inquiry </w:t>
      </w:r>
      <w:r w:rsidR="00E06A75">
        <w:rPr>
          <w:rFonts w:ascii="Avenir Book" w:hAnsi="Avenir Book"/>
        </w:rPr>
        <w:t>report, ‘</w:t>
      </w:r>
      <w:r w:rsidR="000D7251" w:rsidRPr="000D7251">
        <w:rPr>
          <w:rFonts w:ascii="Avenir Book" w:hAnsi="Avenir Book"/>
          <w:i/>
          <w:iCs/>
        </w:rPr>
        <w:t xml:space="preserve">Ensuring health and bodily integrity: towards a human rights approach for </w:t>
      </w:r>
      <w:r w:rsidR="00E06A75">
        <w:rPr>
          <w:rFonts w:ascii="Avenir Book" w:hAnsi="Avenir Book"/>
          <w:i/>
          <w:iCs/>
        </w:rPr>
        <w:t xml:space="preserve">people born with variations in sex characteristics’ </w:t>
      </w:r>
      <w:r w:rsidR="00E06A75" w:rsidRPr="00E06A75">
        <w:rPr>
          <w:rFonts w:ascii="Avenir Book" w:hAnsi="Avenir Book"/>
        </w:rPr>
        <w:t>(2021).</w:t>
      </w:r>
      <w:r w:rsidR="00E06A75">
        <w:rPr>
          <w:rStyle w:val="EndnoteReference"/>
          <w:rFonts w:ascii="Avenir Book" w:hAnsi="Avenir Book"/>
        </w:rPr>
        <w:endnoteReference w:id="114"/>
      </w:r>
    </w:p>
    <w:p w14:paraId="76E1DEB3" w14:textId="77777777" w:rsidR="00A007ED" w:rsidRDefault="00A007ED" w:rsidP="00894A14">
      <w:pPr>
        <w:snapToGrid w:val="0"/>
        <w:rPr>
          <w:rFonts w:ascii="Avenir Book" w:hAnsi="Avenir Book" w:cstheme="minorHAnsi"/>
          <w:sz w:val="22"/>
          <w:szCs w:val="22"/>
        </w:rPr>
      </w:pPr>
    </w:p>
    <w:p w14:paraId="5B604736" w14:textId="1D1243A0" w:rsidR="001777B3" w:rsidRPr="00A007ED" w:rsidRDefault="000E4BA5" w:rsidP="00C74146">
      <w:pPr>
        <w:pStyle w:val="Heading3"/>
        <w:numPr>
          <w:ilvl w:val="1"/>
          <w:numId w:val="11"/>
        </w:numPr>
        <w:snapToGrid w:val="0"/>
        <w:spacing w:after="120" w:line="240" w:lineRule="auto"/>
        <w:ind w:left="851" w:hanging="862"/>
        <w:rPr>
          <w:rFonts w:ascii="Avenir Book" w:hAnsi="Avenir Book" w:cstheme="minorHAnsi"/>
          <w:color w:val="000000" w:themeColor="text1"/>
          <w:sz w:val="22"/>
          <w:szCs w:val="22"/>
        </w:rPr>
      </w:pPr>
      <w:bookmarkStart w:id="98" w:name="_Toc156825217"/>
      <w:r w:rsidRPr="00A007ED">
        <w:rPr>
          <w:rFonts w:ascii="Avenir Book" w:eastAsia="Arial" w:hAnsi="Avenir Book" w:cstheme="minorHAnsi"/>
          <w:bCs/>
          <w:color w:val="000000" w:themeColor="text1"/>
        </w:rPr>
        <w:t>En</w:t>
      </w:r>
      <w:r w:rsidR="00955120" w:rsidRPr="00A007ED">
        <w:rPr>
          <w:rFonts w:ascii="Avenir Book" w:eastAsia="Arial" w:hAnsi="Avenir Book" w:cstheme="minorHAnsi"/>
          <w:bCs/>
          <w:color w:val="000000" w:themeColor="text1"/>
        </w:rPr>
        <w:t>sure people with disability, particularly women and girls enjoy sexual and reproductive rights</w:t>
      </w:r>
      <w:bookmarkEnd w:id="98"/>
      <w:r w:rsidR="00955120" w:rsidRPr="00A007ED">
        <w:rPr>
          <w:rFonts w:ascii="Avenir Book" w:eastAsia="Arial" w:hAnsi="Avenir Book" w:cstheme="minorHAnsi"/>
          <w:bCs/>
          <w:color w:val="000000" w:themeColor="text1"/>
        </w:rPr>
        <w:t xml:space="preserve"> </w:t>
      </w:r>
    </w:p>
    <w:p w14:paraId="2F8BD0B8" w14:textId="513E4D2A" w:rsidR="000224CA" w:rsidRDefault="000224CA" w:rsidP="00C74146">
      <w:pPr>
        <w:pStyle w:val="ListParagraph"/>
        <w:numPr>
          <w:ilvl w:val="2"/>
          <w:numId w:val="11"/>
        </w:numPr>
        <w:spacing w:line="276" w:lineRule="auto"/>
        <w:ind w:left="851" w:hanging="851"/>
        <w:rPr>
          <w:rFonts w:ascii="Avenir Book" w:hAnsi="Avenir Book" w:cs="Calibri"/>
          <w:color w:val="000000" w:themeColor="text1"/>
        </w:rPr>
      </w:pPr>
      <w:r w:rsidRPr="000224CA">
        <w:rPr>
          <w:rFonts w:ascii="Avenir Book" w:hAnsi="Avenir Book" w:cs="Calibri"/>
          <w:color w:val="000000" w:themeColor="text1"/>
        </w:rPr>
        <w:t>Sexual and reproductive rights are fundamental human rights. They include the right to dignity, equality, autonomy, privacy, freedom, and self-determination – the right of everyone to make free and informed decisions about, and have full control over - their body, sexuality,</w:t>
      </w:r>
      <w:r w:rsidRPr="000224CA">
        <w:rPr>
          <w:vertAlign w:val="superscript"/>
        </w:rPr>
        <w:endnoteReference w:id="115"/>
      </w:r>
      <w:r w:rsidRPr="000224CA">
        <w:rPr>
          <w:rFonts w:ascii="Avenir Book" w:hAnsi="Avenir Book" w:cs="Calibri"/>
          <w:color w:val="000000" w:themeColor="text1"/>
        </w:rPr>
        <w:t xml:space="preserve"> health, relationships, and if, when and with whom to partner, marry and have children, without any form of discrimination, </w:t>
      </w:r>
      <w:r w:rsidRPr="000224CA">
        <w:rPr>
          <w:rFonts w:ascii="Avenir Book" w:hAnsi="Avenir Book" w:cs="Calibri"/>
          <w:color w:val="000000" w:themeColor="text1"/>
        </w:rPr>
        <w:lastRenderedPageBreak/>
        <w:t>stigma, coercion or violence.</w:t>
      </w:r>
      <w:r w:rsidRPr="000224CA">
        <w:rPr>
          <w:vertAlign w:val="superscript"/>
        </w:rPr>
        <w:endnoteReference w:id="116"/>
      </w:r>
      <w:r w:rsidRPr="000224CA">
        <w:rPr>
          <w:rFonts w:ascii="Avenir Book" w:hAnsi="Avenir Book" w:cs="Calibri"/>
          <w:color w:val="000000" w:themeColor="text1"/>
        </w:rPr>
        <w:t xml:space="preserve"> However, regardless of country or context, no group has ever been as severely restricted, or negatively treated, in respect of their sexual and reproductive rights, as people with disability, particularly women and girls with disability.</w:t>
      </w:r>
      <w:r w:rsidRPr="000224CA">
        <w:rPr>
          <w:vertAlign w:val="superscript"/>
        </w:rPr>
        <w:endnoteReference w:id="117"/>
      </w:r>
      <w:r w:rsidRPr="000224CA">
        <w:rPr>
          <w:rFonts w:ascii="Avenir Book" w:hAnsi="Avenir Book" w:cs="Calibri"/>
          <w:color w:val="000000" w:themeColor="text1"/>
        </w:rPr>
        <w:t xml:space="preserve">  </w:t>
      </w:r>
    </w:p>
    <w:p w14:paraId="1C683562" w14:textId="77777777" w:rsidR="000224CA" w:rsidRDefault="000224CA" w:rsidP="00A007ED">
      <w:pPr>
        <w:pStyle w:val="ListParagraph"/>
        <w:spacing w:line="276" w:lineRule="auto"/>
        <w:ind w:left="851"/>
        <w:rPr>
          <w:rFonts w:ascii="Avenir Book" w:hAnsi="Avenir Book" w:cs="Calibri"/>
          <w:color w:val="000000" w:themeColor="text1"/>
        </w:rPr>
      </w:pPr>
    </w:p>
    <w:p w14:paraId="35EA7F24" w14:textId="77C8A20D" w:rsidR="000224CA" w:rsidRDefault="000224CA" w:rsidP="00C74146">
      <w:pPr>
        <w:pStyle w:val="ListParagraph"/>
        <w:numPr>
          <w:ilvl w:val="2"/>
          <w:numId w:val="11"/>
        </w:numPr>
        <w:spacing w:line="276" w:lineRule="auto"/>
        <w:ind w:left="851" w:hanging="851"/>
        <w:rPr>
          <w:rFonts w:ascii="Avenir Book" w:hAnsi="Avenir Book" w:cs="Calibri"/>
          <w:color w:val="000000" w:themeColor="text1"/>
        </w:rPr>
      </w:pPr>
      <w:r>
        <w:rPr>
          <w:rFonts w:ascii="Avenir Book" w:hAnsi="Avenir Book" w:cs="Calibri"/>
          <w:color w:val="000000" w:themeColor="text1"/>
        </w:rPr>
        <w:t>Given</w:t>
      </w:r>
      <w:r w:rsidRPr="000224CA">
        <w:rPr>
          <w:rFonts w:ascii="Avenir Book" w:hAnsi="Avenir Book" w:cs="Calibri"/>
          <w:color w:val="000000" w:themeColor="text1"/>
        </w:rPr>
        <w:t xml:space="preserve"> the fact that women and girls with disability experience, or are at greater risk of, significantly higher levels of all forms of violence, WWDA was extremely disappointed that the DRC largely confined its discussion on the specific experiences of women and girls with disability to one chapter of one volume of its Final Report.</w:t>
      </w:r>
      <w:r w:rsidRPr="000224CA">
        <w:rPr>
          <w:vertAlign w:val="superscript"/>
        </w:rPr>
        <w:endnoteReference w:id="118"/>
      </w:r>
      <w:r w:rsidRPr="000224CA">
        <w:rPr>
          <w:rFonts w:ascii="Avenir Book" w:hAnsi="Avenir Book" w:cs="Calibri"/>
          <w:color w:val="000000" w:themeColor="text1"/>
        </w:rPr>
        <w:t xml:space="preserve"> One part of this chapter</w:t>
      </w:r>
      <w:r w:rsidRPr="000224CA">
        <w:rPr>
          <w:vertAlign w:val="superscript"/>
        </w:rPr>
        <w:endnoteReference w:id="119"/>
      </w:r>
      <w:r w:rsidRPr="000224CA">
        <w:rPr>
          <w:rFonts w:ascii="Avenir Book" w:hAnsi="Avenir Book" w:cs="Calibri"/>
          <w:color w:val="000000" w:themeColor="text1"/>
        </w:rPr>
        <w:t xml:space="preserve"> discusses the deprivation of reproductive rights of women and girls with disability, including involuntary sterilisation, menstrual suppression, forced contraception and forced abortion, but there are no recommendations regarding these human rights abuses except in relation to involuntary sterilisation.  </w:t>
      </w:r>
      <w:r w:rsidR="00D34CDD">
        <w:rPr>
          <w:rFonts w:ascii="Avenir Book" w:hAnsi="Avenir Book" w:cs="Calibri"/>
          <w:color w:val="000000" w:themeColor="text1"/>
        </w:rPr>
        <w:t>T</w:t>
      </w:r>
      <w:r w:rsidR="00D34CDD" w:rsidRPr="000224CA">
        <w:rPr>
          <w:rFonts w:ascii="Avenir Book" w:hAnsi="Avenir Book" w:cs="Calibri"/>
          <w:color w:val="000000" w:themeColor="text1"/>
        </w:rPr>
        <w:t>he omission of recommendations to address sexual and reproductive rights is deeply concerning given that forced contraception</w:t>
      </w:r>
      <w:r w:rsidR="00D34CDD" w:rsidRPr="000224CA">
        <w:rPr>
          <w:vertAlign w:val="superscript"/>
        </w:rPr>
        <w:endnoteReference w:id="120"/>
      </w:r>
      <w:r w:rsidR="00D34CDD" w:rsidRPr="000224CA">
        <w:rPr>
          <w:rFonts w:ascii="Avenir Book" w:hAnsi="Avenir Book" w:cs="Calibri"/>
          <w:color w:val="000000" w:themeColor="text1"/>
        </w:rPr>
        <w:t xml:space="preserve"> of women and girls with disability through the use of menstrual suppressant drugs is a widespread, largely unregulated</w:t>
      </w:r>
      <w:r w:rsidR="00D34CDD" w:rsidRPr="000224CA">
        <w:rPr>
          <w:vertAlign w:val="superscript"/>
        </w:rPr>
        <w:endnoteReference w:id="121"/>
      </w:r>
      <w:r w:rsidR="00D34CDD" w:rsidRPr="000224CA">
        <w:rPr>
          <w:rFonts w:ascii="Avenir Book" w:hAnsi="Avenir Book" w:cs="Calibri"/>
          <w:color w:val="000000" w:themeColor="text1"/>
        </w:rPr>
        <w:t xml:space="preserve"> current practice in Australia.</w:t>
      </w:r>
      <w:r w:rsidR="00D34CDD" w:rsidRPr="000224CA">
        <w:rPr>
          <w:vertAlign w:val="superscript"/>
        </w:rPr>
        <w:endnoteReference w:id="122"/>
      </w:r>
    </w:p>
    <w:p w14:paraId="001C4FB7" w14:textId="77777777" w:rsidR="000224CA" w:rsidRPr="000224CA" w:rsidRDefault="000224CA" w:rsidP="00A007ED">
      <w:pPr>
        <w:pStyle w:val="ListParagraph"/>
        <w:spacing w:line="276" w:lineRule="auto"/>
        <w:rPr>
          <w:rFonts w:ascii="Avenir Book" w:hAnsi="Avenir Book" w:cs="Calibri"/>
          <w:color w:val="000000" w:themeColor="text1"/>
        </w:rPr>
      </w:pPr>
    </w:p>
    <w:p w14:paraId="7C49BE5F" w14:textId="30E3E793" w:rsidR="008100BA" w:rsidRDefault="000224CA" w:rsidP="00C74146">
      <w:pPr>
        <w:pStyle w:val="ListParagraph"/>
        <w:numPr>
          <w:ilvl w:val="2"/>
          <w:numId w:val="11"/>
        </w:numPr>
        <w:spacing w:line="276" w:lineRule="auto"/>
        <w:ind w:left="851" w:hanging="851"/>
        <w:rPr>
          <w:rFonts w:ascii="Avenir Book" w:hAnsi="Avenir Book" w:cs="Calibri"/>
          <w:color w:val="000000" w:themeColor="text1"/>
        </w:rPr>
      </w:pPr>
      <w:r w:rsidRPr="000224CA">
        <w:rPr>
          <w:rFonts w:ascii="Avenir Book" w:hAnsi="Avenir Book" w:cs="Calibri"/>
          <w:color w:val="000000" w:themeColor="text1"/>
        </w:rPr>
        <w:t xml:space="preserve">Recommendations specific to women and girls with disability are scattered across various volumes of the Final Report with a focus on </w:t>
      </w:r>
      <w:r w:rsidR="00031EA6">
        <w:rPr>
          <w:rFonts w:ascii="Avenir Book" w:hAnsi="Avenir Book" w:cs="Calibri"/>
          <w:color w:val="000000" w:themeColor="text1"/>
        </w:rPr>
        <w:t xml:space="preserve">improving </w:t>
      </w:r>
      <w:r w:rsidRPr="000224CA">
        <w:rPr>
          <w:rFonts w:ascii="Avenir Book" w:hAnsi="Avenir Book" w:cs="Calibri"/>
          <w:color w:val="000000" w:themeColor="text1"/>
        </w:rPr>
        <w:t>disaggregated data</w:t>
      </w:r>
      <w:r w:rsidR="00CF6F03">
        <w:rPr>
          <w:rFonts w:ascii="Avenir Book" w:hAnsi="Avenir Book" w:cs="Calibri"/>
          <w:color w:val="000000" w:themeColor="text1"/>
        </w:rPr>
        <w:t xml:space="preserve"> collection</w:t>
      </w:r>
      <w:r w:rsidR="009F677A">
        <w:rPr>
          <w:rFonts w:ascii="Avenir Book" w:hAnsi="Avenir Book" w:cs="Calibri"/>
          <w:color w:val="000000" w:themeColor="text1"/>
        </w:rPr>
        <w:t>,</w:t>
      </w:r>
      <w:r w:rsidR="00CF6F03">
        <w:rPr>
          <w:rStyle w:val="EndnoteReference"/>
          <w:rFonts w:ascii="Avenir Book" w:hAnsi="Avenir Book" w:cs="Calibri"/>
          <w:color w:val="000000" w:themeColor="text1"/>
        </w:rPr>
        <w:endnoteReference w:id="123"/>
      </w:r>
      <w:r w:rsidRPr="000224CA">
        <w:rPr>
          <w:rFonts w:ascii="Avenir Book" w:hAnsi="Avenir Book" w:cs="Calibri"/>
          <w:color w:val="000000" w:themeColor="text1"/>
        </w:rPr>
        <w:t xml:space="preserve"> </w:t>
      </w:r>
      <w:r w:rsidR="009F677A">
        <w:rPr>
          <w:rFonts w:ascii="Avenir Book" w:hAnsi="Avenir Book" w:cs="Calibri"/>
          <w:color w:val="000000" w:themeColor="text1"/>
        </w:rPr>
        <w:t xml:space="preserve">ensuring a disability-inclusive definition of </w:t>
      </w:r>
      <w:r w:rsidRPr="000224CA">
        <w:rPr>
          <w:rFonts w:ascii="Avenir Book" w:hAnsi="Avenir Book" w:cs="Calibri"/>
          <w:color w:val="000000" w:themeColor="text1"/>
        </w:rPr>
        <w:t>family and domestic violence</w:t>
      </w:r>
      <w:r w:rsidR="008100BA">
        <w:rPr>
          <w:rFonts w:ascii="Avenir Book" w:hAnsi="Avenir Book" w:cs="Calibri"/>
          <w:color w:val="000000" w:themeColor="text1"/>
        </w:rPr>
        <w:t xml:space="preserve"> (FDV)</w:t>
      </w:r>
      <w:r w:rsidRPr="000224CA">
        <w:rPr>
          <w:rFonts w:ascii="Avenir Book" w:hAnsi="Avenir Book" w:cs="Calibri"/>
          <w:color w:val="000000" w:themeColor="text1"/>
        </w:rPr>
        <w:t>,</w:t>
      </w:r>
      <w:r w:rsidR="009F677A">
        <w:rPr>
          <w:rStyle w:val="EndnoteReference"/>
          <w:rFonts w:ascii="Avenir Book" w:hAnsi="Avenir Book" w:cs="Calibri"/>
          <w:color w:val="000000" w:themeColor="text1"/>
        </w:rPr>
        <w:endnoteReference w:id="124"/>
      </w:r>
      <w:r w:rsidRPr="000224CA">
        <w:rPr>
          <w:rFonts w:ascii="Avenir Book" w:hAnsi="Avenir Book" w:cs="Calibri"/>
          <w:color w:val="000000" w:themeColor="text1"/>
        </w:rPr>
        <w:t xml:space="preserve"> and </w:t>
      </w:r>
      <w:r w:rsidR="009F677A">
        <w:rPr>
          <w:rFonts w:ascii="Avenir Book" w:hAnsi="Avenir Book" w:cs="Calibri"/>
          <w:color w:val="000000" w:themeColor="text1"/>
        </w:rPr>
        <w:t xml:space="preserve">an </w:t>
      </w:r>
      <w:r w:rsidRPr="000224CA">
        <w:rPr>
          <w:rFonts w:ascii="Avenir Book" w:hAnsi="Avenir Book" w:cs="Calibri"/>
          <w:color w:val="000000" w:themeColor="text1"/>
        </w:rPr>
        <w:t>action plan to end violence against women and children with disability.</w:t>
      </w:r>
      <w:r w:rsidR="009F677A">
        <w:rPr>
          <w:rStyle w:val="EndnoteReference"/>
          <w:rFonts w:ascii="Avenir Book" w:hAnsi="Avenir Book" w:cs="Calibri"/>
          <w:color w:val="000000" w:themeColor="text1"/>
        </w:rPr>
        <w:endnoteReference w:id="125"/>
      </w:r>
      <w:r w:rsidRPr="000224CA">
        <w:rPr>
          <w:rFonts w:ascii="Avenir Book" w:hAnsi="Avenir Book" w:cs="Calibri"/>
          <w:color w:val="000000" w:themeColor="text1"/>
        </w:rPr>
        <w:t xml:space="preserve"> </w:t>
      </w:r>
      <w:r w:rsidR="009F677A">
        <w:rPr>
          <w:rFonts w:ascii="Avenir Book" w:hAnsi="Avenir Book" w:cs="Calibri"/>
          <w:color w:val="000000" w:themeColor="text1"/>
        </w:rPr>
        <w:t>WWDA supports recommendations</w:t>
      </w:r>
      <w:r w:rsidR="008100BA">
        <w:rPr>
          <w:rFonts w:ascii="Avenir Book" w:hAnsi="Avenir Book" w:cs="Calibri"/>
          <w:color w:val="000000" w:themeColor="text1"/>
        </w:rPr>
        <w:t xml:space="preserve"> to improve disaggregated data and ensure disability-inclusive definitions of FDV</w:t>
      </w:r>
      <w:r w:rsidR="009F677A">
        <w:rPr>
          <w:rFonts w:ascii="Avenir Book" w:hAnsi="Avenir Book" w:cs="Calibri"/>
          <w:color w:val="000000" w:themeColor="text1"/>
        </w:rPr>
        <w:t xml:space="preserve">, </w:t>
      </w:r>
      <w:r w:rsidR="008100BA">
        <w:rPr>
          <w:rFonts w:ascii="Avenir Book" w:hAnsi="Avenir Book" w:cs="Calibri"/>
          <w:color w:val="000000" w:themeColor="text1"/>
        </w:rPr>
        <w:t xml:space="preserve">however we </w:t>
      </w:r>
      <w:r w:rsidR="009F677A">
        <w:rPr>
          <w:rFonts w:ascii="Avenir Book" w:hAnsi="Avenir Book" w:cs="Calibri"/>
          <w:color w:val="000000" w:themeColor="text1"/>
        </w:rPr>
        <w:t xml:space="preserve">provide conditional support for recommendation 8.23, Action plan to end violence against women and children with disability. </w:t>
      </w:r>
      <w:r w:rsidR="008100BA">
        <w:rPr>
          <w:rFonts w:ascii="Avenir Book" w:hAnsi="Avenir Book" w:cs="Calibri"/>
          <w:color w:val="000000" w:themeColor="text1"/>
        </w:rPr>
        <w:t xml:space="preserve"> Over many years, WWDA has advocated for the inclusion of violence against women and girls with disability </w:t>
      </w:r>
      <w:r w:rsidR="00D34CDD">
        <w:rPr>
          <w:rFonts w:ascii="Avenir Book" w:hAnsi="Avenir Book" w:cs="Calibri"/>
          <w:color w:val="000000" w:themeColor="text1"/>
        </w:rPr>
        <w:t xml:space="preserve">to be understood as </w:t>
      </w:r>
      <w:r w:rsidR="008100BA">
        <w:rPr>
          <w:rFonts w:ascii="Avenir Book" w:hAnsi="Avenir Book" w:cs="Calibri"/>
          <w:color w:val="000000" w:themeColor="text1"/>
        </w:rPr>
        <w:t xml:space="preserve">gender-based violence </w:t>
      </w:r>
      <w:r w:rsidR="00D34CDD">
        <w:rPr>
          <w:rFonts w:ascii="Avenir Book" w:hAnsi="Avenir Book" w:cs="Calibri"/>
          <w:color w:val="000000" w:themeColor="text1"/>
        </w:rPr>
        <w:t xml:space="preserve">and included in </w:t>
      </w:r>
      <w:r w:rsidR="008100BA">
        <w:rPr>
          <w:rFonts w:ascii="Avenir Book" w:hAnsi="Avenir Book" w:cs="Calibri"/>
          <w:color w:val="000000" w:themeColor="text1"/>
        </w:rPr>
        <w:t>prevention and response plans</w:t>
      </w:r>
      <w:r w:rsidR="00D34CDD">
        <w:rPr>
          <w:rFonts w:ascii="Avenir Book" w:hAnsi="Avenir Book" w:cs="Calibri"/>
          <w:color w:val="000000" w:themeColor="text1"/>
        </w:rPr>
        <w:t xml:space="preserve">, and </w:t>
      </w:r>
      <w:r w:rsidR="002B772C">
        <w:rPr>
          <w:rFonts w:ascii="Avenir Book" w:hAnsi="Avenir Book" w:cs="Calibri"/>
          <w:color w:val="000000" w:themeColor="text1"/>
        </w:rPr>
        <w:t xml:space="preserve">not </w:t>
      </w:r>
      <w:r w:rsidR="008100BA">
        <w:rPr>
          <w:rFonts w:ascii="Avenir Book" w:hAnsi="Avenir Book" w:cs="Calibri"/>
          <w:color w:val="000000" w:themeColor="text1"/>
        </w:rPr>
        <w:t xml:space="preserve">to be relegated as a </w:t>
      </w:r>
      <w:r w:rsidR="00D34CDD">
        <w:rPr>
          <w:rFonts w:ascii="Avenir Book" w:hAnsi="Avenir Book" w:cs="Calibri"/>
          <w:color w:val="000000" w:themeColor="text1"/>
        </w:rPr>
        <w:t xml:space="preserve">separate </w:t>
      </w:r>
      <w:r w:rsidR="008100BA">
        <w:rPr>
          <w:rFonts w:ascii="Avenir Book" w:hAnsi="Avenir Book" w:cs="Calibri"/>
          <w:color w:val="000000" w:themeColor="text1"/>
        </w:rPr>
        <w:t xml:space="preserve">matter </w:t>
      </w:r>
      <w:r w:rsidR="00D34CDD">
        <w:rPr>
          <w:rFonts w:ascii="Avenir Book" w:hAnsi="Avenir Book" w:cs="Calibri"/>
          <w:color w:val="000000" w:themeColor="text1"/>
        </w:rPr>
        <w:t>to</w:t>
      </w:r>
      <w:r w:rsidR="008100BA">
        <w:rPr>
          <w:rFonts w:ascii="Avenir Book" w:hAnsi="Avenir Book" w:cs="Calibri"/>
          <w:color w:val="000000" w:themeColor="text1"/>
        </w:rPr>
        <w:t xml:space="preserve"> the disability sector. Women and girls with disability should be prioritised in the National Plan to End Violence against Women and Children 2022-2032,</w:t>
      </w:r>
      <w:r w:rsidR="00D34CDD">
        <w:rPr>
          <w:rStyle w:val="EndnoteReference"/>
          <w:rFonts w:ascii="Avenir Book" w:hAnsi="Avenir Book" w:cs="Calibri"/>
          <w:color w:val="000000" w:themeColor="text1"/>
        </w:rPr>
        <w:endnoteReference w:id="126"/>
      </w:r>
      <w:r w:rsidR="008100BA">
        <w:rPr>
          <w:rFonts w:ascii="Avenir Book" w:hAnsi="Avenir Book" w:cs="Calibri"/>
          <w:color w:val="000000" w:themeColor="text1"/>
        </w:rPr>
        <w:t xml:space="preserve"> which requires consideration of whether a separate action plan can achieve this objective or whether it risks </w:t>
      </w:r>
      <w:r w:rsidR="00D34CDD">
        <w:rPr>
          <w:rFonts w:ascii="Avenir Book" w:hAnsi="Avenir Book" w:cs="Calibri"/>
          <w:color w:val="000000" w:themeColor="text1"/>
        </w:rPr>
        <w:t>mainstream violence prevention and response systems abdicating responsibility for women and girls with disability.</w:t>
      </w:r>
    </w:p>
    <w:p w14:paraId="5463B28D" w14:textId="77777777" w:rsidR="000224CA" w:rsidRPr="00D34CDD" w:rsidRDefault="000224CA" w:rsidP="00D34CDD">
      <w:pPr>
        <w:spacing w:line="276" w:lineRule="auto"/>
        <w:rPr>
          <w:rFonts w:ascii="Avenir Book" w:hAnsi="Avenir Book" w:cs="Calibri"/>
          <w:color w:val="000000" w:themeColor="text1"/>
        </w:rPr>
      </w:pPr>
    </w:p>
    <w:p w14:paraId="128AE89B" w14:textId="7ED54F2F" w:rsidR="000224CA" w:rsidRDefault="000224CA" w:rsidP="00C74146">
      <w:pPr>
        <w:pStyle w:val="ListParagraph"/>
        <w:numPr>
          <w:ilvl w:val="2"/>
          <w:numId w:val="11"/>
        </w:numPr>
        <w:spacing w:line="276" w:lineRule="auto"/>
        <w:ind w:left="851" w:hanging="851"/>
        <w:rPr>
          <w:rFonts w:ascii="Avenir Book" w:hAnsi="Avenir Book" w:cs="Calibri"/>
          <w:color w:val="000000" w:themeColor="text1"/>
        </w:rPr>
      </w:pPr>
      <w:r w:rsidRPr="000224CA">
        <w:rPr>
          <w:rFonts w:ascii="Avenir Book" w:hAnsi="Avenir Book" w:cs="Calibri"/>
          <w:color w:val="000000" w:themeColor="text1"/>
        </w:rPr>
        <w:t xml:space="preserve">The sexual and reproductive rights of men and boys with disability were not </w:t>
      </w:r>
      <w:r>
        <w:rPr>
          <w:rFonts w:ascii="Avenir Book" w:hAnsi="Avenir Book" w:cs="Calibri"/>
          <w:color w:val="000000" w:themeColor="text1"/>
        </w:rPr>
        <w:t>examined by</w:t>
      </w:r>
      <w:r w:rsidRPr="000224CA">
        <w:rPr>
          <w:rFonts w:ascii="Avenir Book" w:hAnsi="Avenir Book" w:cs="Calibri"/>
          <w:color w:val="000000" w:themeColor="text1"/>
        </w:rPr>
        <w:t xml:space="preserve"> the DRC, and there is a dearth of research on this issue.  However, </w:t>
      </w:r>
      <w:r w:rsidRPr="000224CA">
        <w:rPr>
          <w:rFonts w:ascii="Avenir Book" w:hAnsi="Avenir Book" w:cs="Calibri"/>
          <w:color w:val="000000" w:themeColor="text1"/>
        </w:rPr>
        <w:lastRenderedPageBreak/>
        <w:t>anecdotal information indicates that anti-androgenic medications to control sexual arousal and functioning of men and boys with disability are largely unregulated</w:t>
      </w:r>
      <w:r w:rsidRPr="000224CA">
        <w:rPr>
          <w:vertAlign w:val="superscript"/>
        </w:rPr>
        <w:endnoteReference w:id="127"/>
      </w:r>
      <w:r w:rsidRPr="000224CA">
        <w:rPr>
          <w:rFonts w:ascii="Avenir Book" w:hAnsi="Avenir Book" w:cs="Calibri"/>
          <w:color w:val="000000" w:themeColor="text1"/>
        </w:rPr>
        <w:t xml:space="preserve"> and commonly prescribed by the medical profession without the consent of the person concerned, and that men with disability are being coerced into undergoing vasectomies before they can marry, continue sexual relationships or after the birth of a child.</w:t>
      </w:r>
      <w:r w:rsidRPr="000224CA">
        <w:rPr>
          <w:vertAlign w:val="superscript"/>
        </w:rPr>
        <w:endnoteReference w:id="128"/>
      </w:r>
      <w:r w:rsidRPr="000224CA">
        <w:rPr>
          <w:rFonts w:ascii="Avenir Book" w:hAnsi="Avenir Book" w:cs="Calibri"/>
          <w:color w:val="000000" w:themeColor="text1"/>
        </w:rPr>
        <w:t xml:space="preserve">  Research has found that boys and young men with disability can be subjected to orchidectomies, or castration by surgical removal of the testes, in the absence of disease or health risks.</w:t>
      </w:r>
      <w:r w:rsidRPr="000224CA">
        <w:rPr>
          <w:vertAlign w:val="superscript"/>
        </w:rPr>
        <w:endnoteReference w:id="129"/>
      </w:r>
      <w:r w:rsidRPr="000224CA">
        <w:rPr>
          <w:rFonts w:ascii="Avenir Book" w:hAnsi="Avenir Book" w:cs="Calibri"/>
          <w:color w:val="000000" w:themeColor="text1"/>
        </w:rPr>
        <w:t xml:space="preserve"> </w:t>
      </w:r>
    </w:p>
    <w:p w14:paraId="222838DD" w14:textId="77777777" w:rsidR="000224CA" w:rsidRPr="000224CA" w:rsidRDefault="000224CA" w:rsidP="00A007ED">
      <w:pPr>
        <w:pStyle w:val="ListParagraph"/>
        <w:spacing w:line="276" w:lineRule="auto"/>
        <w:rPr>
          <w:rFonts w:ascii="Avenir Book" w:hAnsi="Avenir Book" w:cs="Calibri"/>
          <w:color w:val="000000" w:themeColor="text1"/>
        </w:rPr>
      </w:pPr>
    </w:p>
    <w:p w14:paraId="02987C5B" w14:textId="77777777" w:rsidR="000224CA" w:rsidRDefault="000224CA" w:rsidP="00C74146">
      <w:pPr>
        <w:pStyle w:val="ListParagraph"/>
        <w:numPr>
          <w:ilvl w:val="2"/>
          <w:numId w:val="11"/>
        </w:numPr>
        <w:spacing w:line="276" w:lineRule="auto"/>
        <w:ind w:left="851" w:hanging="851"/>
        <w:rPr>
          <w:rFonts w:ascii="Avenir Book" w:hAnsi="Avenir Book" w:cs="Calibri"/>
          <w:color w:val="000000" w:themeColor="text1"/>
        </w:rPr>
      </w:pPr>
      <w:r w:rsidRPr="000224CA">
        <w:rPr>
          <w:rFonts w:ascii="Avenir Book" w:hAnsi="Avenir Book" w:cs="Calibri"/>
          <w:color w:val="000000" w:themeColor="text1"/>
        </w:rPr>
        <w:t xml:space="preserve">The DRC also did not discuss sexual and reproductive rights in the context of diverse groups of people with disability, such as First Nations people with disability, LGBTIQA+ people with disability, culturally and linguistically diverse people with disability, children with disability and older people with disability.  There needs to be more research and data to build an evidence base on sexual and reproductive rights that would inform measures to prevent and respond to violence, abuse, neglect and exploitation for all people with disability. </w:t>
      </w:r>
    </w:p>
    <w:p w14:paraId="7EC9F6F0" w14:textId="77777777" w:rsidR="000224CA" w:rsidRPr="000224CA" w:rsidRDefault="000224CA" w:rsidP="00A007ED">
      <w:pPr>
        <w:pStyle w:val="ListParagraph"/>
        <w:spacing w:line="276" w:lineRule="auto"/>
        <w:rPr>
          <w:rFonts w:ascii="Avenir Book" w:hAnsi="Avenir Book" w:cs="Calibri"/>
          <w:color w:val="000000" w:themeColor="text1"/>
        </w:rPr>
      </w:pPr>
    </w:p>
    <w:p w14:paraId="7F42E1DA" w14:textId="070CD445" w:rsidR="000224CA" w:rsidRDefault="000224CA" w:rsidP="00C74146">
      <w:pPr>
        <w:pStyle w:val="ListParagraph"/>
        <w:numPr>
          <w:ilvl w:val="2"/>
          <w:numId w:val="11"/>
        </w:numPr>
        <w:spacing w:line="276" w:lineRule="auto"/>
        <w:ind w:left="851" w:hanging="851"/>
        <w:rPr>
          <w:rFonts w:ascii="Avenir Book" w:hAnsi="Avenir Book" w:cs="Calibri"/>
          <w:color w:val="000000" w:themeColor="text1"/>
        </w:rPr>
      </w:pPr>
      <w:r w:rsidRPr="000224CA">
        <w:rPr>
          <w:rFonts w:ascii="Avenir Book" w:hAnsi="Avenir Book" w:cs="Calibri"/>
          <w:color w:val="000000" w:themeColor="text1"/>
        </w:rPr>
        <w:t xml:space="preserve">While the DRC recommendation on involuntary sterilisation </w:t>
      </w:r>
      <w:r w:rsidR="005510A4">
        <w:rPr>
          <w:rFonts w:ascii="Avenir Book" w:hAnsi="Avenir Book" w:cs="Calibri"/>
          <w:color w:val="000000" w:themeColor="text1"/>
        </w:rPr>
        <w:t xml:space="preserve">– recommendation 6.41 - </w:t>
      </w:r>
      <w:r w:rsidRPr="000224CA">
        <w:rPr>
          <w:rFonts w:ascii="Avenir Book" w:hAnsi="Avenir Book" w:cs="Calibri"/>
          <w:color w:val="000000" w:themeColor="text1"/>
        </w:rPr>
        <w:t>focuses on prohibition of this practice, it uses the terminology of ‘therapeutic’ and ‘non-therapeutic’ sterilisation.  This terminology is problematic as determinations of what constitutes ‘therapeutic’ for women and girls with disability can be different to what is considered ‘therapeutic’ for women and girls without disability.</w:t>
      </w:r>
      <w:r w:rsidRPr="000224CA">
        <w:rPr>
          <w:vertAlign w:val="superscript"/>
        </w:rPr>
        <w:endnoteReference w:id="130"/>
      </w:r>
      <w:r w:rsidRPr="000224CA">
        <w:rPr>
          <w:rFonts w:ascii="Avenir Book" w:hAnsi="Avenir Book" w:cs="Calibri"/>
          <w:color w:val="000000" w:themeColor="text1"/>
        </w:rPr>
        <w:t xml:space="preserve">  The current authorisation of ‘non-therapeutic’ sterilisation “is indicative of gendered ableism because it would be incomprehensible to sterilise non-disabled girls for reasons other than those related to serious and life-threatening medical issues”.</w:t>
      </w:r>
      <w:r w:rsidRPr="000224CA">
        <w:rPr>
          <w:vertAlign w:val="superscript"/>
        </w:rPr>
        <w:endnoteReference w:id="131"/>
      </w:r>
      <w:r w:rsidRPr="000224CA">
        <w:rPr>
          <w:rFonts w:ascii="Avenir Book" w:hAnsi="Avenir Book" w:cs="Calibri"/>
          <w:color w:val="000000" w:themeColor="text1"/>
        </w:rPr>
        <w:t xml:space="preserve"> </w:t>
      </w:r>
    </w:p>
    <w:p w14:paraId="6585A229" w14:textId="77777777" w:rsidR="000224CA" w:rsidRPr="000224CA" w:rsidRDefault="000224CA" w:rsidP="00A007ED">
      <w:pPr>
        <w:pStyle w:val="ListParagraph"/>
        <w:spacing w:line="276" w:lineRule="auto"/>
        <w:rPr>
          <w:rFonts w:ascii="Avenir Book" w:hAnsi="Avenir Book" w:cs="Calibri"/>
          <w:color w:val="000000" w:themeColor="text1"/>
        </w:rPr>
      </w:pPr>
    </w:p>
    <w:p w14:paraId="6C954426" w14:textId="77777777" w:rsidR="000224CA" w:rsidRDefault="000224CA" w:rsidP="00C74146">
      <w:pPr>
        <w:pStyle w:val="ListParagraph"/>
        <w:numPr>
          <w:ilvl w:val="2"/>
          <w:numId w:val="11"/>
        </w:numPr>
        <w:spacing w:line="276" w:lineRule="auto"/>
        <w:ind w:left="851" w:hanging="851"/>
        <w:rPr>
          <w:rFonts w:ascii="Avenir Book" w:hAnsi="Avenir Book" w:cs="Calibri"/>
          <w:color w:val="000000" w:themeColor="text1"/>
        </w:rPr>
      </w:pPr>
      <w:r w:rsidRPr="000224CA">
        <w:rPr>
          <w:rFonts w:ascii="Avenir Book" w:hAnsi="Avenir Book" w:cs="Calibri"/>
          <w:color w:val="000000" w:themeColor="text1"/>
        </w:rPr>
        <w:t>The exception to prohibition in the DRC recommendation is where “there is a threat to the life of the person with disability were the procedure not performed”.</w:t>
      </w:r>
      <w:r w:rsidRPr="000224CA">
        <w:rPr>
          <w:vertAlign w:val="superscript"/>
        </w:rPr>
        <w:endnoteReference w:id="132"/>
      </w:r>
      <w:r w:rsidRPr="000224CA">
        <w:rPr>
          <w:rFonts w:ascii="Avenir Book" w:hAnsi="Avenir Book" w:cs="Calibri"/>
          <w:color w:val="000000" w:themeColor="text1"/>
        </w:rPr>
        <w:t xml:space="preserve"> However, it is extremely concerning that the example to illustrate the application of this exception relates to a person with disability experiencing “terrible pain, where alternative therapy has been tried” and where the person “is deemed unable to consent to a medical procedure”, which would allow for the sterilisation procedure to occur.</w:t>
      </w:r>
      <w:r w:rsidRPr="000224CA">
        <w:rPr>
          <w:vertAlign w:val="superscript"/>
        </w:rPr>
        <w:endnoteReference w:id="133"/>
      </w:r>
      <w:r w:rsidRPr="000224CA">
        <w:rPr>
          <w:rFonts w:ascii="Avenir Book" w:hAnsi="Avenir Book" w:cs="Calibri"/>
          <w:color w:val="000000" w:themeColor="text1"/>
        </w:rPr>
        <w:t xml:space="preserve"> In this example, there is no indication if there is a threat to the life of the person with disability and there appears to be no recognition of supported decision-making replacing substitute decision-making.  This example appears to adhere to the existing system where sterilisation in the absence of a threat to life can be authorised through substitute decision-making </w:t>
      </w:r>
      <w:r w:rsidRPr="000224CA">
        <w:rPr>
          <w:rFonts w:ascii="Avenir Book" w:hAnsi="Avenir Book" w:cs="Calibri"/>
          <w:color w:val="000000" w:themeColor="text1"/>
        </w:rPr>
        <w:lastRenderedPageBreak/>
        <w:t>mechanisms.  This implies that forced sterilisation</w:t>
      </w:r>
      <w:r w:rsidRPr="000224CA">
        <w:rPr>
          <w:vertAlign w:val="superscript"/>
        </w:rPr>
        <w:endnoteReference w:id="134"/>
      </w:r>
      <w:r w:rsidRPr="000224CA">
        <w:rPr>
          <w:rFonts w:ascii="Avenir Book" w:hAnsi="Avenir Book" w:cs="Calibri"/>
          <w:color w:val="000000" w:themeColor="text1"/>
        </w:rPr>
        <w:t xml:space="preserve"> of women and girls with disability will remain an ongoing practice that is legal and sanctioned by Australian Governments. </w:t>
      </w:r>
    </w:p>
    <w:p w14:paraId="32BD92CE" w14:textId="77777777" w:rsidR="000224CA" w:rsidRPr="000224CA" w:rsidRDefault="000224CA" w:rsidP="00A007ED">
      <w:pPr>
        <w:pStyle w:val="ListParagraph"/>
        <w:spacing w:line="276" w:lineRule="auto"/>
        <w:rPr>
          <w:rFonts w:ascii="Avenir Book" w:hAnsi="Avenir Book" w:cs="Calibri"/>
          <w:color w:val="000000" w:themeColor="text1"/>
        </w:rPr>
      </w:pPr>
    </w:p>
    <w:p w14:paraId="62E4835C" w14:textId="77777777" w:rsidR="000224CA" w:rsidRDefault="000224CA" w:rsidP="00C74146">
      <w:pPr>
        <w:pStyle w:val="ListParagraph"/>
        <w:numPr>
          <w:ilvl w:val="2"/>
          <w:numId w:val="11"/>
        </w:numPr>
        <w:spacing w:line="276" w:lineRule="auto"/>
        <w:ind w:left="851" w:hanging="851"/>
        <w:rPr>
          <w:rFonts w:ascii="Avenir Book" w:hAnsi="Avenir Book" w:cs="Calibri"/>
          <w:color w:val="000000" w:themeColor="text1"/>
        </w:rPr>
      </w:pPr>
      <w:r w:rsidRPr="000224CA">
        <w:rPr>
          <w:rFonts w:ascii="Avenir Book" w:hAnsi="Avenir Book" w:cs="Calibri"/>
          <w:color w:val="000000" w:themeColor="text1"/>
        </w:rPr>
        <w:t>Forced sterilisation is recognised as a particularly egregious form of gender-based violence;</w:t>
      </w:r>
      <w:r w:rsidRPr="000224CA">
        <w:rPr>
          <w:vertAlign w:val="superscript"/>
        </w:rPr>
        <w:endnoteReference w:id="135"/>
      </w:r>
      <w:r w:rsidRPr="000224CA">
        <w:rPr>
          <w:rFonts w:ascii="Avenir Book" w:hAnsi="Avenir Book" w:cs="Calibri"/>
          <w:color w:val="000000" w:themeColor="text1"/>
        </w:rPr>
        <w:t xml:space="preserve"> a form of social control and a form of torture that has no place in a civilized world.</w:t>
      </w:r>
      <w:r w:rsidRPr="000224CA">
        <w:rPr>
          <w:vertAlign w:val="superscript"/>
        </w:rPr>
        <w:endnoteReference w:id="136"/>
      </w:r>
      <w:r w:rsidRPr="000224CA">
        <w:rPr>
          <w:rFonts w:ascii="Avenir Book" w:hAnsi="Avenir Book" w:cs="Calibri"/>
          <w:color w:val="000000" w:themeColor="text1"/>
        </w:rPr>
        <w:t xml:space="preserve"> Since 2005, UN treaty bodies, the Human Rights Council, UN special procedures and international medical bodies have recommended Australia enact national legislation prohibiting forced sterilisation,</w:t>
      </w:r>
      <w:r w:rsidRPr="000224CA">
        <w:rPr>
          <w:vertAlign w:val="superscript"/>
        </w:rPr>
        <w:endnoteReference w:id="137"/>
      </w:r>
      <w:r w:rsidRPr="000224CA">
        <w:rPr>
          <w:rFonts w:ascii="Avenir Book" w:hAnsi="Avenir Book" w:cs="Calibri"/>
          <w:color w:val="000000" w:themeColor="text1"/>
        </w:rPr>
        <w:t xml:space="preserve"> and have clarified that decentralising government power through devolution or delegation does not negate the obligation on a State party to enact </w:t>
      </w:r>
      <w:r w:rsidRPr="000224CA">
        <w:rPr>
          <w:rFonts w:ascii="Avenir Book" w:hAnsi="Avenir Book" w:cs="Calibri"/>
          <w:bCs/>
          <w:color w:val="000000" w:themeColor="text1"/>
        </w:rPr>
        <w:t>national legislation</w:t>
      </w:r>
      <w:r w:rsidRPr="000224CA">
        <w:rPr>
          <w:rFonts w:ascii="Avenir Book" w:hAnsi="Avenir Book" w:cs="Calibri"/>
          <w:color w:val="000000" w:themeColor="text1"/>
        </w:rPr>
        <w:t xml:space="preserve"> that is applicable throughout its jurisdiction.</w:t>
      </w:r>
      <w:r w:rsidRPr="000224CA">
        <w:rPr>
          <w:vertAlign w:val="superscript"/>
        </w:rPr>
        <w:endnoteReference w:id="138"/>
      </w:r>
    </w:p>
    <w:p w14:paraId="45122088" w14:textId="77777777" w:rsidR="001C715E" w:rsidRPr="001C715E" w:rsidRDefault="001C715E" w:rsidP="001C715E">
      <w:pPr>
        <w:pStyle w:val="ListParagraph"/>
        <w:rPr>
          <w:rFonts w:ascii="Avenir Book" w:hAnsi="Avenir Book" w:cs="Calibri"/>
          <w:color w:val="000000" w:themeColor="text1"/>
        </w:rPr>
      </w:pPr>
    </w:p>
    <w:p w14:paraId="35A8040B" w14:textId="77777777" w:rsidR="001C715E" w:rsidRDefault="000224CA" w:rsidP="00C74146">
      <w:pPr>
        <w:pStyle w:val="ListParagraph"/>
        <w:numPr>
          <w:ilvl w:val="2"/>
          <w:numId w:val="11"/>
        </w:numPr>
        <w:spacing w:line="276" w:lineRule="auto"/>
        <w:ind w:left="851" w:hanging="851"/>
        <w:rPr>
          <w:rFonts w:ascii="Avenir Book" w:hAnsi="Avenir Book" w:cs="Calibri"/>
          <w:color w:val="000000" w:themeColor="text1"/>
        </w:rPr>
      </w:pPr>
      <w:r w:rsidRPr="001C715E">
        <w:rPr>
          <w:rFonts w:ascii="Avenir Book" w:hAnsi="Avenir Book" w:cs="Calibri"/>
          <w:color w:val="000000" w:themeColor="text1"/>
        </w:rPr>
        <w:t>In Australia, children of people with disability are subject to removal from their parents by authorities at a rate up to ten times higher than other parents.</w:t>
      </w:r>
      <w:r w:rsidRPr="000224CA">
        <w:rPr>
          <w:vertAlign w:val="superscript"/>
        </w:rPr>
        <w:endnoteReference w:id="139"/>
      </w:r>
      <w:r w:rsidRPr="001C715E">
        <w:rPr>
          <w:rFonts w:ascii="Avenir Book" w:hAnsi="Avenir Book" w:cs="Calibri"/>
          <w:color w:val="000000" w:themeColor="text1"/>
        </w:rPr>
        <w:t xml:space="preserve"> The DRC examined this issue in the context of First Nations parents with disability, exposing the cultural biases within child protection policy and practice, the lack of culturally safe services and the erroneous identification of parental disability as a risk factor and basis for removal of children.</w:t>
      </w:r>
      <w:r w:rsidRPr="000224CA">
        <w:rPr>
          <w:vertAlign w:val="superscript"/>
        </w:rPr>
        <w:endnoteReference w:id="140"/>
      </w:r>
      <w:r w:rsidRPr="001C715E">
        <w:rPr>
          <w:rFonts w:ascii="Avenir Book" w:hAnsi="Avenir Book" w:cs="Calibri"/>
          <w:color w:val="000000" w:themeColor="text1"/>
        </w:rPr>
        <w:t xml:space="preserve"> Evidence provided to the DRC demonstrated significant systemic and structural failures underpinned by ableism and racism within the child protection system that leads to breaches of the human rights of parents with disability, in particular First Nations parents with disability.</w:t>
      </w:r>
      <w:r w:rsidRPr="000224CA">
        <w:rPr>
          <w:vertAlign w:val="superscript"/>
        </w:rPr>
        <w:endnoteReference w:id="141"/>
      </w:r>
    </w:p>
    <w:p w14:paraId="09AFF7A9" w14:textId="77777777" w:rsidR="001C715E" w:rsidRPr="001C715E" w:rsidRDefault="001C715E" w:rsidP="00A007ED">
      <w:pPr>
        <w:pStyle w:val="ListParagraph"/>
        <w:spacing w:line="276" w:lineRule="auto"/>
        <w:rPr>
          <w:rFonts w:ascii="Avenir Book" w:hAnsi="Avenir Book" w:cs="Calibri"/>
          <w:color w:val="000000" w:themeColor="text1"/>
        </w:rPr>
      </w:pPr>
    </w:p>
    <w:p w14:paraId="2BD1A97E" w14:textId="6C6C138A" w:rsidR="000224CA" w:rsidRDefault="000224CA" w:rsidP="00C74146">
      <w:pPr>
        <w:pStyle w:val="ListParagraph"/>
        <w:numPr>
          <w:ilvl w:val="2"/>
          <w:numId w:val="11"/>
        </w:numPr>
        <w:spacing w:line="276" w:lineRule="auto"/>
        <w:ind w:left="851" w:hanging="851"/>
        <w:rPr>
          <w:rFonts w:ascii="Avenir Book" w:hAnsi="Avenir Book" w:cs="Calibri"/>
          <w:color w:val="000000" w:themeColor="text1"/>
        </w:rPr>
      </w:pPr>
      <w:r w:rsidRPr="001C715E">
        <w:rPr>
          <w:rFonts w:ascii="Avenir Book" w:hAnsi="Avenir Book" w:cs="Calibri"/>
          <w:color w:val="000000" w:themeColor="text1"/>
        </w:rPr>
        <w:t>The CRPD Committee has expressed concern about issues of child removal from parents with disability on the basis of impairment, and has urged Australia to “[e]</w:t>
      </w:r>
      <w:proofErr w:type="spellStart"/>
      <w:r w:rsidRPr="001C715E">
        <w:rPr>
          <w:rFonts w:ascii="Avenir Book" w:hAnsi="Avenir Book" w:cs="Calibri"/>
          <w:color w:val="000000" w:themeColor="text1"/>
        </w:rPr>
        <w:t>nsure</w:t>
      </w:r>
      <w:proofErr w:type="spellEnd"/>
      <w:r w:rsidRPr="001C715E">
        <w:rPr>
          <w:rFonts w:ascii="Avenir Book" w:hAnsi="Avenir Book" w:cs="Calibri"/>
          <w:color w:val="000000" w:themeColor="text1"/>
        </w:rPr>
        <w:t xml:space="preserve"> that no child is separated from his or her parents because of the disability of either the child or one or both of the parents” and to “[a]</w:t>
      </w:r>
      <w:proofErr w:type="spellStart"/>
      <w:r w:rsidRPr="001C715E">
        <w:rPr>
          <w:rFonts w:ascii="Avenir Book" w:hAnsi="Avenir Book" w:cs="Calibri"/>
          <w:color w:val="000000" w:themeColor="text1"/>
        </w:rPr>
        <w:t>dopt</w:t>
      </w:r>
      <w:proofErr w:type="spellEnd"/>
      <w:r w:rsidRPr="001C715E">
        <w:rPr>
          <w:rFonts w:ascii="Avenir Book" w:hAnsi="Avenir Book" w:cs="Calibri"/>
          <w:color w:val="000000" w:themeColor="text1"/>
        </w:rPr>
        <w:t xml:space="preserve"> comprehensive and gender- and culturally- specific parenting and family support measures for parents with disabilities”.</w:t>
      </w:r>
      <w:r w:rsidRPr="000224CA">
        <w:rPr>
          <w:vertAlign w:val="superscript"/>
        </w:rPr>
        <w:endnoteReference w:id="142"/>
      </w:r>
      <w:r w:rsidRPr="001C715E">
        <w:rPr>
          <w:rFonts w:ascii="Avenir Book" w:hAnsi="Avenir Book" w:cs="Calibri"/>
          <w:color w:val="000000" w:themeColor="text1"/>
        </w:rPr>
        <w:t xml:space="preserve"> </w:t>
      </w:r>
    </w:p>
    <w:p w14:paraId="65DD29B7" w14:textId="77777777" w:rsidR="001C715E" w:rsidRPr="001C715E" w:rsidRDefault="001C715E" w:rsidP="00A007ED">
      <w:pPr>
        <w:pStyle w:val="ListParagraph"/>
        <w:spacing w:line="276" w:lineRule="auto"/>
        <w:rPr>
          <w:rFonts w:ascii="Avenir Book" w:hAnsi="Avenir Book" w:cs="Calibri"/>
          <w:color w:val="000000" w:themeColor="text1"/>
        </w:rPr>
      </w:pPr>
    </w:p>
    <w:p w14:paraId="735F81C6" w14:textId="77777777" w:rsidR="000224CA" w:rsidRPr="001C715E" w:rsidRDefault="000224CA" w:rsidP="00C74146">
      <w:pPr>
        <w:pStyle w:val="ListParagraph"/>
        <w:numPr>
          <w:ilvl w:val="2"/>
          <w:numId w:val="11"/>
        </w:numPr>
        <w:spacing w:line="276" w:lineRule="auto"/>
        <w:ind w:left="851" w:hanging="851"/>
        <w:rPr>
          <w:rFonts w:ascii="Avenir Book" w:hAnsi="Avenir Book" w:cs="Calibri"/>
          <w:color w:val="000000" w:themeColor="text1"/>
        </w:rPr>
      </w:pPr>
      <w:r w:rsidRPr="001C715E">
        <w:rPr>
          <w:rFonts w:ascii="Avenir Book" w:hAnsi="Avenir Book" w:cs="Calibri"/>
          <w:color w:val="000000" w:themeColor="text1"/>
        </w:rPr>
        <w:t>In relation to pursuing parenthood, women with disability experience significant discrimination in accessing assisted reproductive technologies (such as in-vitro fertilisation (IVF) and assisted insemination).</w:t>
      </w:r>
      <w:r w:rsidRPr="000224CA">
        <w:rPr>
          <w:vertAlign w:val="superscript"/>
        </w:rPr>
        <w:endnoteReference w:id="143"/>
      </w:r>
      <w:r w:rsidRPr="001C715E">
        <w:rPr>
          <w:rFonts w:ascii="Avenir Book" w:hAnsi="Avenir Book" w:cs="Calibri"/>
          <w:color w:val="000000" w:themeColor="text1"/>
        </w:rPr>
        <w:t xml:space="preserve"> </w:t>
      </w:r>
    </w:p>
    <w:p w14:paraId="32027E28" w14:textId="77777777" w:rsidR="000224CA" w:rsidRPr="000224CA" w:rsidRDefault="000224CA" w:rsidP="000224CA">
      <w:pPr>
        <w:ind w:left="851" w:hanging="851"/>
        <w:rPr>
          <w:rFonts w:ascii="Avenir Book" w:hAnsi="Avenir Book" w:cs="Calibri"/>
          <w:color w:val="000000" w:themeColor="text1"/>
        </w:rPr>
      </w:pPr>
    </w:p>
    <w:p w14:paraId="636FC10D" w14:textId="77777777" w:rsidR="005445FC" w:rsidRPr="00AB3CD5" w:rsidRDefault="005445FC" w:rsidP="005445FC">
      <w:pPr>
        <w:spacing w:after="120" w:line="276" w:lineRule="auto"/>
        <w:rPr>
          <w:rFonts w:asciiTheme="minorHAnsi" w:hAnsiTheme="minorHAnsi" w:cstheme="minorHAnsi"/>
          <w:b/>
          <w:color w:val="7030A0"/>
        </w:rPr>
      </w:pPr>
      <w:r>
        <w:rPr>
          <w:rFonts w:ascii="Avenir Book" w:hAnsi="Avenir Book" w:cstheme="minorHAnsi"/>
          <w:b/>
          <w:color w:val="AC1F79"/>
        </w:rPr>
        <w:t xml:space="preserve">Preliminary </w:t>
      </w:r>
      <w:r w:rsidRPr="00761F08">
        <w:rPr>
          <w:rFonts w:ascii="Avenir Book" w:hAnsi="Avenir Book" w:cstheme="minorHAnsi"/>
          <w:b/>
          <w:color w:val="AC1F79"/>
        </w:rPr>
        <w:t>Recommendations</w:t>
      </w:r>
    </w:p>
    <w:p w14:paraId="73314298" w14:textId="1FDCA924" w:rsidR="009C5581" w:rsidRPr="009C5581" w:rsidRDefault="009C5581" w:rsidP="00C74146">
      <w:pPr>
        <w:pStyle w:val="ListParagraph"/>
        <w:numPr>
          <w:ilvl w:val="0"/>
          <w:numId w:val="3"/>
        </w:numPr>
        <w:spacing w:after="120" w:line="276" w:lineRule="auto"/>
        <w:ind w:left="426" w:hanging="426"/>
        <w:contextualSpacing w:val="0"/>
        <w:rPr>
          <w:rFonts w:ascii="Avenir Book" w:hAnsi="Avenir Book"/>
        </w:rPr>
      </w:pPr>
      <w:r>
        <w:rPr>
          <w:rFonts w:ascii="Avenir Book" w:hAnsi="Avenir Book"/>
        </w:rPr>
        <w:t xml:space="preserve">Review recommendation 8.23 to consider the implications of a separate Action Plan to end violence against women and children with disability as opposed to prioritising </w:t>
      </w:r>
      <w:r>
        <w:rPr>
          <w:rFonts w:ascii="Avenir Book" w:hAnsi="Avenir Book"/>
        </w:rPr>
        <w:lastRenderedPageBreak/>
        <w:t xml:space="preserve">women and children with disability in the national Plan to End Violence against Women and Children 2022-2032. </w:t>
      </w:r>
    </w:p>
    <w:p w14:paraId="655846F9" w14:textId="54238EFC" w:rsidR="009B4D2A" w:rsidRPr="00F77716" w:rsidRDefault="00091DFE" w:rsidP="00C74146">
      <w:pPr>
        <w:pStyle w:val="ListParagraph"/>
        <w:numPr>
          <w:ilvl w:val="0"/>
          <w:numId w:val="3"/>
        </w:numPr>
        <w:spacing w:after="120" w:line="276" w:lineRule="auto"/>
        <w:ind w:left="426" w:hanging="426"/>
        <w:contextualSpacing w:val="0"/>
        <w:rPr>
          <w:rFonts w:ascii="Avenir Book" w:hAnsi="Avenir Book"/>
        </w:rPr>
      </w:pPr>
      <w:r w:rsidRPr="00A533A9">
        <w:rPr>
          <w:rFonts w:ascii="Avenir Book" w:hAnsi="Avenir Book"/>
        </w:rPr>
        <w:t>Review the DRC recommendation</w:t>
      </w:r>
      <w:r w:rsidR="009B4D2A">
        <w:rPr>
          <w:rFonts w:ascii="Avenir Book" w:hAnsi="Avenir Book"/>
        </w:rPr>
        <w:t xml:space="preserve"> </w:t>
      </w:r>
      <w:r w:rsidR="00F77716">
        <w:rPr>
          <w:rFonts w:ascii="Avenir Book" w:hAnsi="Avenir Book"/>
        </w:rPr>
        <w:t xml:space="preserve">6.41 </w:t>
      </w:r>
      <w:r>
        <w:rPr>
          <w:rFonts w:ascii="Avenir Book" w:hAnsi="Avenir Book"/>
        </w:rPr>
        <w:t xml:space="preserve">in relation to sterilisation </w:t>
      </w:r>
      <w:r w:rsidRPr="00A533A9">
        <w:rPr>
          <w:rFonts w:ascii="Avenir Book" w:hAnsi="Avenir Book"/>
        </w:rPr>
        <w:t xml:space="preserve">in order to </w:t>
      </w:r>
      <w:r w:rsidR="009B4D2A">
        <w:rPr>
          <w:rFonts w:ascii="Avenir Book" w:hAnsi="Avenir Book"/>
        </w:rPr>
        <w:t>remove ambiguous terminology (</w:t>
      </w:r>
      <w:r w:rsidR="00F77716">
        <w:rPr>
          <w:rFonts w:ascii="Avenir Book" w:hAnsi="Avenir Book"/>
        </w:rPr>
        <w:t>‘</w:t>
      </w:r>
      <w:r w:rsidR="009B4D2A">
        <w:rPr>
          <w:rFonts w:ascii="Avenir Book" w:hAnsi="Avenir Book"/>
        </w:rPr>
        <w:t>non-therapeutic</w:t>
      </w:r>
      <w:r w:rsidR="00F77716">
        <w:rPr>
          <w:rFonts w:ascii="Avenir Book" w:hAnsi="Avenir Book"/>
        </w:rPr>
        <w:t>’</w:t>
      </w:r>
      <w:r w:rsidR="009B4D2A">
        <w:rPr>
          <w:rFonts w:ascii="Avenir Book" w:hAnsi="Avenir Book"/>
        </w:rPr>
        <w:t>)</w:t>
      </w:r>
      <w:r w:rsidR="00F77716">
        <w:rPr>
          <w:rFonts w:ascii="Avenir Book" w:hAnsi="Avenir Book"/>
        </w:rPr>
        <w:t xml:space="preserve">, clarify exceptions (‘threat to the life of the person with disability’) </w:t>
      </w:r>
      <w:r w:rsidR="009B4D2A">
        <w:rPr>
          <w:rFonts w:ascii="Avenir Book" w:hAnsi="Avenir Book"/>
        </w:rPr>
        <w:t xml:space="preserve">and </w:t>
      </w:r>
      <w:r w:rsidR="00F77716">
        <w:rPr>
          <w:rFonts w:ascii="Avenir Book" w:hAnsi="Avenir Book"/>
        </w:rPr>
        <w:t xml:space="preserve">to </w:t>
      </w:r>
      <w:r w:rsidRPr="00A533A9">
        <w:rPr>
          <w:rFonts w:ascii="Avenir Book" w:hAnsi="Avenir Book"/>
        </w:rPr>
        <w:t>ensure compliance with the principles and standards of the CRPD</w:t>
      </w:r>
      <w:r w:rsidR="00F77716">
        <w:rPr>
          <w:rFonts w:ascii="Avenir Book" w:hAnsi="Avenir Book"/>
        </w:rPr>
        <w:t xml:space="preserve">, and with the aim of enacting nationally consistent legislation that prohibits the sterilisation of </w:t>
      </w:r>
      <w:r w:rsidR="00F77716" w:rsidRPr="009B4D2A">
        <w:rPr>
          <w:rFonts w:ascii="Avenir Book" w:hAnsi="Avenir Book" w:cs="Calibri"/>
          <w:color w:val="000000" w:themeColor="text1"/>
        </w:rPr>
        <w:t>children, and the sterilisation of adults in the absence of their prior, fully informed and free consent.</w:t>
      </w:r>
    </w:p>
    <w:p w14:paraId="519C08BD" w14:textId="77777777" w:rsidR="00F77716" w:rsidRPr="00675A95" w:rsidRDefault="000224CA" w:rsidP="00C74146">
      <w:pPr>
        <w:pStyle w:val="ListParagraph"/>
        <w:numPr>
          <w:ilvl w:val="0"/>
          <w:numId w:val="3"/>
        </w:numPr>
        <w:spacing w:after="120" w:line="276" w:lineRule="auto"/>
        <w:ind w:left="426" w:hanging="426"/>
        <w:contextualSpacing w:val="0"/>
        <w:rPr>
          <w:rFonts w:ascii="Avenir Book" w:hAnsi="Avenir Book"/>
        </w:rPr>
      </w:pPr>
      <w:r w:rsidRPr="00F77716">
        <w:rPr>
          <w:rFonts w:ascii="Avenir Book" w:hAnsi="Avenir Book" w:cs="Calibri"/>
          <w:color w:val="000000" w:themeColor="text1"/>
        </w:rPr>
        <w:t xml:space="preserve">Abolish the practice of non-consensual administration of menstrual suppressant drugs and anti-androgenic treatments. </w:t>
      </w:r>
    </w:p>
    <w:p w14:paraId="3645D2D9" w14:textId="7EE123F6" w:rsidR="00675A95" w:rsidRPr="00F77716" w:rsidRDefault="00675A95" w:rsidP="00C74146">
      <w:pPr>
        <w:pStyle w:val="ListParagraph"/>
        <w:numPr>
          <w:ilvl w:val="0"/>
          <w:numId w:val="3"/>
        </w:numPr>
        <w:spacing w:after="120" w:line="276" w:lineRule="auto"/>
        <w:ind w:left="426" w:hanging="426"/>
        <w:contextualSpacing w:val="0"/>
        <w:rPr>
          <w:rFonts w:ascii="Avenir Book" w:hAnsi="Avenir Book"/>
        </w:rPr>
      </w:pPr>
      <w:r>
        <w:rPr>
          <w:rFonts w:ascii="Avenir Book" w:hAnsi="Avenir Book" w:cs="Calibri"/>
          <w:color w:val="000000" w:themeColor="text1"/>
        </w:rPr>
        <w:t xml:space="preserve">Implement the recommendations from WWDA’s submission </w:t>
      </w:r>
      <w:r w:rsidR="00890425">
        <w:rPr>
          <w:rFonts w:ascii="Avenir Book" w:hAnsi="Avenir Book" w:cs="Calibri"/>
          <w:color w:val="000000" w:themeColor="text1"/>
        </w:rPr>
        <w:t xml:space="preserve">to </w:t>
      </w:r>
      <w:r>
        <w:rPr>
          <w:rFonts w:ascii="Avenir Book" w:hAnsi="Avenir Book" w:cs="Calibri"/>
          <w:color w:val="000000" w:themeColor="text1"/>
        </w:rPr>
        <w:t>the DRC:</w:t>
      </w:r>
      <w:r w:rsidRPr="00DB3396">
        <w:rPr>
          <w:rFonts w:ascii="Avenir Book" w:hAnsi="Avenir Book" w:cs="Calibri"/>
        </w:rPr>
        <w:t xml:space="preserve"> </w:t>
      </w:r>
      <w:r w:rsidRPr="00DB3396">
        <w:rPr>
          <w:rFonts w:ascii="Avenir Book" w:hAnsi="Avenir Book" w:cs="Calibri"/>
          <w:i/>
          <w:iCs/>
        </w:rPr>
        <w:t>‘</w:t>
      </w:r>
      <w:r>
        <w:rPr>
          <w:rFonts w:ascii="Avenir Book" w:hAnsi="Avenir Book" w:cs="Calibri"/>
          <w:i/>
          <w:iCs/>
        </w:rPr>
        <w:t xml:space="preserve">WWDA Submission on Sexual and Reproductive Rights of Women and Girls with Disability’ </w:t>
      </w:r>
      <w:r>
        <w:rPr>
          <w:rFonts w:ascii="Avenir Book" w:hAnsi="Avenir Book" w:cs="Calibri"/>
        </w:rPr>
        <w:t>(December 2022).</w:t>
      </w:r>
      <w:r>
        <w:rPr>
          <w:rStyle w:val="EndnoteReference"/>
          <w:rFonts w:ascii="Avenir Book" w:hAnsi="Avenir Book" w:cs="Calibri"/>
        </w:rPr>
        <w:endnoteReference w:id="144"/>
      </w:r>
      <w:r>
        <w:rPr>
          <w:rFonts w:ascii="Avenir Book" w:hAnsi="Avenir Book" w:cs="Calibri"/>
        </w:rPr>
        <w:t xml:space="preserve"> </w:t>
      </w:r>
    </w:p>
    <w:p w14:paraId="2755B6C4" w14:textId="1FDAE31C" w:rsidR="00F77716" w:rsidRPr="00DB3396" w:rsidRDefault="00F77716" w:rsidP="00C74146">
      <w:pPr>
        <w:pStyle w:val="ListParagraph"/>
        <w:numPr>
          <w:ilvl w:val="0"/>
          <w:numId w:val="3"/>
        </w:numPr>
        <w:spacing w:after="120" w:line="276" w:lineRule="auto"/>
        <w:ind w:left="426" w:hanging="426"/>
        <w:contextualSpacing w:val="0"/>
        <w:rPr>
          <w:rFonts w:ascii="Avenir Book" w:hAnsi="Avenir Book"/>
        </w:rPr>
      </w:pPr>
      <w:r w:rsidRPr="00DB3396">
        <w:rPr>
          <w:rFonts w:ascii="Avenir Book" w:hAnsi="Avenir Book" w:cs="Calibri"/>
          <w:color w:val="000000" w:themeColor="text1"/>
        </w:rPr>
        <w:t xml:space="preserve">Using an </w:t>
      </w:r>
      <w:r w:rsidR="00DB3396" w:rsidRPr="00DB3396">
        <w:rPr>
          <w:rFonts w:ascii="Avenir Book" w:hAnsi="Avenir Book" w:cs="Calibri"/>
          <w:color w:val="000000" w:themeColor="text1"/>
        </w:rPr>
        <w:t>intersectional lens, conduct</w:t>
      </w:r>
      <w:r w:rsidRPr="00DB3396">
        <w:rPr>
          <w:rFonts w:ascii="Avenir Book" w:hAnsi="Avenir Book" w:cs="Calibri"/>
          <w:color w:val="000000" w:themeColor="text1"/>
        </w:rPr>
        <w:t xml:space="preserve"> </w:t>
      </w:r>
      <w:r w:rsidR="00DB3396" w:rsidRPr="00DB3396">
        <w:rPr>
          <w:rFonts w:ascii="Avenir Book" w:hAnsi="Avenir Book" w:cs="Calibri"/>
          <w:color w:val="000000" w:themeColor="text1"/>
        </w:rPr>
        <w:t xml:space="preserve">disability-inclusive </w:t>
      </w:r>
      <w:r w:rsidRPr="00DB3396">
        <w:rPr>
          <w:rFonts w:ascii="Avenir Book" w:hAnsi="Avenir Book" w:cs="Calibri"/>
          <w:color w:val="000000" w:themeColor="text1"/>
        </w:rPr>
        <w:t xml:space="preserve">research and inquiries into the sexual and reproductive rights of people with disability, </w:t>
      </w:r>
      <w:r w:rsidR="00DB3396" w:rsidRPr="00DB3396">
        <w:rPr>
          <w:rFonts w:ascii="Avenir Book" w:hAnsi="Avenir Book" w:cs="Calibri"/>
          <w:color w:val="000000" w:themeColor="text1"/>
        </w:rPr>
        <w:t>including for women and girls with disability, men and boys with disability,</w:t>
      </w:r>
      <w:r w:rsidR="00DB3396">
        <w:rPr>
          <w:rFonts w:ascii="Avenir Book" w:hAnsi="Avenir Book" w:cs="Calibri"/>
          <w:color w:val="000000" w:themeColor="text1"/>
        </w:rPr>
        <w:t xml:space="preserve"> </w:t>
      </w:r>
      <w:r w:rsidRPr="00DB3396">
        <w:rPr>
          <w:rFonts w:ascii="Avenir Book" w:hAnsi="Avenir Book" w:cs="Calibri"/>
          <w:color w:val="000000" w:themeColor="text1"/>
        </w:rPr>
        <w:t xml:space="preserve">First Nations people with disability, LGBTIQA+ people with disability, culturally and linguistically diverse people with disability, and older people with disability.  </w:t>
      </w:r>
    </w:p>
    <w:p w14:paraId="2EB595A7" w14:textId="77777777" w:rsidR="000224CA" w:rsidRPr="00DB3396" w:rsidRDefault="000224CA" w:rsidP="00C74146">
      <w:pPr>
        <w:pStyle w:val="ListParagraph"/>
        <w:numPr>
          <w:ilvl w:val="0"/>
          <w:numId w:val="3"/>
        </w:numPr>
        <w:spacing w:after="120" w:line="276" w:lineRule="auto"/>
        <w:ind w:left="426" w:hanging="426"/>
        <w:contextualSpacing w:val="0"/>
        <w:rPr>
          <w:rFonts w:ascii="Avenir Book" w:hAnsi="Avenir Book"/>
        </w:rPr>
      </w:pPr>
      <w:r w:rsidRPr="00DB3396">
        <w:rPr>
          <w:rFonts w:ascii="Avenir Book" w:hAnsi="Avenir Book" w:cs="Calibri"/>
          <w:color w:val="000000" w:themeColor="text1"/>
        </w:rPr>
        <w:t xml:space="preserve">Commission a national inquiry into the legal, policy and social support environment that gives rise to the removal of babies and children from parents with disability, at a rate at 10 times higher than non-disabled parents, with a specific focus on First Nations parents with disability. </w:t>
      </w:r>
    </w:p>
    <w:p w14:paraId="073B034F" w14:textId="212AD7C1" w:rsidR="000224CA" w:rsidRPr="00675A95" w:rsidRDefault="00DB3396" w:rsidP="00C74146">
      <w:pPr>
        <w:pStyle w:val="ListParagraph"/>
        <w:numPr>
          <w:ilvl w:val="0"/>
          <w:numId w:val="3"/>
        </w:numPr>
        <w:spacing w:after="120" w:line="276" w:lineRule="auto"/>
        <w:ind w:left="426" w:hanging="426"/>
        <w:contextualSpacing w:val="0"/>
        <w:rPr>
          <w:rFonts w:ascii="Avenir Book" w:hAnsi="Avenir Book"/>
        </w:rPr>
      </w:pPr>
      <w:r>
        <w:rPr>
          <w:rFonts w:ascii="Avenir Book" w:hAnsi="Avenir Book" w:cs="Calibri"/>
          <w:color w:val="000000" w:themeColor="text1"/>
        </w:rPr>
        <w:t xml:space="preserve">Implement the recommendations from the </w:t>
      </w:r>
      <w:r w:rsidRPr="00DB3396">
        <w:rPr>
          <w:rFonts w:ascii="Avenir Book" w:hAnsi="Avenir Book" w:cs="Calibri"/>
        </w:rPr>
        <w:t xml:space="preserve">DRC commissioned research report into </w:t>
      </w:r>
      <w:r>
        <w:rPr>
          <w:rFonts w:ascii="Avenir Book" w:hAnsi="Avenir Book" w:cs="Calibri"/>
        </w:rPr>
        <w:t>parenting</w:t>
      </w:r>
      <w:r w:rsidRPr="00DB3396">
        <w:rPr>
          <w:rFonts w:ascii="Avenir Book" w:hAnsi="Avenir Book" w:cs="Calibri"/>
        </w:rPr>
        <w:t xml:space="preserve">: </w:t>
      </w:r>
      <w:r w:rsidRPr="00DB3396">
        <w:rPr>
          <w:rFonts w:ascii="Avenir Book" w:hAnsi="Avenir Book" w:cs="Calibri"/>
          <w:i/>
          <w:iCs/>
        </w:rPr>
        <w:t>‘</w:t>
      </w:r>
      <w:r>
        <w:rPr>
          <w:rFonts w:ascii="Avenir Book" w:hAnsi="Avenir Book" w:cs="Calibri"/>
          <w:i/>
          <w:iCs/>
        </w:rPr>
        <w:t>Parents with disability and their experiences of child protection systems</w:t>
      </w:r>
      <w:r w:rsidRPr="00DB3396">
        <w:rPr>
          <w:rFonts w:ascii="Avenir Book" w:hAnsi="Avenir Book" w:cs="Calibri"/>
          <w:i/>
          <w:iCs/>
        </w:rPr>
        <w:t>’</w:t>
      </w:r>
      <w:r w:rsidRPr="00DB3396">
        <w:rPr>
          <w:rFonts w:ascii="Avenir Book" w:hAnsi="Avenir Book" w:cs="Calibri"/>
        </w:rPr>
        <w:t xml:space="preserve"> (July</w:t>
      </w:r>
      <w:r>
        <w:rPr>
          <w:rFonts w:ascii="Avenir Book" w:hAnsi="Avenir Book" w:cs="Calibri"/>
        </w:rPr>
        <w:t xml:space="preserve"> 2023).</w:t>
      </w:r>
      <w:r>
        <w:rPr>
          <w:rStyle w:val="EndnoteReference"/>
          <w:rFonts w:ascii="Avenir Book" w:hAnsi="Avenir Book" w:cs="Calibri"/>
        </w:rPr>
        <w:endnoteReference w:id="145"/>
      </w:r>
    </w:p>
    <w:p w14:paraId="55703DB4" w14:textId="412C84E9" w:rsidR="00955120" w:rsidRPr="00847D93" w:rsidRDefault="000224CA" w:rsidP="00C74146">
      <w:pPr>
        <w:pStyle w:val="ListParagraph"/>
        <w:numPr>
          <w:ilvl w:val="0"/>
          <w:numId w:val="3"/>
        </w:numPr>
        <w:spacing w:after="120" w:line="276" w:lineRule="auto"/>
        <w:ind w:left="426" w:hanging="426"/>
        <w:contextualSpacing w:val="0"/>
        <w:rPr>
          <w:rFonts w:ascii="Avenir Book" w:hAnsi="Avenir Book"/>
        </w:rPr>
      </w:pPr>
      <w:r w:rsidRPr="009974CF">
        <w:rPr>
          <w:rFonts w:ascii="Avenir Book" w:hAnsi="Avenir Book" w:cs="Calibri"/>
          <w:color w:val="000000" w:themeColor="text1"/>
        </w:rPr>
        <w:t xml:space="preserve">In co-design with people with disability, the National Disability Insurance Scheme (NDIS) </w:t>
      </w:r>
      <w:r w:rsidR="009974CF">
        <w:rPr>
          <w:rFonts w:ascii="Avenir Book" w:hAnsi="Avenir Book" w:cs="Calibri"/>
          <w:color w:val="000000" w:themeColor="text1"/>
        </w:rPr>
        <w:t xml:space="preserve">should </w:t>
      </w:r>
      <w:r w:rsidRPr="009974CF">
        <w:rPr>
          <w:rFonts w:ascii="Avenir Book" w:hAnsi="Avenir Book" w:cs="Calibri"/>
          <w:color w:val="000000" w:themeColor="text1"/>
        </w:rPr>
        <w:t xml:space="preserve">develop a </w:t>
      </w:r>
      <w:r w:rsidRPr="009974CF">
        <w:rPr>
          <w:rFonts w:ascii="Avenir Book" w:hAnsi="Avenir Book" w:cs="Calibri"/>
          <w:i/>
          <w:iCs/>
          <w:color w:val="000000" w:themeColor="text1"/>
        </w:rPr>
        <w:t>‘Sexuality &amp; Relationships Policy’</w:t>
      </w:r>
      <w:r w:rsidRPr="009974CF">
        <w:rPr>
          <w:rFonts w:ascii="Avenir Book" w:hAnsi="Avenir Book" w:cs="Calibri"/>
          <w:color w:val="000000" w:themeColor="text1"/>
        </w:rPr>
        <w:t xml:space="preserve"> which includes explicit provisions for NDIS participants to access funded supports that enable them to realise their rights to sexual health information, sexual pleasure, expression, association, freedom, autonomy and self-determination.</w:t>
      </w:r>
      <w:r w:rsidRPr="000224CA">
        <w:rPr>
          <w:vertAlign w:val="superscript"/>
        </w:rPr>
        <w:endnoteReference w:id="146"/>
      </w:r>
    </w:p>
    <w:p w14:paraId="58E55FA3" w14:textId="77777777" w:rsidR="00955120" w:rsidRDefault="00955120" w:rsidP="00955120">
      <w:pPr>
        <w:ind w:left="851" w:hanging="851"/>
        <w:rPr>
          <w:rFonts w:ascii="Avenir Book" w:hAnsi="Avenir Book" w:cs="Calibri"/>
          <w:color w:val="000000" w:themeColor="text1"/>
        </w:rPr>
      </w:pPr>
    </w:p>
    <w:p w14:paraId="1F441BCE" w14:textId="77777777" w:rsidR="00DF6186" w:rsidRPr="00D673B0" w:rsidRDefault="00A007ED" w:rsidP="00C74146">
      <w:pPr>
        <w:pStyle w:val="Heading3"/>
        <w:numPr>
          <w:ilvl w:val="1"/>
          <w:numId w:val="11"/>
        </w:numPr>
        <w:snapToGrid w:val="0"/>
        <w:spacing w:after="120" w:line="240" w:lineRule="auto"/>
        <w:ind w:left="851" w:hanging="862"/>
        <w:jc w:val="left"/>
        <w:rPr>
          <w:rFonts w:ascii="Avenir Book" w:hAnsi="Avenir Book" w:cstheme="minorHAnsi"/>
          <w:color w:val="000000" w:themeColor="text1"/>
          <w:sz w:val="22"/>
          <w:szCs w:val="22"/>
        </w:rPr>
      </w:pPr>
      <w:bookmarkStart w:id="101" w:name="_Toc156825218"/>
      <w:r w:rsidRPr="00D673B0">
        <w:rPr>
          <w:rFonts w:ascii="Avenir Book" w:eastAsia="Arial" w:hAnsi="Avenir Book" w:cstheme="minorHAnsi"/>
          <w:bCs/>
          <w:color w:val="000000" w:themeColor="text1"/>
        </w:rPr>
        <w:t>Urgently address indefinite detention and deprivation of liberty of people with disability, particularly First Nations people with disability, people with cognitive disability, and people with psychosocial disability</w:t>
      </w:r>
      <w:bookmarkEnd w:id="101"/>
      <w:r w:rsidR="00955120" w:rsidRPr="00D673B0">
        <w:rPr>
          <w:rFonts w:ascii="Avenir Book" w:hAnsi="Avenir Book" w:cs="Calibri"/>
          <w:color w:val="000000" w:themeColor="text1"/>
        </w:rPr>
        <w:tab/>
      </w:r>
    </w:p>
    <w:p w14:paraId="260CDAF8" w14:textId="645E7AC4" w:rsidR="00434136" w:rsidRDefault="00434136" w:rsidP="00C74146">
      <w:pPr>
        <w:pStyle w:val="Heading3"/>
        <w:numPr>
          <w:ilvl w:val="2"/>
          <w:numId w:val="11"/>
        </w:numPr>
        <w:snapToGrid w:val="0"/>
        <w:ind w:left="851" w:hanging="851"/>
        <w:jc w:val="left"/>
        <w:rPr>
          <w:rFonts w:ascii="Avenir Book" w:hAnsi="Avenir Book" w:cs="Calibri"/>
          <w:b w:val="0"/>
          <w:bCs/>
          <w:color w:val="000000" w:themeColor="text1"/>
        </w:rPr>
      </w:pPr>
      <w:bookmarkStart w:id="102" w:name="_Toc156819936"/>
      <w:bookmarkStart w:id="103" w:name="_Toc156825219"/>
      <w:r w:rsidRPr="00434136">
        <w:rPr>
          <w:rFonts w:ascii="Avenir Book" w:hAnsi="Avenir Book" w:cs="Calibri"/>
          <w:b w:val="0"/>
          <w:bCs/>
          <w:color w:val="000000" w:themeColor="text1"/>
        </w:rPr>
        <w:t>Liberty and security of the person is one of the most precious rights to which everyone is entitled.</w:t>
      </w:r>
      <w:r w:rsidRPr="00434136">
        <w:rPr>
          <w:rFonts w:ascii="Avenir Book" w:hAnsi="Avenir Book" w:cs="Calibri"/>
          <w:b w:val="0"/>
          <w:bCs/>
          <w:color w:val="000000" w:themeColor="text1"/>
          <w:vertAlign w:val="superscript"/>
        </w:rPr>
        <w:endnoteReference w:id="147"/>
      </w:r>
      <w:r w:rsidRPr="00434136">
        <w:rPr>
          <w:rFonts w:ascii="Avenir Book" w:hAnsi="Avenir Book" w:cs="Calibri"/>
          <w:b w:val="0"/>
          <w:bCs/>
          <w:color w:val="000000" w:themeColor="text1"/>
        </w:rPr>
        <w:t xml:space="preserve">  Depriving people with disability of their liberty, including </w:t>
      </w:r>
      <w:r w:rsidRPr="00434136">
        <w:rPr>
          <w:rFonts w:ascii="Avenir Book" w:hAnsi="Avenir Book" w:cs="Calibri"/>
          <w:b w:val="0"/>
          <w:bCs/>
          <w:color w:val="000000" w:themeColor="text1"/>
        </w:rPr>
        <w:lastRenderedPageBreak/>
        <w:t>through restrictive practices (see section 3</w:t>
      </w:r>
      <w:r w:rsidR="00884DE2">
        <w:rPr>
          <w:rFonts w:ascii="Avenir Book" w:hAnsi="Avenir Book" w:cs="Calibri"/>
          <w:b w:val="0"/>
          <w:bCs/>
          <w:color w:val="000000" w:themeColor="text1"/>
        </w:rPr>
        <w:t>.3</w:t>
      </w:r>
      <w:r w:rsidRPr="00434136">
        <w:rPr>
          <w:rFonts w:ascii="Avenir Book" w:hAnsi="Avenir Book" w:cs="Calibri"/>
          <w:b w:val="0"/>
          <w:bCs/>
          <w:color w:val="000000" w:themeColor="text1"/>
        </w:rPr>
        <w:t xml:space="preserve"> above), involuntary mental health legislation (see section 3</w:t>
      </w:r>
      <w:r w:rsidR="00884DE2">
        <w:rPr>
          <w:rFonts w:ascii="Avenir Book" w:hAnsi="Avenir Book" w:cs="Calibri"/>
          <w:b w:val="0"/>
          <w:bCs/>
          <w:color w:val="000000" w:themeColor="text1"/>
        </w:rPr>
        <w:t>.3</w:t>
      </w:r>
      <w:r w:rsidRPr="00434136">
        <w:rPr>
          <w:rFonts w:ascii="Avenir Book" w:hAnsi="Avenir Book" w:cs="Calibri"/>
          <w:b w:val="0"/>
          <w:bCs/>
          <w:color w:val="000000" w:themeColor="text1"/>
        </w:rPr>
        <w:t xml:space="preserve"> above) and indefinite detention through justice diversion provisions, violates the right to liberty and security on an equal basis with others. CRPD article 14, </w:t>
      </w:r>
      <w:r w:rsidRPr="00434136">
        <w:rPr>
          <w:rFonts w:ascii="Avenir Book" w:hAnsi="Avenir Book" w:cs="Calibri"/>
          <w:b w:val="0"/>
          <w:bCs/>
          <w:i/>
          <w:iCs/>
          <w:color w:val="000000" w:themeColor="text1"/>
        </w:rPr>
        <w:t>Liberty and security of person</w:t>
      </w:r>
      <w:r w:rsidRPr="00434136">
        <w:rPr>
          <w:rFonts w:ascii="Avenir Book" w:hAnsi="Avenir Book" w:cs="Calibri"/>
          <w:b w:val="0"/>
          <w:bCs/>
          <w:color w:val="000000" w:themeColor="text1"/>
        </w:rPr>
        <w:t xml:space="preserve"> requires the absolute prohibition of detention on the basis of impairment.</w:t>
      </w:r>
      <w:r w:rsidRPr="00434136">
        <w:rPr>
          <w:rFonts w:ascii="Avenir Book" w:hAnsi="Avenir Book" w:cs="Calibri"/>
          <w:b w:val="0"/>
          <w:bCs/>
          <w:color w:val="000000" w:themeColor="text1"/>
          <w:vertAlign w:val="superscript"/>
        </w:rPr>
        <w:endnoteReference w:id="148"/>
      </w:r>
      <w:bookmarkEnd w:id="102"/>
      <w:bookmarkEnd w:id="103"/>
    </w:p>
    <w:p w14:paraId="6C24C4C6" w14:textId="77777777" w:rsidR="00434136" w:rsidRPr="00434136" w:rsidRDefault="00434136" w:rsidP="000F5FFF"/>
    <w:p w14:paraId="6B330ADE" w14:textId="77777777" w:rsidR="00434136" w:rsidRPr="00434136" w:rsidRDefault="00434136" w:rsidP="00C74146">
      <w:pPr>
        <w:pStyle w:val="ListParagraph"/>
        <w:numPr>
          <w:ilvl w:val="2"/>
          <w:numId w:val="11"/>
        </w:numPr>
        <w:spacing w:line="276" w:lineRule="auto"/>
        <w:ind w:left="851" w:hanging="851"/>
      </w:pPr>
      <w:r w:rsidRPr="00434136">
        <w:rPr>
          <w:rFonts w:ascii="Avenir Book" w:hAnsi="Avenir Book" w:cs="Calibri"/>
          <w:bCs/>
          <w:color w:val="000000" w:themeColor="text1"/>
        </w:rPr>
        <w:t>There remain deeply concerning issues with legislative, policy and practice frameworks, which result in the indefinite detention of people with disability, disproportionately experienced by First Nations people with disability, people with cognitive disability and people with psychosocial disability – including children across these cohort groups.</w:t>
      </w:r>
      <w:r w:rsidRPr="00434136">
        <w:rPr>
          <w:vertAlign w:val="superscript"/>
        </w:rPr>
        <w:endnoteReference w:id="149"/>
      </w:r>
      <w:r w:rsidRPr="00434136">
        <w:rPr>
          <w:rFonts w:ascii="Avenir Book" w:hAnsi="Avenir Book" w:cs="Calibri"/>
          <w:bCs/>
          <w:color w:val="000000" w:themeColor="text1"/>
          <w:vertAlign w:val="superscript"/>
        </w:rPr>
        <w:t xml:space="preserve"> </w:t>
      </w:r>
      <w:r w:rsidRPr="00434136">
        <w:rPr>
          <w:rFonts w:ascii="Avenir Book" w:hAnsi="Avenir Book" w:cs="Calibri"/>
          <w:bCs/>
          <w:color w:val="000000" w:themeColor="text1"/>
        </w:rPr>
        <w:t xml:space="preserve"> </w:t>
      </w:r>
    </w:p>
    <w:p w14:paraId="20D5B950" w14:textId="77777777" w:rsidR="00434136" w:rsidRDefault="00434136" w:rsidP="00434136">
      <w:pPr>
        <w:pStyle w:val="ListParagraph"/>
        <w:spacing w:line="276" w:lineRule="auto"/>
      </w:pPr>
    </w:p>
    <w:p w14:paraId="2034C4C3" w14:textId="43CB8981" w:rsidR="00434136" w:rsidRPr="00434136" w:rsidRDefault="00434136" w:rsidP="00C74146">
      <w:pPr>
        <w:pStyle w:val="ListParagraph"/>
        <w:numPr>
          <w:ilvl w:val="2"/>
          <w:numId w:val="11"/>
        </w:numPr>
        <w:spacing w:line="276" w:lineRule="auto"/>
        <w:ind w:left="851" w:hanging="851"/>
      </w:pPr>
      <w:r w:rsidRPr="00434136">
        <w:rPr>
          <w:rFonts w:ascii="Avenir Book" w:hAnsi="Avenir Book" w:cs="Calibri"/>
          <w:bCs/>
          <w:color w:val="000000" w:themeColor="text1"/>
        </w:rPr>
        <w:t>In its examination of this issue, the DRC highlighted that justice diversion provisions – ‘unfit to plead</w:t>
      </w:r>
      <w:r w:rsidR="00884DE2">
        <w:rPr>
          <w:rFonts w:ascii="Avenir Book" w:hAnsi="Avenir Book" w:cs="Calibri"/>
          <w:bCs/>
          <w:color w:val="000000" w:themeColor="text1"/>
        </w:rPr>
        <w:t>’</w:t>
      </w:r>
      <w:r w:rsidRPr="00434136">
        <w:rPr>
          <w:rFonts w:ascii="Avenir Book" w:hAnsi="Avenir Book" w:cs="Calibri"/>
          <w:bCs/>
          <w:color w:val="000000" w:themeColor="text1"/>
        </w:rPr>
        <w:t xml:space="preserve"> and ‘not guilty on the basis of mental impairment’ – are intended to protect people with disability, but “in practice, they can deny people with disability the right to exercise legal capacity and expose them to long-term detention”, including indefinite detention in forensic mental health units, forensic disability units or psychiatric hospitals and in adult prisons or juvenile detention facilities.</w:t>
      </w:r>
      <w:r w:rsidRPr="00434136">
        <w:rPr>
          <w:vertAlign w:val="superscript"/>
        </w:rPr>
        <w:endnoteReference w:id="150"/>
      </w:r>
    </w:p>
    <w:p w14:paraId="57CFC2F7" w14:textId="77777777" w:rsidR="00434136" w:rsidRDefault="00434136" w:rsidP="00434136">
      <w:pPr>
        <w:pStyle w:val="ListParagraph"/>
        <w:spacing w:line="276" w:lineRule="auto"/>
      </w:pPr>
    </w:p>
    <w:p w14:paraId="2D4C8BCA" w14:textId="6FA93434" w:rsidR="00434136" w:rsidRPr="00434136" w:rsidRDefault="00434136" w:rsidP="00C74146">
      <w:pPr>
        <w:pStyle w:val="ListParagraph"/>
        <w:numPr>
          <w:ilvl w:val="2"/>
          <w:numId w:val="11"/>
        </w:numPr>
        <w:spacing w:line="276" w:lineRule="auto"/>
        <w:ind w:left="851" w:hanging="851"/>
      </w:pPr>
      <w:r w:rsidRPr="00434136">
        <w:rPr>
          <w:rFonts w:ascii="Avenir Book" w:hAnsi="Avenir Book" w:cs="Calibri"/>
          <w:bCs/>
          <w:color w:val="000000" w:themeColor="text1"/>
        </w:rPr>
        <w:t>Once in indefinite detention, people with disability are subject to punitive treatment and practices that often amount to torture and other cruel, inhuman or degrading treatment or punishment (torture and ill-treatment)</w:t>
      </w:r>
      <w:r w:rsidR="00884DE2">
        <w:rPr>
          <w:rFonts w:ascii="Avenir Book" w:hAnsi="Avenir Book" w:cs="Calibri"/>
          <w:bCs/>
          <w:color w:val="000000" w:themeColor="text1"/>
        </w:rPr>
        <w:t>,</w:t>
      </w:r>
      <w:r w:rsidRPr="00434136">
        <w:rPr>
          <w:rFonts w:ascii="Avenir Book" w:hAnsi="Avenir Book" w:cs="Calibri"/>
          <w:bCs/>
          <w:color w:val="000000" w:themeColor="text1"/>
        </w:rPr>
        <w:t xml:space="preserve"> such as chemical, physical and other restraints, solitary confinement, denial of basic supports and a lack of appropriate support and housing options to enable people to leave detention facilities.</w:t>
      </w:r>
      <w:r w:rsidRPr="00434136">
        <w:rPr>
          <w:vertAlign w:val="superscript"/>
        </w:rPr>
        <w:endnoteReference w:id="151"/>
      </w:r>
      <w:r w:rsidRPr="00434136">
        <w:rPr>
          <w:rFonts w:ascii="Avenir Book" w:hAnsi="Avenir Book" w:cs="Calibri"/>
          <w:bCs/>
          <w:color w:val="000000" w:themeColor="text1"/>
        </w:rPr>
        <w:t xml:space="preserve"> </w:t>
      </w:r>
    </w:p>
    <w:p w14:paraId="258AB2FC" w14:textId="77777777" w:rsidR="00434136" w:rsidRDefault="00434136" w:rsidP="00434136">
      <w:pPr>
        <w:pStyle w:val="ListParagraph"/>
      </w:pPr>
    </w:p>
    <w:p w14:paraId="24C7B3C9" w14:textId="77777777" w:rsidR="00434136" w:rsidRPr="00434136" w:rsidRDefault="00434136" w:rsidP="00C74146">
      <w:pPr>
        <w:pStyle w:val="ListParagraph"/>
        <w:numPr>
          <w:ilvl w:val="2"/>
          <w:numId w:val="11"/>
        </w:numPr>
        <w:spacing w:line="276" w:lineRule="auto"/>
        <w:ind w:left="851" w:hanging="851"/>
      </w:pPr>
      <w:r w:rsidRPr="00434136">
        <w:rPr>
          <w:rFonts w:ascii="Avenir Book" w:hAnsi="Avenir Book" w:cs="Calibri"/>
          <w:bCs/>
          <w:color w:val="000000" w:themeColor="text1"/>
        </w:rPr>
        <w:t>Following international and Australian criticism and calls for reform,</w:t>
      </w:r>
      <w:r w:rsidRPr="00434136">
        <w:rPr>
          <w:vertAlign w:val="superscript"/>
        </w:rPr>
        <w:endnoteReference w:id="152"/>
      </w:r>
      <w:r w:rsidRPr="00434136">
        <w:rPr>
          <w:rFonts w:ascii="Avenir Book" w:hAnsi="Avenir Book" w:cs="Calibri"/>
          <w:bCs/>
          <w:color w:val="000000" w:themeColor="text1"/>
        </w:rPr>
        <w:t xml:space="preserve"> Australia made a voluntary commitment</w:t>
      </w:r>
      <w:r w:rsidRPr="00434136">
        <w:rPr>
          <w:vertAlign w:val="superscript"/>
        </w:rPr>
        <w:endnoteReference w:id="153"/>
      </w:r>
      <w:r w:rsidRPr="00434136">
        <w:rPr>
          <w:rFonts w:ascii="Avenir Book" w:hAnsi="Avenir Book" w:cs="Calibri"/>
          <w:bCs/>
          <w:color w:val="000000" w:themeColor="text1"/>
        </w:rPr>
        <w:t xml:space="preserve"> at the 2016 Universal Periodic Review (UPR)</w:t>
      </w:r>
      <w:r w:rsidRPr="00434136">
        <w:rPr>
          <w:vertAlign w:val="superscript"/>
        </w:rPr>
        <w:endnoteReference w:id="154"/>
      </w:r>
      <w:r w:rsidRPr="00434136">
        <w:rPr>
          <w:rFonts w:ascii="Avenir Book" w:hAnsi="Avenir Book" w:cs="Calibri"/>
          <w:bCs/>
          <w:color w:val="000000" w:themeColor="text1"/>
        </w:rPr>
        <w:t xml:space="preserve"> to improve the way the criminal justice system treats people with cognitive disability who are unfit to plead or found not guilty by reason of mental impairment. In 2016 Australian Governments</w:t>
      </w:r>
      <w:r w:rsidRPr="00434136">
        <w:rPr>
          <w:vertAlign w:val="superscript"/>
        </w:rPr>
        <w:endnoteReference w:id="155"/>
      </w:r>
      <w:r w:rsidRPr="00434136">
        <w:rPr>
          <w:rFonts w:ascii="Avenir Book" w:hAnsi="Avenir Book" w:cs="Calibri"/>
          <w:bCs/>
          <w:color w:val="000000" w:themeColor="text1"/>
        </w:rPr>
        <w:t xml:space="preserve"> tabled the </w:t>
      </w:r>
      <w:r w:rsidRPr="00434136">
        <w:rPr>
          <w:rFonts w:ascii="Avenir Book" w:hAnsi="Avenir Book" w:cs="Calibri"/>
          <w:bCs/>
          <w:i/>
          <w:iCs/>
          <w:color w:val="000000" w:themeColor="text1"/>
        </w:rPr>
        <w:t xml:space="preserve">National Statement of Principles Relating to Persons Unfit to Plead or Found Not Guilty by Reason of Cognitive or Mental Health Impairment </w:t>
      </w:r>
      <w:r w:rsidRPr="00434136">
        <w:rPr>
          <w:rFonts w:ascii="Avenir Book" w:hAnsi="Avenir Book" w:cs="Calibri"/>
          <w:bCs/>
          <w:color w:val="000000" w:themeColor="text1"/>
        </w:rPr>
        <w:t>(National Principles).</w:t>
      </w:r>
      <w:r w:rsidRPr="00434136">
        <w:rPr>
          <w:vertAlign w:val="superscript"/>
        </w:rPr>
        <w:endnoteReference w:id="156"/>
      </w:r>
      <w:r w:rsidRPr="00434136">
        <w:rPr>
          <w:rFonts w:ascii="Avenir Book" w:hAnsi="Avenir Book" w:cs="Calibri"/>
          <w:bCs/>
          <w:color w:val="000000" w:themeColor="text1"/>
        </w:rPr>
        <w:t xml:space="preserve"> As of August 2019, the National Principles have been endorsed by all states and territories, except South Australia.</w:t>
      </w:r>
      <w:r w:rsidRPr="00434136">
        <w:rPr>
          <w:vertAlign w:val="superscript"/>
        </w:rPr>
        <w:endnoteReference w:id="157"/>
      </w:r>
      <w:r w:rsidRPr="00434136">
        <w:rPr>
          <w:rFonts w:ascii="Avenir Book" w:hAnsi="Avenir Book" w:cs="Calibri"/>
          <w:bCs/>
          <w:color w:val="000000" w:themeColor="text1"/>
        </w:rPr>
        <w:t xml:space="preserve"> The National Principles are to be implemented by endorsing states and territories in the context of their own legislation, policy and procedures.</w:t>
      </w:r>
      <w:r w:rsidRPr="00434136">
        <w:rPr>
          <w:vertAlign w:val="superscript"/>
        </w:rPr>
        <w:endnoteReference w:id="158"/>
      </w:r>
      <w:r w:rsidRPr="00434136">
        <w:rPr>
          <w:rFonts w:ascii="Avenir Book" w:hAnsi="Avenir Book" w:cs="Calibri"/>
          <w:bCs/>
          <w:color w:val="000000" w:themeColor="text1"/>
          <w:vertAlign w:val="superscript"/>
        </w:rPr>
        <w:t xml:space="preserve"> </w:t>
      </w:r>
      <w:r w:rsidRPr="00434136">
        <w:rPr>
          <w:rFonts w:ascii="Avenir Book" w:hAnsi="Avenir Book" w:cs="Calibri"/>
          <w:bCs/>
          <w:color w:val="000000" w:themeColor="text1"/>
        </w:rPr>
        <w:t xml:space="preserve">However, despite endorsement, there remains minimal evidence to demonstrate </w:t>
      </w:r>
      <w:r w:rsidRPr="00434136">
        <w:rPr>
          <w:rFonts w:ascii="Avenir Book" w:hAnsi="Avenir Book" w:cs="Calibri"/>
          <w:bCs/>
          <w:color w:val="000000" w:themeColor="text1"/>
        </w:rPr>
        <w:lastRenderedPageBreak/>
        <w:t>how the National Principles</w:t>
      </w:r>
      <w:r w:rsidRPr="00434136">
        <w:rPr>
          <w:rFonts w:ascii="Avenir Book" w:hAnsi="Avenir Book" w:cs="Calibri"/>
          <w:bCs/>
          <w:i/>
          <w:iCs/>
          <w:color w:val="000000" w:themeColor="text1"/>
        </w:rPr>
        <w:t xml:space="preserve"> </w:t>
      </w:r>
      <w:r w:rsidRPr="00434136">
        <w:rPr>
          <w:rFonts w:ascii="Avenir Book" w:hAnsi="Avenir Book" w:cs="Calibri"/>
          <w:bCs/>
          <w:color w:val="000000" w:themeColor="text1"/>
        </w:rPr>
        <w:t>are effecting any change in practice.  The Australian Government has committed to a review of the National Principles in 2024.</w:t>
      </w:r>
      <w:r w:rsidRPr="00434136">
        <w:rPr>
          <w:vertAlign w:val="superscript"/>
        </w:rPr>
        <w:endnoteReference w:id="159"/>
      </w:r>
    </w:p>
    <w:p w14:paraId="4BE7B40D" w14:textId="77777777" w:rsidR="00434136" w:rsidRDefault="00434136" w:rsidP="00434136">
      <w:pPr>
        <w:pStyle w:val="ListParagraph"/>
      </w:pPr>
    </w:p>
    <w:p w14:paraId="31EF2D42" w14:textId="77777777" w:rsidR="00434136" w:rsidRPr="007B7BCE" w:rsidRDefault="00434136" w:rsidP="00C74146">
      <w:pPr>
        <w:pStyle w:val="ListParagraph"/>
        <w:numPr>
          <w:ilvl w:val="2"/>
          <w:numId w:val="11"/>
        </w:numPr>
        <w:spacing w:line="276" w:lineRule="auto"/>
        <w:ind w:left="851" w:hanging="851"/>
      </w:pPr>
      <w:r w:rsidRPr="00434136">
        <w:rPr>
          <w:rFonts w:ascii="Avenir Book" w:hAnsi="Avenir Book" w:cs="Calibri"/>
          <w:bCs/>
          <w:color w:val="000000" w:themeColor="text1"/>
        </w:rPr>
        <w:t>The DRC examined the over-representation of adults and children with disability,</w:t>
      </w:r>
      <w:r w:rsidRPr="00434136">
        <w:rPr>
          <w:vertAlign w:val="superscript"/>
        </w:rPr>
        <w:endnoteReference w:id="160"/>
      </w:r>
      <w:r w:rsidRPr="00434136">
        <w:rPr>
          <w:rFonts w:ascii="Avenir Book" w:hAnsi="Avenir Book" w:cs="Calibri"/>
          <w:bCs/>
          <w:color w:val="000000" w:themeColor="text1"/>
        </w:rPr>
        <w:t xml:space="preserve"> including the gross over-representation of First Nations people in the criminal justice system.</w:t>
      </w:r>
      <w:r w:rsidRPr="00434136">
        <w:rPr>
          <w:vertAlign w:val="superscript"/>
        </w:rPr>
        <w:endnoteReference w:id="161"/>
      </w:r>
      <w:r w:rsidRPr="00434136">
        <w:rPr>
          <w:rFonts w:ascii="Avenir Book" w:hAnsi="Avenir Book" w:cs="Calibri"/>
          <w:bCs/>
          <w:color w:val="000000" w:themeColor="text1"/>
        </w:rPr>
        <w:t xml:space="preserve">  It highlighted research that demonstrated underlying factors for over-representation, such as the criminalisation of disability,</w:t>
      </w:r>
      <w:r w:rsidRPr="00434136">
        <w:rPr>
          <w:vertAlign w:val="superscript"/>
        </w:rPr>
        <w:endnoteReference w:id="162"/>
      </w:r>
      <w:r w:rsidRPr="00434136">
        <w:rPr>
          <w:rFonts w:ascii="Avenir Book" w:hAnsi="Avenir Book" w:cs="Calibri"/>
          <w:bCs/>
          <w:color w:val="000000" w:themeColor="text1"/>
        </w:rPr>
        <w:t xml:space="preserve"> poverty, disrupted family backgrounds, family violence, unstable housing and homelessness and “the ongoing impact of colonisation, intergenerational trauma and grief and loss for First Nations people”.</w:t>
      </w:r>
      <w:r w:rsidRPr="00434136">
        <w:rPr>
          <w:vertAlign w:val="superscript"/>
        </w:rPr>
        <w:endnoteReference w:id="163"/>
      </w:r>
      <w:r w:rsidRPr="00434136">
        <w:rPr>
          <w:rFonts w:ascii="Avenir Book" w:hAnsi="Avenir Book" w:cs="Calibri"/>
          <w:bCs/>
          <w:color w:val="000000" w:themeColor="text1"/>
        </w:rPr>
        <w:t xml:space="preserve"> Disturbingly, research found that “the over-representation of First Nations people with mental and cognitive disabilities in the criminal justice system became ‘normalised’ in every community and context investigated”.</w:t>
      </w:r>
      <w:r w:rsidRPr="00434136">
        <w:rPr>
          <w:vertAlign w:val="superscript"/>
        </w:rPr>
        <w:endnoteReference w:id="164"/>
      </w:r>
      <w:r w:rsidRPr="00434136">
        <w:rPr>
          <w:rFonts w:ascii="Avenir Book" w:hAnsi="Avenir Book" w:cs="Calibri"/>
          <w:bCs/>
          <w:color w:val="000000" w:themeColor="text1"/>
        </w:rPr>
        <w:t xml:space="preserve"> </w:t>
      </w:r>
    </w:p>
    <w:p w14:paraId="26A19A31" w14:textId="77777777" w:rsidR="007B7BCE" w:rsidRDefault="007B7BCE" w:rsidP="007B7BCE">
      <w:pPr>
        <w:pStyle w:val="ListParagraph"/>
      </w:pPr>
    </w:p>
    <w:p w14:paraId="2CC57584" w14:textId="77777777" w:rsidR="00434136" w:rsidRPr="007B7BCE" w:rsidRDefault="00434136" w:rsidP="00C74146">
      <w:pPr>
        <w:pStyle w:val="ListParagraph"/>
        <w:numPr>
          <w:ilvl w:val="2"/>
          <w:numId w:val="11"/>
        </w:numPr>
        <w:spacing w:line="276" w:lineRule="auto"/>
        <w:ind w:left="851" w:hanging="851"/>
      </w:pPr>
      <w:r w:rsidRPr="007B7BCE">
        <w:rPr>
          <w:rFonts w:ascii="Avenir Book" w:hAnsi="Avenir Book" w:cs="Calibri"/>
          <w:bCs/>
          <w:color w:val="000000" w:themeColor="text1"/>
        </w:rPr>
        <w:t>Reports and evidence from other inquiries</w:t>
      </w:r>
      <w:r w:rsidRPr="00434136">
        <w:rPr>
          <w:vertAlign w:val="superscript"/>
        </w:rPr>
        <w:endnoteReference w:id="165"/>
      </w:r>
      <w:r w:rsidRPr="007B7BCE">
        <w:rPr>
          <w:rFonts w:ascii="Avenir Book" w:hAnsi="Avenir Book" w:cs="Calibri"/>
          <w:bCs/>
          <w:color w:val="000000" w:themeColor="text1"/>
        </w:rPr>
        <w:t xml:space="preserve"> have noted the disproportionate over-representation of First Nations women and girls in prisons, that the overwhelming majority of First Nations women in prison are survivors of violence, including sexual violence, and that they experience the effects of trauma, disability, poverty and housing insecurity.</w:t>
      </w:r>
      <w:r w:rsidRPr="00434136">
        <w:rPr>
          <w:vertAlign w:val="superscript"/>
        </w:rPr>
        <w:endnoteReference w:id="166"/>
      </w:r>
      <w:r w:rsidRPr="007B7BCE">
        <w:rPr>
          <w:rFonts w:ascii="Avenir Book" w:hAnsi="Avenir Book" w:cs="Calibri"/>
          <w:bCs/>
          <w:color w:val="000000" w:themeColor="text1"/>
        </w:rPr>
        <w:t xml:space="preserve"> However, criminal justice systems are largely unresponsive to the unique and specific circumstances of First Nations women.</w:t>
      </w:r>
      <w:r w:rsidRPr="00434136">
        <w:rPr>
          <w:vertAlign w:val="superscript"/>
        </w:rPr>
        <w:endnoteReference w:id="167"/>
      </w:r>
    </w:p>
    <w:p w14:paraId="1CFFCA6C" w14:textId="77777777" w:rsidR="007B7BCE" w:rsidRDefault="007B7BCE" w:rsidP="007B7BCE">
      <w:pPr>
        <w:pStyle w:val="ListParagraph"/>
      </w:pPr>
    </w:p>
    <w:p w14:paraId="04A3B676" w14:textId="77777777" w:rsidR="00434136" w:rsidRPr="007B7BCE" w:rsidRDefault="00434136" w:rsidP="00C74146">
      <w:pPr>
        <w:pStyle w:val="ListParagraph"/>
        <w:numPr>
          <w:ilvl w:val="2"/>
          <w:numId w:val="11"/>
        </w:numPr>
        <w:spacing w:line="276" w:lineRule="auto"/>
        <w:ind w:left="851" w:hanging="851"/>
      </w:pPr>
      <w:r w:rsidRPr="007B7BCE">
        <w:rPr>
          <w:rFonts w:ascii="Avenir Book" w:hAnsi="Avenir Book" w:cs="Calibri"/>
          <w:bCs/>
          <w:color w:val="000000" w:themeColor="text1"/>
        </w:rPr>
        <w:t>The DRC found that “the youngest children in the justice system are most often First Nations children, those with disability, and those involved in child protection systems”.</w:t>
      </w:r>
      <w:r w:rsidRPr="00434136">
        <w:rPr>
          <w:vertAlign w:val="superscript"/>
        </w:rPr>
        <w:endnoteReference w:id="168"/>
      </w:r>
      <w:r w:rsidRPr="007B7BCE">
        <w:rPr>
          <w:rFonts w:ascii="Avenir Book" w:hAnsi="Avenir Book" w:cs="Calibri"/>
          <w:bCs/>
          <w:color w:val="000000" w:themeColor="text1"/>
        </w:rPr>
        <w:t xml:space="preserve"> Evidence provided to the DRC highlighted children with fetal alcohol spectrum disorder (FASD) “and those with intellectual or psychosocial disabilities are at particular risk of being held in indefinite detention and are generally overrepresented in the juvenile justice system”.</w:t>
      </w:r>
      <w:r w:rsidRPr="00434136">
        <w:rPr>
          <w:vertAlign w:val="superscript"/>
        </w:rPr>
        <w:endnoteReference w:id="169"/>
      </w:r>
    </w:p>
    <w:p w14:paraId="0F1D6530" w14:textId="77777777" w:rsidR="007B7BCE" w:rsidRDefault="007B7BCE" w:rsidP="007B7BCE">
      <w:pPr>
        <w:pStyle w:val="ListParagraph"/>
      </w:pPr>
    </w:p>
    <w:p w14:paraId="424450E7" w14:textId="77777777" w:rsidR="00434136" w:rsidRPr="007B7BCE" w:rsidRDefault="00434136" w:rsidP="00C74146">
      <w:pPr>
        <w:pStyle w:val="ListParagraph"/>
        <w:numPr>
          <w:ilvl w:val="2"/>
          <w:numId w:val="11"/>
        </w:numPr>
        <w:spacing w:line="276" w:lineRule="auto"/>
        <w:ind w:left="851" w:hanging="851"/>
      </w:pPr>
      <w:r w:rsidRPr="007B7BCE">
        <w:rPr>
          <w:rFonts w:ascii="Avenir Book" w:hAnsi="Avenir Book" w:cs="Calibri"/>
          <w:bCs/>
          <w:color w:val="000000" w:themeColor="text1"/>
        </w:rPr>
        <w:t>Significant evidence was provided to the DRC regarding the ill-treatment of people with disability in adult prisons and juvenile detention facilities, including the lack of reasonable supports, lack of access to medication, medical attention and mental health treatment, and significant experiences of violence, restrictive practices, seclusion and solitary confinement.</w:t>
      </w:r>
      <w:r w:rsidRPr="00434136">
        <w:rPr>
          <w:vertAlign w:val="superscript"/>
        </w:rPr>
        <w:endnoteReference w:id="170"/>
      </w:r>
      <w:r w:rsidRPr="007B7BCE">
        <w:rPr>
          <w:rFonts w:ascii="Avenir Book" w:hAnsi="Avenir Book" w:cs="Calibri"/>
          <w:bCs/>
          <w:color w:val="000000" w:themeColor="text1"/>
        </w:rPr>
        <w:t xml:space="preserve"> </w:t>
      </w:r>
    </w:p>
    <w:p w14:paraId="3AE124B4" w14:textId="77777777" w:rsidR="007B7BCE" w:rsidRDefault="007B7BCE" w:rsidP="007B7BCE">
      <w:pPr>
        <w:pStyle w:val="ListParagraph"/>
      </w:pPr>
    </w:p>
    <w:p w14:paraId="2BD68565" w14:textId="77777777" w:rsidR="00434136" w:rsidRPr="007B7BCE" w:rsidRDefault="00434136" w:rsidP="00C74146">
      <w:pPr>
        <w:pStyle w:val="ListParagraph"/>
        <w:numPr>
          <w:ilvl w:val="2"/>
          <w:numId w:val="11"/>
        </w:numPr>
        <w:spacing w:line="276" w:lineRule="auto"/>
        <w:ind w:left="851" w:hanging="851"/>
      </w:pPr>
      <w:r w:rsidRPr="007B7BCE">
        <w:rPr>
          <w:rFonts w:ascii="Avenir Book" w:hAnsi="Avenir Book" w:cs="Calibri"/>
          <w:bCs/>
          <w:color w:val="000000" w:themeColor="text1"/>
        </w:rPr>
        <w:t xml:space="preserve">Other investigations have found that there is a lack of gender-specific measures in women’s correctional facilities, including correctional facilities based on male maximum security prisons, the use of strip searches despite the availability of body scanners, the lack of provision of sanitary items, the inconsistency in </w:t>
      </w:r>
      <w:r w:rsidRPr="007B7BCE">
        <w:rPr>
          <w:rFonts w:ascii="Avenir Book" w:hAnsi="Avenir Book" w:cs="Calibri"/>
          <w:bCs/>
          <w:color w:val="000000" w:themeColor="text1"/>
        </w:rPr>
        <w:lastRenderedPageBreak/>
        <w:t>delivering cultural support and activities for First Nations women, the inconsistency in female staff availability and lack of appropriate communication and face-to-face settings for women with cognitive disability and those with low literacy.</w:t>
      </w:r>
      <w:r w:rsidRPr="00434136">
        <w:rPr>
          <w:vertAlign w:val="superscript"/>
        </w:rPr>
        <w:endnoteReference w:id="171"/>
      </w:r>
      <w:r w:rsidRPr="007B7BCE">
        <w:rPr>
          <w:rFonts w:ascii="Avenir Book" w:hAnsi="Avenir Book" w:cs="Calibri"/>
          <w:bCs/>
          <w:color w:val="000000" w:themeColor="text1"/>
        </w:rPr>
        <w:t xml:space="preserve"> </w:t>
      </w:r>
    </w:p>
    <w:p w14:paraId="351C1D63" w14:textId="77777777" w:rsidR="007B7BCE" w:rsidRDefault="007B7BCE" w:rsidP="007B7BCE">
      <w:pPr>
        <w:pStyle w:val="ListParagraph"/>
      </w:pPr>
    </w:p>
    <w:p w14:paraId="1F3F8F84" w14:textId="77777777" w:rsidR="00434136" w:rsidRPr="007B7BCE" w:rsidRDefault="00434136" w:rsidP="00C74146">
      <w:pPr>
        <w:pStyle w:val="ListParagraph"/>
        <w:numPr>
          <w:ilvl w:val="2"/>
          <w:numId w:val="11"/>
        </w:numPr>
        <w:spacing w:line="276" w:lineRule="auto"/>
        <w:ind w:left="851" w:hanging="851"/>
      </w:pPr>
      <w:r w:rsidRPr="007B7BCE">
        <w:rPr>
          <w:rFonts w:ascii="Avenir Book" w:hAnsi="Avenir Book" w:cs="Calibri"/>
          <w:bCs/>
          <w:color w:val="000000" w:themeColor="text1"/>
        </w:rPr>
        <w:t>Investigations and media reports have found that children with disability in juvenile detention facilities are restrained with handcuffs, leg shackles and spit hoods, strip-searched, subject to excessive use of force by youth detention officers and subject to sexual assault by other detainees and youth detention officers.</w:t>
      </w:r>
      <w:r w:rsidRPr="00434136">
        <w:rPr>
          <w:vertAlign w:val="superscript"/>
        </w:rPr>
        <w:endnoteReference w:id="172"/>
      </w:r>
      <w:r w:rsidRPr="007B7BCE">
        <w:rPr>
          <w:rFonts w:ascii="Avenir Book" w:hAnsi="Avenir Book" w:cs="Calibri"/>
          <w:bCs/>
          <w:color w:val="000000" w:themeColor="text1"/>
        </w:rPr>
        <w:t xml:space="preserve"> Children with disabilities, many of whom are First Nations children, continue to be held in deplorable conditions and subject to restraint in adult detention centres and adult watch houses, including being placed in isolation for weeks.</w:t>
      </w:r>
      <w:r w:rsidRPr="00434136">
        <w:rPr>
          <w:vertAlign w:val="superscript"/>
        </w:rPr>
        <w:endnoteReference w:id="173"/>
      </w:r>
      <w:r w:rsidRPr="007B7BCE">
        <w:rPr>
          <w:rFonts w:ascii="Avenir Book" w:hAnsi="Avenir Book" w:cs="Calibri"/>
          <w:bCs/>
          <w:color w:val="000000" w:themeColor="text1"/>
        </w:rPr>
        <w:t xml:space="preserve"> In Queensland, the indefinite detention of children in adult police watch houses has been facilitated by legislation that overrides the </w:t>
      </w:r>
      <w:r w:rsidRPr="007B7BCE">
        <w:rPr>
          <w:rFonts w:ascii="Avenir Book" w:hAnsi="Avenir Book" w:cs="Calibri"/>
          <w:bCs/>
          <w:i/>
          <w:iCs/>
          <w:color w:val="000000" w:themeColor="text1"/>
        </w:rPr>
        <w:t>Human Rights Act 2019</w:t>
      </w:r>
      <w:r w:rsidRPr="007B7BCE">
        <w:rPr>
          <w:rFonts w:ascii="Avenir Book" w:hAnsi="Avenir Book" w:cs="Calibri"/>
          <w:bCs/>
          <w:color w:val="000000" w:themeColor="text1"/>
        </w:rPr>
        <w:t xml:space="preserve"> (QLD).</w:t>
      </w:r>
      <w:r w:rsidRPr="00434136">
        <w:rPr>
          <w:vertAlign w:val="superscript"/>
        </w:rPr>
        <w:endnoteReference w:id="174"/>
      </w:r>
      <w:r w:rsidRPr="007B7BCE">
        <w:rPr>
          <w:rFonts w:ascii="Avenir Book" w:hAnsi="Avenir Book" w:cs="Calibri"/>
          <w:bCs/>
          <w:color w:val="000000" w:themeColor="text1"/>
        </w:rPr>
        <w:t xml:space="preserve"> </w:t>
      </w:r>
    </w:p>
    <w:p w14:paraId="3FC0F08E" w14:textId="77777777" w:rsidR="007B7BCE" w:rsidRDefault="007B7BCE" w:rsidP="007B7BCE">
      <w:pPr>
        <w:pStyle w:val="ListParagraph"/>
      </w:pPr>
    </w:p>
    <w:p w14:paraId="711327B2" w14:textId="77777777" w:rsidR="00434136" w:rsidRPr="007B7BCE" w:rsidRDefault="00434136" w:rsidP="00C74146">
      <w:pPr>
        <w:pStyle w:val="ListParagraph"/>
        <w:numPr>
          <w:ilvl w:val="2"/>
          <w:numId w:val="11"/>
        </w:numPr>
        <w:spacing w:line="276" w:lineRule="auto"/>
        <w:ind w:left="851" w:hanging="851"/>
      </w:pPr>
      <w:r w:rsidRPr="007B7BCE">
        <w:rPr>
          <w:rFonts w:ascii="Avenir Book" w:hAnsi="Avenir Book" w:cs="Calibri"/>
          <w:bCs/>
          <w:color w:val="000000" w:themeColor="text1"/>
        </w:rPr>
        <w:t>The DRC examined Australia’s human rights obligations under international law, state and territory human rights law, and anti-discrimination law in relation to criminal justice and the rights of people with disability.</w:t>
      </w:r>
      <w:r w:rsidRPr="00434136">
        <w:rPr>
          <w:vertAlign w:val="superscript"/>
        </w:rPr>
        <w:endnoteReference w:id="175"/>
      </w:r>
      <w:r w:rsidRPr="007B7BCE">
        <w:rPr>
          <w:rFonts w:ascii="Avenir Book" w:hAnsi="Avenir Book" w:cs="Calibri"/>
          <w:bCs/>
          <w:color w:val="000000" w:themeColor="text1"/>
        </w:rPr>
        <w:t xml:space="preserve">  Despite these obligations, and numerous recommendations from other Royal Commissions, independent inquiries and parliamentary inquiries,</w:t>
      </w:r>
      <w:r w:rsidRPr="00434136">
        <w:rPr>
          <w:vertAlign w:val="superscript"/>
        </w:rPr>
        <w:endnoteReference w:id="176"/>
      </w:r>
      <w:r w:rsidRPr="007B7BCE">
        <w:rPr>
          <w:rFonts w:ascii="Avenir Book" w:hAnsi="Avenir Book" w:cs="Calibri"/>
          <w:bCs/>
          <w:color w:val="000000" w:themeColor="text1"/>
        </w:rPr>
        <w:t xml:space="preserve"> the evidence overwhelmingly demonstrates that significant violations of human rights, including indefinite detention and violations that constitute torture and ill-treatment continue to be experienced by people with disabilities in forensic mental health units, forensic disability units or psychiatric hospitals and adult prisons and juvenile detention facilities.</w:t>
      </w:r>
    </w:p>
    <w:p w14:paraId="1E3ED5CD" w14:textId="77777777" w:rsidR="007B7BCE" w:rsidRDefault="007B7BCE" w:rsidP="007B7BCE">
      <w:pPr>
        <w:pStyle w:val="ListParagraph"/>
      </w:pPr>
    </w:p>
    <w:p w14:paraId="5FB7FF9F" w14:textId="77777777" w:rsidR="00434136" w:rsidRPr="007B7BCE" w:rsidRDefault="00434136" w:rsidP="00C74146">
      <w:pPr>
        <w:pStyle w:val="ListParagraph"/>
        <w:numPr>
          <w:ilvl w:val="2"/>
          <w:numId w:val="11"/>
        </w:numPr>
        <w:spacing w:line="276" w:lineRule="auto"/>
        <w:ind w:left="851" w:hanging="851"/>
      </w:pPr>
      <w:r w:rsidRPr="007B7BCE">
        <w:rPr>
          <w:rFonts w:ascii="Avenir Book" w:hAnsi="Avenir Book" w:cs="Calibri"/>
          <w:bCs/>
          <w:color w:val="000000" w:themeColor="text1"/>
        </w:rPr>
        <w:t>The ongoing disturbing evidence regarding the situation of adults and children with disability, particularly First Nations people in the criminal justice system, and the lack of implementation of recommendations from numerous previous inquiries makes it imperative that the DRC recommendations do not become part of the “inquiry mentality, in which investigation is allowed as substitution for action, and reporting is accepted as a replacement for results”.</w:t>
      </w:r>
      <w:r w:rsidRPr="00434136">
        <w:rPr>
          <w:vertAlign w:val="superscript"/>
        </w:rPr>
        <w:endnoteReference w:id="177"/>
      </w:r>
      <w:r w:rsidRPr="007B7BCE">
        <w:rPr>
          <w:rFonts w:ascii="Avenir Book" w:hAnsi="Avenir Book" w:cs="Calibri"/>
          <w:bCs/>
          <w:color w:val="000000" w:themeColor="text1"/>
        </w:rPr>
        <w:t xml:space="preserve"> Urgent and concerted action is required. </w:t>
      </w:r>
    </w:p>
    <w:p w14:paraId="3713AF78" w14:textId="77777777" w:rsidR="007B7BCE" w:rsidRDefault="007B7BCE" w:rsidP="007B7BCE">
      <w:pPr>
        <w:pStyle w:val="ListParagraph"/>
      </w:pPr>
    </w:p>
    <w:p w14:paraId="28CAD686" w14:textId="77777777" w:rsidR="00434136" w:rsidRPr="007B7BCE" w:rsidRDefault="00434136" w:rsidP="00C74146">
      <w:pPr>
        <w:pStyle w:val="ListParagraph"/>
        <w:numPr>
          <w:ilvl w:val="2"/>
          <w:numId w:val="11"/>
        </w:numPr>
        <w:spacing w:after="120" w:line="276" w:lineRule="auto"/>
        <w:ind w:left="851" w:hanging="851"/>
        <w:contextualSpacing w:val="0"/>
      </w:pPr>
      <w:r w:rsidRPr="007B7BCE">
        <w:rPr>
          <w:rFonts w:ascii="Avenir Book" w:hAnsi="Avenir Book" w:cs="Calibri"/>
          <w:bCs/>
          <w:color w:val="000000" w:themeColor="text1"/>
        </w:rPr>
        <w:t>We generally support the DRC recommendations in relation to the criminal justice system,</w:t>
      </w:r>
      <w:r w:rsidRPr="00434136">
        <w:rPr>
          <w:vertAlign w:val="superscript"/>
        </w:rPr>
        <w:endnoteReference w:id="178"/>
      </w:r>
      <w:r w:rsidRPr="007B7BCE">
        <w:rPr>
          <w:rFonts w:ascii="Avenir Book" w:hAnsi="Avenir Book" w:cs="Calibri"/>
          <w:bCs/>
          <w:color w:val="000000" w:themeColor="text1"/>
        </w:rPr>
        <w:t xml:space="preserve"> but we argue that a number of these recommendations need to be strengthened.  We also believe that these recommendations do not go far enough, and there needs to be additional action to address indefinite detention </w:t>
      </w:r>
      <w:r w:rsidRPr="007B7BCE">
        <w:rPr>
          <w:rFonts w:ascii="Avenir Book" w:hAnsi="Avenir Book" w:cs="Calibri"/>
          <w:bCs/>
          <w:color w:val="000000" w:themeColor="text1"/>
        </w:rPr>
        <w:lastRenderedPageBreak/>
        <w:t>and the over-representation of people with disability in the criminal justice system.  In this context, we make the following points:</w:t>
      </w:r>
    </w:p>
    <w:p w14:paraId="523DFAA6" w14:textId="77777777" w:rsidR="00884DE2" w:rsidRDefault="00434136" w:rsidP="00C74146">
      <w:pPr>
        <w:pStyle w:val="Heading3"/>
        <w:numPr>
          <w:ilvl w:val="0"/>
          <w:numId w:val="7"/>
        </w:numPr>
        <w:snapToGrid w:val="0"/>
        <w:spacing w:after="120"/>
        <w:ind w:left="1135" w:hanging="284"/>
        <w:jc w:val="left"/>
        <w:rPr>
          <w:rFonts w:ascii="Avenir Book" w:hAnsi="Avenir Book" w:cs="Calibri"/>
          <w:b w:val="0"/>
          <w:bCs/>
          <w:color w:val="000000" w:themeColor="text1"/>
        </w:rPr>
      </w:pPr>
      <w:bookmarkStart w:id="106" w:name="_Toc156819937"/>
      <w:bookmarkStart w:id="107" w:name="_Toc156825220"/>
      <w:r w:rsidRPr="00434136">
        <w:rPr>
          <w:rFonts w:ascii="Avenir Book" w:hAnsi="Avenir Book" w:cs="Calibri"/>
          <w:b w:val="0"/>
          <w:bCs/>
          <w:color w:val="000000" w:themeColor="text1"/>
        </w:rPr>
        <w:t xml:space="preserve">In relation to monitoring under the </w:t>
      </w:r>
      <w:r w:rsidRPr="00434136">
        <w:rPr>
          <w:rFonts w:ascii="Avenir Book" w:hAnsi="Avenir Book" w:cs="Calibri"/>
          <w:b w:val="0"/>
          <w:bCs/>
          <w:i/>
          <w:iCs/>
          <w:color w:val="000000" w:themeColor="text1"/>
        </w:rPr>
        <w:t xml:space="preserve">Optional Protocol to the Convention against Torture and Other Cruel, Inhuman or Degrading Treatment or Punishment </w:t>
      </w:r>
      <w:r w:rsidRPr="00434136">
        <w:rPr>
          <w:rFonts w:ascii="Avenir Book" w:hAnsi="Avenir Book" w:cs="Calibri"/>
          <w:b w:val="0"/>
          <w:bCs/>
          <w:color w:val="000000" w:themeColor="text1"/>
        </w:rPr>
        <w:t>(OPCAT),</w:t>
      </w:r>
      <w:r w:rsidRPr="00434136">
        <w:rPr>
          <w:rFonts w:ascii="Avenir Book" w:hAnsi="Avenir Book" w:cs="Calibri"/>
          <w:b w:val="0"/>
          <w:bCs/>
          <w:color w:val="000000" w:themeColor="text1"/>
          <w:vertAlign w:val="superscript"/>
        </w:rPr>
        <w:endnoteReference w:id="179"/>
      </w:r>
      <w:r w:rsidRPr="00434136">
        <w:rPr>
          <w:rFonts w:ascii="Avenir Book" w:hAnsi="Avenir Book" w:cs="Calibri"/>
          <w:b w:val="0"/>
          <w:bCs/>
          <w:color w:val="000000" w:themeColor="text1"/>
        </w:rPr>
        <w:t xml:space="preserve"> we strongly support all recommendations in the Final Report – recommendations 8.2 and 11.6-11.11 – and consider that these recommendations should be implemented as a matter of priority.</w:t>
      </w:r>
      <w:bookmarkEnd w:id="106"/>
      <w:bookmarkEnd w:id="107"/>
    </w:p>
    <w:p w14:paraId="7BB37203" w14:textId="0043CC6D" w:rsidR="00884DE2" w:rsidRDefault="00434136" w:rsidP="00C74146">
      <w:pPr>
        <w:pStyle w:val="Heading3"/>
        <w:numPr>
          <w:ilvl w:val="0"/>
          <w:numId w:val="7"/>
        </w:numPr>
        <w:snapToGrid w:val="0"/>
        <w:spacing w:after="120"/>
        <w:ind w:left="1135" w:hanging="284"/>
        <w:jc w:val="left"/>
        <w:rPr>
          <w:rFonts w:ascii="Avenir Book" w:hAnsi="Avenir Book" w:cs="Calibri"/>
          <w:b w:val="0"/>
          <w:bCs/>
          <w:color w:val="000000" w:themeColor="text1"/>
        </w:rPr>
      </w:pPr>
      <w:bookmarkStart w:id="108" w:name="_Toc156819938"/>
      <w:bookmarkStart w:id="109" w:name="_Toc156825221"/>
      <w:r w:rsidRPr="00434136">
        <w:rPr>
          <w:rFonts w:ascii="Avenir Book" w:hAnsi="Avenir Book" w:cs="Calibri"/>
          <w:b w:val="0"/>
          <w:bCs/>
          <w:color w:val="000000" w:themeColor="text1"/>
        </w:rPr>
        <w:t>In relation to raising the age of criminal responsibility – recommendation 8.22 – we strongly support this recommendation and consider that it should be implemented as a matter of priority.</w:t>
      </w:r>
      <w:bookmarkEnd w:id="108"/>
      <w:bookmarkEnd w:id="109"/>
    </w:p>
    <w:p w14:paraId="00C78D6E" w14:textId="2D21138F" w:rsidR="00FA68AE" w:rsidRDefault="00434136" w:rsidP="00C74146">
      <w:pPr>
        <w:pStyle w:val="Heading3"/>
        <w:numPr>
          <w:ilvl w:val="0"/>
          <w:numId w:val="7"/>
        </w:numPr>
        <w:snapToGrid w:val="0"/>
        <w:spacing w:after="120"/>
        <w:ind w:left="1135" w:hanging="284"/>
        <w:jc w:val="left"/>
        <w:rPr>
          <w:rFonts w:ascii="Avenir Book" w:hAnsi="Avenir Book" w:cs="Calibri"/>
          <w:b w:val="0"/>
          <w:bCs/>
          <w:color w:val="000000" w:themeColor="text1"/>
        </w:rPr>
      </w:pPr>
      <w:bookmarkStart w:id="110" w:name="_Toc156819939"/>
      <w:bookmarkStart w:id="111" w:name="_Toc156825222"/>
      <w:r w:rsidRPr="00434136">
        <w:rPr>
          <w:rFonts w:ascii="Avenir Book" w:hAnsi="Avenir Book" w:cs="Calibri"/>
          <w:b w:val="0"/>
          <w:bCs/>
          <w:color w:val="000000" w:themeColor="text1"/>
        </w:rPr>
        <w:t xml:space="preserve">The prohibition of solitary confinement in youth detention – recommendation 8.3 – is supported in principle. </w:t>
      </w:r>
      <w:r w:rsidR="009C5581">
        <w:rPr>
          <w:rFonts w:ascii="Avenir Book" w:hAnsi="Avenir Book" w:cs="Calibri"/>
          <w:b w:val="0"/>
          <w:bCs/>
          <w:color w:val="000000" w:themeColor="text1"/>
        </w:rPr>
        <w:t>T</w:t>
      </w:r>
      <w:r w:rsidRPr="00434136">
        <w:rPr>
          <w:rFonts w:ascii="Avenir Book" w:hAnsi="Avenir Book" w:cs="Calibri"/>
          <w:b w:val="0"/>
          <w:bCs/>
          <w:color w:val="000000" w:themeColor="text1"/>
        </w:rPr>
        <w:t>he definition of solitary confinement as being “enforced isolation or segregation… for 22 or more hours in any day”</w:t>
      </w:r>
      <w:r w:rsidR="00C209E1">
        <w:rPr>
          <w:rStyle w:val="EndnoteReference"/>
          <w:rFonts w:ascii="Avenir Book" w:hAnsi="Avenir Book" w:cs="Calibri"/>
          <w:b w:val="0"/>
          <w:bCs/>
          <w:color w:val="000000" w:themeColor="text1"/>
        </w:rPr>
        <w:endnoteReference w:id="180"/>
      </w:r>
      <w:r w:rsidRPr="00434136">
        <w:rPr>
          <w:rFonts w:ascii="Avenir Book" w:hAnsi="Avenir Book" w:cs="Calibri"/>
          <w:b w:val="0"/>
          <w:bCs/>
          <w:color w:val="000000" w:themeColor="text1"/>
        </w:rPr>
        <w:t xml:space="preserve"> is the same for adult prisoners and youth detainees, some as young as 10 years of age.</w:t>
      </w:r>
      <w:r w:rsidRPr="00434136">
        <w:rPr>
          <w:rFonts w:ascii="Avenir Book" w:hAnsi="Avenir Book" w:cs="Calibri"/>
          <w:b w:val="0"/>
          <w:bCs/>
          <w:color w:val="000000" w:themeColor="text1"/>
          <w:vertAlign w:val="superscript"/>
        </w:rPr>
        <w:endnoteReference w:id="181"/>
      </w:r>
      <w:r w:rsidRPr="00434136">
        <w:rPr>
          <w:rFonts w:ascii="Avenir Book" w:hAnsi="Avenir Book" w:cs="Calibri"/>
          <w:b w:val="0"/>
          <w:bCs/>
          <w:color w:val="000000" w:themeColor="text1"/>
        </w:rPr>
        <w:t xml:space="preserve">  While this definition is consistent with the </w:t>
      </w:r>
      <w:r w:rsidRPr="00434136">
        <w:rPr>
          <w:rFonts w:ascii="Avenir Book" w:hAnsi="Avenir Book" w:cs="Calibri"/>
          <w:b w:val="0"/>
          <w:bCs/>
          <w:i/>
          <w:iCs/>
          <w:color w:val="000000" w:themeColor="text1"/>
        </w:rPr>
        <w:t>UN Standard Minimum Rules for the Treatment of Prisoners</w:t>
      </w:r>
      <w:r w:rsidRPr="00434136">
        <w:rPr>
          <w:rFonts w:ascii="Avenir Book" w:hAnsi="Avenir Book" w:cs="Calibri"/>
          <w:b w:val="0"/>
          <w:bCs/>
          <w:color w:val="000000" w:themeColor="text1"/>
        </w:rPr>
        <w:t xml:space="preserve"> (the Nelson Mandela Rules),</w:t>
      </w:r>
      <w:r w:rsidRPr="00434136">
        <w:rPr>
          <w:rFonts w:ascii="Avenir Book" w:hAnsi="Avenir Book" w:cs="Calibri"/>
          <w:b w:val="0"/>
          <w:bCs/>
          <w:color w:val="000000" w:themeColor="text1"/>
          <w:vertAlign w:val="superscript"/>
        </w:rPr>
        <w:endnoteReference w:id="182"/>
      </w:r>
      <w:r w:rsidRPr="00434136">
        <w:rPr>
          <w:rFonts w:ascii="Avenir Book" w:hAnsi="Avenir Book" w:cs="Calibri"/>
          <w:b w:val="0"/>
          <w:bCs/>
          <w:color w:val="000000" w:themeColor="text1"/>
        </w:rPr>
        <w:t xml:space="preserve"> </w:t>
      </w:r>
      <w:r w:rsidR="009C5581">
        <w:rPr>
          <w:rFonts w:ascii="Avenir Book" w:hAnsi="Avenir Book" w:cs="Calibri"/>
          <w:b w:val="0"/>
          <w:bCs/>
          <w:color w:val="000000" w:themeColor="text1"/>
        </w:rPr>
        <w:t xml:space="preserve">further </w:t>
      </w:r>
      <w:r w:rsidRPr="00434136">
        <w:rPr>
          <w:rFonts w:ascii="Avenir Book" w:hAnsi="Avenir Book" w:cs="Calibri"/>
          <w:b w:val="0"/>
          <w:bCs/>
          <w:color w:val="000000" w:themeColor="text1"/>
        </w:rPr>
        <w:t xml:space="preserve">discussion </w:t>
      </w:r>
      <w:r w:rsidR="009C5581">
        <w:rPr>
          <w:rFonts w:ascii="Avenir Book" w:hAnsi="Avenir Book" w:cs="Calibri"/>
          <w:b w:val="0"/>
          <w:bCs/>
          <w:color w:val="000000" w:themeColor="text1"/>
        </w:rPr>
        <w:t>is required to</w:t>
      </w:r>
      <w:r w:rsidRPr="00434136">
        <w:rPr>
          <w:rFonts w:ascii="Avenir Book" w:hAnsi="Avenir Book" w:cs="Calibri"/>
          <w:b w:val="0"/>
          <w:bCs/>
          <w:color w:val="000000" w:themeColor="text1"/>
        </w:rPr>
        <w:t xml:space="preserve"> refin</w:t>
      </w:r>
      <w:r w:rsidR="009C5581">
        <w:rPr>
          <w:rFonts w:ascii="Avenir Book" w:hAnsi="Avenir Book" w:cs="Calibri"/>
          <w:b w:val="0"/>
          <w:bCs/>
          <w:color w:val="000000" w:themeColor="text1"/>
        </w:rPr>
        <w:t>e</w:t>
      </w:r>
      <w:r w:rsidRPr="00434136">
        <w:rPr>
          <w:rFonts w:ascii="Avenir Book" w:hAnsi="Avenir Book" w:cs="Calibri"/>
          <w:b w:val="0"/>
          <w:bCs/>
          <w:color w:val="000000" w:themeColor="text1"/>
        </w:rPr>
        <w:t xml:space="preserve"> this recommendation for more clarity and stricter safeguards to respond to probable histories of child trauma, abuse and neglect and to the specific development, health and well-being needs of children.</w:t>
      </w:r>
      <w:r w:rsidRPr="00434136">
        <w:rPr>
          <w:rFonts w:ascii="Avenir Book" w:hAnsi="Avenir Book" w:cs="Calibri"/>
          <w:b w:val="0"/>
          <w:bCs/>
          <w:color w:val="000000" w:themeColor="text1"/>
          <w:vertAlign w:val="superscript"/>
        </w:rPr>
        <w:endnoteReference w:id="183"/>
      </w:r>
      <w:bookmarkEnd w:id="110"/>
      <w:bookmarkEnd w:id="111"/>
    </w:p>
    <w:p w14:paraId="54825276" w14:textId="46BB0D12" w:rsidR="00FA68AE" w:rsidRDefault="00434136" w:rsidP="00C74146">
      <w:pPr>
        <w:pStyle w:val="Heading3"/>
        <w:numPr>
          <w:ilvl w:val="0"/>
          <w:numId w:val="7"/>
        </w:numPr>
        <w:snapToGrid w:val="0"/>
        <w:spacing w:after="120"/>
        <w:ind w:left="1135" w:hanging="284"/>
        <w:jc w:val="left"/>
        <w:rPr>
          <w:rFonts w:ascii="Avenir Book" w:hAnsi="Avenir Book" w:cs="Calibri"/>
          <w:b w:val="0"/>
          <w:bCs/>
          <w:color w:val="000000" w:themeColor="text1"/>
        </w:rPr>
      </w:pPr>
      <w:bookmarkStart w:id="112" w:name="_Toc156819940"/>
      <w:bookmarkStart w:id="113" w:name="_Toc156825223"/>
      <w:r w:rsidRPr="00434136">
        <w:rPr>
          <w:rFonts w:ascii="Avenir Book" w:hAnsi="Avenir Book" w:cs="Calibri"/>
          <w:b w:val="0"/>
          <w:bCs/>
          <w:color w:val="000000" w:themeColor="text1"/>
        </w:rPr>
        <w:t>Screening and assessment for disability in youth detention - recommendation 8.4 – is supported in principle. However, we do not agree that screening and assessment should be limited to children with cognitive disability. Evidence demonstrates that there is a lack of disaggregated data on disability in youth detention,</w:t>
      </w:r>
      <w:r w:rsidRPr="00434136">
        <w:rPr>
          <w:rFonts w:ascii="Avenir Book" w:hAnsi="Avenir Book" w:cs="Calibri"/>
          <w:b w:val="0"/>
          <w:bCs/>
          <w:color w:val="000000" w:themeColor="text1"/>
          <w:vertAlign w:val="superscript"/>
        </w:rPr>
        <w:endnoteReference w:id="184"/>
      </w:r>
      <w:r w:rsidRPr="00434136">
        <w:rPr>
          <w:rFonts w:ascii="Avenir Book" w:hAnsi="Avenir Book" w:cs="Calibri"/>
          <w:b w:val="0"/>
          <w:bCs/>
          <w:color w:val="000000" w:themeColor="text1"/>
        </w:rPr>
        <w:t xml:space="preserve"> although available evidence indicates that children and young people in detention are more likely to have cognitive disability, psychosocial disability and unidentified hearing impairment</w:t>
      </w:r>
      <w:r w:rsidRPr="00434136">
        <w:rPr>
          <w:rFonts w:ascii="Avenir Book" w:hAnsi="Avenir Book" w:cs="Calibri"/>
          <w:b w:val="0"/>
          <w:bCs/>
          <w:color w:val="000000" w:themeColor="text1"/>
          <w:vertAlign w:val="superscript"/>
        </w:rPr>
        <w:endnoteReference w:id="185"/>
      </w:r>
      <w:r w:rsidRPr="00434136">
        <w:rPr>
          <w:rFonts w:ascii="Avenir Book" w:hAnsi="Avenir Book" w:cs="Calibri"/>
          <w:b w:val="0"/>
          <w:bCs/>
          <w:color w:val="000000" w:themeColor="text1"/>
        </w:rPr>
        <w:t xml:space="preserve"> as well as multiple impairments. All children and young people should receive screening and assessment in order to ensure that the necessary reasonable adjustments and appropriate therapeutic and/or disability supports are identified and delivered.</w:t>
      </w:r>
      <w:bookmarkEnd w:id="112"/>
      <w:bookmarkEnd w:id="113"/>
    </w:p>
    <w:p w14:paraId="679C47C3" w14:textId="10F155F1" w:rsidR="00FA68AE" w:rsidRDefault="00434136" w:rsidP="00C74146">
      <w:pPr>
        <w:pStyle w:val="Heading3"/>
        <w:numPr>
          <w:ilvl w:val="0"/>
          <w:numId w:val="7"/>
        </w:numPr>
        <w:snapToGrid w:val="0"/>
        <w:spacing w:after="120"/>
        <w:ind w:left="1135" w:hanging="284"/>
        <w:jc w:val="left"/>
        <w:rPr>
          <w:rFonts w:ascii="Avenir Book" w:hAnsi="Avenir Book" w:cs="Calibri"/>
          <w:b w:val="0"/>
          <w:bCs/>
          <w:color w:val="000000" w:themeColor="text1"/>
        </w:rPr>
      </w:pPr>
      <w:bookmarkStart w:id="114" w:name="_Toc156819941"/>
      <w:bookmarkStart w:id="115" w:name="_Toc156825224"/>
      <w:r w:rsidRPr="00434136">
        <w:rPr>
          <w:rFonts w:ascii="Avenir Book" w:hAnsi="Avenir Book" w:cs="Calibri"/>
          <w:b w:val="0"/>
          <w:bCs/>
          <w:color w:val="000000" w:themeColor="text1"/>
        </w:rPr>
        <w:t>WWDA argues that implementation of the National Principles – recommendation 8.12 – is a weak mechanism to address the indefinite detention of people with disability, particularly given there is no evidence that the National Principles have been able to effectively address this issue to date.  Both the CRPD Committee and the Committee on the Rights of the Child (CRC Committee) have called on Australia to end the practice of indefinite detention,</w:t>
      </w:r>
      <w:r w:rsidRPr="00434136">
        <w:rPr>
          <w:rFonts w:ascii="Avenir Book" w:hAnsi="Avenir Book" w:cs="Calibri"/>
          <w:b w:val="0"/>
          <w:bCs/>
          <w:color w:val="000000" w:themeColor="text1"/>
          <w:vertAlign w:val="superscript"/>
        </w:rPr>
        <w:endnoteReference w:id="186"/>
      </w:r>
      <w:r w:rsidRPr="00434136">
        <w:rPr>
          <w:rFonts w:ascii="Avenir Book" w:hAnsi="Avenir Book" w:cs="Calibri"/>
          <w:b w:val="0"/>
          <w:bCs/>
          <w:color w:val="000000" w:themeColor="text1"/>
        </w:rPr>
        <w:t xml:space="preserve"> and relying on non-binding National Principles and buy-in from states and territories to achieve this is problematic and ineffective. While the </w:t>
      </w:r>
      <w:r w:rsidRPr="00434136">
        <w:rPr>
          <w:rFonts w:ascii="Avenir Book" w:hAnsi="Avenir Book" w:cs="Calibri"/>
          <w:b w:val="0"/>
          <w:bCs/>
          <w:color w:val="000000" w:themeColor="text1"/>
        </w:rPr>
        <w:lastRenderedPageBreak/>
        <w:t>proposed inclusions to revised National Principles, as outlined in this recommendation are important, there needs to be greater focus on actions that compel governments to repeal laws that allow for indefinite detention</w:t>
      </w:r>
      <w:r w:rsidR="00E21E77">
        <w:rPr>
          <w:rFonts w:ascii="Avenir Book" w:hAnsi="Avenir Book" w:cs="Calibri"/>
          <w:b w:val="0"/>
          <w:bCs/>
          <w:color w:val="000000" w:themeColor="text1"/>
        </w:rPr>
        <w:t>.</w:t>
      </w:r>
      <w:bookmarkEnd w:id="114"/>
      <w:bookmarkEnd w:id="115"/>
    </w:p>
    <w:p w14:paraId="43159961" w14:textId="11FD9E54" w:rsidR="00C604F2" w:rsidRDefault="00434136" w:rsidP="00C74146">
      <w:pPr>
        <w:pStyle w:val="Heading3"/>
        <w:numPr>
          <w:ilvl w:val="0"/>
          <w:numId w:val="7"/>
        </w:numPr>
        <w:snapToGrid w:val="0"/>
        <w:spacing w:after="120"/>
        <w:ind w:left="1135" w:hanging="284"/>
        <w:jc w:val="left"/>
        <w:rPr>
          <w:rFonts w:ascii="Avenir Book" w:hAnsi="Avenir Book" w:cs="Calibri"/>
          <w:b w:val="0"/>
          <w:bCs/>
          <w:color w:val="000000" w:themeColor="text1"/>
        </w:rPr>
      </w:pPr>
      <w:bookmarkStart w:id="116" w:name="_Toc156819942"/>
      <w:bookmarkStart w:id="117" w:name="_Toc156825225"/>
      <w:r w:rsidRPr="00434136">
        <w:rPr>
          <w:rFonts w:ascii="Avenir Book" w:hAnsi="Avenir Book" w:cs="Calibri"/>
          <w:b w:val="0"/>
          <w:bCs/>
          <w:color w:val="000000" w:themeColor="text1"/>
        </w:rPr>
        <w:t xml:space="preserve">The CRPD Committee has stipulated that detention on the basis of ‘unfitness to stand trial’ or ‘non-responsibility’ declarations are contrary to article 12 (see section </w:t>
      </w:r>
      <w:r w:rsidR="00FA68AE">
        <w:rPr>
          <w:rFonts w:ascii="Avenir Book" w:hAnsi="Avenir Book" w:cs="Calibri"/>
          <w:b w:val="0"/>
          <w:bCs/>
          <w:color w:val="000000" w:themeColor="text1"/>
        </w:rPr>
        <w:t>3.2</w:t>
      </w:r>
      <w:r w:rsidRPr="00434136">
        <w:rPr>
          <w:rFonts w:ascii="Avenir Book" w:hAnsi="Avenir Book" w:cs="Calibri"/>
          <w:b w:val="0"/>
          <w:bCs/>
          <w:color w:val="000000" w:themeColor="text1"/>
        </w:rPr>
        <w:t xml:space="preserve"> above) and article 14 and should be removed from the criminal justice system.</w:t>
      </w:r>
      <w:r w:rsidR="00C604F2">
        <w:rPr>
          <w:rStyle w:val="EndnoteReference"/>
          <w:rFonts w:ascii="Avenir Book" w:hAnsi="Avenir Book" w:cs="Calibri"/>
          <w:b w:val="0"/>
          <w:bCs/>
          <w:color w:val="000000" w:themeColor="text1"/>
        </w:rPr>
        <w:endnoteReference w:id="187"/>
      </w:r>
      <w:r w:rsidRPr="00434136">
        <w:rPr>
          <w:rFonts w:ascii="Avenir Book" w:hAnsi="Avenir Book" w:cs="Calibri"/>
          <w:b w:val="0"/>
          <w:bCs/>
          <w:color w:val="000000" w:themeColor="text1"/>
        </w:rPr>
        <w:t xml:space="preserve"> People with disability should be provided with necessary and appropriate supports, including supported decision-making, reasonable accommodation and procedural accommodations to facilitate their effective participation in judicial proceedings.</w:t>
      </w:r>
      <w:r w:rsidR="00C604F2">
        <w:rPr>
          <w:rStyle w:val="EndnoteReference"/>
          <w:rFonts w:ascii="Avenir Book" w:hAnsi="Avenir Book" w:cs="Calibri"/>
          <w:b w:val="0"/>
          <w:bCs/>
          <w:color w:val="000000" w:themeColor="text1"/>
        </w:rPr>
        <w:endnoteReference w:id="188"/>
      </w:r>
      <w:r w:rsidRPr="00434136">
        <w:rPr>
          <w:rFonts w:ascii="Avenir Book" w:hAnsi="Avenir Book" w:cs="Calibri"/>
          <w:b w:val="0"/>
          <w:bCs/>
          <w:color w:val="000000" w:themeColor="text1"/>
        </w:rPr>
        <w:t xml:space="preserve"> The </w:t>
      </w:r>
      <w:r w:rsidR="00C604F2">
        <w:rPr>
          <w:rFonts w:ascii="Avenir Book" w:hAnsi="Avenir Book" w:cs="Calibri"/>
          <w:b w:val="0"/>
          <w:bCs/>
          <w:color w:val="000000" w:themeColor="text1"/>
        </w:rPr>
        <w:t xml:space="preserve">DRC </w:t>
      </w:r>
      <w:r w:rsidRPr="00434136">
        <w:rPr>
          <w:rFonts w:ascii="Avenir Book" w:hAnsi="Avenir Book" w:cs="Calibri"/>
          <w:b w:val="0"/>
          <w:bCs/>
          <w:color w:val="000000" w:themeColor="text1"/>
        </w:rPr>
        <w:t>recommendation to amend legislation on fitness to stand trial – recommendation 8.12 – is provided in the context of alignment with the National Principles. However, amendments to legislation should ensure alignment with the CRPD.</w:t>
      </w:r>
      <w:r w:rsidR="00C604F2">
        <w:rPr>
          <w:rStyle w:val="EndnoteReference"/>
          <w:rFonts w:ascii="Avenir Book" w:hAnsi="Avenir Book" w:cs="Calibri"/>
          <w:b w:val="0"/>
          <w:bCs/>
          <w:color w:val="000000" w:themeColor="text1"/>
        </w:rPr>
        <w:endnoteReference w:id="189"/>
      </w:r>
      <w:bookmarkEnd w:id="116"/>
      <w:bookmarkEnd w:id="117"/>
    </w:p>
    <w:p w14:paraId="157CA496" w14:textId="77777777" w:rsidR="009C2F92" w:rsidRDefault="00434136" w:rsidP="00C74146">
      <w:pPr>
        <w:pStyle w:val="Heading3"/>
        <w:numPr>
          <w:ilvl w:val="0"/>
          <w:numId w:val="7"/>
        </w:numPr>
        <w:snapToGrid w:val="0"/>
        <w:spacing w:after="120"/>
        <w:ind w:left="1135" w:hanging="284"/>
        <w:jc w:val="left"/>
        <w:rPr>
          <w:rFonts w:ascii="Avenir Book" w:hAnsi="Avenir Book" w:cs="Calibri"/>
          <w:b w:val="0"/>
          <w:bCs/>
          <w:color w:val="000000" w:themeColor="text1"/>
        </w:rPr>
      </w:pPr>
      <w:bookmarkStart w:id="118" w:name="_Toc156819943"/>
      <w:bookmarkStart w:id="119" w:name="_Toc156825226"/>
      <w:r w:rsidRPr="00434136">
        <w:rPr>
          <w:rFonts w:ascii="Avenir Book" w:hAnsi="Avenir Book" w:cs="Calibri"/>
          <w:b w:val="0"/>
          <w:bCs/>
          <w:color w:val="000000" w:themeColor="text1"/>
        </w:rPr>
        <w:t>While the DRC examined the issue of supports and assistance that could be provided to people with disability to facilitate their effective participation in judicial proceedings,</w:t>
      </w:r>
      <w:r w:rsidR="00C604F2">
        <w:rPr>
          <w:rStyle w:val="EndnoteReference"/>
          <w:rFonts w:ascii="Avenir Book" w:hAnsi="Avenir Book" w:cs="Calibri"/>
          <w:b w:val="0"/>
          <w:bCs/>
          <w:color w:val="000000" w:themeColor="text1"/>
        </w:rPr>
        <w:endnoteReference w:id="190"/>
      </w:r>
      <w:r w:rsidRPr="00434136">
        <w:rPr>
          <w:rFonts w:ascii="Avenir Book" w:hAnsi="Avenir Book" w:cs="Calibri"/>
          <w:b w:val="0"/>
          <w:bCs/>
          <w:color w:val="000000" w:themeColor="text1"/>
        </w:rPr>
        <w:t xml:space="preserve"> there were no recommendations for the development and resourcing of support and assistance programs, such as the Disability Justice Support Program.</w:t>
      </w:r>
      <w:r w:rsidR="001726C9">
        <w:rPr>
          <w:rStyle w:val="EndnoteReference"/>
          <w:rFonts w:ascii="Avenir Book" w:hAnsi="Avenir Book" w:cs="Calibri"/>
          <w:b w:val="0"/>
          <w:bCs/>
          <w:color w:val="000000" w:themeColor="text1"/>
        </w:rPr>
        <w:endnoteReference w:id="191"/>
      </w:r>
      <w:r w:rsidRPr="00434136">
        <w:rPr>
          <w:rFonts w:ascii="Avenir Book" w:hAnsi="Avenir Book" w:cs="Calibri"/>
          <w:b w:val="0"/>
          <w:bCs/>
          <w:color w:val="000000" w:themeColor="text1"/>
        </w:rPr>
        <w:t xml:space="preserve"> Along with supported decision-making mechanisms (see section </w:t>
      </w:r>
      <w:r w:rsidR="006C424B">
        <w:rPr>
          <w:rFonts w:ascii="Avenir Book" w:hAnsi="Avenir Book" w:cs="Calibri"/>
          <w:b w:val="0"/>
          <w:bCs/>
          <w:color w:val="000000" w:themeColor="text1"/>
        </w:rPr>
        <w:t>3.</w:t>
      </w:r>
      <w:r w:rsidRPr="00434136">
        <w:rPr>
          <w:rFonts w:ascii="Avenir Book" w:hAnsi="Avenir Book" w:cs="Calibri"/>
          <w:b w:val="0"/>
          <w:bCs/>
          <w:color w:val="000000" w:themeColor="text1"/>
        </w:rPr>
        <w:t>2 above), gender, age and culturally appropriate support and assistance programs need to be established and implemented to facilitate access to justice on an equal basis with others (</w:t>
      </w:r>
      <w:r w:rsidR="006C424B">
        <w:rPr>
          <w:rFonts w:ascii="Avenir Book" w:hAnsi="Avenir Book" w:cs="Calibri"/>
          <w:b w:val="0"/>
          <w:bCs/>
          <w:color w:val="000000" w:themeColor="text1"/>
        </w:rPr>
        <w:t xml:space="preserve">CRPD </w:t>
      </w:r>
      <w:r w:rsidRPr="00434136">
        <w:rPr>
          <w:rFonts w:ascii="Avenir Book" w:hAnsi="Avenir Book" w:cs="Calibri"/>
          <w:b w:val="0"/>
          <w:bCs/>
          <w:color w:val="000000" w:themeColor="text1"/>
        </w:rPr>
        <w:t>article 13), to enable the exercise of legal capacity (</w:t>
      </w:r>
      <w:r w:rsidR="006C424B" w:rsidRPr="00434136">
        <w:rPr>
          <w:rFonts w:ascii="Avenir Book" w:hAnsi="Avenir Book" w:cs="Calibri"/>
          <w:b w:val="0"/>
          <w:bCs/>
          <w:color w:val="000000" w:themeColor="text1"/>
        </w:rPr>
        <w:t xml:space="preserve">CRPD </w:t>
      </w:r>
      <w:r w:rsidRPr="00434136">
        <w:rPr>
          <w:rFonts w:ascii="Avenir Book" w:hAnsi="Avenir Book" w:cs="Calibri"/>
          <w:b w:val="0"/>
          <w:bCs/>
          <w:color w:val="000000" w:themeColor="text1"/>
        </w:rPr>
        <w:t>article 12), and to avoid ‘unfit to plead’ declarations and the trajectory to indefinite detention (</w:t>
      </w:r>
      <w:r w:rsidR="006C424B">
        <w:rPr>
          <w:rFonts w:ascii="Avenir Book" w:hAnsi="Avenir Book" w:cs="Calibri"/>
          <w:b w:val="0"/>
          <w:bCs/>
          <w:color w:val="000000" w:themeColor="text1"/>
        </w:rPr>
        <w:t xml:space="preserve">CRPD </w:t>
      </w:r>
      <w:r w:rsidRPr="00434136">
        <w:rPr>
          <w:rFonts w:ascii="Avenir Book" w:hAnsi="Avenir Book" w:cs="Calibri"/>
          <w:b w:val="0"/>
          <w:bCs/>
          <w:color w:val="000000" w:themeColor="text1"/>
        </w:rPr>
        <w:t>article 14).</w:t>
      </w:r>
      <w:bookmarkEnd w:id="118"/>
      <w:bookmarkEnd w:id="119"/>
    </w:p>
    <w:p w14:paraId="3C488FA2" w14:textId="77777777" w:rsidR="00D75B26" w:rsidRDefault="00434136" w:rsidP="00C74146">
      <w:pPr>
        <w:pStyle w:val="Heading3"/>
        <w:numPr>
          <w:ilvl w:val="0"/>
          <w:numId w:val="7"/>
        </w:numPr>
        <w:snapToGrid w:val="0"/>
        <w:spacing w:after="120"/>
        <w:ind w:left="1135" w:hanging="284"/>
        <w:jc w:val="left"/>
        <w:rPr>
          <w:rFonts w:ascii="Avenir Book" w:hAnsi="Avenir Book" w:cs="Calibri"/>
          <w:b w:val="0"/>
          <w:bCs/>
          <w:color w:val="000000" w:themeColor="text1"/>
        </w:rPr>
      </w:pPr>
      <w:bookmarkStart w:id="120" w:name="_Toc156819944"/>
      <w:bookmarkStart w:id="121" w:name="_Toc156825227"/>
      <w:r w:rsidRPr="00434136">
        <w:rPr>
          <w:rFonts w:ascii="Avenir Book" w:hAnsi="Avenir Book" w:cs="Calibri"/>
          <w:b w:val="0"/>
          <w:bCs/>
          <w:color w:val="000000" w:themeColor="text1"/>
        </w:rPr>
        <w:t>There needs to be concerted effort to address the over-representation of people with disability, particularly First Nations people with disability in the criminal justice system. The overwhelming evidence</w:t>
      </w:r>
      <w:r w:rsidR="009C2F92">
        <w:rPr>
          <w:rStyle w:val="EndnoteReference"/>
          <w:rFonts w:ascii="Avenir Book" w:hAnsi="Avenir Book" w:cs="Calibri"/>
          <w:b w:val="0"/>
          <w:bCs/>
          <w:color w:val="000000" w:themeColor="text1"/>
        </w:rPr>
        <w:endnoteReference w:id="192"/>
      </w:r>
      <w:r w:rsidR="009C2F92">
        <w:rPr>
          <w:rFonts w:ascii="Avenir Book" w:hAnsi="Avenir Book" w:cs="Calibri"/>
          <w:b w:val="0"/>
          <w:bCs/>
          <w:color w:val="000000" w:themeColor="text1"/>
        </w:rPr>
        <w:t xml:space="preserve"> </w:t>
      </w:r>
      <w:r w:rsidRPr="00434136">
        <w:rPr>
          <w:rFonts w:ascii="Avenir Book" w:hAnsi="Avenir Book" w:cs="Calibri"/>
          <w:b w:val="0"/>
          <w:bCs/>
          <w:color w:val="000000" w:themeColor="text1"/>
        </w:rPr>
        <w:t xml:space="preserve">of cumulative disadvantage that underpins the criminalisation of disability urgently requires early, intensive and gender, age and culturally appropriate coordinated support from multiple agencies and sources as well as the redirection of investment in criminal justice responses to investment in </w:t>
      </w:r>
      <w:r w:rsidR="009C2F92">
        <w:rPr>
          <w:rFonts w:ascii="Avenir Book" w:hAnsi="Avenir Book" w:cs="Calibri"/>
          <w:b w:val="0"/>
          <w:bCs/>
          <w:color w:val="000000" w:themeColor="text1"/>
        </w:rPr>
        <w:t xml:space="preserve">addressing </w:t>
      </w:r>
      <w:r w:rsidRPr="00434136">
        <w:rPr>
          <w:rFonts w:ascii="Avenir Book" w:hAnsi="Avenir Book" w:cs="Calibri"/>
          <w:b w:val="0"/>
          <w:bCs/>
          <w:color w:val="000000" w:themeColor="text1"/>
        </w:rPr>
        <w:t>economic, social and cultural disadvantage.</w:t>
      </w:r>
      <w:r w:rsidR="009C2F92">
        <w:rPr>
          <w:rStyle w:val="EndnoteReference"/>
          <w:rFonts w:ascii="Avenir Book" w:hAnsi="Avenir Book" w:cs="Calibri"/>
          <w:b w:val="0"/>
          <w:bCs/>
          <w:color w:val="000000" w:themeColor="text1"/>
        </w:rPr>
        <w:endnoteReference w:id="193"/>
      </w:r>
      <w:bookmarkEnd w:id="120"/>
      <w:bookmarkEnd w:id="121"/>
    </w:p>
    <w:p w14:paraId="438939B3" w14:textId="77777777" w:rsidR="00D75B26" w:rsidRDefault="00434136" w:rsidP="00C74146">
      <w:pPr>
        <w:pStyle w:val="Heading3"/>
        <w:numPr>
          <w:ilvl w:val="0"/>
          <w:numId w:val="7"/>
        </w:numPr>
        <w:snapToGrid w:val="0"/>
        <w:spacing w:after="120"/>
        <w:ind w:left="1135" w:hanging="284"/>
        <w:jc w:val="left"/>
        <w:rPr>
          <w:rFonts w:ascii="Avenir Book" w:hAnsi="Avenir Book" w:cs="Calibri"/>
          <w:b w:val="0"/>
          <w:bCs/>
          <w:color w:val="000000" w:themeColor="text1"/>
        </w:rPr>
      </w:pPr>
      <w:bookmarkStart w:id="122" w:name="_Toc156819945"/>
      <w:bookmarkStart w:id="123" w:name="_Toc156825228"/>
      <w:r w:rsidRPr="00434136">
        <w:rPr>
          <w:rFonts w:ascii="Avenir Book" w:hAnsi="Avenir Book" w:cs="Calibri"/>
          <w:b w:val="0"/>
          <w:bCs/>
          <w:color w:val="000000" w:themeColor="text1"/>
        </w:rPr>
        <w:t>We note the numerous recommendations made from other relevant inquiries and reports</w:t>
      </w:r>
      <w:r w:rsidR="00D75B26">
        <w:rPr>
          <w:rFonts w:ascii="Avenir Book" w:hAnsi="Avenir Book" w:cs="Calibri"/>
          <w:b w:val="0"/>
          <w:bCs/>
          <w:color w:val="000000" w:themeColor="text1"/>
        </w:rPr>
        <w:t>.</w:t>
      </w:r>
      <w:r w:rsidRPr="00434136">
        <w:rPr>
          <w:rFonts w:ascii="Avenir Book" w:hAnsi="Avenir Book" w:cs="Calibri"/>
          <w:b w:val="0"/>
          <w:bCs/>
          <w:color w:val="000000" w:themeColor="text1"/>
          <w:vertAlign w:val="superscript"/>
        </w:rPr>
        <w:endnoteReference w:id="194"/>
      </w:r>
      <w:r w:rsidRPr="00434136">
        <w:rPr>
          <w:rFonts w:ascii="Avenir Book" w:hAnsi="Avenir Book" w:cs="Calibri"/>
          <w:b w:val="0"/>
          <w:bCs/>
          <w:color w:val="000000" w:themeColor="text1"/>
        </w:rPr>
        <w:t xml:space="preserve"> There needs to be an analysis of these recommendations to ensure that, in combination with the DRC recommendations, a full suite of recommendations is implemented to address the situation of people with disability.</w:t>
      </w:r>
      <w:bookmarkEnd w:id="122"/>
      <w:bookmarkEnd w:id="123"/>
      <w:r w:rsidRPr="00434136">
        <w:rPr>
          <w:rFonts w:ascii="Avenir Book" w:hAnsi="Avenir Book" w:cs="Calibri"/>
          <w:b w:val="0"/>
          <w:bCs/>
          <w:color w:val="000000" w:themeColor="text1"/>
        </w:rPr>
        <w:t xml:space="preserve"> </w:t>
      </w:r>
    </w:p>
    <w:p w14:paraId="6E6E2E55" w14:textId="4B75B2A1" w:rsidR="00434136" w:rsidRDefault="00434136" w:rsidP="00C74146">
      <w:pPr>
        <w:pStyle w:val="Heading3"/>
        <w:numPr>
          <w:ilvl w:val="0"/>
          <w:numId w:val="7"/>
        </w:numPr>
        <w:snapToGrid w:val="0"/>
        <w:ind w:left="1135" w:hanging="284"/>
        <w:jc w:val="left"/>
        <w:rPr>
          <w:rFonts w:ascii="Avenir Book" w:hAnsi="Avenir Book" w:cs="Calibri"/>
          <w:b w:val="0"/>
          <w:bCs/>
          <w:color w:val="000000" w:themeColor="text1"/>
        </w:rPr>
      </w:pPr>
      <w:bookmarkStart w:id="124" w:name="_Toc156819946"/>
      <w:bookmarkStart w:id="125" w:name="_Toc156825229"/>
      <w:r w:rsidRPr="00434136">
        <w:rPr>
          <w:rFonts w:ascii="Avenir Book" w:hAnsi="Avenir Book" w:cs="Calibri"/>
          <w:b w:val="0"/>
          <w:bCs/>
          <w:color w:val="000000" w:themeColor="text1"/>
        </w:rPr>
        <w:lastRenderedPageBreak/>
        <w:t>We note that the Australian Human Rights Commission (AHRC) is currently conducting a project that is investigating youth justice system reforms and child well-being across Australia.</w:t>
      </w:r>
      <w:r w:rsidR="00951311">
        <w:rPr>
          <w:rStyle w:val="EndnoteReference"/>
          <w:rFonts w:ascii="Avenir Book" w:hAnsi="Avenir Book" w:cs="Calibri"/>
          <w:b w:val="0"/>
          <w:bCs/>
          <w:color w:val="000000" w:themeColor="text1"/>
        </w:rPr>
        <w:endnoteReference w:id="195"/>
      </w:r>
      <w:r w:rsidRPr="00434136">
        <w:rPr>
          <w:rFonts w:ascii="Avenir Book" w:hAnsi="Avenir Book" w:cs="Calibri"/>
          <w:b w:val="0"/>
          <w:bCs/>
          <w:color w:val="000000" w:themeColor="text1"/>
        </w:rPr>
        <w:t xml:space="preserve"> There needs to be close engagement between the work undertaken in this project and the </w:t>
      </w:r>
      <w:r w:rsidR="00755B70">
        <w:rPr>
          <w:rFonts w:ascii="Avenir Book" w:hAnsi="Avenir Book" w:cs="Calibri"/>
          <w:b w:val="0"/>
          <w:bCs/>
          <w:color w:val="000000" w:themeColor="text1"/>
        </w:rPr>
        <w:t xml:space="preserve">implementation of DRC </w:t>
      </w:r>
      <w:r w:rsidRPr="00434136">
        <w:rPr>
          <w:rFonts w:ascii="Avenir Book" w:hAnsi="Avenir Book" w:cs="Calibri"/>
          <w:b w:val="0"/>
          <w:bCs/>
          <w:color w:val="000000" w:themeColor="text1"/>
        </w:rPr>
        <w:t>recommendations.</w:t>
      </w:r>
      <w:bookmarkEnd w:id="124"/>
      <w:bookmarkEnd w:id="125"/>
    </w:p>
    <w:p w14:paraId="2BDC8A86" w14:textId="77777777" w:rsidR="00E21E77" w:rsidRPr="00434136" w:rsidRDefault="00E21E77" w:rsidP="00E21E77"/>
    <w:p w14:paraId="2BC73F34" w14:textId="77777777" w:rsidR="00E21E77" w:rsidRPr="00AB3CD5" w:rsidRDefault="00E21E77" w:rsidP="00E21E77">
      <w:pPr>
        <w:spacing w:after="120" w:line="276" w:lineRule="auto"/>
        <w:rPr>
          <w:rFonts w:asciiTheme="minorHAnsi" w:hAnsiTheme="minorHAnsi" w:cstheme="minorHAnsi"/>
          <w:b/>
          <w:color w:val="7030A0"/>
        </w:rPr>
      </w:pPr>
      <w:r>
        <w:rPr>
          <w:rFonts w:ascii="Avenir Book" w:hAnsi="Avenir Book" w:cstheme="minorHAnsi"/>
          <w:b/>
          <w:color w:val="AC1F79"/>
        </w:rPr>
        <w:t xml:space="preserve">Preliminary </w:t>
      </w:r>
      <w:r w:rsidRPr="00761F08">
        <w:rPr>
          <w:rFonts w:ascii="Avenir Book" w:hAnsi="Avenir Book" w:cstheme="minorHAnsi"/>
          <w:b/>
          <w:color w:val="AC1F79"/>
        </w:rPr>
        <w:t>Recommendations</w:t>
      </w:r>
    </w:p>
    <w:p w14:paraId="023DFB84" w14:textId="77777777" w:rsidR="009E27B1" w:rsidRPr="009E27B1" w:rsidRDefault="009E27B1" w:rsidP="00C74146">
      <w:pPr>
        <w:pStyle w:val="Heading3"/>
        <w:numPr>
          <w:ilvl w:val="0"/>
          <w:numId w:val="7"/>
        </w:numPr>
        <w:snapToGrid w:val="0"/>
        <w:spacing w:after="120"/>
        <w:ind w:left="425" w:hanging="425"/>
        <w:jc w:val="left"/>
        <w:rPr>
          <w:rFonts w:ascii="Avenir Book" w:hAnsi="Avenir Book" w:cs="Calibri"/>
          <w:b w:val="0"/>
          <w:bCs/>
          <w:color w:val="000000" w:themeColor="text1"/>
        </w:rPr>
      </w:pPr>
      <w:bookmarkStart w:id="126" w:name="_Toc156819947"/>
      <w:bookmarkStart w:id="127" w:name="_Toc156825230"/>
      <w:r w:rsidRPr="009E27B1">
        <w:rPr>
          <w:rFonts w:ascii="Avenir Book" w:hAnsi="Avenir Book"/>
          <w:b w:val="0"/>
          <w:bCs/>
        </w:rPr>
        <w:t xml:space="preserve">Implement </w:t>
      </w:r>
      <w:r>
        <w:rPr>
          <w:rFonts w:ascii="Avenir Book" w:hAnsi="Avenir Book"/>
          <w:b w:val="0"/>
          <w:bCs/>
        </w:rPr>
        <w:t xml:space="preserve">DRC recommendations in relation to OPCAT </w:t>
      </w:r>
      <w:r w:rsidRPr="00434136">
        <w:rPr>
          <w:rFonts w:ascii="Avenir Book" w:hAnsi="Avenir Book" w:cs="Calibri"/>
          <w:b w:val="0"/>
          <w:bCs/>
          <w:color w:val="000000" w:themeColor="text1"/>
        </w:rPr>
        <w:t>– recommendations 8.2 and 11.6-11.11 –</w:t>
      </w:r>
      <w:r w:rsidRPr="009E27B1">
        <w:rPr>
          <w:rFonts w:ascii="Avenir Book" w:hAnsi="Avenir Book" w:cs="Calibri"/>
          <w:b w:val="0"/>
          <w:bCs/>
          <w:color w:val="000000" w:themeColor="text1"/>
        </w:rPr>
        <w:t xml:space="preserve"> as a matter of priority.</w:t>
      </w:r>
      <w:bookmarkEnd w:id="126"/>
      <w:bookmarkEnd w:id="127"/>
    </w:p>
    <w:p w14:paraId="18735133" w14:textId="77777777" w:rsidR="009E27B1" w:rsidRDefault="00E21E77" w:rsidP="00C74146">
      <w:pPr>
        <w:pStyle w:val="Heading3"/>
        <w:numPr>
          <w:ilvl w:val="0"/>
          <w:numId w:val="7"/>
        </w:numPr>
        <w:snapToGrid w:val="0"/>
        <w:spacing w:after="120"/>
        <w:ind w:left="425" w:hanging="425"/>
        <w:jc w:val="left"/>
        <w:rPr>
          <w:rFonts w:ascii="Avenir Book" w:hAnsi="Avenir Book" w:cs="Calibri"/>
          <w:b w:val="0"/>
          <w:bCs/>
          <w:color w:val="000000" w:themeColor="text1"/>
        </w:rPr>
      </w:pPr>
      <w:bookmarkStart w:id="128" w:name="_Toc156819948"/>
      <w:bookmarkStart w:id="129" w:name="_Toc156825231"/>
      <w:r w:rsidRPr="009E27B1">
        <w:rPr>
          <w:rFonts w:ascii="Avenir Book" w:hAnsi="Avenir Book" w:cs="Calibri"/>
          <w:b w:val="0"/>
          <w:bCs/>
          <w:color w:val="000000" w:themeColor="text1"/>
        </w:rPr>
        <w:t>I</w:t>
      </w:r>
      <w:r w:rsidR="009E27B1">
        <w:rPr>
          <w:rFonts w:ascii="Avenir Book" w:hAnsi="Avenir Book" w:cs="Calibri"/>
          <w:b w:val="0"/>
          <w:bCs/>
          <w:color w:val="000000" w:themeColor="text1"/>
        </w:rPr>
        <w:t>mplement DRC recommendation 8.22, Age of criminal responsibility</w:t>
      </w:r>
      <w:r w:rsidRPr="009E27B1">
        <w:rPr>
          <w:rFonts w:ascii="Avenir Book" w:hAnsi="Avenir Book" w:cs="Calibri"/>
          <w:b w:val="0"/>
          <w:bCs/>
          <w:color w:val="000000" w:themeColor="text1"/>
        </w:rPr>
        <w:t xml:space="preserve"> as a matter of priority.</w:t>
      </w:r>
      <w:bookmarkEnd w:id="128"/>
      <w:bookmarkEnd w:id="129"/>
    </w:p>
    <w:p w14:paraId="3EFC1DE5" w14:textId="77777777" w:rsidR="009E27B1" w:rsidRPr="009E27B1" w:rsidRDefault="009E27B1" w:rsidP="00C74146">
      <w:pPr>
        <w:pStyle w:val="ListParagraph"/>
        <w:numPr>
          <w:ilvl w:val="0"/>
          <w:numId w:val="7"/>
        </w:numPr>
        <w:spacing w:after="120" w:line="276" w:lineRule="auto"/>
        <w:ind w:left="425" w:hanging="425"/>
        <w:contextualSpacing w:val="0"/>
      </w:pPr>
      <w:r w:rsidRPr="009E27B1">
        <w:rPr>
          <w:rFonts w:ascii="Avenir Book" w:hAnsi="Avenir Book" w:cs="Calibri"/>
          <w:bCs/>
          <w:color w:val="000000" w:themeColor="text1"/>
        </w:rPr>
        <w:t>Review recommendation 8.3, Prohibiting solitary confinement in youth detention to ensure greater clarity and stronger safeguards to</w:t>
      </w:r>
      <w:r w:rsidR="00E21E77" w:rsidRPr="009E27B1">
        <w:rPr>
          <w:rFonts w:ascii="Avenir Book" w:hAnsi="Avenir Book" w:cs="Calibri"/>
          <w:bCs/>
          <w:color w:val="000000" w:themeColor="text1"/>
        </w:rPr>
        <w:t xml:space="preserve"> respond to histories of child trauma, abuse and neglect and to the specific development, health and well-being needs of children.</w:t>
      </w:r>
    </w:p>
    <w:p w14:paraId="31C92307" w14:textId="77777777" w:rsidR="00D16FEE" w:rsidRDefault="009E27B1" w:rsidP="00C74146">
      <w:pPr>
        <w:pStyle w:val="Heading3"/>
        <w:numPr>
          <w:ilvl w:val="0"/>
          <w:numId w:val="7"/>
        </w:numPr>
        <w:snapToGrid w:val="0"/>
        <w:spacing w:after="120"/>
        <w:ind w:left="425" w:hanging="425"/>
        <w:jc w:val="left"/>
        <w:rPr>
          <w:rFonts w:ascii="Avenir Book" w:hAnsi="Avenir Book" w:cs="Calibri"/>
          <w:b w:val="0"/>
          <w:bCs/>
          <w:color w:val="000000" w:themeColor="text1"/>
        </w:rPr>
      </w:pPr>
      <w:bookmarkStart w:id="130" w:name="_Toc156819949"/>
      <w:bookmarkStart w:id="131" w:name="_Toc156825232"/>
      <w:r>
        <w:rPr>
          <w:rFonts w:ascii="Avenir Book" w:hAnsi="Avenir Book" w:cs="Calibri"/>
          <w:b w:val="0"/>
          <w:bCs/>
          <w:color w:val="000000" w:themeColor="text1"/>
        </w:rPr>
        <w:t xml:space="preserve">Review recommendation 8.4, </w:t>
      </w:r>
      <w:r w:rsidR="00E21E77" w:rsidRPr="00434136">
        <w:rPr>
          <w:rFonts w:ascii="Avenir Book" w:hAnsi="Avenir Book" w:cs="Calibri"/>
          <w:b w:val="0"/>
          <w:bCs/>
          <w:color w:val="000000" w:themeColor="text1"/>
        </w:rPr>
        <w:t xml:space="preserve">Screening and assessment for disability in youth detention </w:t>
      </w:r>
      <w:r>
        <w:rPr>
          <w:rFonts w:ascii="Avenir Book" w:hAnsi="Avenir Book" w:cs="Calibri"/>
          <w:b w:val="0"/>
          <w:bCs/>
          <w:color w:val="000000" w:themeColor="text1"/>
        </w:rPr>
        <w:t>to ensure that it applies to a</w:t>
      </w:r>
      <w:r w:rsidR="00E21E77" w:rsidRPr="00434136">
        <w:rPr>
          <w:rFonts w:ascii="Avenir Book" w:hAnsi="Avenir Book" w:cs="Calibri"/>
          <w:b w:val="0"/>
          <w:bCs/>
          <w:color w:val="000000" w:themeColor="text1"/>
        </w:rPr>
        <w:t>ll children and young people</w:t>
      </w:r>
      <w:r>
        <w:rPr>
          <w:rFonts w:ascii="Avenir Book" w:hAnsi="Avenir Book" w:cs="Calibri"/>
          <w:b w:val="0"/>
          <w:bCs/>
          <w:color w:val="000000" w:themeColor="text1"/>
        </w:rPr>
        <w:t>.</w:t>
      </w:r>
      <w:bookmarkEnd w:id="130"/>
      <w:bookmarkEnd w:id="131"/>
    </w:p>
    <w:p w14:paraId="05FDAA13" w14:textId="0D762173" w:rsidR="00D16FEE" w:rsidRPr="00D16FEE" w:rsidRDefault="00BB1EF9" w:rsidP="00C74146">
      <w:pPr>
        <w:pStyle w:val="Heading3"/>
        <w:numPr>
          <w:ilvl w:val="0"/>
          <w:numId w:val="7"/>
        </w:numPr>
        <w:snapToGrid w:val="0"/>
        <w:spacing w:after="120"/>
        <w:ind w:left="425" w:hanging="425"/>
        <w:jc w:val="left"/>
        <w:rPr>
          <w:rFonts w:ascii="Avenir Book" w:hAnsi="Avenir Book" w:cs="Calibri"/>
          <w:b w:val="0"/>
          <w:bCs/>
          <w:color w:val="000000" w:themeColor="text1"/>
        </w:rPr>
      </w:pPr>
      <w:bookmarkStart w:id="132" w:name="_Toc156819950"/>
      <w:bookmarkStart w:id="133" w:name="_Toc156825233"/>
      <w:r>
        <w:rPr>
          <w:rFonts w:ascii="Avenir Book" w:hAnsi="Avenir Book" w:cs="Calibri"/>
          <w:b w:val="0"/>
          <w:bCs/>
          <w:color w:val="000000" w:themeColor="text1"/>
          <w:lang w:val="en-GB"/>
        </w:rPr>
        <w:t>In line with the CRPD, a</w:t>
      </w:r>
      <w:r w:rsidR="00D16FEE" w:rsidRPr="00434136">
        <w:rPr>
          <w:rFonts w:ascii="Avenir Book" w:hAnsi="Avenir Book" w:cs="Calibri"/>
          <w:b w:val="0"/>
          <w:bCs/>
          <w:color w:val="000000" w:themeColor="text1"/>
          <w:lang w:val="en-GB"/>
        </w:rPr>
        <w:t xml:space="preserve">mend and/or repeal </w:t>
      </w:r>
      <w:r w:rsidR="00D616D5" w:rsidRPr="00434136">
        <w:rPr>
          <w:rFonts w:ascii="Avenir Book" w:hAnsi="Avenir Book" w:cs="Calibri"/>
          <w:b w:val="0"/>
          <w:bCs/>
          <w:color w:val="000000" w:themeColor="text1"/>
        </w:rPr>
        <w:t>all state, territory and federal</w:t>
      </w:r>
      <w:r w:rsidR="00D616D5" w:rsidRPr="00434136">
        <w:rPr>
          <w:rFonts w:ascii="Avenir Book" w:hAnsi="Avenir Book" w:cs="Calibri"/>
          <w:b w:val="0"/>
          <w:bCs/>
          <w:color w:val="000000" w:themeColor="text1"/>
          <w:lang w:val="en-GB"/>
        </w:rPr>
        <w:t xml:space="preserve"> </w:t>
      </w:r>
      <w:r w:rsidR="00D16FEE" w:rsidRPr="00434136">
        <w:rPr>
          <w:rFonts w:ascii="Avenir Book" w:hAnsi="Avenir Book" w:cs="Calibri"/>
          <w:b w:val="0"/>
          <w:bCs/>
          <w:color w:val="000000" w:themeColor="text1"/>
          <w:lang w:val="en-GB"/>
        </w:rPr>
        <w:t xml:space="preserve">legislation that </w:t>
      </w:r>
      <w:r w:rsidR="00D16FEE">
        <w:rPr>
          <w:rFonts w:ascii="Avenir Book" w:hAnsi="Avenir Book" w:cs="Calibri"/>
          <w:b w:val="0"/>
          <w:bCs/>
          <w:color w:val="000000" w:themeColor="text1"/>
          <w:lang w:val="en-GB"/>
        </w:rPr>
        <w:t>limits</w:t>
      </w:r>
      <w:r w:rsidR="00D16FEE" w:rsidRPr="00434136">
        <w:rPr>
          <w:rFonts w:ascii="Avenir Book" w:hAnsi="Avenir Book" w:cs="Calibri"/>
          <w:b w:val="0"/>
          <w:bCs/>
          <w:color w:val="000000" w:themeColor="text1"/>
          <w:lang w:val="en-GB"/>
        </w:rPr>
        <w:t xml:space="preserve"> the legal capacity of persons with disabilit</w:t>
      </w:r>
      <w:r w:rsidR="00D16FEE">
        <w:rPr>
          <w:rFonts w:ascii="Avenir Book" w:hAnsi="Avenir Book" w:cs="Calibri"/>
          <w:b w:val="0"/>
          <w:bCs/>
          <w:color w:val="000000" w:themeColor="text1"/>
          <w:lang w:val="en-GB"/>
        </w:rPr>
        <w:t>y</w:t>
      </w:r>
      <w:r w:rsidR="00D16FEE" w:rsidRPr="00434136">
        <w:rPr>
          <w:rFonts w:ascii="Avenir Book" w:hAnsi="Avenir Book" w:cs="Calibri"/>
          <w:b w:val="0"/>
          <w:bCs/>
          <w:color w:val="000000" w:themeColor="text1"/>
          <w:lang w:val="en-GB"/>
        </w:rPr>
        <w:t xml:space="preserve"> </w:t>
      </w:r>
      <w:r>
        <w:rPr>
          <w:rFonts w:ascii="Avenir Book" w:hAnsi="Avenir Book" w:cs="Calibri"/>
          <w:b w:val="0"/>
          <w:bCs/>
          <w:color w:val="000000" w:themeColor="text1"/>
          <w:lang w:val="en-GB"/>
        </w:rPr>
        <w:t>allowing them to be indefinitely detained and guarantee access to justice on an equal basis with others throughout judicial proceedings.</w:t>
      </w:r>
      <w:r w:rsidR="00D16FEE">
        <w:rPr>
          <w:rFonts w:ascii="Avenir Book" w:hAnsi="Avenir Book" w:cs="Calibri"/>
          <w:b w:val="0"/>
          <w:bCs/>
          <w:color w:val="000000" w:themeColor="text1"/>
          <w:lang w:val="en-GB"/>
        </w:rPr>
        <w:t xml:space="preserve"> This action should be mandatory, irrespective of endorsement and implementation of the National Principles.</w:t>
      </w:r>
      <w:bookmarkEnd w:id="132"/>
      <w:bookmarkEnd w:id="133"/>
      <w:r w:rsidR="00D16FEE">
        <w:rPr>
          <w:rFonts w:ascii="Avenir Book" w:hAnsi="Avenir Book" w:cs="Calibri"/>
          <w:b w:val="0"/>
          <w:bCs/>
          <w:color w:val="000000" w:themeColor="text1"/>
          <w:lang w:val="en-GB"/>
        </w:rPr>
        <w:t xml:space="preserve"> </w:t>
      </w:r>
    </w:p>
    <w:p w14:paraId="65867B0D" w14:textId="00E34A1E" w:rsidR="000F3AA0" w:rsidRPr="000F3AA0" w:rsidRDefault="000F3AA0" w:rsidP="00C74146">
      <w:pPr>
        <w:pStyle w:val="Heading3"/>
        <w:numPr>
          <w:ilvl w:val="0"/>
          <w:numId w:val="7"/>
        </w:numPr>
        <w:snapToGrid w:val="0"/>
        <w:spacing w:after="120"/>
        <w:ind w:left="425" w:hanging="425"/>
        <w:jc w:val="left"/>
        <w:rPr>
          <w:rFonts w:ascii="Avenir Book" w:hAnsi="Avenir Book" w:cs="Calibri"/>
          <w:b w:val="0"/>
          <w:bCs/>
          <w:color w:val="000000" w:themeColor="text1"/>
        </w:rPr>
      </w:pPr>
      <w:bookmarkStart w:id="134" w:name="_Toc156819951"/>
      <w:bookmarkStart w:id="135" w:name="_Toc156825234"/>
      <w:r>
        <w:rPr>
          <w:rFonts w:ascii="Avenir Book" w:hAnsi="Avenir Book" w:cs="Calibri"/>
          <w:b w:val="0"/>
          <w:bCs/>
          <w:color w:val="000000" w:themeColor="text1"/>
        </w:rPr>
        <w:t xml:space="preserve">Establish and implement supported decision-making mechanisms and gender, age and culturally appropriate support and assistance programs </w:t>
      </w:r>
      <w:r w:rsidRPr="00434136">
        <w:rPr>
          <w:rFonts w:ascii="Avenir Book" w:hAnsi="Avenir Book" w:cs="Calibri"/>
          <w:b w:val="0"/>
          <w:bCs/>
          <w:color w:val="000000" w:themeColor="text1"/>
        </w:rPr>
        <w:t>to facilitate access to justice (</w:t>
      </w:r>
      <w:r>
        <w:rPr>
          <w:rFonts w:ascii="Avenir Book" w:hAnsi="Avenir Book" w:cs="Calibri"/>
          <w:b w:val="0"/>
          <w:bCs/>
          <w:color w:val="000000" w:themeColor="text1"/>
        </w:rPr>
        <w:t xml:space="preserve">CRPD </w:t>
      </w:r>
      <w:r w:rsidRPr="00434136">
        <w:rPr>
          <w:rFonts w:ascii="Avenir Book" w:hAnsi="Avenir Book" w:cs="Calibri"/>
          <w:b w:val="0"/>
          <w:bCs/>
          <w:color w:val="000000" w:themeColor="text1"/>
        </w:rPr>
        <w:t>article 13), to enable the exercise of legal capacity (CRPD article 12), and to avoid ‘unfit to plead’ declarations and the trajectory to indefinite detention (</w:t>
      </w:r>
      <w:r>
        <w:rPr>
          <w:rFonts w:ascii="Avenir Book" w:hAnsi="Avenir Book" w:cs="Calibri"/>
          <w:b w:val="0"/>
          <w:bCs/>
          <w:color w:val="000000" w:themeColor="text1"/>
        </w:rPr>
        <w:t xml:space="preserve">CRPD </w:t>
      </w:r>
      <w:r w:rsidRPr="00434136">
        <w:rPr>
          <w:rFonts w:ascii="Avenir Book" w:hAnsi="Avenir Book" w:cs="Calibri"/>
          <w:b w:val="0"/>
          <w:bCs/>
          <w:color w:val="000000" w:themeColor="text1"/>
        </w:rPr>
        <w:t>article 14</w:t>
      </w:r>
      <w:r>
        <w:rPr>
          <w:rFonts w:ascii="Avenir Book" w:hAnsi="Avenir Book" w:cs="Calibri"/>
          <w:b w:val="0"/>
          <w:bCs/>
          <w:color w:val="000000" w:themeColor="text1"/>
        </w:rPr>
        <w:t>).</w:t>
      </w:r>
      <w:bookmarkEnd w:id="134"/>
      <w:bookmarkEnd w:id="135"/>
    </w:p>
    <w:p w14:paraId="6635FF50" w14:textId="391B1BB3" w:rsidR="006C2DDB" w:rsidRDefault="000F3AA0" w:rsidP="00C74146">
      <w:pPr>
        <w:pStyle w:val="Heading3"/>
        <w:numPr>
          <w:ilvl w:val="0"/>
          <w:numId w:val="7"/>
        </w:numPr>
        <w:snapToGrid w:val="0"/>
        <w:spacing w:after="120"/>
        <w:ind w:left="425" w:hanging="425"/>
        <w:jc w:val="left"/>
        <w:rPr>
          <w:rFonts w:ascii="Avenir Book" w:hAnsi="Avenir Book" w:cs="Calibri"/>
          <w:b w:val="0"/>
          <w:bCs/>
          <w:color w:val="000000" w:themeColor="text1"/>
        </w:rPr>
      </w:pPr>
      <w:bookmarkStart w:id="136" w:name="_Toc156819952"/>
      <w:bookmarkStart w:id="137" w:name="_Toc156825235"/>
      <w:r>
        <w:rPr>
          <w:rFonts w:ascii="Avenir Book" w:hAnsi="Avenir Book" w:cs="Calibri"/>
          <w:b w:val="0"/>
          <w:bCs/>
          <w:color w:val="000000" w:themeColor="text1"/>
          <w:lang w:val="en-GB"/>
        </w:rPr>
        <w:t xml:space="preserve">Develop and implement a national disability justice </w:t>
      </w:r>
      <w:r w:rsidR="006C2DDB">
        <w:rPr>
          <w:rFonts w:ascii="Avenir Book" w:hAnsi="Avenir Book" w:cs="Calibri"/>
          <w:b w:val="0"/>
          <w:bCs/>
          <w:color w:val="000000" w:themeColor="text1"/>
          <w:lang w:val="en-GB"/>
        </w:rPr>
        <w:t xml:space="preserve">strategy </w:t>
      </w:r>
      <w:r>
        <w:rPr>
          <w:rFonts w:ascii="Avenir Book" w:hAnsi="Avenir Book" w:cs="Calibri"/>
          <w:b w:val="0"/>
          <w:bCs/>
          <w:color w:val="000000" w:themeColor="text1"/>
          <w:lang w:val="en-GB"/>
        </w:rPr>
        <w:t xml:space="preserve">to address the </w:t>
      </w:r>
      <w:r w:rsidR="00E21E77" w:rsidRPr="00434136">
        <w:rPr>
          <w:rFonts w:ascii="Avenir Book" w:hAnsi="Avenir Book" w:cs="Calibri"/>
          <w:b w:val="0"/>
          <w:bCs/>
          <w:color w:val="000000" w:themeColor="text1"/>
        </w:rPr>
        <w:t>over-representation of people with disability, particularly First Nations people with disability in the criminal justice system</w:t>
      </w:r>
      <w:r w:rsidR="006C2DDB">
        <w:rPr>
          <w:rFonts w:ascii="Avenir Book" w:hAnsi="Avenir Book" w:cs="Calibri"/>
          <w:b w:val="0"/>
          <w:bCs/>
          <w:color w:val="000000" w:themeColor="text1"/>
        </w:rPr>
        <w:t xml:space="preserve"> that includes comprehensive </w:t>
      </w:r>
      <w:r>
        <w:rPr>
          <w:rFonts w:ascii="Avenir Book" w:hAnsi="Avenir Book" w:cs="Calibri"/>
          <w:b w:val="0"/>
          <w:bCs/>
          <w:color w:val="000000" w:themeColor="text1"/>
        </w:rPr>
        <w:t xml:space="preserve">measures to prevent and respond to the criminalisation </w:t>
      </w:r>
      <w:r w:rsidR="00E21E77" w:rsidRPr="00434136">
        <w:rPr>
          <w:rFonts w:ascii="Avenir Book" w:hAnsi="Avenir Book" w:cs="Calibri"/>
          <w:b w:val="0"/>
          <w:bCs/>
          <w:color w:val="000000" w:themeColor="text1"/>
        </w:rPr>
        <w:t>of disability</w:t>
      </w:r>
      <w:r w:rsidR="006C2DDB">
        <w:rPr>
          <w:rFonts w:ascii="Avenir Book" w:hAnsi="Avenir Book" w:cs="Calibri"/>
          <w:b w:val="0"/>
          <w:bCs/>
          <w:color w:val="000000" w:themeColor="text1"/>
        </w:rPr>
        <w:t xml:space="preserve">, such as </w:t>
      </w:r>
      <w:r>
        <w:rPr>
          <w:rFonts w:ascii="Avenir Book" w:hAnsi="Avenir Book" w:cs="Calibri"/>
          <w:b w:val="0"/>
          <w:bCs/>
          <w:color w:val="000000" w:themeColor="text1"/>
        </w:rPr>
        <w:t xml:space="preserve">establishing </w:t>
      </w:r>
      <w:r w:rsidR="006C2DDB">
        <w:rPr>
          <w:rFonts w:ascii="Avenir Book" w:hAnsi="Avenir Book" w:cs="Calibri"/>
          <w:b w:val="0"/>
          <w:bCs/>
          <w:color w:val="000000" w:themeColor="text1"/>
        </w:rPr>
        <w:t>justice reinvestment strategies</w:t>
      </w:r>
      <w:r w:rsidR="006C2DDB">
        <w:rPr>
          <w:rStyle w:val="EndnoteReference"/>
          <w:rFonts w:ascii="Avenir Book" w:hAnsi="Avenir Book" w:cs="Calibri"/>
          <w:b w:val="0"/>
          <w:bCs/>
          <w:color w:val="000000" w:themeColor="text1"/>
        </w:rPr>
        <w:endnoteReference w:id="196"/>
      </w:r>
      <w:r w:rsidR="006C2DDB" w:rsidRPr="00434136">
        <w:rPr>
          <w:rFonts w:ascii="Avenir Book" w:hAnsi="Avenir Book" w:cs="Calibri"/>
          <w:b w:val="0"/>
          <w:bCs/>
          <w:color w:val="000000" w:themeColor="text1"/>
        </w:rPr>
        <w:t xml:space="preserve"> </w:t>
      </w:r>
      <w:r w:rsidR="006C2DDB">
        <w:rPr>
          <w:rFonts w:ascii="Avenir Book" w:hAnsi="Avenir Book" w:cs="Calibri"/>
          <w:b w:val="0"/>
          <w:bCs/>
          <w:color w:val="000000" w:themeColor="text1"/>
        </w:rPr>
        <w:t xml:space="preserve">and </w:t>
      </w:r>
      <w:r w:rsidR="00E21E77" w:rsidRPr="00434136">
        <w:rPr>
          <w:rFonts w:ascii="Avenir Book" w:hAnsi="Avenir Book" w:cs="Calibri"/>
          <w:b w:val="0"/>
          <w:bCs/>
          <w:color w:val="000000" w:themeColor="text1"/>
        </w:rPr>
        <w:t>intensive and gender, age and culturally appropriate coordinated support from multiple agencies</w:t>
      </w:r>
      <w:r w:rsidR="006C2DDB">
        <w:rPr>
          <w:rFonts w:ascii="Avenir Book" w:hAnsi="Avenir Book" w:cs="Calibri"/>
          <w:b w:val="0"/>
          <w:bCs/>
          <w:color w:val="000000" w:themeColor="text1"/>
        </w:rPr>
        <w:t>.</w:t>
      </w:r>
      <w:bookmarkEnd w:id="136"/>
      <w:bookmarkEnd w:id="137"/>
    </w:p>
    <w:p w14:paraId="559227AC" w14:textId="77777777" w:rsidR="006C2DDB" w:rsidRDefault="006C2DDB" w:rsidP="00C74146">
      <w:pPr>
        <w:pStyle w:val="Heading3"/>
        <w:numPr>
          <w:ilvl w:val="0"/>
          <w:numId w:val="7"/>
        </w:numPr>
        <w:snapToGrid w:val="0"/>
        <w:spacing w:after="120"/>
        <w:ind w:left="425" w:hanging="425"/>
        <w:jc w:val="left"/>
        <w:rPr>
          <w:rFonts w:ascii="Avenir Book" w:hAnsi="Avenir Book" w:cs="Calibri"/>
          <w:b w:val="0"/>
          <w:bCs/>
          <w:color w:val="000000" w:themeColor="text1"/>
        </w:rPr>
      </w:pPr>
      <w:bookmarkStart w:id="138" w:name="_Toc156819953"/>
      <w:bookmarkStart w:id="139" w:name="_Toc156825236"/>
      <w:r>
        <w:rPr>
          <w:rFonts w:ascii="Avenir Book" w:hAnsi="Avenir Book" w:cs="Calibri"/>
          <w:b w:val="0"/>
          <w:bCs/>
          <w:color w:val="000000" w:themeColor="text1"/>
        </w:rPr>
        <w:t xml:space="preserve">Undertake an analysis of recommendations from previous </w:t>
      </w:r>
      <w:r w:rsidR="00E21E77" w:rsidRPr="00434136">
        <w:rPr>
          <w:rFonts w:ascii="Avenir Book" w:hAnsi="Avenir Book" w:cs="Calibri"/>
          <w:b w:val="0"/>
          <w:bCs/>
          <w:color w:val="000000" w:themeColor="text1"/>
        </w:rPr>
        <w:t>inquiries and reports</w:t>
      </w:r>
      <w:r w:rsidR="00E21E77" w:rsidRPr="00434136">
        <w:rPr>
          <w:rFonts w:ascii="Avenir Book" w:hAnsi="Avenir Book" w:cs="Calibri"/>
          <w:b w:val="0"/>
          <w:bCs/>
          <w:color w:val="000000" w:themeColor="text1"/>
          <w:vertAlign w:val="superscript"/>
        </w:rPr>
        <w:endnoteReference w:id="197"/>
      </w:r>
      <w:r>
        <w:rPr>
          <w:rFonts w:ascii="Avenir Book" w:hAnsi="Avenir Book" w:cs="Calibri"/>
          <w:b w:val="0"/>
          <w:bCs/>
          <w:color w:val="000000" w:themeColor="text1"/>
        </w:rPr>
        <w:t xml:space="preserve"> </w:t>
      </w:r>
      <w:r w:rsidR="00E21E77" w:rsidRPr="00434136">
        <w:rPr>
          <w:rFonts w:ascii="Avenir Book" w:hAnsi="Avenir Book" w:cs="Calibri"/>
          <w:b w:val="0"/>
          <w:bCs/>
          <w:color w:val="000000" w:themeColor="text1"/>
        </w:rPr>
        <w:t xml:space="preserve">to ensure that, in combination with the DRC recommendations, a full suite of </w:t>
      </w:r>
      <w:r w:rsidR="00E21E77" w:rsidRPr="00434136">
        <w:rPr>
          <w:rFonts w:ascii="Avenir Book" w:hAnsi="Avenir Book" w:cs="Calibri"/>
          <w:b w:val="0"/>
          <w:bCs/>
          <w:color w:val="000000" w:themeColor="text1"/>
        </w:rPr>
        <w:lastRenderedPageBreak/>
        <w:t>recommendations is implemented to address the situation of people with disability</w:t>
      </w:r>
      <w:r>
        <w:rPr>
          <w:rFonts w:ascii="Avenir Book" w:hAnsi="Avenir Book" w:cs="Calibri"/>
          <w:b w:val="0"/>
          <w:bCs/>
          <w:color w:val="000000" w:themeColor="text1"/>
        </w:rPr>
        <w:t xml:space="preserve"> in the criminal justice system</w:t>
      </w:r>
      <w:r w:rsidR="00E21E77" w:rsidRPr="00434136">
        <w:rPr>
          <w:rFonts w:ascii="Avenir Book" w:hAnsi="Avenir Book" w:cs="Calibri"/>
          <w:b w:val="0"/>
          <w:bCs/>
          <w:color w:val="000000" w:themeColor="text1"/>
        </w:rPr>
        <w:t>.</w:t>
      </w:r>
      <w:bookmarkEnd w:id="138"/>
      <w:bookmarkEnd w:id="139"/>
      <w:r w:rsidR="00E21E77" w:rsidRPr="00434136">
        <w:rPr>
          <w:rFonts w:ascii="Avenir Book" w:hAnsi="Avenir Book" w:cs="Calibri"/>
          <w:b w:val="0"/>
          <w:bCs/>
          <w:color w:val="000000" w:themeColor="text1"/>
        </w:rPr>
        <w:t xml:space="preserve"> </w:t>
      </w:r>
    </w:p>
    <w:p w14:paraId="5742F4ED" w14:textId="71893DF7" w:rsidR="00E21E77" w:rsidRPr="006C2DDB" w:rsidRDefault="006C2DDB" w:rsidP="00C74146">
      <w:pPr>
        <w:pStyle w:val="Heading3"/>
        <w:numPr>
          <w:ilvl w:val="0"/>
          <w:numId w:val="7"/>
        </w:numPr>
        <w:snapToGrid w:val="0"/>
        <w:spacing w:after="120"/>
        <w:ind w:left="425" w:hanging="425"/>
        <w:jc w:val="left"/>
        <w:rPr>
          <w:rFonts w:ascii="Avenir Book" w:hAnsi="Avenir Book" w:cs="Calibri"/>
          <w:b w:val="0"/>
          <w:bCs/>
          <w:color w:val="000000" w:themeColor="text1"/>
        </w:rPr>
      </w:pPr>
      <w:bookmarkStart w:id="140" w:name="_Toc156819954"/>
      <w:bookmarkStart w:id="141" w:name="_Toc156825237"/>
      <w:r>
        <w:rPr>
          <w:rFonts w:ascii="Avenir Book" w:hAnsi="Avenir Book" w:cs="Calibri"/>
          <w:b w:val="0"/>
          <w:bCs/>
          <w:color w:val="000000" w:themeColor="text1"/>
        </w:rPr>
        <w:t xml:space="preserve">Ensure close engagement with the </w:t>
      </w:r>
      <w:r w:rsidR="00E21E77" w:rsidRPr="00434136">
        <w:rPr>
          <w:rFonts w:ascii="Avenir Book" w:hAnsi="Avenir Book" w:cs="Calibri"/>
          <w:b w:val="0"/>
          <w:bCs/>
          <w:color w:val="000000" w:themeColor="text1"/>
        </w:rPr>
        <w:t>Australian Human Rights Commission (AHRC) investigati</w:t>
      </w:r>
      <w:r>
        <w:rPr>
          <w:rFonts w:ascii="Avenir Book" w:hAnsi="Avenir Book" w:cs="Calibri"/>
          <w:b w:val="0"/>
          <w:bCs/>
          <w:color w:val="000000" w:themeColor="text1"/>
        </w:rPr>
        <w:t>o</w:t>
      </w:r>
      <w:r w:rsidR="00E21E77" w:rsidRPr="00434136">
        <w:rPr>
          <w:rFonts w:ascii="Avenir Book" w:hAnsi="Avenir Book" w:cs="Calibri"/>
          <w:b w:val="0"/>
          <w:bCs/>
          <w:color w:val="000000" w:themeColor="text1"/>
        </w:rPr>
        <w:t>n</w:t>
      </w:r>
      <w:r>
        <w:rPr>
          <w:rFonts w:ascii="Avenir Book" w:hAnsi="Avenir Book" w:cs="Calibri"/>
          <w:b w:val="0"/>
          <w:bCs/>
          <w:color w:val="000000" w:themeColor="text1"/>
        </w:rPr>
        <w:t xml:space="preserve"> into</w:t>
      </w:r>
      <w:r w:rsidR="00E21E77" w:rsidRPr="00434136">
        <w:rPr>
          <w:rFonts w:ascii="Avenir Book" w:hAnsi="Avenir Book" w:cs="Calibri"/>
          <w:b w:val="0"/>
          <w:bCs/>
          <w:color w:val="000000" w:themeColor="text1"/>
        </w:rPr>
        <w:t xml:space="preserve"> youth justice system reforms and child well-being across Australia.</w:t>
      </w:r>
      <w:bookmarkEnd w:id="140"/>
      <w:bookmarkEnd w:id="141"/>
      <w:r w:rsidR="00E21E77" w:rsidRPr="00434136">
        <w:rPr>
          <w:rFonts w:ascii="Avenir Book" w:hAnsi="Avenir Book" w:cs="Calibri"/>
          <w:b w:val="0"/>
          <w:bCs/>
          <w:color w:val="000000" w:themeColor="text1"/>
        </w:rPr>
        <w:t xml:space="preserve"> </w:t>
      </w:r>
    </w:p>
    <w:p w14:paraId="369D87F1" w14:textId="77777777" w:rsidR="00434136" w:rsidRDefault="00434136" w:rsidP="00D300B8">
      <w:pPr>
        <w:pStyle w:val="Heading3"/>
        <w:snapToGrid w:val="0"/>
        <w:rPr>
          <w:rFonts w:ascii="Avenir Book" w:hAnsi="Avenir Book" w:cs="Calibri"/>
          <w:b w:val="0"/>
          <w:bCs/>
          <w:color w:val="000000" w:themeColor="text1"/>
        </w:rPr>
      </w:pPr>
    </w:p>
    <w:p w14:paraId="3481A133" w14:textId="3A016539" w:rsidR="001E40CB" w:rsidRPr="00D673B0" w:rsidRDefault="001E40CB" w:rsidP="00C74146">
      <w:pPr>
        <w:pStyle w:val="Heading3"/>
        <w:numPr>
          <w:ilvl w:val="1"/>
          <w:numId w:val="11"/>
        </w:numPr>
        <w:snapToGrid w:val="0"/>
        <w:spacing w:after="120" w:line="240" w:lineRule="auto"/>
        <w:ind w:left="851" w:hanging="862"/>
        <w:jc w:val="left"/>
        <w:rPr>
          <w:rFonts w:ascii="Avenir Book" w:hAnsi="Avenir Book" w:cs="Calibri"/>
          <w:color w:val="000000" w:themeColor="text1"/>
        </w:rPr>
      </w:pPr>
      <w:bookmarkStart w:id="142" w:name="_Toc156825238"/>
      <w:r w:rsidRPr="00D673B0">
        <w:rPr>
          <w:rFonts w:ascii="Avenir Book" w:eastAsia="Arial" w:hAnsi="Avenir Book" w:cstheme="minorHAnsi"/>
          <w:bCs/>
          <w:color w:val="000000" w:themeColor="text1"/>
        </w:rPr>
        <w:t>End discrimination against migrants and refugees with disability</w:t>
      </w:r>
      <w:bookmarkEnd w:id="142"/>
      <w:r w:rsidRPr="00D673B0">
        <w:rPr>
          <w:rFonts w:ascii="Avenir Book" w:hAnsi="Avenir Book" w:cs="Calibri"/>
          <w:color w:val="000000" w:themeColor="text1"/>
        </w:rPr>
        <w:tab/>
      </w:r>
    </w:p>
    <w:p w14:paraId="3A60F1E4" w14:textId="2E72A34B" w:rsidR="001E40CB" w:rsidRDefault="001E40CB" w:rsidP="00C74146">
      <w:pPr>
        <w:pStyle w:val="Heading3"/>
        <w:numPr>
          <w:ilvl w:val="2"/>
          <w:numId w:val="11"/>
        </w:numPr>
        <w:snapToGrid w:val="0"/>
        <w:ind w:left="851" w:hanging="851"/>
        <w:rPr>
          <w:rFonts w:ascii="Avenir Book" w:hAnsi="Avenir Book" w:cs="Calibri"/>
          <w:b w:val="0"/>
          <w:color w:val="000000" w:themeColor="text1"/>
        </w:rPr>
      </w:pPr>
      <w:bookmarkStart w:id="143" w:name="_Toc156819956"/>
      <w:bookmarkStart w:id="144" w:name="_Toc156825239"/>
      <w:r w:rsidRPr="001E40CB">
        <w:rPr>
          <w:rFonts w:ascii="Avenir Book" w:hAnsi="Avenir Book" w:cs="Calibri"/>
          <w:b w:val="0"/>
          <w:color w:val="000000" w:themeColor="text1"/>
        </w:rPr>
        <w:t>Australia’s migration laws discriminate against people with disability or health issues applying to enter Australia.</w:t>
      </w:r>
      <w:r w:rsidRPr="001E40CB">
        <w:rPr>
          <w:rFonts w:ascii="Avenir Book" w:hAnsi="Avenir Book" w:cs="Calibri"/>
          <w:b w:val="0"/>
          <w:color w:val="000000" w:themeColor="text1"/>
          <w:vertAlign w:val="superscript"/>
        </w:rPr>
        <w:endnoteReference w:id="198"/>
      </w:r>
      <w:r w:rsidRPr="001E40CB">
        <w:rPr>
          <w:rFonts w:ascii="Avenir Book" w:hAnsi="Avenir Book" w:cs="Calibri"/>
          <w:b w:val="0"/>
          <w:color w:val="000000" w:themeColor="text1"/>
        </w:rPr>
        <w:t xml:space="preserve"> People with disability, and families who have members with disability, consistently have their visa applications denied because they are unable to meet the strict health requirement under the </w:t>
      </w:r>
      <w:r w:rsidRPr="001E40CB">
        <w:rPr>
          <w:rFonts w:ascii="Avenir Book" w:hAnsi="Avenir Book" w:cs="Calibri"/>
          <w:b w:val="0"/>
          <w:i/>
          <w:color w:val="000000" w:themeColor="text1"/>
        </w:rPr>
        <w:t>Migration Act 1958</w:t>
      </w:r>
      <w:r w:rsidRPr="001E40CB">
        <w:rPr>
          <w:rFonts w:ascii="Avenir Book" w:hAnsi="Avenir Book" w:cs="Calibri"/>
          <w:b w:val="0"/>
          <w:color w:val="000000" w:themeColor="text1"/>
        </w:rPr>
        <w:t xml:space="preserve"> (Cth).</w:t>
      </w:r>
      <w:r w:rsidRPr="001E40CB">
        <w:rPr>
          <w:rFonts w:ascii="Avenir Book" w:hAnsi="Avenir Book" w:cs="Calibri"/>
          <w:b w:val="0"/>
          <w:color w:val="000000" w:themeColor="text1"/>
          <w:vertAlign w:val="superscript"/>
        </w:rPr>
        <w:endnoteReference w:id="199"/>
      </w:r>
      <w:r w:rsidRPr="001E40CB">
        <w:rPr>
          <w:rFonts w:ascii="Avenir Book" w:hAnsi="Avenir Book" w:cs="Calibri"/>
          <w:b w:val="0"/>
          <w:color w:val="000000" w:themeColor="text1"/>
        </w:rPr>
        <w:t xml:space="preserve"> An individual or family could have been living in Australia for many years, contributing to the economic and social life of the community, yet could be deported because of a failure to meet the health requirement.</w:t>
      </w:r>
      <w:r w:rsidRPr="001E40CB">
        <w:rPr>
          <w:rFonts w:ascii="Avenir Book" w:hAnsi="Avenir Book" w:cs="Calibri"/>
          <w:b w:val="0"/>
          <w:color w:val="000000" w:themeColor="text1"/>
          <w:vertAlign w:val="superscript"/>
        </w:rPr>
        <w:endnoteReference w:id="200"/>
      </w:r>
      <w:bookmarkEnd w:id="143"/>
      <w:bookmarkEnd w:id="144"/>
      <w:r w:rsidRPr="001E40CB">
        <w:rPr>
          <w:rFonts w:ascii="Avenir Book" w:hAnsi="Avenir Book" w:cs="Calibri"/>
          <w:b w:val="0"/>
          <w:color w:val="000000" w:themeColor="text1"/>
        </w:rPr>
        <w:t xml:space="preserve"> </w:t>
      </w:r>
    </w:p>
    <w:p w14:paraId="0A9EBB25" w14:textId="77777777" w:rsidR="0063334A" w:rsidRPr="0063334A" w:rsidRDefault="0063334A" w:rsidP="0063334A"/>
    <w:p w14:paraId="2C6A23F8" w14:textId="77777777" w:rsidR="001E40CB" w:rsidRPr="0063334A" w:rsidRDefault="001E40CB" w:rsidP="00C74146">
      <w:pPr>
        <w:pStyle w:val="ListParagraph"/>
        <w:numPr>
          <w:ilvl w:val="2"/>
          <w:numId w:val="11"/>
        </w:numPr>
        <w:spacing w:line="276" w:lineRule="auto"/>
        <w:ind w:left="851" w:hanging="851"/>
        <w:contextualSpacing w:val="0"/>
      </w:pPr>
      <w:r w:rsidRPr="001E40CB">
        <w:rPr>
          <w:rFonts w:ascii="Avenir Book" w:hAnsi="Avenir Book" w:cs="Calibri"/>
          <w:color w:val="000000" w:themeColor="text1"/>
        </w:rPr>
        <w:t xml:space="preserve">In its examination of this issue, the DRC observed that the “blanket exemption” provided by section 52 of the </w:t>
      </w:r>
      <w:r w:rsidRPr="001E40CB">
        <w:rPr>
          <w:rFonts w:ascii="Avenir Book" w:hAnsi="Avenir Book" w:cs="Calibri"/>
          <w:i/>
          <w:iCs/>
          <w:color w:val="000000" w:themeColor="text1"/>
        </w:rPr>
        <w:t>Disability Discrimination Act 1992</w:t>
      </w:r>
      <w:r w:rsidRPr="001E40CB">
        <w:rPr>
          <w:rFonts w:ascii="Avenir Book" w:hAnsi="Avenir Book" w:cs="Calibri"/>
          <w:color w:val="000000" w:themeColor="text1"/>
        </w:rPr>
        <w:t xml:space="preserve"> (</w:t>
      </w:r>
      <w:proofErr w:type="spellStart"/>
      <w:r w:rsidRPr="001E40CB">
        <w:rPr>
          <w:rFonts w:ascii="Avenir Book" w:hAnsi="Avenir Book" w:cs="Calibri"/>
          <w:color w:val="000000" w:themeColor="text1"/>
        </w:rPr>
        <w:t>Cth</w:t>
      </w:r>
      <w:proofErr w:type="spellEnd"/>
      <w:r w:rsidRPr="001E40CB">
        <w:rPr>
          <w:rFonts w:ascii="Avenir Book" w:hAnsi="Avenir Book" w:cs="Calibri"/>
          <w:color w:val="000000" w:themeColor="text1"/>
        </w:rPr>
        <w:t>) (DDA) in relation to the Migration Act 1958 (</w:t>
      </w:r>
      <w:proofErr w:type="spellStart"/>
      <w:r w:rsidRPr="001E40CB">
        <w:rPr>
          <w:rFonts w:ascii="Avenir Book" w:hAnsi="Avenir Book" w:cs="Calibri"/>
          <w:color w:val="000000" w:themeColor="text1"/>
        </w:rPr>
        <w:t>Cth</w:t>
      </w:r>
      <w:proofErr w:type="spellEnd"/>
      <w:r w:rsidRPr="001E40CB">
        <w:rPr>
          <w:rFonts w:ascii="Avenir Book" w:hAnsi="Avenir Book" w:cs="Calibri"/>
          <w:color w:val="000000" w:themeColor="text1"/>
        </w:rPr>
        <w:t>), the Migration Regulations 1994 (</w:t>
      </w:r>
      <w:proofErr w:type="spellStart"/>
      <w:r w:rsidRPr="001E40CB">
        <w:rPr>
          <w:rFonts w:ascii="Avenir Book" w:hAnsi="Avenir Book" w:cs="Calibri"/>
          <w:color w:val="000000" w:themeColor="text1"/>
        </w:rPr>
        <w:t>Cth</w:t>
      </w:r>
      <w:proofErr w:type="spellEnd"/>
      <w:r w:rsidRPr="001E40CB">
        <w:rPr>
          <w:rFonts w:ascii="Avenir Book" w:hAnsi="Avenir Book" w:cs="Calibri"/>
          <w:color w:val="000000" w:themeColor="text1"/>
        </w:rPr>
        <w:t>) and “decisions about visas to enter and remain in Australia” meant that protections against discrimination and the objectives of non-discrimination contained in the DDA do not apply.</w:t>
      </w:r>
      <w:r w:rsidRPr="001E40CB">
        <w:rPr>
          <w:vertAlign w:val="superscript"/>
        </w:rPr>
        <w:endnoteReference w:id="201"/>
      </w:r>
      <w:r w:rsidRPr="001E40CB">
        <w:rPr>
          <w:rFonts w:ascii="Avenir Book" w:hAnsi="Avenir Book" w:cs="Calibri"/>
          <w:color w:val="000000" w:themeColor="text1"/>
        </w:rPr>
        <w:t xml:space="preserve">  The DRC noted similar findings and recommendations from the Productivity Commission</w:t>
      </w:r>
      <w:r w:rsidRPr="001E40CB">
        <w:rPr>
          <w:vertAlign w:val="superscript"/>
        </w:rPr>
        <w:endnoteReference w:id="202"/>
      </w:r>
      <w:r w:rsidRPr="001E40CB">
        <w:rPr>
          <w:rFonts w:ascii="Avenir Book" w:hAnsi="Avenir Book" w:cs="Calibri"/>
          <w:color w:val="000000" w:themeColor="text1"/>
        </w:rPr>
        <w:t xml:space="preserve"> in 2004 and the 2010 report from the House of Representatives Joint Standing Committee on Migration’s inquiry into the Migration Treatment of Disability.</w:t>
      </w:r>
      <w:r w:rsidRPr="001E40CB">
        <w:rPr>
          <w:vertAlign w:val="superscript"/>
        </w:rPr>
        <w:endnoteReference w:id="203"/>
      </w:r>
      <w:r w:rsidRPr="001E40CB">
        <w:rPr>
          <w:rFonts w:ascii="Avenir Book" w:hAnsi="Avenir Book" w:cs="Calibri"/>
          <w:color w:val="000000" w:themeColor="text1"/>
        </w:rPr>
        <w:t xml:space="preserve">  </w:t>
      </w:r>
    </w:p>
    <w:p w14:paraId="30C8ACA6" w14:textId="77777777" w:rsidR="0063334A" w:rsidRPr="001E40CB" w:rsidRDefault="0063334A" w:rsidP="0063334A">
      <w:pPr>
        <w:spacing w:line="276" w:lineRule="auto"/>
      </w:pPr>
    </w:p>
    <w:p w14:paraId="3CDE23D4" w14:textId="77777777" w:rsidR="001E40CB" w:rsidRPr="0063334A" w:rsidRDefault="001E40CB" w:rsidP="00C74146">
      <w:pPr>
        <w:pStyle w:val="ListParagraph"/>
        <w:numPr>
          <w:ilvl w:val="2"/>
          <w:numId w:val="11"/>
        </w:numPr>
        <w:spacing w:line="276" w:lineRule="auto"/>
        <w:ind w:left="851" w:hanging="851"/>
        <w:contextualSpacing w:val="0"/>
      </w:pPr>
      <w:r w:rsidRPr="001E40CB">
        <w:rPr>
          <w:rFonts w:ascii="Avenir Book" w:hAnsi="Avenir Book" w:cs="Calibri"/>
          <w:color w:val="000000" w:themeColor="text1"/>
        </w:rPr>
        <w:t>The Special Rapporteur on the human rights of migrants raised concerns about Australia’s health requirement and recommended that section 52 of the DDA should be repealed.</w:t>
      </w:r>
      <w:r w:rsidRPr="001E40CB">
        <w:rPr>
          <w:vertAlign w:val="superscript"/>
        </w:rPr>
        <w:endnoteReference w:id="204"/>
      </w:r>
      <w:r w:rsidRPr="001E40CB">
        <w:rPr>
          <w:rFonts w:ascii="Avenir Book" w:hAnsi="Avenir Book" w:cs="Calibri"/>
          <w:color w:val="000000" w:themeColor="text1"/>
        </w:rPr>
        <w:t xml:space="preserve"> The CRPD Committee recommended in 2019 that Australia remove the exemption in the DDA in relation to the </w:t>
      </w:r>
      <w:r w:rsidRPr="001E40CB">
        <w:rPr>
          <w:rFonts w:ascii="Avenir Book" w:hAnsi="Avenir Book" w:cs="Calibri"/>
          <w:i/>
          <w:iCs/>
          <w:color w:val="000000" w:themeColor="text1"/>
        </w:rPr>
        <w:t>Migration Act 1958</w:t>
      </w:r>
      <w:r w:rsidRPr="001E40CB">
        <w:rPr>
          <w:rFonts w:ascii="Avenir Book" w:hAnsi="Avenir Book" w:cs="Calibri"/>
          <w:color w:val="000000" w:themeColor="text1"/>
        </w:rPr>
        <w:t xml:space="preserve"> (</w:t>
      </w:r>
      <w:proofErr w:type="spellStart"/>
      <w:r w:rsidRPr="001E40CB">
        <w:rPr>
          <w:rFonts w:ascii="Avenir Book" w:hAnsi="Avenir Book" w:cs="Calibri"/>
          <w:color w:val="000000" w:themeColor="text1"/>
        </w:rPr>
        <w:t>Cth</w:t>
      </w:r>
      <w:proofErr w:type="spellEnd"/>
      <w:r w:rsidRPr="001E40CB">
        <w:rPr>
          <w:rFonts w:ascii="Avenir Book" w:hAnsi="Avenir Book" w:cs="Calibri"/>
          <w:color w:val="000000" w:themeColor="text1"/>
        </w:rPr>
        <w:t>) and amend migration laws and policies to eliminate discrimination in migration and asylum policies and procedures.</w:t>
      </w:r>
      <w:r w:rsidRPr="001E40CB">
        <w:rPr>
          <w:vertAlign w:val="superscript"/>
        </w:rPr>
        <w:endnoteReference w:id="205"/>
      </w:r>
      <w:r w:rsidRPr="001E40CB">
        <w:rPr>
          <w:rFonts w:ascii="Avenir Book" w:hAnsi="Avenir Book" w:cs="Calibri"/>
          <w:color w:val="000000" w:themeColor="text1"/>
        </w:rPr>
        <w:t xml:space="preserve">  In 2021, in its consideration of the case </w:t>
      </w:r>
      <w:r w:rsidRPr="001E40CB">
        <w:rPr>
          <w:rFonts w:ascii="Avenir Book" w:hAnsi="Avenir Book" w:cs="Calibri"/>
          <w:i/>
          <w:iCs/>
          <w:color w:val="000000" w:themeColor="text1"/>
        </w:rPr>
        <w:t>Sherlock v Australia</w:t>
      </w:r>
      <w:r w:rsidRPr="001E40CB">
        <w:rPr>
          <w:rFonts w:ascii="Avenir Book" w:hAnsi="Avenir Book" w:cs="Calibri"/>
          <w:color w:val="000000" w:themeColor="text1"/>
        </w:rPr>
        <w:t>, the CRPD Committee found that the health criteria discriminated against people with disability in contravention of articles 5 and 18 of the CRPD.</w:t>
      </w:r>
      <w:r w:rsidRPr="001E40CB">
        <w:rPr>
          <w:vertAlign w:val="superscript"/>
        </w:rPr>
        <w:endnoteReference w:id="206"/>
      </w:r>
      <w:r w:rsidRPr="001E40CB">
        <w:rPr>
          <w:rFonts w:ascii="Avenir Book" w:hAnsi="Avenir Book" w:cs="Calibri"/>
          <w:color w:val="000000" w:themeColor="text1"/>
        </w:rPr>
        <w:t xml:space="preserve"> </w:t>
      </w:r>
    </w:p>
    <w:p w14:paraId="5B1644FE" w14:textId="77777777" w:rsidR="0063334A" w:rsidRPr="001E40CB" w:rsidRDefault="0063334A" w:rsidP="0063334A">
      <w:pPr>
        <w:spacing w:line="276" w:lineRule="auto"/>
      </w:pPr>
    </w:p>
    <w:p w14:paraId="02D7F00F" w14:textId="2DBC251C" w:rsidR="001E40CB" w:rsidRPr="0063334A" w:rsidRDefault="001E40CB" w:rsidP="00C74146">
      <w:pPr>
        <w:pStyle w:val="ListParagraph"/>
        <w:numPr>
          <w:ilvl w:val="2"/>
          <w:numId w:val="11"/>
        </w:numPr>
        <w:spacing w:line="276" w:lineRule="auto"/>
        <w:ind w:left="851" w:hanging="851"/>
        <w:contextualSpacing w:val="0"/>
      </w:pPr>
      <w:r w:rsidRPr="001E40CB">
        <w:rPr>
          <w:rFonts w:ascii="Avenir Book" w:hAnsi="Avenir Book" w:cs="Calibri"/>
          <w:color w:val="000000" w:themeColor="text1"/>
        </w:rPr>
        <w:t xml:space="preserve">Despite this evidence, the DRC only recommended a review of the operation of section 52 of the DDA </w:t>
      </w:r>
      <w:r>
        <w:rPr>
          <w:rFonts w:ascii="Avenir Book" w:hAnsi="Avenir Book" w:cs="Calibri"/>
          <w:color w:val="000000" w:themeColor="text1"/>
        </w:rPr>
        <w:t xml:space="preserve">- recommendation 4.31 - </w:t>
      </w:r>
      <w:r w:rsidRPr="001E40CB">
        <w:rPr>
          <w:rFonts w:ascii="Avenir Book" w:hAnsi="Avenir Book" w:cs="Calibri"/>
          <w:color w:val="000000" w:themeColor="text1"/>
        </w:rPr>
        <w:t xml:space="preserve">rather than removal of the exemption, and consideration of “changes to legislation and migration practices </w:t>
      </w:r>
      <w:r w:rsidRPr="001E40CB">
        <w:rPr>
          <w:rFonts w:ascii="Avenir Book" w:hAnsi="Avenir Book" w:cs="Calibri"/>
          <w:color w:val="000000" w:themeColor="text1"/>
        </w:rPr>
        <w:lastRenderedPageBreak/>
        <w:t>to eliminate or minimise the discrimination”.</w:t>
      </w:r>
      <w:r w:rsidRPr="001E40CB">
        <w:rPr>
          <w:vertAlign w:val="superscript"/>
        </w:rPr>
        <w:endnoteReference w:id="207"/>
      </w:r>
      <w:r>
        <w:rPr>
          <w:rFonts w:ascii="Avenir Book" w:hAnsi="Avenir Book" w:cs="Calibri"/>
          <w:color w:val="000000" w:themeColor="text1"/>
        </w:rPr>
        <w:t xml:space="preserve"> WWDA does not consider that a review is warranted given the evidence that section 52 </w:t>
      </w:r>
      <w:r w:rsidR="00B279AB">
        <w:rPr>
          <w:rFonts w:ascii="Avenir Book" w:hAnsi="Avenir Book" w:cs="Calibri"/>
          <w:color w:val="000000" w:themeColor="text1"/>
        </w:rPr>
        <w:t xml:space="preserve">facilitates discrimination. </w:t>
      </w:r>
    </w:p>
    <w:p w14:paraId="1BBD1FAD" w14:textId="77777777" w:rsidR="0063334A" w:rsidRPr="001E40CB" w:rsidRDefault="0063334A" w:rsidP="0063334A">
      <w:pPr>
        <w:spacing w:line="276" w:lineRule="auto"/>
      </w:pPr>
    </w:p>
    <w:p w14:paraId="6098E082" w14:textId="0335EEC8" w:rsidR="001E40CB" w:rsidRPr="0063334A" w:rsidRDefault="001E40CB" w:rsidP="00C74146">
      <w:pPr>
        <w:pStyle w:val="ListParagraph"/>
        <w:numPr>
          <w:ilvl w:val="2"/>
          <w:numId w:val="11"/>
        </w:numPr>
        <w:spacing w:line="276" w:lineRule="auto"/>
        <w:ind w:left="851" w:hanging="851"/>
        <w:contextualSpacing w:val="0"/>
      </w:pPr>
      <w:r w:rsidRPr="001E40CB">
        <w:rPr>
          <w:rFonts w:ascii="Avenir Book" w:hAnsi="Avenir Book" w:cs="Calibri"/>
          <w:color w:val="000000" w:themeColor="text1"/>
        </w:rPr>
        <w:t xml:space="preserve">Australia’s current legislative and administrative framework to processing visa applications of people with disability is preserved by the </w:t>
      </w:r>
      <w:r w:rsidR="00B279AB">
        <w:rPr>
          <w:rFonts w:ascii="Avenir Book" w:hAnsi="Avenir Book" w:cs="Calibri"/>
          <w:color w:val="000000" w:themeColor="text1"/>
        </w:rPr>
        <w:t>i</w:t>
      </w:r>
      <w:r w:rsidRPr="001E40CB">
        <w:rPr>
          <w:rFonts w:ascii="Avenir Book" w:hAnsi="Avenir Book" w:cs="Calibri"/>
          <w:color w:val="000000" w:themeColor="text1"/>
        </w:rPr>
        <w:t xml:space="preserve">nterpretative </w:t>
      </w:r>
      <w:r w:rsidR="00B279AB">
        <w:rPr>
          <w:rFonts w:ascii="Avenir Book" w:hAnsi="Avenir Book" w:cs="Calibri"/>
          <w:color w:val="000000" w:themeColor="text1"/>
        </w:rPr>
        <w:t>d</w:t>
      </w:r>
      <w:r w:rsidRPr="001E40CB">
        <w:rPr>
          <w:rFonts w:ascii="Avenir Book" w:hAnsi="Avenir Book" w:cs="Calibri"/>
          <w:color w:val="000000" w:themeColor="text1"/>
        </w:rPr>
        <w:t>eclaration on article 18 of the CRPD.</w:t>
      </w:r>
      <w:r w:rsidRPr="001E40CB">
        <w:rPr>
          <w:vertAlign w:val="superscript"/>
        </w:rPr>
        <w:endnoteReference w:id="208"/>
      </w:r>
      <w:r w:rsidRPr="001E40CB">
        <w:rPr>
          <w:rFonts w:ascii="Avenir Book" w:hAnsi="Avenir Book" w:cs="Calibri"/>
          <w:color w:val="000000" w:themeColor="text1"/>
        </w:rPr>
        <w:t xml:space="preserve">  The interpretative declaration should be removed to facilitate reform as recommended by the CRPD Committee.</w:t>
      </w:r>
      <w:r w:rsidRPr="001E40CB">
        <w:rPr>
          <w:vertAlign w:val="superscript"/>
        </w:rPr>
        <w:endnoteReference w:id="209"/>
      </w:r>
    </w:p>
    <w:p w14:paraId="26D6B053" w14:textId="77777777" w:rsidR="0063334A" w:rsidRPr="00B279AB" w:rsidRDefault="0063334A" w:rsidP="0063334A">
      <w:pPr>
        <w:pStyle w:val="ListParagraph"/>
        <w:spacing w:line="276" w:lineRule="auto"/>
        <w:ind w:left="851"/>
        <w:contextualSpacing w:val="0"/>
      </w:pPr>
    </w:p>
    <w:p w14:paraId="79E115EE" w14:textId="77777777" w:rsidR="00B279AB" w:rsidRPr="0063334A" w:rsidRDefault="001E40CB" w:rsidP="00C74146">
      <w:pPr>
        <w:pStyle w:val="ListParagraph"/>
        <w:numPr>
          <w:ilvl w:val="2"/>
          <w:numId w:val="11"/>
        </w:numPr>
        <w:spacing w:line="276" w:lineRule="auto"/>
        <w:ind w:left="851" w:hanging="851"/>
        <w:contextualSpacing w:val="0"/>
      </w:pPr>
      <w:r w:rsidRPr="00B279AB">
        <w:rPr>
          <w:rFonts w:ascii="Avenir Book" w:hAnsi="Avenir Book" w:cs="Calibri"/>
          <w:color w:val="000000" w:themeColor="text1"/>
        </w:rPr>
        <w:t>Asylum seekers and/or people with disability living in Australia on non-permanent visas are ineligible to access the National Disability Insurance Scheme (NDIS) as they do not meet residency requirements.</w:t>
      </w:r>
      <w:r w:rsidRPr="001E40CB">
        <w:rPr>
          <w:vertAlign w:val="superscript"/>
        </w:rPr>
        <w:endnoteReference w:id="210"/>
      </w:r>
      <w:r w:rsidRPr="00B279AB">
        <w:rPr>
          <w:rFonts w:ascii="Avenir Book" w:hAnsi="Avenir Book" w:cs="Calibri"/>
          <w:color w:val="000000" w:themeColor="text1"/>
        </w:rPr>
        <w:t xml:space="preserve"> The Age and Disability Support Pensions have a 10-year qualifying residence period,</w:t>
      </w:r>
      <w:r w:rsidRPr="001E40CB">
        <w:rPr>
          <w:vertAlign w:val="superscript"/>
        </w:rPr>
        <w:endnoteReference w:id="211"/>
      </w:r>
      <w:r w:rsidRPr="00B279AB">
        <w:rPr>
          <w:rFonts w:ascii="Avenir Book" w:hAnsi="Avenir Book" w:cs="Calibri"/>
          <w:color w:val="000000" w:themeColor="text1"/>
        </w:rPr>
        <w:t xml:space="preserve"> leaving migrants with disability at an increased risk of poverty and a range of human rights violations under the CRPD.</w:t>
      </w:r>
      <w:r w:rsidRPr="001E40CB">
        <w:rPr>
          <w:vertAlign w:val="superscript"/>
        </w:rPr>
        <w:endnoteReference w:id="212"/>
      </w:r>
    </w:p>
    <w:p w14:paraId="1657EADF" w14:textId="77777777" w:rsidR="0063334A" w:rsidRPr="00B279AB" w:rsidRDefault="0063334A" w:rsidP="0063334A">
      <w:pPr>
        <w:spacing w:line="276" w:lineRule="auto"/>
      </w:pPr>
    </w:p>
    <w:p w14:paraId="6C6C5B9F" w14:textId="0BFE845A" w:rsidR="001E40CB" w:rsidRPr="00B279AB" w:rsidRDefault="001E40CB" w:rsidP="00C74146">
      <w:pPr>
        <w:pStyle w:val="ListParagraph"/>
        <w:numPr>
          <w:ilvl w:val="2"/>
          <w:numId w:val="11"/>
        </w:numPr>
        <w:spacing w:line="276" w:lineRule="auto"/>
        <w:ind w:left="851" w:hanging="851"/>
        <w:contextualSpacing w:val="0"/>
      </w:pPr>
      <w:r w:rsidRPr="00B279AB">
        <w:rPr>
          <w:rFonts w:ascii="Avenir Book" w:hAnsi="Avenir Book" w:cs="Calibri"/>
          <w:color w:val="000000" w:themeColor="text1"/>
        </w:rPr>
        <w:t>Australia’s asylum seeker laws, policies and practices have resulted in institutionalised, severe and routine violations of the prohibition on torture and ill-treatment; have subsequently been found to create serious physical and mental pain and suffering; and continue to cause life-long impairments and health conditions.</w:t>
      </w:r>
      <w:r w:rsidRPr="001E40CB">
        <w:rPr>
          <w:vertAlign w:val="superscript"/>
        </w:rPr>
        <w:endnoteReference w:id="213"/>
      </w:r>
      <w:r w:rsidRPr="00B279AB">
        <w:rPr>
          <w:rFonts w:ascii="Avenir Book" w:hAnsi="Avenir Book" w:cs="Calibri"/>
          <w:color w:val="000000" w:themeColor="text1"/>
        </w:rPr>
        <w:t xml:space="preserve"> </w:t>
      </w:r>
    </w:p>
    <w:p w14:paraId="32455ECC" w14:textId="77777777" w:rsidR="00B279AB" w:rsidRDefault="00B279AB" w:rsidP="00B279AB">
      <w:pPr>
        <w:spacing w:line="276" w:lineRule="auto"/>
        <w:rPr>
          <w:rFonts w:ascii="Avenir Book" w:hAnsi="Avenir Book" w:cstheme="minorHAnsi"/>
          <w:b/>
          <w:color w:val="AC1F79"/>
        </w:rPr>
      </w:pPr>
    </w:p>
    <w:p w14:paraId="09573BC6" w14:textId="22D075D6" w:rsidR="00B279AB" w:rsidRPr="00B279AB" w:rsidRDefault="00B279AB" w:rsidP="00B279AB">
      <w:pPr>
        <w:spacing w:after="120" w:line="276" w:lineRule="auto"/>
        <w:rPr>
          <w:rFonts w:asciiTheme="minorHAnsi" w:hAnsiTheme="minorHAnsi" w:cstheme="minorHAnsi"/>
          <w:b/>
          <w:color w:val="7030A0"/>
        </w:rPr>
      </w:pPr>
      <w:r w:rsidRPr="00B279AB">
        <w:rPr>
          <w:rFonts w:ascii="Avenir Book" w:hAnsi="Avenir Book" w:cstheme="minorHAnsi"/>
          <w:b/>
          <w:color w:val="AC1F79"/>
        </w:rPr>
        <w:t>Preliminary Recommendations</w:t>
      </w:r>
    </w:p>
    <w:p w14:paraId="5A14B9E3" w14:textId="514BD54E" w:rsidR="001E40CB" w:rsidRPr="000B4717" w:rsidRDefault="001E40CB" w:rsidP="00C74146">
      <w:pPr>
        <w:pStyle w:val="Heading3"/>
        <w:numPr>
          <w:ilvl w:val="0"/>
          <w:numId w:val="8"/>
        </w:numPr>
        <w:snapToGrid w:val="0"/>
        <w:spacing w:after="120"/>
        <w:ind w:left="426" w:hanging="426"/>
        <w:rPr>
          <w:rFonts w:ascii="Avenir Book" w:hAnsi="Avenir Book" w:cs="Calibri"/>
          <w:b w:val="0"/>
          <w:color w:val="000000" w:themeColor="text1"/>
        </w:rPr>
      </w:pPr>
      <w:bookmarkStart w:id="145" w:name="_Toc156819957"/>
      <w:bookmarkStart w:id="146" w:name="_Toc156825240"/>
      <w:r w:rsidRPr="001E40CB">
        <w:rPr>
          <w:rFonts w:ascii="Avenir Book" w:hAnsi="Avenir Book" w:cs="Calibri"/>
          <w:b w:val="0"/>
          <w:color w:val="000000" w:themeColor="text1"/>
        </w:rPr>
        <w:t xml:space="preserve">Withdraw Australia’s </w:t>
      </w:r>
      <w:r w:rsidR="00B279AB" w:rsidRPr="000B4717">
        <w:rPr>
          <w:rFonts w:ascii="Avenir Book" w:hAnsi="Avenir Book" w:cs="Calibri"/>
          <w:b w:val="0"/>
          <w:color w:val="000000" w:themeColor="text1"/>
        </w:rPr>
        <w:t>i</w:t>
      </w:r>
      <w:r w:rsidRPr="001E40CB">
        <w:rPr>
          <w:rFonts w:ascii="Avenir Book" w:hAnsi="Avenir Book" w:cs="Calibri"/>
          <w:b w:val="0"/>
          <w:color w:val="000000" w:themeColor="text1"/>
        </w:rPr>
        <w:t xml:space="preserve">nterpretative </w:t>
      </w:r>
      <w:r w:rsidR="00B279AB" w:rsidRPr="000B4717">
        <w:rPr>
          <w:rFonts w:ascii="Avenir Book" w:hAnsi="Avenir Book" w:cs="Calibri"/>
          <w:b w:val="0"/>
          <w:color w:val="000000" w:themeColor="text1"/>
        </w:rPr>
        <w:t>d</w:t>
      </w:r>
      <w:r w:rsidRPr="001E40CB">
        <w:rPr>
          <w:rFonts w:ascii="Avenir Book" w:hAnsi="Avenir Book" w:cs="Calibri"/>
          <w:b w:val="0"/>
          <w:color w:val="000000" w:themeColor="text1"/>
        </w:rPr>
        <w:t xml:space="preserve">eclaration on </w:t>
      </w:r>
      <w:r w:rsidR="00B279AB" w:rsidRPr="000B4717">
        <w:rPr>
          <w:rFonts w:ascii="Avenir Book" w:hAnsi="Avenir Book" w:cs="Calibri"/>
          <w:b w:val="0"/>
          <w:color w:val="000000" w:themeColor="text1"/>
        </w:rPr>
        <w:t>a</w:t>
      </w:r>
      <w:r w:rsidRPr="001E40CB">
        <w:rPr>
          <w:rFonts w:ascii="Avenir Book" w:hAnsi="Avenir Book" w:cs="Calibri"/>
          <w:b w:val="0"/>
          <w:color w:val="000000" w:themeColor="text1"/>
        </w:rPr>
        <w:t>rticle 18 of the CRPD.</w:t>
      </w:r>
      <w:bookmarkEnd w:id="145"/>
      <w:bookmarkEnd w:id="146"/>
    </w:p>
    <w:p w14:paraId="3281F5D2" w14:textId="36B8C602" w:rsidR="00B279AB" w:rsidRPr="000B4717" w:rsidRDefault="00B279AB" w:rsidP="00C74146">
      <w:pPr>
        <w:pStyle w:val="ListParagraph"/>
        <w:numPr>
          <w:ilvl w:val="0"/>
          <w:numId w:val="8"/>
        </w:numPr>
        <w:spacing w:after="120" w:line="276" w:lineRule="auto"/>
        <w:ind w:left="426" w:hanging="426"/>
        <w:contextualSpacing w:val="0"/>
        <w:rPr>
          <w:rFonts w:ascii="Avenir Book" w:hAnsi="Avenir Book"/>
        </w:rPr>
      </w:pPr>
      <w:r w:rsidRPr="000B4717">
        <w:rPr>
          <w:rFonts w:ascii="Avenir Book" w:hAnsi="Avenir Book" w:cs="Calibri"/>
          <w:color w:val="000000" w:themeColor="text1"/>
        </w:rPr>
        <w:t xml:space="preserve">Remove the exemption in the DDA in relation to the </w:t>
      </w:r>
      <w:r w:rsidRPr="000B4717">
        <w:rPr>
          <w:rFonts w:ascii="Avenir Book" w:hAnsi="Avenir Book" w:cs="Calibri"/>
          <w:i/>
          <w:iCs/>
          <w:color w:val="000000" w:themeColor="text1"/>
        </w:rPr>
        <w:t>Migration Act 1958</w:t>
      </w:r>
      <w:r w:rsidRPr="000B4717">
        <w:rPr>
          <w:rFonts w:ascii="Avenir Book" w:hAnsi="Avenir Book" w:cs="Calibri"/>
          <w:color w:val="000000" w:themeColor="text1"/>
        </w:rPr>
        <w:t xml:space="preserve"> (</w:t>
      </w:r>
      <w:proofErr w:type="spellStart"/>
      <w:r w:rsidRPr="000B4717">
        <w:rPr>
          <w:rFonts w:ascii="Avenir Book" w:hAnsi="Avenir Book" w:cs="Calibri"/>
          <w:color w:val="000000" w:themeColor="text1"/>
        </w:rPr>
        <w:t>Cth</w:t>
      </w:r>
      <w:proofErr w:type="spellEnd"/>
      <w:r w:rsidRPr="000B4717">
        <w:rPr>
          <w:rFonts w:ascii="Avenir Book" w:hAnsi="Avenir Book" w:cs="Calibri"/>
          <w:color w:val="000000" w:themeColor="text1"/>
        </w:rPr>
        <w:t>) and amend migration laws and policies to eliminate discrimination in migration and asylum policies and procedures.</w:t>
      </w:r>
    </w:p>
    <w:p w14:paraId="489481FD" w14:textId="5513CFCE" w:rsidR="001E40CB" w:rsidRPr="000B4717" w:rsidRDefault="00B279AB" w:rsidP="00C74146">
      <w:pPr>
        <w:pStyle w:val="ListParagraph"/>
        <w:numPr>
          <w:ilvl w:val="0"/>
          <w:numId w:val="8"/>
        </w:numPr>
        <w:spacing w:after="120" w:line="276" w:lineRule="auto"/>
        <w:ind w:left="426" w:hanging="426"/>
        <w:contextualSpacing w:val="0"/>
        <w:rPr>
          <w:rFonts w:ascii="Avenir Book" w:hAnsi="Avenir Book"/>
        </w:rPr>
      </w:pPr>
      <w:r w:rsidRPr="000B4717">
        <w:rPr>
          <w:rFonts w:ascii="Avenir Book" w:hAnsi="Avenir Book" w:cs="Calibri"/>
          <w:color w:val="000000" w:themeColor="text1"/>
        </w:rPr>
        <w:t>Implement</w:t>
      </w:r>
      <w:r w:rsidR="001E40CB" w:rsidRPr="000B4717">
        <w:rPr>
          <w:rFonts w:ascii="Avenir Book" w:hAnsi="Avenir Book" w:cs="Calibri"/>
          <w:color w:val="000000" w:themeColor="text1"/>
        </w:rPr>
        <w:t xml:space="preserve"> the recommendations set out by </w:t>
      </w:r>
      <w:r w:rsidR="001E40CB" w:rsidRPr="000B4717">
        <w:rPr>
          <w:rFonts w:ascii="Avenir Book" w:hAnsi="Avenir Book" w:cs="Calibri"/>
          <w:i/>
          <w:iCs/>
          <w:color w:val="000000" w:themeColor="text1"/>
        </w:rPr>
        <w:t>Welcoming Australia</w:t>
      </w:r>
      <w:r w:rsidR="001E40CB" w:rsidRPr="000B4717">
        <w:rPr>
          <w:rFonts w:ascii="Avenir Book" w:hAnsi="Avenir Book"/>
          <w:i/>
          <w:iCs/>
          <w:vertAlign w:val="superscript"/>
        </w:rPr>
        <w:endnoteReference w:id="214"/>
      </w:r>
      <w:r w:rsidR="001E40CB" w:rsidRPr="000B4717">
        <w:rPr>
          <w:rFonts w:ascii="Avenir Book" w:hAnsi="Avenir Book" w:cs="Calibri"/>
          <w:color w:val="000000" w:themeColor="text1"/>
        </w:rPr>
        <w:t xml:space="preserve"> in its Position Statement on Migration and Disability</w:t>
      </w:r>
      <w:r w:rsidR="001E40CB" w:rsidRPr="000B4717">
        <w:rPr>
          <w:rFonts w:ascii="Avenir Book" w:hAnsi="Avenir Book"/>
          <w:vertAlign w:val="superscript"/>
        </w:rPr>
        <w:endnoteReference w:id="215"/>
      </w:r>
      <w:r w:rsidR="001E40CB" w:rsidRPr="000B4717">
        <w:rPr>
          <w:rFonts w:ascii="Avenir Book" w:hAnsi="Avenir Book" w:cs="Calibri"/>
          <w:color w:val="000000" w:themeColor="text1"/>
        </w:rPr>
        <w:t xml:space="preserve"> and its submission</w:t>
      </w:r>
      <w:r w:rsidR="000B4717" w:rsidRPr="000B4717">
        <w:rPr>
          <w:rFonts w:ascii="Avenir Book" w:hAnsi="Avenir Book"/>
          <w:vertAlign w:val="superscript"/>
        </w:rPr>
        <w:endnoteReference w:id="216"/>
      </w:r>
      <w:r w:rsidR="001E40CB" w:rsidRPr="000B4717">
        <w:rPr>
          <w:rFonts w:ascii="Avenir Book" w:hAnsi="Avenir Book" w:cs="Calibri"/>
          <w:color w:val="000000" w:themeColor="text1"/>
        </w:rPr>
        <w:t xml:space="preserve"> to the </w:t>
      </w:r>
      <w:r w:rsidR="000B4717" w:rsidRPr="000B4717">
        <w:rPr>
          <w:rFonts w:ascii="Avenir Book" w:hAnsi="Avenir Book" w:cs="Calibri"/>
          <w:color w:val="000000" w:themeColor="text1"/>
        </w:rPr>
        <w:t xml:space="preserve">Department of Home Affairs’ </w:t>
      </w:r>
      <w:r w:rsidR="001E40CB" w:rsidRPr="000B4717">
        <w:rPr>
          <w:rFonts w:ascii="Avenir Book" w:hAnsi="Avenir Book" w:cs="Calibri"/>
          <w:color w:val="000000" w:themeColor="text1"/>
        </w:rPr>
        <w:t>Review of Australia’s visa Significant Cost Threshold</w:t>
      </w:r>
      <w:r w:rsidR="000B4717" w:rsidRPr="000B4717">
        <w:rPr>
          <w:rFonts w:ascii="Avenir Book" w:hAnsi="Avenir Book" w:cs="Calibri"/>
          <w:color w:val="000000" w:themeColor="text1"/>
        </w:rPr>
        <w:t xml:space="preserve"> (SCT)</w:t>
      </w:r>
      <w:r w:rsidRPr="000B4717">
        <w:rPr>
          <w:rFonts w:ascii="Avenir Book" w:hAnsi="Avenir Book" w:cs="Calibri"/>
          <w:color w:val="000000" w:themeColor="text1"/>
        </w:rPr>
        <w:t>.</w:t>
      </w:r>
      <w:r w:rsidR="000B4717" w:rsidRPr="000B4717">
        <w:rPr>
          <w:rStyle w:val="EndnoteReference"/>
          <w:rFonts w:ascii="Avenir Book" w:hAnsi="Avenir Book" w:cs="Calibri"/>
          <w:color w:val="000000" w:themeColor="text1"/>
        </w:rPr>
        <w:endnoteReference w:id="217"/>
      </w:r>
      <w:r w:rsidR="001E40CB" w:rsidRPr="000B4717">
        <w:rPr>
          <w:rFonts w:ascii="Avenir Book" w:hAnsi="Avenir Book" w:cs="Calibri"/>
          <w:color w:val="000000" w:themeColor="text1"/>
        </w:rPr>
        <w:t xml:space="preserve"> </w:t>
      </w:r>
    </w:p>
    <w:p w14:paraId="044BB1D6" w14:textId="0757156E" w:rsidR="001E40CB" w:rsidRPr="000B4717" w:rsidRDefault="001E40CB" w:rsidP="00C74146">
      <w:pPr>
        <w:pStyle w:val="ListParagraph"/>
        <w:numPr>
          <w:ilvl w:val="0"/>
          <w:numId w:val="8"/>
        </w:numPr>
        <w:spacing w:after="120" w:line="276" w:lineRule="auto"/>
        <w:ind w:left="426" w:hanging="426"/>
        <w:contextualSpacing w:val="0"/>
        <w:rPr>
          <w:rFonts w:ascii="Avenir Book" w:hAnsi="Avenir Book"/>
        </w:rPr>
      </w:pPr>
      <w:r w:rsidRPr="000B4717">
        <w:rPr>
          <w:rFonts w:ascii="Avenir Book" w:hAnsi="Avenir Book" w:cs="Calibri"/>
          <w:color w:val="000000" w:themeColor="text1"/>
        </w:rPr>
        <w:t>Remove the 10-year qualifying period for migrants to access the Age and Disability Support Pensions and ensure asylum seekers and/or people with disability living in Australia on non-permanent visas can access the NDIS.</w:t>
      </w:r>
    </w:p>
    <w:p w14:paraId="1D6ABFD5" w14:textId="0F5562C5" w:rsidR="000B4717" w:rsidRPr="000B4717" w:rsidRDefault="000B4717" w:rsidP="00C74146">
      <w:pPr>
        <w:pStyle w:val="ListParagraph"/>
        <w:numPr>
          <w:ilvl w:val="0"/>
          <w:numId w:val="8"/>
        </w:numPr>
        <w:spacing w:after="120" w:line="276" w:lineRule="auto"/>
        <w:ind w:left="426" w:hanging="426"/>
        <w:contextualSpacing w:val="0"/>
        <w:rPr>
          <w:rFonts w:ascii="Avenir Book" w:hAnsi="Avenir Book"/>
        </w:rPr>
      </w:pPr>
      <w:r w:rsidRPr="000B4717">
        <w:rPr>
          <w:rFonts w:ascii="Avenir Book" w:hAnsi="Avenir Book" w:cs="Calibri"/>
          <w:color w:val="000000" w:themeColor="text1"/>
        </w:rPr>
        <w:t xml:space="preserve">Conduct an independent inquiry into the asylum seeker laws, policies and practices, including mandatory immigration detention. </w:t>
      </w:r>
    </w:p>
    <w:p w14:paraId="6EFF9B94" w14:textId="77777777" w:rsidR="001E40CB" w:rsidRPr="00D673B0" w:rsidRDefault="001E40CB" w:rsidP="00D31FFD">
      <w:pPr>
        <w:pStyle w:val="Heading3"/>
        <w:snapToGrid w:val="0"/>
        <w:rPr>
          <w:rFonts w:ascii="Avenir Book" w:hAnsi="Avenir Book" w:cs="Calibri"/>
          <w:bCs/>
          <w:color w:val="000000" w:themeColor="text1"/>
        </w:rPr>
      </w:pPr>
    </w:p>
    <w:p w14:paraId="167B2832" w14:textId="2D0CA39F" w:rsidR="00434136" w:rsidRPr="00D673B0" w:rsidRDefault="00A301A7" w:rsidP="00C74146">
      <w:pPr>
        <w:pStyle w:val="Heading3"/>
        <w:numPr>
          <w:ilvl w:val="1"/>
          <w:numId w:val="11"/>
        </w:numPr>
        <w:snapToGrid w:val="0"/>
        <w:spacing w:after="120" w:line="240" w:lineRule="auto"/>
        <w:ind w:left="851" w:hanging="862"/>
        <w:jc w:val="left"/>
        <w:rPr>
          <w:rFonts w:ascii="Avenir Book" w:hAnsi="Avenir Book" w:cs="Calibri"/>
          <w:color w:val="000000" w:themeColor="text1"/>
        </w:rPr>
      </w:pPr>
      <w:bookmarkStart w:id="147" w:name="_Toc156825241"/>
      <w:r w:rsidRPr="00D673B0">
        <w:rPr>
          <w:rFonts w:ascii="Avenir Book" w:eastAsia="Arial" w:hAnsi="Avenir Book" w:cstheme="minorHAnsi"/>
          <w:bCs/>
          <w:color w:val="000000" w:themeColor="text1"/>
        </w:rPr>
        <w:t>Urgently address the over-representation of people with disability living in poverty and ensure an adequate standard of living and social protection</w:t>
      </w:r>
      <w:bookmarkEnd w:id="147"/>
      <w:r w:rsidR="00D31FFD" w:rsidRPr="00D673B0">
        <w:rPr>
          <w:rFonts w:ascii="Avenir Book" w:hAnsi="Avenir Book" w:cs="Calibri"/>
          <w:color w:val="000000" w:themeColor="text1"/>
        </w:rPr>
        <w:tab/>
      </w:r>
    </w:p>
    <w:p w14:paraId="18C578CF" w14:textId="6AB84A4E" w:rsidR="002A1491" w:rsidRDefault="00A301A7" w:rsidP="00C74146">
      <w:pPr>
        <w:pStyle w:val="Heading3"/>
        <w:numPr>
          <w:ilvl w:val="2"/>
          <w:numId w:val="11"/>
        </w:numPr>
        <w:snapToGrid w:val="0"/>
        <w:spacing w:after="240"/>
        <w:ind w:left="851" w:hanging="851"/>
        <w:jc w:val="left"/>
        <w:rPr>
          <w:rFonts w:ascii="Avenir Book" w:hAnsi="Avenir Book" w:cs="Calibri"/>
          <w:b w:val="0"/>
          <w:color w:val="000000" w:themeColor="text1"/>
        </w:rPr>
      </w:pPr>
      <w:bookmarkStart w:id="148" w:name="_Toc156819959"/>
      <w:bookmarkStart w:id="149" w:name="_Toc156825242"/>
      <w:r w:rsidRPr="00A301A7">
        <w:rPr>
          <w:rFonts w:ascii="Avenir Book" w:hAnsi="Avenir Book" w:cs="Calibri"/>
          <w:b w:val="0"/>
          <w:color w:val="000000" w:themeColor="text1"/>
        </w:rPr>
        <w:lastRenderedPageBreak/>
        <w:t>The DRC did not address the interface between poverty, disability and violence. However, there is sufficient evidence that demonstrates that poverty can be considered a form of violence because it involves structural and systemic inequalities that prevent enjoyment of all human rights and fundamental freedoms, including the right to be free from exploitation, violence and abuse.</w:t>
      </w:r>
      <w:r w:rsidRPr="00A301A7">
        <w:rPr>
          <w:rFonts w:ascii="Avenir Book" w:hAnsi="Avenir Book" w:cs="Calibri"/>
          <w:b w:val="0"/>
          <w:color w:val="000000" w:themeColor="text1"/>
          <w:vertAlign w:val="superscript"/>
        </w:rPr>
        <w:endnoteReference w:id="218"/>
      </w:r>
      <w:bookmarkEnd w:id="148"/>
      <w:bookmarkEnd w:id="149"/>
    </w:p>
    <w:p w14:paraId="60317B13" w14:textId="45611A69" w:rsidR="00A301A7" w:rsidRDefault="00A301A7" w:rsidP="00C74146">
      <w:pPr>
        <w:pStyle w:val="Heading3"/>
        <w:numPr>
          <w:ilvl w:val="2"/>
          <w:numId w:val="11"/>
        </w:numPr>
        <w:snapToGrid w:val="0"/>
        <w:spacing w:after="240"/>
        <w:ind w:left="851" w:hanging="851"/>
        <w:jc w:val="left"/>
        <w:rPr>
          <w:rFonts w:ascii="Avenir Book" w:hAnsi="Avenir Book" w:cs="Calibri"/>
          <w:b w:val="0"/>
          <w:color w:val="000000" w:themeColor="text1"/>
        </w:rPr>
      </w:pPr>
      <w:bookmarkStart w:id="150" w:name="_Toc156819960"/>
      <w:bookmarkStart w:id="151" w:name="_Toc156825243"/>
      <w:r w:rsidRPr="00A301A7">
        <w:rPr>
          <w:rFonts w:ascii="Avenir Book" w:hAnsi="Avenir Book" w:cs="Calibri"/>
          <w:b w:val="0"/>
          <w:color w:val="000000" w:themeColor="text1"/>
        </w:rPr>
        <w:t>Poverty has various manifestations, including “lack of income and productive resources, hunger and malnutrition, ill-health, limited access to education and other basic services, homelessness and inadequate housing, unsafe environments, and social discrimination and exclusion”.</w:t>
      </w:r>
      <w:r w:rsidRPr="00A301A7">
        <w:rPr>
          <w:rFonts w:ascii="Avenir Book" w:hAnsi="Avenir Book" w:cs="Calibri"/>
          <w:b w:val="0"/>
          <w:color w:val="000000" w:themeColor="text1"/>
          <w:vertAlign w:val="superscript"/>
        </w:rPr>
        <w:endnoteReference w:id="219"/>
      </w:r>
      <w:r w:rsidRPr="00A301A7">
        <w:rPr>
          <w:rFonts w:ascii="Avenir Book" w:hAnsi="Avenir Book" w:cs="Calibri"/>
          <w:b w:val="0"/>
          <w:color w:val="000000" w:themeColor="text1"/>
        </w:rPr>
        <w:t xml:space="preserve"> Strong social protection systems</w:t>
      </w:r>
      <w:r w:rsidRPr="00A301A7">
        <w:rPr>
          <w:rFonts w:ascii="Avenir Book" w:hAnsi="Avenir Book" w:cs="Calibri"/>
          <w:b w:val="0"/>
          <w:color w:val="000000" w:themeColor="text1"/>
          <w:vertAlign w:val="superscript"/>
        </w:rPr>
        <w:endnoteReference w:id="220"/>
      </w:r>
      <w:r w:rsidRPr="00A301A7">
        <w:rPr>
          <w:rFonts w:ascii="Avenir Book" w:hAnsi="Avenir Book" w:cs="Calibri"/>
          <w:b w:val="0"/>
          <w:color w:val="000000" w:themeColor="text1"/>
        </w:rPr>
        <w:t xml:space="preserve"> are essential for mitigating the effects of, and preventing people from falling into, poverty.</w:t>
      </w:r>
      <w:r w:rsidRPr="00A301A7">
        <w:rPr>
          <w:rFonts w:ascii="Avenir Book" w:hAnsi="Avenir Book" w:cs="Calibri"/>
          <w:b w:val="0"/>
          <w:color w:val="000000" w:themeColor="text1"/>
          <w:vertAlign w:val="superscript"/>
        </w:rPr>
        <w:endnoteReference w:id="221"/>
      </w:r>
      <w:bookmarkEnd w:id="150"/>
      <w:bookmarkEnd w:id="151"/>
    </w:p>
    <w:p w14:paraId="1B080422" w14:textId="0DC09FD3" w:rsidR="00A301A7" w:rsidRPr="002A1491" w:rsidRDefault="00A301A7" w:rsidP="00C74146">
      <w:pPr>
        <w:pStyle w:val="ListParagraph"/>
        <w:numPr>
          <w:ilvl w:val="2"/>
          <w:numId w:val="11"/>
        </w:numPr>
        <w:spacing w:after="240" w:line="276" w:lineRule="auto"/>
        <w:ind w:left="851" w:hanging="851"/>
        <w:contextualSpacing w:val="0"/>
        <w:rPr>
          <w:rFonts w:ascii="Avenir Book" w:hAnsi="Avenir Book" w:cs="Calibri"/>
          <w:color w:val="000000" w:themeColor="text1"/>
        </w:rPr>
      </w:pPr>
      <w:r w:rsidRPr="002A1491">
        <w:rPr>
          <w:rFonts w:ascii="Avenir Book" w:hAnsi="Avenir Book" w:cs="Calibri"/>
          <w:color w:val="000000" w:themeColor="text1"/>
        </w:rPr>
        <w:t>There is minimal sex and disability disaggregated data, however it is recognised that people with disability, particularly women with disability throughout Australia bear a disproportionate burden of poverty and are recognised as amongst the poorest of all groups in society.</w:t>
      </w:r>
      <w:r w:rsidRPr="002A1491">
        <w:rPr>
          <w:rFonts w:ascii="Avenir Book" w:hAnsi="Avenir Book"/>
          <w:vertAlign w:val="superscript"/>
        </w:rPr>
        <w:endnoteReference w:id="222"/>
      </w:r>
      <w:r w:rsidRPr="002A1491">
        <w:rPr>
          <w:rFonts w:ascii="Avenir Book" w:hAnsi="Avenir Book" w:cs="Calibri"/>
          <w:color w:val="000000" w:themeColor="text1"/>
        </w:rPr>
        <w:t xml:space="preserve"> Depending on the measure of poverty used, data demonstrates that people with disability in Australia experience an above-average risk of poverty;</w:t>
      </w:r>
      <w:r w:rsidRPr="002A1491">
        <w:rPr>
          <w:rFonts w:ascii="Avenir Book" w:hAnsi="Avenir Book"/>
          <w:vertAlign w:val="superscript"/>
        </w:rPr>
        <w:endnoteReference w:id="223"/>
      </w:r>
      <w:r w:rsidRPr="002A1491">
        <w:rPr>
          <w:rFonts w:ascii="Avenir Book" w:hAnsi="Avenir Book" w:cs="Calibri"/>
          <w:color w:val="000000" w:themeColor="text1"/>
        </w:rPr>
        <w:t xml:space="preserve"> that 45% of people with disability live in poverty, more than double the OECD average of 22%;</w:t>
      </w:r>
      <w:r w:rsidRPr="002A1491">
        <w:rPr>
          <w:rFonts w:ascii="Avenir Book" w:hAnsi="Avenir Book"/>
          <w:vertAlign w:val="superscript"/>
        </w:rPr>
        <w:endnoteReference w:id="224"/>
      </w:r>
      <w:r w:rsidRPr="002A1491">
        <w:rPr>
          <w:rFonts w:ascii="Avenir Book" w:hAnsi="Avenir Book" w:cs="Calibri"/>
          <w:color w:val="000000" w:themeColor="text1"/>
        </w:rPr>
        <w:t xml:space="preserve"> that the rate of poverty among adults with disability is between 17%-20% depending on the level of ‘core activity limitation’;</w:t>
      </w:r>
      <w:r w:rsidRPr="002A1491">
        <w:rPr>
          <w:rFonts w:ascii="Avenir Book" w:hAnsi="Avenir Book"/>
          <w:vertAlign w:val="superscript"/>
        </w:rPr>
        <w:endnoteReference w:id="225"/>
      </w:r>
      <w:r w:rsidRPr="002A1491">
        <w:rPr>
          <w:rFonts w:ascii="Avenir Book" w:hAnsi="Avenir Book" w:cs="Calibri"/>
          <w:color w:val="000000" w:themeColor="text1"/>
        </w:rPr>
        <w:t xml:space="preserve"> that the poverty rate for people reliant on Disability Support Pension was higher at 43%;</w:t>
      </w:r>
      <w:r w:rsidRPr="002A1491">
        <w:rPr>
          <w:rFonts w:ascii="Avenir Book" w:hAnsi="Avenir Book"/>
          <w:vertAlign w:val="superscript"/>
        </w:rPr>
        <w:endnoteReference w:id="226"/>
      </w:r>
      <w:r w:rsidRPr="002A1491">
        <w:rPr>
          <w:rFonts w:ascii="Avenir Book" w:hAnsi="Avenir Book" w:cs="Calibri"/>
          <w:color w:val="000000" w:themeColor="text1"/>
        </w:rPr>
        <w:t xml:space="preserve"> that one-third or 33% of adults in poverty had disability;</w:t>
      </w:r>
      <w:r w:rsidRPr="002A1491">
        <w:rPr>
          <w:rFonts w:ascii="Avenir Book" w:hAnsi="Avenir Book"/>
          <w:vertAlign w:val="superscript"/>
        </w:rPr>
        <w:endnoteReference w:id="227"/>
      </w:r>
      <w:r w:rsidRPr="002A1491">
        <w:rPr>
          <w:rFonts w:ascii="Avenir Book" w:hAnsi="Avenir Book" w:cs="Calibri"/>
          <w:color w:val="000000" w:themeColor="text1"/>
        </w:rPr>
        <w:t xml:space="preserve"> and 11.2% of people with disability experience deep and persistent disadvantage, more than twice the national prevalence.</w:t>
      </w:r>
      <w:r w:rsidRPr="002A1491">
        <w:rPr>
          <w:rFonts w:ascii="Avenir Book" w:hAnsi="Avenir Book"/>
          <w:vertAlign w:val="superscript"/>
        </w:rPr>
        <w:endnoteReference w:id="228"/>
      </w:r>
    </w:p>
    <w:p w14:paraId="3796BC13" w14:textId="06964CDA" w:rsidR="00A301A7" w:rsidRPr="002A1491" w:rsidRDefault="00A301A7" w:rsidP="00C74146">
      <w:pPr>
        <w:pStyle w:val="ListParagraph"/>
        <w:numPr>
          <w:ilvl w:val="2"/>
          <w:numId w:val="11"/>
        </w:numPr>
        <w:spacing w:after="120" w:line="276" w:lineRule="auto"/>
        <w:ind w:left="851" w:hanging="851"/>
        <w:rPr>
          <w:rFonts w:ascii="Avenir Book" w:hAnsi="Avenir Book"/>
        </w:rPr>
      </w:pPr>
      <w:r w:rsidRPr="002A1491">
        <w:rPr>
          <w:rFonts w:ascii="Avenir Book" w:hAnsi="Avenir Book" w:cs="Calibri"/>
          <w:color w:val="000000" w:themeColor="text1"/>
        </w:rPr>
        <w:t>The poverty rate is significantly higher for First Nations peoples with disability.</w:t>
      </w:r>
      <w:r w:rsidRPr="00A301A7">
        <w:rPr>
          <w:vertAlign w:val="superscript"/>
        </w:rPr>
        <w:endnoteReference w:id="229"/>
      </w:r>
      <w:r w:rsidRPr="002A1491">
        <w:rPr>
          <w:rFonts w:ascii="Avenir Book" w:hAnsi="Avenir Book" w:cs="Calibri"/>
          <w:color w:val="000000" w:themeColor="text1"/>
        </w:rPr>
        <w:t xml:space="preserve"> Evidence provided to the current Senate inquiry, ‘The extent and nature of poverty in Australia’</w:t>
      </w:r>
      <w:r w:rsidR="004B1314">
        <w:rPr>
          <w:rStyle w:val="EndnoteReference"/>
          <w:rFonts w:ascii="Avenir Book" w:hAnsi="Avenir Book" w:cs="Calibri"/>
          <w:color w:val="000000" w:themeColor="text1"/>
        </w:rPr>
        <w:endnoteReference w:id="230"/>
      </w:r>
      <w:r w:rsidRPr="002A1491">
        <w:rPr>
          <w:rFonts w:ascii="Avenir Book" w:hAnsi="Avenir Book" w:cs="Calibri"/>
          <w:color w:val="000000" w:themeColor="text1"/>
        </w:rPr>
        <w:t xml:space="preserve"> has highlighted “the enduring legacy of colonisation” as a causal factor for First Nations people being “amongst the most profoundly disadvantaged and at risk of poverty”.</w:t>
      </w:r>
      <w:r w:rsidRPr="00A301A7">
        <w:rPr>
          <w:vertAlign w:val="superscript"/>
        </w:rPr>
        <w:endnoteReference w:id="231"/>
      </w:r>
      <w:r w:rsidRPr="002A1491">
        <w:rPr>
          <w:rFonts w:ascii="Avenir Book" w:hAnsi="Avenir Book" w:cs="Calibri"/>
          <w:color w:val="000000" w:themeColor="text1"/>
        </w:rPr>
        <w:t xml:space="preserve"> The Senate inquiry received evidence that: </w:t>
      </w:r>
    </w:p>
    <w:p w14:paraId="72EAD92C" w14:textId="786DBC3B" w:rsidR="00A301A7" w:rsidRDefault="00A301A7" w:rsidP="00F029DF">
      <w:pPr>
        <w:pStyle w:val="Heading3"/>
        <w:snapToGrid w:val="0"/>
        <w:ind w:left="1276" w:right="561"/>
        <w:rPr>
          <w:rFonts w:ascii="Avenir Book" w:hAnsi="Avenir Book" w:cs="Calibri"/>
          <w:b w:val="0"/>
          <w:i/>
          <w:iCs/>
          <w:color w:val="000000" w:themeColor="text1"/>
        </w:rPr>
      </w:pPr>
      <w:bookmarkStart w:id="154" w:name="_Toc156819961"/>
      <w:bookmarkStart w:id="155" w:name="_Toc156825244"/>
      <w:r w:rsidRPr="00A301A7">
        <w:rPr>
          <w:rFonts w:ascii="Avenir Book" w:hAnsi="Avenir Book" w:cs="Calibri"/>
          <w:b w:val="0"/>
          <w:i/>
          <w:iCs/>
          <w:color w:val="000000" w:themeColor="text1"/>
        </w:rPr>
        <w:t>“disproportionally high rates of poverty among Aboriginal and Torres Strait Islander people take place against a background of structural impediments to full participation in the Australian economy and are evidenced across multiple drivers and measures of inequality. Poverty is reinforced and entrenched by ongoing experiences of structural and interpersonal racism, discrimination, dispossession of culture, land and language, and intergenerational trauma.”</w:t>
      </w:r>
      <w:r w:rsidRPr="00A301A7">
        <w:rPr>
          <w:rFonts w:ascii="Avenir Book" w:hAnsi="Avenir Book" w:cs="Calibri"/>
          <w:b w:val="0"/>
          <w:i/>
          <w:iCs/>
          <w:color w:val="000000" w:themeColor="text1"/>
          <w:vertAlign w:val="superscript"/>
        </w:rPr>
        <w:endnoteReference w:id="232"/>
      </w:r>
      <w:bookmarkEnd w:id="154"/>
      <w:bookmarkEnd w:id="155"/>
    </w:p>
    <w:p w14:paraId="6EF4EB86" w14:textId="77777777" w:rsidR="00F029DF" w:rsidRPr="00F029DF" w:rsidRDefault="00F029DF" w:rsidP="00F029DF"/>
    <w:p w14:paraId="369A5E47" w14:textId="2C2379FF" w:rsidR="00A301A7" w:rsidRDefault="00A301A7" w:rsidP="00C74146">
      <w:pPr>
        <w:pStyle w:val="Heading3"/>
        <w:numPr>
          <w:ilvl w:val="2"/>
          <w:numId w:val="11"/>
        </w:numPr>
        <w:snapToGrid w:val="0"/>
        <w:ind w:left="851" w:hanging="851"/>
        <w:rPr>
          <w:rFonts w:ascii="Avenir Book" w:hAnsi="Avenir Book" w:cs="Calibri"/>
          <w:b w:val="0"/>
          <w:color w:val="000000" w:themeColor="text1"/>
        </w:rPr>
      </w:pPr>
      <w:bookmarkStart w:id="156" w:name="_Toc156819962"/>
      <w:bookmarkStart w:id="157" w:name="_Toc156825245"/>
      <w:r w:rsidRPr="00A301A7">
        <w:rPr>
          <w:rFonts w:ascii="Avenir Book" w:hAnsi="Avenir Book" w:cs="Calibri"/>
          <w:b w:val="0"/>
          <w:color w:val="000000" w:themeColor="text1"/>
        </w:rPr>
        <w:t>People with disability generally have a significantly lower level of personal income than people without disability.</w:t>
      </w:r>
      <w:r w:rsidRPr="00A301A7">
        <w:rPr>
          <w:rFonts w:ascii="Avenir Book" w:hAnsi="Avenir Book" w:cs="Calibri"/>
          <w:b w:val="0"/>
          <w:color w:val="000000" w:themeColor="text1"/>
          <w:vertAlign w:val="superscript"/>
        </w:rPr>
        <w:endnoteReference w:id="233"/>
      </w:r>
      <w:r w:rsidRPr="00A301A7">
        <w:rPr>
          <w:rFonts w:ascii="Avenir Book" w:hAnsi="Avenir Book" w:cs="Calibri"/>
          <w:b w:val="0"/>
          <w:color w:val="000000" w:themeColor="text1"/>
        </w:rPr>
        <w:t xml:space="preserve"> Government pensions are the main source of personal income for 43% of people with disability of working age compared to 7.9% of non-disabled persons of working age.</w:t>
      </w:r>
      <w:r w:rsidRPr="00A301A7">
        <w:rPr>
          <w:rFonts w:ascii="Avenir Book" w:hAnsi="Avenir Book" w:cs="Calibri"/>
          <w:b w:val="0"/>
          <w:color w:val="000000" w:themeColor="text1"/>
          <w:vertAlign w:val="superscript"/>
        </w:rPr>
        <w:endnoteReference w:id="234"/>
      </w:r>
      <w:r w:rsidRPr="00A301A7">
        <w:rPr>
          <w:rFonts w:ascii="Avenir Book" w:hAnsi="Avenir Book" w:cs="Calibri"/>
          <w:b w:val="0"/>
          <w:color w:val="000000" w:themeColor="text1"/>
        </w:rPr>
        <w:t xml:space="preserve"> The labour force participation</w:t>
      </w:r>
      <w:r w:rsidRPr="00A301A7">
        <w:rPr>
          <w:rFonts w:ascii="Avenir Book" w:hAnsi="Avenir Book" w:cs="Calibri"/>
          <w:b w:val="0"/>
          <w:color w:val="000000" w:themeColor="text1"/>
          <w:vertAlign w:val="superscript"/>
        </w:rPr>
        <w:endnoteReference w:id="235"/>
      </w:r>
      <w:r w:rsidRPr="00A301A7">
        <w:rPr>
          <w:rFonts w:ascii="Avenir Book" w:hAnsi="Avenir Book" w:cs="Calibri"/>
          <w:b w:val="0"/>
          <w:color w:val="000000" w:themeColor="text1"/>
        </w:rPr>
        <w:t xml:space="preserve"> rate for people with disability has remained largely unchanged from 2003 (53%) to 2018 (53.4%).</w:t>
      </w:r>
      <w:r w:rsidRPr="00A301A7">
        <w:rPr>
          <w:rFonts w:ascii="Avenir Book" w:hAnsi="Avenir Book" w:cs="Calibri"/>
          <w:b w:val="0"/>
          <w:color w:val="000000" w:themeColor="text1"/>
          <w:vertAlign w:val="superscript"/>
        </w:rPr>
        <w:endnoteReference w:id="236"/>
      </w:r>
      <w:r w:rsidRPr="00A301A7">
        <w:rPr>
          <w:rFonts w:ascii="Avenir Book" w:hAnsi="Avenir Book" w:cs="Calibri"/>
          <w:b w:val="0"/>
          <w:color w:val="000000" w:themeColor="text1"/>
        </w:rPr>
        <w:t xml:space="preserve"> In contrast, the labour force participation rate for people without disability increased from 63.6% in 2003 to 84.1% in 2018.</w:t>
      </w:r>
      <w:r w:rsidRPr="00A301A7">
        <w:rPr>
          <w:rFonts w:ascii="Avenir Book" w:hAnsi="Avenir Book" w:cs="Calibri"/>
          <w:b w:val="0"/>
          <w:color w:val="000000" w:themeColor="text1"/>
          <w:vertAlign w:val="superscript"/>
        </w:rPr>
        <w:endnoteReference w:id="237"/>
      </w:r>
      <w:r w:rsidRPr="00A301A7">
        <w:rPr>
          <w:rFonts w:ascii="Avenir Book" w:hAnsi="Avenir Book" w:cs="Calibri"/>
          <w:b w:val="0"/>
          <w:color w:val="000000" w:themeColor="text1"/>
        </w:rPr>
        <w:t xml:space="preserve"> Income, welfare and taxation systems in Australia do not recognise the significant costs of disability that people with disability incur throughout their lifetime.</w:t>
      </w:r>
      <w:r w:rsidRPr="00A301A7">
        <w:rPr>
          <w:rFonts w:ascii="Avenir Book" w:hAnsi="Avenir Book" w:cs="Calibri"/>
          <w:b w:val="0"/>
          <w:color w:val="000000" w:themeColor="text1"/>
          <w:vertAlign w:val="superscript"/>
        </w:rPr>
        <w:endnoteReference w:id="238"/>
      </w:r>
      <w:bookmarkEnd w:id="156"/>
      <w:bookmarkEnd w:id="157"/>
    </w:p>
    <w:p w14:paraId="5D3A00BE" w14:textId="77777777" w:rsidR="00BE636E" w:rsidRPr="00BE636E" w:rsidRDefault="00BE636E" w:rsidP="00BE636E"/>
    <w:p w14:paraId="5B1F95D8" w14:textId="77777777" w:rsidR="00A301A7" w:rsidRPr="00BE636E" w:rsidRDefault="00A301A7" w:rsidP="00C74146">
      <w:pPr>
        <w:pStyle w:val="ListParagraph"/>
        <w:numPr>
          <w:ilvl w:val="2"/>
          <w:numId w:val="11"/>
        </w:numPr>
        <w:spacing w:line="276" w:lineRule="auto"/>
        <w:ind w:left="851" w:hanging="851"/>
        <w:contextualSpacing w:val="0"/>
        <w:rPr>
          <w:rFonts w:ascii="Avenir Book" w:hAnsi="Avenir Book"/>
        </w:rPr>
      </w:pPr>
      <w:r w:rsidRPr="002A1491">
        <w:rPr>
          <w:rFonts w:ascii="Avenir Book" w:hAnsi="Avenir Book" w:cs="Calibri"/>
          <w:color w:val="000000" w:themeColor="text1"/>
        </w:rPr>
        <w:t>The right to an adequate standard of living includes the right to adequate housing, which includes certain critical aspects - security of tenure, availability, affordability, habitability, accessibility, location and cultural adequacy.</w:t>
      </w:r>
      <w:r w:rsidRPr="002A1491">
        <w:rPr>
          <w:rFonts w:ascii="Avenir Book" w:hAnsi="Avenir Book"/>
          <w:vertAlign w:val="superscript"/>
        </w:rPr>
        <w:endnoteReference w:id="239"/>
      </w:r>
      <w:r w:rsidRPr="002A1491">
        <w:rPr>
          <w:rFonts w:ascii="Avenir Book" w:hAnsi="Avenir Book" w:cs="Calibri"/>
          <w:color w:val="000000" w:themeColor="text1"/>
        </w:rPr>
        <w:t xml:space="preserve"> Yet, lack of access to appropriate, available, accessible and affordable housing is a major factor contributing to the poverty of many people with disability in Australia. People with disability are substantially over-represented in public housing; are less likely to own their own homes than non-disabled persons; are in the lowest income earning bracket yet pay the highest level of their gross income on housing; and are over-represented in the main factors that increase the risk of homelessness.</w:t>
      </w:r>
      <w:r w:rsidRPr="002A1491">
        <w:rPr>
          <w:rFonts w:ascii="Avenir Book" w:hAnsi="Avenir Book"/>
          <w:vertAlign w:val="superscript"/>
        </w:rPr>
        <w:endnoteReference w:id="240"/>
      </w:r>
      <w:r w:rsidRPr="002A1491">
        <w:rPr>
          <w:rFonts w:ascii="Avenir Book" w:hAnsi="Avenir Book" w:cs="Calibri"/>
          <w:color w:val="000000" w:themeColor="text1"/>
        </w:rPr>
        <w:t xml:space="preserve"> Older women, including older women with disability were the fastest growing cohort of homeless people in Australia between 2011 and 2016, increasing by 31%.</w:t>
      </w:r>
      <w:r w:rsidRPr="002A1491">
        <w:rPr>
          <w:rFonts w:ascii="Avenir Book" w:hAnsi="Avenir Book"/>
          <w:vertAlign w:val="superscript"/>
        </w:rPr>
        <w:endnoteReference w:id="241"/>
      </w:r>
    </w:p>
    <w:p w14:paraId="21F7A22A" w14:textId="77777777" w:rsidR="00BE636E" w:rsidRPr="00BE636E" w:rsidRDefault="00BE636E" w:rsidP="00BE636E">
      <w:pPr>
        <w:spacing w:line="276" w:lineRule="auto"/>
        <w:rPr>
          <w:rFonts w:ascii="Avenir Book" w:hAnsi="Avenir Book"/>
        </w:rPr>
      </w:pPr>
    </w:p>
    <w:p w14:paraId="3ABC8530" w14:textId="77777777" w:rsidR="00A301A7" w:rsidRPr="00BE636E" w:rsidRDefault="00A301A7" w:rsidP="00C74146">
      <w:pPr>
        <w:pStyle w:val="ListParagraph"/>
        <w:numPr>
          <w:ilvl w:val="2"/>
          <w:numId w:val="11"/>
        </w:numPr>
        <w:spacing w:line="276" w:lineRule="auto"/>
        <w:ind w:left="851" w:hanging="851"/>
        <w:contextualSpacing w:val="0"/>
        <w:rPr>
          <w:rFonts w:ascii="Avenir Book" w:hAnsi="Avenir Book"/>
        </w:rPr>
      </w:pPr>
      <w:r w:rsidRPr="002A1491">
        <w:rPr>
          <w:rFonts w:ascii="Avenir Book" w:hAnsi="Avenir Book" w:cs="Calibri"/>
          <w:color w:val="000000" w:themeColor="text1"/>
        </w:rPr>
        <w:t>Several of these issues were examined by the DRC.</w:t>
      </w:r>
      <w:r w:rsidRPr="00A301A7">
        <w:rPr>
          <w:vertAlign w:val="superscript"/>
        </w:rPr>
        <w:endnoteReference w:id="242"/>
      </w:r>
      <w:r w:rsidRPr="002A1491">
        <w:rPr>
          <w:rFonts w:ascii="Avenir Book" w:hAnsi="Avenir Book" w:cs="Calibri"/>
          <w:color w:val="000000" w:themeColor="text1"/>
        </w:rPr>
        <w:t xml:space="preserve">  We support the recommendations in the Final Report regarding these issues:  include people with disability in national housing and homelessness agreements and planning;</w:t>
      </w:r>
      <w:r w:rsidRPr="00A301A7">
        <w:rPr>
          <w:vertAlign w:val="superscript"/>
        </w:rPr>
        <w:endnoteReference w:id="243"/>
      </w:r>
      <w:r w:rsidRPr="002A1491">
        <w:rPr>
          <w:rFonts w:ascii="Avenir Book" w:hAnsi="Avenir Book" w:cs="Calibri"/>
          <w:color w:val="000000" w:themeColor="text1"/>
        </w:rPr>
        <w:t xml:space="preserve"> include homelessness in Australia’s Disability Strategy;</w:t>
      </w:r>
      <w:r w:rsidRPr="00A301A7">
        <w:rPr>
          <w:vertAlign w:val="superscript"/>
        </w:rPr>
        <w:endnoteReference w:id="244"/>
      </w:r>
      <w:r w:rsidRPr="002A1491">
        <w:rPr>
          <w:rFonts w:ascii="Avenir Book" w:hAnsi="Avenir Book" w:cs="Calibri"/>
          <w:color w:val="000000" w:themeColor="text1"/>
        </w:rPr>
        <w:t xml:space="preserve"> increase the supply of accessible housing through the National Construction Code;</w:t>
      </w:r>
      <w:r w:rsidRPr="00A301A7">
        <w:rPr>
          <w:vertAlign w:val="superscript"/>
        </w:rPr>
        <w:endnoteReference w:id="245"/>
      </w:r>
      <w:r w:rsidRPr="002A1491">
        <w:rPr>
          <w:rFonts w:ascii="Avenir Book" w:hAnsi="Avenir Book" w:cs="Calibri"/>
          <w:color w:val="000000" w:themeColor="text1"/>
        </w:rPr>
        <w:t xml:space="preserve"> increase access to social housing;</w:t>
      </w:r>
      <w:r w:rsidRPr="00A301A7">
        <w:rPr>
          <w:vertAlign w:val="superscript"/>
        </w:rPr>
        <w:endnoteReference w:id="246"/>
      </w:r>
      <w:r w:rsidRPr="002A1491">
        <w:rPr>
          <w:rFonts w:ascii="Avenir Book" w:hAnsi="Avenir Book" w:cs="Calibri"/>
          <w:color w:val="000000" w:themeColor="text1"/>
        </w:rPr>
        <w:t xml:space="preserve"> increase tenancy and occupancy protections;</w:t>
      </w:r>
      <w:r w:rsidRPr="00A301A7">
        <w:rPr>
          <w:vertAlign w:val="superscript"/>
        </w:rPr>
        <w:endnoteReference w:id="247"/>
      </w:r>
      <w:r w:rsidRPr="002A1491">
        <w:rPr>
          <w:rFonts w:ascii="Avenir Book" w:hAnsi="Avenir Book" w:cs="Calibri"/>
          <w:color w:val="000000" w:themeColor="text1"/>
        </w:rPr>
        <w:t xml:space="preserve"> improve regulatory oversight in supported accommodation settings;</w:t>
      </w:r>
      <w:r w:rsidRPr="00A301A7">
        <w:rPr>
          <w:vertAlign w:val="superscript"/>
        </w:rPr>
        <w:endnoteReference w:id="248"/>
      </w:r>
      <w:r w:rsidRPr="002A1491">
        <w:rPr>
          <w:rFonts w:ascii="Avenir Book" w:hAnsi="Avenir Book" w:cs="Calibri"/>
          <w:color w:val="000000" w:themeColor="text1"/>
        </w:rPr>
        <w:t xml:space="preserve"> and improve responses to homelessness.</w:t>
      </w:r>
      <w:r w:rsidRPr="00A301A7">
        <w:rPr>
          <w:vertAlign w:val="superscript"/>
        </w:rPr>
        <w:endnoteReference w:id="249"/>
      </w:r>
    </w:p>
    <w:p w14:paraId="44391FC3" w14:textId="77777777" w:rsidR="00BE636E" w:rsidRPr="00BE636E" w:rsidRDefault="00BE636E" w:rsidP="00BE636E">
      <w:pPr>
        <w:spacing w:line="276" w:lineRule="auto"/>
        <w:rPr>
          <w:rFonts w:ascii="Avenir Book" w:hAnsi="Avenir Book"/>
        </w:rPr>
      </w:pPr>
    </w:p>
    <w:p w14:paraId="3A55D894" w14:textId="6E89D14A" w:rsidR="00145580" w:rsidRDefault="00A301A7" w:rsidP="00145580">
      <w:pPr>
        <w:pStyle w:val="ListParagraph"/>
        <w:numPr>
          <w:ilvl w:val="2"/>
          <w:numId w:val="11"/>
        </w:numPr>
        <w:spacing w:line="276" w:lineRule="auto"/>
        <w:ind w:left="851" w:hanging="851"/>
        <w:contextualSpacing w:val="0"/>
        <w:rPr>
          <w:rFonts w:ascii="Avenir Book" w:hAnsi="Avenir Book" w:cs="Calibri"/>
          <w:color w:val="000000" w:themeColor="text1"/>
        </w:rPr>
      </w:pPr>
      <w:r w:rsidRPr="002A1491">
        <w:rPr>
          <w:rFonts w:ascii="Avenir Book" w:hAnsi="Avenir Book" w:cs="Calibri"/>
          <w:color w:val="000000" w:themeColor="text1"/>
        </w:rPr>
        <w:t xml:space="preserve">However, more action needs to be taken to research and assess the specific situation of women with disability in relation to poverty, social protection, housing and homelessness, as well as </w:t>
      </w:r>
      <w:r w:rsidR="00BE636E">
        <w:rPr>
          <w:rFonts w:ascii="Avenir Book" w:hAnsi="Avenir Book" w:cs="Calibri"/>
          <w:color w:val="000000" w:themeColor="text1"/>
        </w:rPr>
        <w:t xml:space="preserve">for </w:t>
      </w:r>
      <w:r w:rsidRPr="002A1491">
        <w:rPr>
          <w:rFonts w:ascii="Avenir Book" w:hAnsi="Avenir Book" w:cs="Calibri"/>
          <w:color w:val="000000" w:themeColor="text1"/>
        </w:rPr>
        <w:t xml:space="preserve">other groups of people with disability, </w:t>
      </w:r>
      <w:r w:rsidR="00BE636E">
        <w:rPr>
          <w:rFonts w:ascii="Avenir Book" w:hAnsi="Avenir Book" w:cs="Calibri"/>
          <w:color w:val="000000" w:themeColor="text1"/>
        </w:rPr>
        <w:t xml:space="preserve">including </w:t>
      </w:r>
      <w:r w:rsidRPr="002A1491">
        <w:rPr>
          <w:rFonts w:ascii="Avenir Book" w:hAnsi="Avenir Book" w:cs="Calibri"/>
          <w:color w:val="000000" w:themeColor="text1"/>
        </w:rPr>
        <w:t xml:space="preserve">children, older persons, First Nations peoples, </w:t>
      </w:r>
      <w:r w:rsidR="00FC5F51" w:rsidRPr="00BE636E">
        <w:rPr>
          <w:rFonts w:ascii="Avenir Book" w:hAnsi="Avenir Book" w:cs="Calibri"/>
          <w:color w:val="000000" w:themeColor="text1"/>
        </w:rPr>
        <w:t xml:space="preserve">LGBTIQA+ </w:t>
      </w:r>
      <w:r w:rsidR="00FC5F51">
        <w:rPr>
          <w:rFonts w:ascii="Avenir Book" w:hAnsi="Avenir Book" w:cs="Calibri"/>
          <w:color w:val="000000" w:themeColor="text1"/>
        </w:rPr>
        <w:t xml:space="preserve">people and people with disability from </w:t>
      </w:r>
      <w:r w:rsidR="00FC5F51" w:rsidRPr="00BE636E">
        <w:rPr>
          <w:rFonts w:ascii="Avenir Book" w:hAnsi="Avenir Book" w:cs="Calibri"/>
          <w:color w:val="000000" w:themeColor="text1"/>
        </w:rPr>
        <w:t>culturally and linguistically diverse backgrounds.</w:t>
      </w:r>
      <w:r w:rsidRPr="002A1491">
        <w:rPr>
          <w:rFonts w:ascii="Avenir Book" w:hAnsi="Avenir Book" w:cs="Calibri"/>
          <w:color w:val="000000" w:themeColor="text1"/>
        </w:rPr>
        <w:t xml:space="preserve"> </w:t>
      </w:r>
    </w:p>
    <w:p w14:paraId="038709A6" w14:textId="1DFF5723" w:rsidR="00D073C1" w:rsidRPr="00145580" w:rsidRDefault="00145580" w:rsidP="00145580">
      <w:pPr>
        <w:rPr>
          <w:rFonts w:ascii="Avenir Book" w:eastAsiaTheme="minorHAnsi" w:hAnsi="Avenir Book" w:cs="Calibri"/>
          <w:color w:val="000000" w:themeColor="text1"/>
          <w:lang w:val="en-GB"/>
        </w:rPr>
      </w:pPr>
      <w:r>
        <w:rPr>
          <w:rFonts w:ascii="Avenir Book" w:hAnsi="Avenir Book" w:cs="Calibri"/>
          <w:color w:val="000000" w:themeColor="text1"/>
        </w:rPr>
        <w:br w:type="page"/>
      </w:r>
    </w:p>
    <w:p w14:paraId="4575B8EA" w14:textId="0CB94341" w:rsidR="007E0426" w:rsidRPr="007E0426" w:rsidRDefault="007E0426" w:rsidP="007E0426">
      <w:pPr>
        <w:spacing w:after="120" w:line="276" w:lineRule="auto"/>
        <w:rPr>
          <w:rFonts w:asciiTheme="minorHAnsi" w:hAnsiTheme="minorHAnsi" w:cstheme="minorHAnsi"/>
          <w:b/>
          <w:color w:val="7030A0"/>
        </w:rPr>
      </w:pPr>
      <w:r w:rsidRPr="007E0426">
        <w:rPr>
          <w:rFonts w:ascii="Avenir Book" w:hAnsi="Avenir Book" w:cstheme="minorHAnsi"/>
          <w:b/>
          <w:color w:val="AC1F79"/>
        </w:rPr>
        <w:lastRenderedPageBreak/>
        <w:t>Preliminary Recommendations</w:t>
      </w:r>
    </w:p>
    <w:p w14:paraId="407048E9" w14:textId="4628E97C" w:rsidR="004B1314" w:rsidRPr="004B1314" w:rsidRDefault="007E0426" w:rsidP="00C74146">
      <w:pPr>
        <w:pStyle w:val="Heading3"/>
        <w:numPr>
          <w:ilvl w:val="0"/>
          <w:numId w:val="8"/>
        </w:numPr>
        <w:snapToGrid w:val="0"/>
        <w:spacing w:after="120"/>
        <w:ind w:left="425" w:hanging="425"/>
        <w:jc w:val="left"/>
        <w:rPr>
          <w:rFonts w:ascii="Avenir Book" w:hAnsi="Avenir Book" w:cs="Calibri"/>
          <w:b w:val="0"/>
          <w:color w:val="000000" w:themeColor="text1"/>
        </w:rPr>
      </w:pPr>
      <w:bookmarkStart w:id="158" w:name="_Toc156819963"/>
      <w:bookmarkStart w:id="159" w:name="_Toc156825246"/>
      <w:r w:rsidRPr="00A301A7">
        <w:rPr>
          <w:rFonts w:ascii="Avenir Book" w:hAnsi="Avenir Book" w:cs="Calibri"/>
          <w:b w:val="0"/>
          <w:color w:val="000000" w:themeColor="text1"/>
        </w:rPr>
        <w:t xml:space="preserve">Develop a </w:t>
      </w:r>
      <w:r w:rsidRPr="004B1314">
        <w:rPr>
          <w:rFonts w:ascii="Avenir Book" w:hAnsi="Avenir Book" w:cs="Calibri"/>
          <w:b w:val="0"/>
          <w:color w:val="000000" w:themeColor="text1"/>
        </w:rPr>
        <w:t xml:space="preserve">disability-inclusive </w:t>
      </w:r>
      <w:r w:rsidRPr="00A301A7">
        <w:rPr>
          <w:rFonts w:ascii="Avenir Book" w:hAnsi="Avenir Book" w:cs="Calibri"/>
          <w:b w:val="0"/>
          <w:color w:val="000000" w:themeColor="text1"/>
        </w:rPr>
        <w:t xml:space="preserve">National Poverty Reduction Plan, </w:t>
      </w:r>
      <w:r w:rsidRPr="004B1314">
        <w:rPr>
          <w:rFonts w:ascii="Avenir Book" w:hAnsi="Avenir Book" w:cs="Calibri"/>
          <w:b w:val="0"/>
          <w:color w:val="000000" w:themeColor="text1"/>
        </w:rPr>
        <w:t xml:space="preserve">with specific priority actions for </w:t>
      </w:r>
      <w:r w:rsidRPr="00A301A7">
        <w:rPr>
          <w:rFonts w:ascii="Avenir Book" w:hAnsi="Avenir Book" w:cs="Calibri"/>
          <w:b w:val="0"/>
          <w:color w:val="000000" w:themeColor="text1"/>
        </w:rPr>
        <w:t>First Nations peoples</w:t>
      </w:r>
      <w:r w:rsidRPr="004B1314">
        <w:rPr>
          <w:rFonts w:ascii="Avenir Book" w:hAnsi="Avenir Book" w:cs="Calibri"/>
          <w:b w:val="0"/>
          <w:color w:val="000000" w:themeColor="text1"/>
        </w:rPr>
        <w:t xml:space="preserve">, </w:t>
      </w:r>
      <w:r w:rsidR="000028CD">
        <w:rPr>
          <w:rFonts w:ascii="Avenir Book" w:hAnsi="Avenir Book" w:cs="Calibri"/>
          <w:b w:val="0"/>
          <w:color w:val="000000" w:themeColor="text1"/>
        </w:rPr>
        <w:t xml:space="preserve">recognition of intersectionality </w:t>
      </w:r>
      <w:r w:rsidRPr="004B1314">
        <w:rPr>
          <w:rFonts w:ascii="Avenir Book" w:hAnsi="Avenir Book" w:cs="Calibri"/>
          <w:b w:val="0"/>
          <w:color w:val="000000" w:themeColor="text1"/>
        </w:rPr>
        <w:t>and linkages with other national plans, such as the National Disability Strategy, Closing the Gap, and the National Strategy to Achieve Gender Equality.</w:t>
      </w:r>
      <w:r w:rsidR="004B1314" w:rsidRPr="004B1314">
        <w:rPr>
          <w:rStyle w:val="EndnoteReference"/>
          <w:rFonts w:ascii="Avenir Book" w:hAnsi="Avenir Book" w:cs="Calibri"/>
          <w:b w:val="0"/>
          <w:color w:val="000000" w:themeColor="text1"/>
        </w:rPr>
        <w:endnoteReference w:id="250"/>
      </w:r>
      <w:bookmarkEnd w:id="158"/>
      <w:bookmarkEnd w:id="159"/>
    </w:p>
    <w:p w14:paraId="0C788D3E" w14:textId="3FBC7109" w:rsidR="004B1314" w:rsidRPr="004B1314" w:rsidRDefault="004B1314" w:rsidP="00C74146">
      <w:pPr>
        <w:pStyle w:val="ListParagraph"/>
        <w:numPr>
          <w:ilvl w:val="0"/>
          <w:numId w:val="8"/>
        </w:numPr>
        <w:spacing w:after="120" w:line="276" w:lineRule="auto"/>
        <w:ind w:left="425" w:hanging="425"/>
        <w:contextualSpacing w:val="0"/>
        <w:rPr>
          <w:rFonts w:ascii="Avenir Book" w:hAnsi="Avenir Book"/>
        </w:rPr>
      </w:pPr>
      <w:r w:rsidRPr="004B1314">
        <w:rPr>
          <w:rFonts w:ascii="Avenir Book" w:hAnsi="Avenir Book"/>
        </w:rPr>
        <w:t xml:space="preserve">Review the Final Report from the Senate Community Affairs References Committee inquiry into the extent and nature of poverty in Australia and incorporate recommendations into the National Poverty Reduction Plan. </w:t>
      </w:r>
    </w:p>
    <w:p w14:paraId="25CF4FFC" w14:textId="16B875DE" w:rsidR="004B1314" w:rsidRPr="004B1314" w:rsidRDefault="00D27CF3" w:rsidP="00C74146">
      <w:pPr>
        <w:pStyle w:val="ListParagraph"/>
        <w:numPr>
          <w:ilvl w:val="0"/>
          <w:numId w:val="8"/>
        </w:numPr>
        <w:spacing w:after="120" w:line="276" w:lineRule="auto"/>
        <w:ind w:left="425" w:hanging="425"/>
        <w:contextualSpacing w:val="0"/>
        <w:rPr>
          <w:rFonts w:ascii="Avenir Book" w:hAnsi="Avenir Book"/>
        </w:rPr>
      </w:pPr>
      <w:r>
        <w:rPr>
          <w:rFonts w:ascii="Avenir Book" w:hAnsi="Avenir Book"/>
        </w:rPr>
        <w:t>Implement the recommendations from the Senate Community Affairs References Committee inquiry into the purpose, intent and adequacy of the Disability Support Pension (DSP).</w:t>
      </w:r>
      <w:r w:rsidRPr="00A301A7">
        <w:rPr>
          <w:rFonts w:ascii="Avenir Book" w:hAnsi="Avenir Book" w:cs="Calibri"/>
          <w:color w:val="000000" w:themeColor="text1"/>
          <w:vertAlign w:val="superscript"/>
        </w:rPr>
        <w:endnoteReference w:id="251"/>
      </w:r>
    </w:p>
    <w:p w14:paraId="466D5345" w14:textId="13732097" w:rsidR="00A301A7" w:rsidRDefault="00D27CF3" w:rsidP="00C74146">
      <w:pPr>
        <w:pStyle w:val="Heading3"/>
        <w:numPr>
          <w:ilvl w:val="0"/>
          <w:numId w:val="8"/>
        </w:numPr>
        <w:snapToGrid w:val="0"/>
        <w:spacing w:after="120"/>
        <w:ind w:left="425" w:hanging="425"/>
        <w:jc w:val="left"/>
        <w:rPr>
          <w:rFonts w:ascii="Avenir Book" w:hAnsi="Avenir Book" w:cs="Calibri"/>
          <w:b w:val="0"/>
          <w:color w:val="000000" w:themeColor="text1"/>
        </w:rPr>
      </w:pPr>
      <w:bookmarkStart w:id="160" w:name="_Toc156819964"/>
      <w:bookmarkStart w:id="161" w:name="_Toc156825247"/>
      <w:r w:rsidRPr="00A301A7">
        <w:rPr>
          <w:rFonts w:ascii="Avenir Book" w:hAnsi="Avenir Book" w:cs="Calibri"/>
          <w:b w:val="0"/>
          <w:color w:val="000000" w:themeColor="text1"/>
        </w:rPr>
        <w:t>Raise the rate of income support payments in line with recommendations from the Australian Council of Social Services (ACOSS).</w:t>
      </w:r>
      <w:r w:rsidRPr="00A301A7">
        <w:rPr>
          <w:rFonts w:ascii="Avenir Book" w:hAnsi="Avenir Book" w:cs="Calibri"/>
          <w:b w:val="0"/>
          <w:color w:val="000000" w:themeColor="text1"/>
          <w:vertAlign w:val="superscript"/>
        </w:rPr>
        <w:endnoteReference w:id="252"/>
      </w:r>
      <w:bookmarkEnd w:id="160"/>
      <w:bookmarkEnd w:id="161"/>
    </w:p>
    <w:p w14:paraId="550C979B" w14:textId="11456DA0" w:rsidR="00A301A7" w:rsidRPr="00BE636E" w:rsidRDefault="000028CD" w:rsidP="00C74146">
      <w:pPr>
        <w:pStyle w:val="ListParagraph"/>
        <w:numPr>
          <w:ilvl w:val="0"/>
          <w:numId w:val="8"/>
        </w:numPr>
        <w:spacing w:after="120" w:line="276" w:lineRule="auto"/>
        <w:ind w:left="425" w:hanging="425"/>
        <w:contextualSpacing w:val="0"/>
        <w:rPr>
          <w:rFonts w:ascii="Avenir Book" w:hAnsi="Avenir Book"/>
        </w:rPr>
      </w:pPr>
      <w:r w:rsidRPr="00BE636E">
        <w:rPr>
          <w:rFonts w:ascii="Avenir Book" w:hAnsi="Avenir Book"/>
        </w:rPr>
        <w:t xml:space="preserve">Urgently address the lack of </w:t>
      </w:r>
      <w:r w:rsidRPr="00BE636E">
        <w:rPr>
          <w:rFonts w:ascii="Avenir Book" w:hAnsi="Avenir Book" w:cs="Calibri"/>
          <w:color w:val="000000" w:themeColor="text1"/>
        </w:rPr>
        <w:t>appropriate, available, accessible and affordable housing for people with disability, including by implementing the DRC recommendations 7.33–7.40.</w:t>
      </w:r>
    </w:p>
    <w:p w14:paraId="5EAD7B36" w14:textId="210B7C5D" w:rsidR="00434136" w:rsidRPr="00BE636E" w:rsidRDefault="00BE636E" w:rsidP="00C74146">
      <w:pPr>
        <w:pStyle w:val="ListParagraph"/>
        <w:numPr>
          <w:ilvl w:val="0"/>
          <w:numId w:val="8"/>
        </w:numPr>
        <w:spacing w:line="276" w:lineRule="auto"/>
        <w:ind w:left="425" w:hanging="425"/>
        <w:contextualSpacing w:val="0"/>
        <w:rPr>
          <w:rFonts w:ascii="Avenir Book" w:hAnsi="Avenir Book"/>
        </w:rPr>
      </w:pPr>
      <w:r w:rsidRPr="00BE636E">
        <w:rPr>
          <w:rFonts w:ascii="Avenir Book" w:hAnsi="Avenir Book"/>
        </w:rPr>
        <w:t xml:space="preserve">Undertake disability-inclusive research to </w:t>
      </w:r>
      <w:r w:rsidRPr="00BE636E">
        <w:rPr>
          <w:rFonts w:ascii="Avenir Book" w:hAnsi="Avenir Book" w:cs="Calibri"/>
          <w:color w:val="000000" w:themeColor="text1"/>
        </w:rPr>
        <w:t xml:space="preserve">assess the specific situation of women with disability in relation to poverty, social protection, housing and homelessness, as well as for other groups of people with disability, including children, older persons, First Nations peoples, LGBTIQA+ </w:t>
      </w:r>
      <w:r>
        <w:rPr>
          <w:rFonts w:ascii="Avenir Book" w:hAnsi="Avenir Book" w:cs="Calibri"/>
          <w:color w:val="000000" w:themeColor="text1"/>
        </w:rPr>
        <w:t xml:space="preserve">people and people with disability from </w:t>
      </w:r>
      <w:r w:rsidRPr="00BE636E">
        <w:rPr>
          <w:rFonts w:ascii="Avenir Book" w:hAnsi="Avenir Book" w:cs="Calibri"/>
          <w:color w:val="000000" w:themeColor="text1"/>
        </w:rPr>
        <w:t>culturally and linguistically diverse backgrounds.</w:t>
      </w:r>
    </w:p>
    <w:p w14:paraId="5939949C" w14:textId="77777777" w:rsidR="00BE636E" w:rsidRPr="00D673B0" w:rsidRDefault="00BE636E" w:rsidP="00BE636E">
      <w:pPr>
        <w:rPr>
          <w:color w:val="000000" w:themeColor="text1"/>
        </w:rPr>
      </w:pPr>
    </w:p>
    <w:p w14:paraId="446596A8" w14:textId="1539A12B" w:rsidR="00B370DF" w:rsidRPr="00D673B0" w:rsidRDefault="00B370DF" w:rsidP="00C74146">
      <w:pPr>
        <w:pStyle w:val="Heading3"/>
        <w:numPr>
          <w:ilvl w:val="1"/>
          <w:numId w:val="11"/>
        </w:numPr>
        <w:snapToGrid w:val="0"/>
        <w:spacing w:after="120" w:line="240" w:lineRule="auto"/>
        <w:ind w:left="851" w:hanging="862"/>
        <w:jc w:val="left"/>
        <w:rPr>
          <w:rFonts w:ascii="Avenir Book" w:hAnsi="Avenir Book" w:cs="Calibri"/>
          <w:color w:val="000000" w:themeColor="text1"/>
        </w:rPr>
      </w:pPr>
      <w:bookmarkStart w:id="162" w:name="_Toc156825248"/>
      <w:r w:rsidRPr="00D673B0">
        <w:rPr>
          <w:rFonts w:ascii="Avenir Book" w:eastAsia="Arial" w:hAnsi="Avenir Book" w:cstheme="minorHAnsi"/>
          <w:color w:val="000000" w:themeColor="text1"/>
          <w:lang w:val="en-GB"/>
        </w:rPr>
        <w:t xml:space="preserve">Ensure </w:t>
      </w:r>
      <w:r w:rsidR="00F20708" w:rsidRPr="00D673B0">
        <w:rPr>
          <w:rFonts w:ascii="Avenir Book" w:eastAsia="Arial" w:hAnsi="Avenir Book" w:cstheme="minorHAnsi"/>
          <w:color w:val="000000" w:themeColor="text1"/>
          <w:lang w:val="en-GB"/>
        </w:rPr>
        <w:t>effective</w:t>
      </w:r>
      <w:r w:rsidRPr="00D673B0">
        <w:rPr>
          <w:rFonts w:ascii="Avenir Book" w:eastAsia="Arial" w:hAnsi="Avenir Book" w:cstheme="minorHAnsi"/>
          <w:color w:val="000000" w:themeColor="text1"/>
          <w:lang w:val="en-GB"/>
        </w:rPr>
        <w:t xml:space="preserve"> participation of people with disability including through their representative organisations in all matters that affect them</w:t>
      </w:r>
      <w:bookmarkEnd w:id="162"/>
    </w:p>
    <w:p w14:paraId="0DC94C95" w14:textId="6D882330" w:rsidR="00FC5F51" w:rsidRDefault="00B370DF" w:rsidP="00C74146">
      <w:pPr>
        <w:pStyle w:val="Heading3"/>
        <w:numPr>
          <w:ilvl w:val="2"/>
          <w:numId w:val="11"/>
        </w:numPr>
        <w:snapToGrid w:val="0"/>
        <w:ind w:left="851" w:hanging="851"/>
        <w:jc w:val="left"/>
        <w:rPr>
          <w:rFonts w:ascii="Avenir Book" w:hAnsi="Avenir Book" w:cs="Calibri"/>
          <w:b w:val="0"/>
          <w:bCs/>
          <w:color w:val="000000" w:themeColor="text1"/>
        </w:rPr>
      </w:pPr>
      <w:bookmarkStart w:id="163" w:name="_Toc156819966"/>
      <w:bookmarkStart w:id="164" w:name="_Toc156825249"/>
      <w:r w:rsidRPr="00B370DF">
        <w:rPr>
          <w:rFonts w:ascii="Avenir Book" w:hAnsi="Avenir Book" w:cs="Calibri"/>
          <w:b w:val="0"/>
          <w:bCs/>
          <w:color w:val="000000" w:themeColor="text1"/>
        </w:rPr>
        <w:t>Participation is a core human rights principle and a basic condition of democratic societies.</w:t>
      </w:r>
      <w:r w:rsidRPr="00B370DF">
        <w:rPr>
          <w:rFonts w:ascii="Avenir Book" w:hAnsi="Avenir Book" w:cs="Calibri"/>
          <w:b w:val="0"/>
          <w:bCs/>
          <w:color w:val="000000" w:themeColor="text1"/>
          <w:vertAlign w:val="superscript"/>
        </w:rPr>
        <w:endnoteReference w:id="253"/>
      </w:r>
      <w:r w:rsidRPr="00B370DF">
        <w:rPr>
          <w:rFonts w:ascii="Avenir Book" w:hAnsi="Avenir Book" w:cs="Calibri"/>
          <w:b w:val="0"/>
          <w:bCs/>
          <w:color w:val="000000" w:themeColor="text1"/>
        </w:rPr>
        <w:t xml:space="preserve"> </w:t>
      </w:r>
      <w:r w:rsidR="004D322D">
        <w:rPr>
          <w:rFonts w:ascii="Avenir Book" w:hAnsi="Avenir Book" w:cs="Calibri"/>
          <w:b w:val="0"/>
          <w:bCs/>
          <w:color w:val="000000" w:themeColor="text1"/>
        </w:rPr>
        <w:t xml:space="preserve"> </w:t>
      </w:r>
      <w:r w:rsidRPr="00B370DF">
        <w:rPr>
          <w:rFonts w:ascii="Avenir Book" w:hAnsi="Avenir Book" w:cs="Calibri"/>
          <w:b w:val="0"/>
          <w:bCs/>
          <w:color w:val="000000" w:themeColor="text1"/>
        </w:rPr>
        <w:t xml:space="preserve">Effective, meaningful and active participation of people with disability is at the core of the CRPD, in particular through the obligations required under article 4(3), </w:t>
      </w:r>
      <w:r w:rsidRPr="00B370DF">
        <w:rPr>
          <w:rFonts w:ascii="Avenir Book" w:hAnsi="Avenir Book" w:cs="Calibri"/>
          <w:b w:val="0"/>
          <w:bCs/>
          <w:i/>
          <w:iCs/>
          <w:color w:val="000000" w:themeColor="text1"/>
        </w:rPr>
        <w:t>General obligations</w:t>
      </w:r>
      <w:r w:rsidRPr="00B370DF">
        <w:rPr>
          <w:rFonts w:ascii="Avenir Book" w:hAnsi="Avenir Book" w:cs="Calibri"/>
          <w:b w:val="0"/>
          <w:bCs/>
          <w:color w:val="000000" w:themeColor="text1"/>
        </w:rPr>
        <w:t xml:space="preserve"> and article 33(3), </w:t>
      </w:r>
      <w:r w:rsidRPr="00B370DF">
        <w:rPr>
          <w:rFonts w:ascii="Avenir Book" w:hAnsi="Avenir Book" w:cs="Calibri"/>
          <w:b w:val="0"/>
          <w:bCs/>
          <w:i/>
          <w:iCs/>
          <w:color w:val="000000" w:themeColor="text1"/>
        </w:rPr>
        <w:t>National implementation and monitoring</w:t>
      </w:r>
      <w:r w:rsidRPr="00B370DF">
        <w:rPr>
          <w:rFonts w:ascii="Avenir Book" w:hAnsi="Avenir Book" w:cs="Calibri"/>
          <w:b w:val="0"/>
          <w:bCs/>
          <w:color w:val="000000" w:themeColor="text1"/>
        </w:rPr>
        <w:t>.</w:t>
      </w:r>
      <w:bookmarkEnd w:id="163"/>
      <w:bookmarkEnd w:id="164"/>
    </w:p>
    <w:p w14:paraId="0E78F8F8" w14:textId="77777777" w:rsidR="00FC5F51" w:rsidRPr="00FC5F51" w:rsidRDefault="00FC5F51" w:rsidP="00FC5F51"/>
    <w:p w14:paraId="47761B11" w14:textId="2A7D1535" w:rsidR="00B370DF" w:rsidRDefault="00B370DF" w:rsidP="00C74146">
      <w:pPr>
        <w:pStyle w:val="Heading3"/>
        <w:numPr>
          <w:ilvl w:val="2"/>
          <w:numId w:val="11"/>
        </w:numPr>
        <w:snapToGrid w:val="0"/>
        <w:ind w:left="851" w:hanging="851"/>
        <w:jc w:val="left"/>
        <w:rPr>
          <w:rFonts w:ascii="Avenir Book" w:hAnsi="Avenir Book" w:cs="Calibri"/>
          <w:b w:val="0"/>
          <w:bCs/>
          <w:color w:val="000000" w:themeColor="text1"/>
        </w:rPr>
      </w:pPr>
      <w:bookmarkStart w:id="167" w:name="_Toc156819967"/>
      <w:bookmarkStart w:id="168" w:name="_Toc156825250"/>
      <w:r w:rsidRPr="00B370DF">
        <w:rPr>
          <w:rFonts w:ascii="Avenir Book" w:hAnsi="Avenir Book" w:cs="Calibri"/>
          <w:b w:val="0"/>
          <w:bCs/>
          <w:color w:val="000000" w:themeColor="text1"/>
        </w:rPr>
        <w:t>Article 4(3) enshrines the obligation to “closely consult with and actively involve persons with disabilities, including children with disabilities, through their representative organisations” in the development of laws, policies and decision-making processes.</w:t>
      </w:r>
      <w:r w:rsidRPr="00B370DF">
        <w:rPr>
          <w:rFonts w:ascii="Avenir Book" w:hAnsi="Avenir Book" w:cs="Calibri"/>
          <w:b w:val="0"/>
          <w:bCs/>
          <w:color w:val="000000" w:themeColor="text1"/>
          <w:vertAlign w:val="superscript"/>
        </w:rPr>
        <w:endnoteReference w:id="254"/>
      </w:r>
      <w:r w:rsidRPr="00B370DF">
        <w:rPr>
          <w:rFonts w:ascii="Avenir Book" w:hAnsi="Avenir Book" w:cs="Calibri"/>
          <w:b w:val="0"/>
          <w:bCs/>
          <w:color w:val="000000" w:themeColor="text1"/>
        </w:rPr>
        <w:t xml:space="preserve"> Article 33(3) enshrines the obligation to ensure full involvement and participation of people with disability and their representative organisations in the CRPD monitoring process.</w:t>
      </w:r>
      <w:r w:rsidRPr="00B370DF">
        <w:rPr>
          <w:rFonts w:ascii="Avenir Book" w:hAnsi="Avenir Book" w:cs="Calibri"/>
          <w:b w:val="0"/>
          <w:bCs/>
          <w:color w:val="000000" w:themeColor="text1"/>
          <w:vertAlign w:val="superscript"/>
        </w:rPr>
        <w:endnoteReference w:id="255"/>
      </w:r>
      <w:r w:rsidRPr="00B370DF">
        <w:rPr>
          <w:rFonts w:ascii="Avenir Book" w:hAnsi="Avenir Book" w:cs="Calibri"/>
          <w:b w:val="0"/>
          <w:bCs/>
          <w:color w:val="000000" w:themeColor="text1"/>
        </w:rPr>
        <w:t xml:space="preserve"> These obligations are cross-cutting, which means they must be applied in all implementation and monitoring </w:t>
      </w:r>
      <w:r w:rsidRPr="00B370DF">
        <w:rPr>
          <w:rFonts w:ascii="Avenir Book" w:hAnsi="Avenir Book" w:cs="Calibri"/>
          <w:b w:val="0"/>
          <w:bCs/>
          <w:color w:val="000000" w:themeColor="text1"/>
        </w:rPr>
        <w:lastRenderedPageBreak/>
        <w:t>processes aimed at realising the rights of people with disability. Through these obligations, the CRPD recognises that people with disability are the main interlocutors in CRPD implementation and monitoring, and that priority should always be given to the opinions of people with disability including through their representative organisations in all matters that affect them.</w:t>
      </w:r>
      <w:r w:rsidRPr="00B370DF">
        <w:rPr>
          <w:rFonts w:ascii="Avenir Book" w:hAnsi="Avenir Book" w:cs="Calibri"/>
          <w:b w:val="0"/>
          <w:bCs/>
          <w:color w:val="000000" w:themeColor="text1"/>
          <w:vertAlign w:val="superscript"/>
        </w:rPr>
        <w:endnoteReference w:id="256"/>
      </w:r>
      <w:bookmarkEnd w:id="167"/>
      <w:bookmarkEnd w:id="168"/>
    </w:p>
    <w:p w14:paraId="16321E73" w14:textId="77777777" w:rsidR="00FC5F51" w:rsidRPr="00FC5F51" w:rsidRDefault="00FC5F51" w:rsidP="00FC5F51"/>
    <w:p w14:paraId="2C092567" w14:textId="6C7F34BB" w:rsidR="00B370DF" w:rsidRDefault="00B370DF" w:rsidP="00C74146">
      <w:pPr>
        <w:pStyle w:val="ListParagraph"/>
        <w:numPr>
          <w:ilvl w:val="2"/>
          <w:numId w:val="11"/>
        </w:numPr>
        <w:spacing w:line="276" w:lineRule="auto"/>
        <w:ind w:left="851" w:hanging="851"/>
        <w:contextualSpacing w:val="0"/>
        <w:rPr>
          <w:rFonts w:ascii="Avenir Book" w:hAnsi="Avenir Book" w:cs="Calibri"/>
          <w:bCs/>
          <w:color w:val="000000" w:themeColor="text1"/>
        </w:rPr>
      </w:pPr>
      <w:r w:rsidRPr="004D322D">
        <w:rPr>
          <w:rFonts w:ascii="Avenir Book" w:hAnsi="Avenir Book" w:cs="Calibri"/>
          <w:bCs/>
          <w:color w:val="000000" w:themeColor="text1"/>
        </w:rPr>
        <w:t xml:space="preserve">The CRPD Committee provides guidance on the interpretation of articles 4(3) and 33(3) in its General Comment No. 7. The CRPD Committee emphasises that organisations </w:t>
      </w:r>
      <w:r w:rsidRPr="004D322D">
        <w:rPr>
          <w:rFonts w:ascii="Avenir Book" w:hAnsi="Avenir Book" w:cs="Calibri"/>
          <w:bCs/>
          <w:i/>
          <w:iCs/>
          <w:color w:val="000000" w:themeColor="text1"/>
        </w:rPr>
        <w:t>of</w:t>
      </w:r>
      <w:r w:rsidRPr="004D322D">
        <w:rPr>
          <w:rFonts w:ascii="Avenir Book" w:hAnsi="Avenir Book" w:cs="Calibri"/>
          <w:bCs/>
          <w:color w:val="000000" w:themeColor="text1"/>
        </w:rPr>
        <w:t xml:space="preserve"> people with disability “can only be those that are led, directed and governed </w:t>
      </w:r>
      <w:r w:rsidRPr="004D322D">
        <w:rPr>
          <w:rFonts w:ascii="Avenir Book" w:hAnsi="Avenir Book" w:cs="Calibri"/>
          <w:bCs/>
          <w:i/>
          <w:iCs/>
          <w:color w:val="000000" w:themeColor="text1"/>
        </w:rPr>
        <w:t>by</w:t>
      </w:r>
      <w:r w:rsidRPr="004D322D">
        <w:rPr>
          <w:rFonts w:ascii="Avenir Book" w:hAnsi="Avenir Book" w:cs="Calibri"/>
          <w:bCs/>
          <w:color w:val="000000" w:themeColor="text1"/>
        </w:rPr>
        <w:t xml:space="preserve"> persons with disabilities” (emphasis added),</w:t>
      </w:r>
      <w:r w:rsidRPr="004D322D">
        <w:rPr>
          <w:rFonts w:ascii="Avenir Book" w:hAnsi="Avenir Book"/>
          <w:vertAlign w:val="superscript"/>
        </w:rPr>
        <w:endnoteReference w:id="257"/>
      </w:r>
      <w:r w:rsidRPr="004D322D">
        <w:rPr>
          <w:rFonts w:ascii="Avenir Book" w:hAnsi="Avenir Book" w:cs="Calibri"/>
          <w:bCs/>
          <w:color w:val="000000" w:themeColor="text1"/>
        </w:rPr>
        <w:t xml:space="preserve"> and has clarified that these organisations “should be distinguished from organisations ‘for’ persons with disabilities”,</w:t>
      </w:r>
      <w:r w:rsidRPr="004D322D">
        <w:rPr>
          <w:rFonts w:ascii="Avenir Book" w:hAnsi="Avenir Book"/>
          <w:vertAlign w:val="superscript"/>
        </w:rPr>
        <w:endnoteReference w:id="258"/>
      </w:r>
      <w:r w:rsidRPr="004D322D">
        <w:rPr>
          <w:rFonts w:ascii="Avenir Book" w:hAnsi="Avenir Book" w:cs="Calibri"/>
          <w:bCs/>
          <w:color w:val="000000" w:themeColor="text1"/>
        </w:rPr>
        <w:t xml:space="preserve"> such as service providers, carer organisations or professional associations. Organisations of people with disability</w:t>
      </w:r>
      <w:r w:rsidRPr="004D322D">
        <w:rPr>
          <w:rFonts w:ascii="Avenir Book" w:hAnsi="Avenir Book"/>
          <w:vertAlign w:val="superscript"/>
        </w:rPr>
        <w:endnoteReference w:id="259"/>
      </w:r>
      <w:r w:rsidRPr="004D322D">
        <w:rPr>
          <w:rFonts w:ascii="Avenir Book" w:hAnsi="Avenir Book" w:cs="Calibri"/>
          <w:bCs/>
          <w:color w:val="000000" w:themeColor="text1"/>
        </w:rPr>
        <w:t xml:space="preserve"> “that focus primarily on advocacy for disability rights” should be prioritised in resource allocation for consultation processes,</w:t>
      </w:r>
      <w:r w:rsidRPr="004D322D">
        <w:rPr>
          <w:rFonts w:ascii="Avenir Book" w:hAnsi="Avenir Book"/>
          <w:vertAlign w:val="superscript"/>
        </w:rPr>
        <w:endnoteReference w:id="260"/>
      </w:r>
      <w:r w:rsidRPr="004D322D">
        <w:rPr>
          <w:rFonts w:ascii="Avenir Book" w:hAnsi="Avenir Book" w:cs="Calibri"/>
          <w:bCs/>
          <w:color w:val="000000" w:themeColor="text1"/>
        </w:rPr>
        <w:t xml:space="preserve"> and public resources should be increased “for the establishment and strengthening of organisations of persons with disabilities”</w:t>
      </w:r>
      <w:r w:rsidRPr="004D322D">
        <w:rPr>
          <w:rFonts w:ascii="Avenir Book" w:hAnsi="Avenir Book"/>
          <w:vertAlign w:val="superscript"/>
        </w:rPr>
        <w:endnoteReference w:id="261"/>
      </w:r>
      <w:r w:rsidRPr="004D322D">
        <w:rPr>
          <w:rFonts w:ascii="Avenir Book" w:hAnsi="Avenir Book" w:cs="Calibri"/>
          <w:bCs/>
          <w:color w:val="000000" w:themeColor="text1"/>
        </w:rPr>
        <w:t xml:space="preserve"> for representation and advocacy.  There should be an enabling policy framework favourable to establishment and sustained operation of organisations of people with disability.</w:t>
      </w:r>
      <w:r w:rsidRPr="004D322D">
        <w:rPr>
          <w:rFonts w:ascii="Avenir Book" w:hAnsi="Avenir Book"/>
          <w:vertAlign w:val="superscript"/>
        </w:rPr>
        <w:endnoteReference w:id="262"/>
      </w:r>
      <w:r w:rsidRPr="004D322D">
        <w:rPr>
          <w:rFonts w:ascii="Avenir Book" w:hAnsi="Avenir Book" w:cs="Calibri"/>
          <w:bCs/>
          <w:color w:val="000000" w:themeColor="text1"/>
          <w:vertAlign w:val="superscript"/>
        </w:rPr>
        <w:t xml:space="preserve"> </w:t>
      </w:r>
      <w:r w:rsidRPr="004D322D">
        <w:rPr>
          <w:rFonts w:ascii="Avenir Book" w:hAnsi="Avenir Book" w:cs="Calibri"/>
          <w:bCs/>
          <w:color w:val="000000" w:themeColor="text1"/>
        </w:rPr>
        <w:t xml:space="preserve"> </w:t>
      </w:r>
    </w:p>
    <w:p w14:paraId="356316A0" w14:textId="77777777" w:rsidR="00FC5F51" w:rsidRPr="00FC5F51" w:rsidRDefault="00FC5F51" w:rsidP="00FC5F51">
      <w:pPr>
        <w:spacing w:line="276" w:lineRule="auto"/>
        <w:rPr>
          <w:rFonts w:ascii="Avenir Book" w:eastAsiaTheme="minorHAnsi" w:hAnsi="Avenir Book" w:cs="Calibri"/>
          <w:bCs/>
          <w:color w:val="000000" w:themeColor="text1"/>
        </w:rPr>
      </w:pPr>
    </w:p>
    <w:p w14:paraId="1242AF3A" w14:textId="77777777" w:rsidR="00B370DF" w:rsidRPr="00FC5F51" w:rsidRDefault="00B370DF" w:rsidP="00C74146">
      <w:pPr>
        <w:pStyle w:val="ListParagraph"/>
        <w:numPr>
          <w:ilvl w:val="2"/>
          <w:numId w:val="11"/>
        </w:numPr>
        <w:spacing w:line="276" w:lineRule="auto"/>
        <w:ind w:left="851" w:hanging="851"/>
        <w:contextualSpacing w:val="0"/>
        <w:rPr>
          <w:rFonts w:ascii="Avenir Book" w:hAnsi="Avenir Book"/>
        </w:rPr>
      </w:pPr>
      <w:r w:rsidRPr="004D322D">
        <w:rPr>
          <w:rFonts w:ascii="Avenir Book" w:hAnsi="Avenir Book" w:cs="Calibri"/>
          <w:bCs/>
          <w:color w:val="000000" w:themeColor="text1"/>
        </w:rPr>
        <w:t>However, in Australia there are no permanent or effective mechanisms to ensure the active, full and meaningful participation of people with disability, including children with disability through their representative organisations in all stages of the implementation and monitoring of the CRPD and other decision-making processes that affect the lives of people with disability.</w:t>
      </w:r>
      <w:r w:rsidRPr="00B370DF">
        <w:rPr>
          <w:vertAlign w:val="superscript"/>
        </w:rPr>
        <w:endnoteReference w:id="263"/>
      </w:r>
      <w:r w:rsidRPr="004D322D">
        <w:rPr>
          <w:rFonts w:ascii="Avenir Book" w:hAnsi="Avenir Book" w:cs="Calibri"/>
          <w:bCs/>
          <w:color w:val="000000" w:themeColor="text1"/>
        </w:rPr>
        <w:t xml:space="preserve"> Open competitive tendering, short term funding contracts, inflexible funding guidelines and no guarantees of operational funding for more than two years at a time, continue to position organisations of people with disability in a precarious and thoroughly unsustainable position. </w:t>
      </w:r>
    </w:p>
    <w:p w14:paraId="1011F2BA" w14:textId="77777777" w:rsidR="00FC5F51" w:rsidRPr="00FC5F51" w:rsidRDefault="00FC5F51" w:rsidP="00FC5F51">
      <w:pPr>
        <w:spacing w:line="276" w:lineRule="auto"/>
        <w:rPr>
          <w:rFonts w:ascii="Avenir Book" w:hAnsi="Avenir Book"/>
        </w:rPr>
      </w:pPr>
    </w:p>
    <w:p w14:paraId="407E90D8" w14:textId="77777777" w:rsidR="00B370DF" w:rsidRPr="0063334A" w:rsidRDefault="00B370DF" w:rsidP="00C74146">
      <w:pPr>
        <w:pStyle w:val="ListParagraph"/>
        <w:numPr>
          <w:ilvl w:val="2"/>
          <w:numId w:val="11"/>
        </w:numPr>
        <w:spacing w:after="120" w:line="276" w:lineRule="auto"/>
        <w:ind w:left="851" w:hanging="851"/>
        <w:contextualSpacing w:val="0"/>
        <w:rPr>
          <w:rFonts w:ascii="Avenir Book" w:hAnsi="Avenir Book"/>
        </w:rPr>
      </w:pPr>
      <w:r w:rsidRPr="004D322D">
        <w:rPr>
          <w:rFonts w:ascii="Avenir Book" w:hAnsi="Avenir Book" w:cs="Calibri"/>
          <w:bCs/>
          <w:color w:val="000000" w:themeColor="text1"/>
        </w:rPr>
        <w:t>Following the 2019 review of Australia, the CRPD Committee recommended in relation to article 4(3) that “formal and permanent mechanisms” be established:</w:t>
      </w:r>
    </w:p>
    <w:p w14:paraId="52877DAB" w14:textId="77777777" w:rsidR="00B370DF" w:rsidRDefault="00B370DF" w:rsidP="00FC5F51">
      <w:pPr>
        <w:pStyle w:val="Heading3"/>
        <w:snapToGrid w:val="0"/>
        <w:ind w:left="1276" w:right="561"/>
        <w:jc w:val="left"/>
        <w:rPr>
          <w:rFonts w:ascii="Avenir Book" w:hAnsi="Avenir Book" w:cs="Calibri"/>
          <w:b w:val="0"/>
          <w:bCs/>
          <w:color w:val="000000" w:themeColor="text1"/>
        </w:rPr>
      </w:pPr>
      <w:bookmarkStart w:id="169" w:name="_Toc156819968"/>
      <w:bookmarkStart w:id="170" w:name="_Toc156825251"/>
      <w:r w:rsidRPr="00B370DF">
        <w:rPr>
          <w:rFonts w:ascii="Avenir Book" w:hAnsi="Avenir Book" w:cs="Calibri"/>
          <w:b w:val="0"/>
          <w:bCs/>
          <w:color w:val="000000" w:themeColor="text1"/>
        </w:rPr>
        <w:t>“to ensure the full and effective participation of persons with disabilities, including children with disabilities, through their representative organizations, in the development and implementation of legislation and policies to implement the Convention, ensuring adequate resources and the provision of the necessary support.”</w:t>
      </w:r>
      <w:r w:rsidRPr="00B370DF">
        <w:rPr>
          <w:rFonts w:ascii="Avenir Book" w:hAnsi="Avenir Book" w:cs="Calibri"/>
          <w:b w:val="0"/>
          <w:bCs/>
          <w:color w:val="000000" w:themeColor="text1"/>
          <w:vertAlign w:val="superscript"/>
        </w:rPr>
        <w:endnoteReference w:id="264"/>
      </w:r>
      <w:bookmarkEnd w:id="169"/>
      <w:bookmarkEnd w:id="170"/>
    </w:p>
    <w:p w14:paraId="3D0FD5DF" w14:textId="77777777" w:rsidR="00FC5F51" w:rsidRPr="00B370DF" w:rsidRDefault="00FC5F51" w:rsidP="00FC5F51"/>
    <w:p w14:paraId="44C3296D" w14:textId="77777777" w:rsidR="00B370DF" w:rsidRPr="00FC5F51" w:rsidRDefault="00B370DF" w:rsidP="00C74146">
      <w:pPr>
        <w:pStyle w:val="ListParagraph"/>
        <w:numPr>
          <w:ilvl w:val="2"/>
          <w:numId w:val="11"/>
        </w:numPr>
        <w:spacing w:after="120" w:line="276" w:lineRule="auto"/>
        <w:ind w:left="851" w:hanging="851"/>
        <w:contextualSpacing w:val="0"/>
        <w:rPr>
          <w:rFonts w:ascii="Avenir Book" w:hAnsi="Avenir Book"/>
        </w:rPr>
      </w:pPr>
      <w:r w:rsidRPr="0063334A">
        <w:rPr>
          <w:rFonts w:ascii="Avenir Book" w:hAnsi="Avenir Book" w:cs="Calibri"/>
          <w:bCs/>
          <w:color w:val="000000" w:themeColor="text1"/>
        </w:rPr>
        <w:lastRenderedPageBreak/>
        <w:t>In relation to article 33(3), The CRPD Committee recommended that Australia:</w:t>
      </w:r>
    </w:p>
    <w:p w14:paraId="0E19205B" w14:textId="77777777" w:rsidR="00B370DF" w:rsidRPr="00B370DF" w:rsidRDefault="00B370DF" w:rsidP="00FC5F51">
      <w:pPr>
        <w:pStyle w:val="Heading3"/>
        <w:snapToGrid w:val="0"/>
        <w:ind w:left="1276" w:right="561"/>
        <w:rPr>
          <w:rFonts w:ascii="Avenir Book" w:hAnsi="Avenir Book" w:cs="Calibri"/>
          <w:b w:val="0"/>
          <w:bCs/>
          <w:color w:val="000000" w:themeColor="text1"/>
        </w:rPr>
      </w:pPr>
      <w:bookmarkStart w:id="171" w:name="_Toc156819969"/>
      <w:bookmarkStart w:id="172" w:name="_Toc156825252"/>
      <w:r w:rsidRPr="00B370DF">
        <w:rPr>
          <w:rFonts w:ascii="Avenir Book" w:hAnsi="Avenir Book" w:cs="Calibri"/>
          <w:b w:val="0"/>
          <w:bCs/>
          <w:color w:val="000000" w:themeColor="text1"/>
        </w:rPr>
        <w:t>“Establish a formal mechanism and ensure sustainable and adequate funding for the meaningful engagement of persons with disabilities and their representative organizations in the implementation and monitoring of the Convention.”</w:t>
      </w:r>
      <w:bookmarkEnd w:id="171"/>
      <w:bookmarkEnd w:id="172"/>
    </w:p>
    <w:p w14:paraId="74FAE9CB" w14:textId="77777777" w:rsidR="00B370DF" w:rsidRPr="00B370DF" w:rsidRDefault="00B370DF" w:rsidP="00FC5F51">
      <w:pPr>
        <w:pStyle w:val="Heading3"/>
        <w:snapToGrid w:val="0"/>
        <w:rPr>
          <w:rFonts w:ascii="Avenir Book" w:hAnsi="Avenir Book" w:cs="Calibri"/>
          <w:b w:val="0"/>
          <w:bCs/>
          <w:color w:val="000000" w:themeColor="text1"/>
        </w:rPr>
      </w:pPr>
    </w:p>
    <w:p w14:paraId="58E80D6D" w14:textId="0FCE470F" w:rsidR="00B370DF" w:rsidRPr="005409A2" w:rsidRDefault="00B370DF" w:rsidP="00C74146">
      <w:pPr>
        <w:pStyle w:val="ListParagraph"/>
        <w:numPr>
          <w:ilvl w:val="2"/>
          <w:numId w:val="11"/>
        </w:numPr>
        <w:spacing w:line="276" w:lineRule="auto"/>
        <w:ind w:left="851" w:hanging="851"/>
        <w:contextualSpacing w:val="0"/>
        <w:rPr>
          <w:rFonts w:ascii="Avenir Book" w:hAnsi="Avenir Book"/>
        </w:rPr>
      </w:pPr>
      <w:r w:rsidRPr="00FC5F51">
        <w:rPr>
          <w:rFonts w:ascii="Avenir Book" w:hAnsi="Avenir Book" w:cs="Calibri"/>
          <w:bCs/>
          <w:color w:val="000000" w:themeColor="text1"/>
        </w:rPr>
        <w:t>In its examination of article 4(3), the DRC noted that Professor Ron McCallum, the former Chair of the CRPD Committee had observed that Australia was not in compliance with the CRPD.</w:t>
      </w:r>
      <w:r w:rsidRPr="00B370DF">
        <w:rPr>
          <w:vertAlign w:val="superscript"/>
        </w:rPr>
        <w:endnoteReference w:id="265"/>
      </w:r>
      <w:r w:rsidRPr="00FC5F51">
        <w:rPr>
          <w:rFonts w:ascii="Avenir Book" w:hAnsi="Avenir Book" w:cs="Calibri"/>
          <w:bCs/>
          <w:color w:val="000000" w:themeColor="text1"/>
        </w:rPr>
        <w:t xml:space="preserve"> It concluded, that despite recent initiatives,</w:t>
      </w:r>
      <w:r w:rsidRPr="00B370DF">
        <w:rPr>
          <w:vertAlign w:val="superscript"/>
        </w:rPr>
        <w:endnoteReference w:id="266"/>
      </w:r>
      <w:r w:rsidRPr="00FC5F51">
        <w:rPr>
          <w:rFonts w:ascii="Avenir Book" w:hAnsi="Avenir Book" w:cs="Calibri"/>
          <w:bCs/>
          <w:color w:val="000000" w:themeColor="text1"/>
        </w:rPr>
        <w:t xml:space="preserve"> “people with disability are currently not sufficiently involved in government decision-making processes and the development of laws and policies affecting them”.</w:t>
      </w:r>
      <w:r w:rsidRPr="00B370DF">
        <w:rPr>
          <w:vertAlign w:val="superscript"/>
        </w:rPr>
        <w:endnoteReference w:id="267"/>
      </w:r>
      <w:r w:rsidRPr="00FC5F51">
        <w:rPr>
          <w:rFonts w:ascii="Avenir Book" w:hAnsi="Avenir Book" w:cs="Calibri"/>
          <w:bCs/>
          <w:color w:val="000000" w:themeColor="text1"/>
        </w:rPr>
        <w:t xml:space="preserve"> The DRC recommended that Commonwealth entities be legally required to consult with people with disability when developing and evaluating policies, laws and programs, and in planning new initiatives or making major changes to services</w:t>
      </w:r>
      <w:r w:rsidR="00FC5F51">
        <w:rPr>
          <w:rFonts w:ascii="Avenir Book" w:hAnsi="Avenir Book" w:cs="Calibri"/>
          <w:bCs/>
          <w:color w:val="000000" w:themeColor="text1"/>
        </w:rPr>
        <w:t xml:space="preserve"> – recommendation 4.11</w:t>
      </w:r>
      <w:r w:rsidRPr="00FC5F51">
        <w:rPr>
          <w:rFonts w:ascii="Avenir Book" w:hAnsi="Avenir Book" w:cs="Calibri"/>
          <w:bCs/>
          <w:color w:val="000000" w:themeColor="text1"/>
        </w:rPr>
        <w:t>.</w:t>
      </w:r>
      <w:r w:rsidRPr="00B370DF">
        <w:rPr>
          <w:vertAlign w:val="superscript"/>
        </w:rPr>
        <w:endnoteReference w:id="268"/>
      </w:r>
    </w:p>
    <w:p w14:paraId="6F5980B8" w14:textId="77777777" w:rsidR="005409A2" w:rsidRPr="00FC5F51" w:rsidRDefault="005409A2" w:rsidP="005409A2">
      <w:pPr>
        <w:pStyle w:val="ListParagraph"/>
        <w:spacing w:line="276" w:lineRule="auto"/>
        <w:ind w:left="851"/>
        <w:contextualSpacing w:val="0"/>
        <w:rPr>
          <w:rFonts w:ascii="Avenir Book" w:hAnsi="Avenir Book"/>
        </w:rPr>
      </w:pPr>
    </w:p>
    <w:p w14:paraId="1DECD1CF" w14:textId="77777777" w:rsidR="00B370DF" w:rsidRPr="00D1352E" w:rsidRDefault="00B370DF" w:rsidP="00C74146">
      <w:pPr>
        <w:pStyle w:val="ListParagraph"/>
        <w:numPr>
          <w:ilvl w:val="2"/>
          <w:numId w:val="11"/>
        </w:numPr>
        <w:spacing w:line="276" w:lineRule="auto"/>
        <w:ind w:left="851" w:hanging="851"/>
        <w:contextualSpacing w:val="0"/>
        <w:rPr>
          <w:rFonts w:ascii="Avenir Book" w:hAnsi="Avenir Book"/>
        </w:rPr>
      </w:pPr>
      <w:r w:rsidRPr="00FC5F51">
        <w:rPr>
          <w:rFonts w:ascii="Avenir Book" w:hAnsi="Avenir Book" w:cs="Calibri"/>
          <w:bCs/>
          <w:color w:val="000000" w:themeColor="text1"/>
        </w:rPr>
        <w:t>While we support this recommendation in principle, it is not in itself sufficient to address the need for a formal and permanent mechanism that would adhere to articles 4(3) and 33(3) of the CRPD, including by ensuring that the views of people with disability and their representative organisations are given priority in CRPD implementation and monitoring. The current recommendation appears to place consultation with people with disability and their representative organisations on par with consultation with other entities and families, carers and supporters of people with disability,</w:t>
      </w:r>
      <w:r w:rsidRPr="00B370DF">
        <w:rPr>
          <w:vertAlign w:val="superscript"/>
        </w:rPr>
        <w:endnoteReference w:id="269"/>
      </w:r>
      <w:r w:rsidRPr="00FC5F51">
        <w:rPr>
          <w:rFonts w:ascii="Avenir Book" w:hAnsi="Avenir Book" w:cs="Calibri"/>
          <w:bCs/>
          <w:color w:val="000000" w:themeColor="text1"/>
        </w:rPr>
        <w:t xml:space="preserve"> disregarding the distinction made between organisations ‘of’ and organisations ‘for’ people with disability. To refine and agree on this recommendation, further consultation with people with disability and their representative organisations is required. </w:t>
      </w:r>
    </w:p>
    <w:p w14:paraId="5C175FDE" w14:textId="77777777" w:rsidR="00D1352E" w:rsidRPr="00D1352E" w:rsidRDefault="00D1352E" w:rsidP="00D1352E">
      <w:pPr>
        <w:pStyle w:val="ListParagraph"/>
        <w:spacing w:line="276" w:lineRule="auto"/>
        <w:ind w:left="851"/>
        <w:contextualSpacing w:val="0"/>
        <w:rPr>
          <w:rFonts w:ascii="Avenir Book" w:hAnsi="Avenir Book"/>
        </w:rPr>
      </w:pPr>
    </w:p>
    <w:p w14:paraId="3CF45FBE" w14:textId="0A6149EA" w:rsidR="00B370DF" w:rsidRPr="00D1352E" w:rsidRDefault="00B370DF" w:rsidP="00C74146">
      <w:pPr>
        <w:pStyle w:val="ListParagraph"/>
        <w:numPr>
          <w:ilvl w:val="2"/>
          <w:numId w:val="11"/>
        </w:numPr>
        <w:spacing w:after="120" w:line="276" w:lineRule="auto"/>
        <w:ind w:left="851" w:hanging="851"/>
        <w:contextualSpacing w:val="0"/>
        <w:rPr>
          <w:rFonts w:ascii="Avenir Book" w:hAnsi="Avenir Book"/>
        </w:rPr>
      </w:pPr>
      <w:r w:rsidRPr="00D1352E">
        <w:rPr>
          <w:rFonts w:ascii="Avenir Book" w:hAnsi="Avenir Book" w:cs="Calibri"/>
          <w:bCs/>
          <w:color w:val="000000" w:themeColor="text1"/>
        </w:rPr>
        <w:t>This recommendation is also discussed in terms of “a system for voluntary registration” of “organisations that are truly representative of people with disability”, and an approval process for such organisations “against established criteria”.</w:t>
      </w:r>
      <w:r w:rsidRPr="00B370DF">
        <w:rPr>
          <w:vertAlign w:val="superscript"/>
        </w:rPr>
        <w:endnoteReference w:id="270"/>
      </w:r>
      <w:r w:rsidRPr="00D1352E">
        <w:rPr>
          <w:rFonts w:ascii="Avenir Book" w:hAnsi="Avenir Book" w:cs="Calibri"/>
          <w:bCs/>
          <w:color w:val="000000" w:themeColor="text1"/>
        </w:rPr>
        <w:t xml:space="preserve"> This proposal requires much more discussion and consultation with organisations of people with disability before support can be </w:t>
      </w:r>
      <w:r w:rsidR="00D1352E">
        <w:rPr>
          <w:rFonts w:ascii="Avenir Book" w:hAnsi="Avenir Book" w:cs="Calibri"/>
          <w:bCs/>
          <w:color w:val="000000" w:themeColor="text1"/>
        </w:rPr>
        <w:t>provided</w:t>
      </w:r>
      <w:r w:rsidRPr="00D1352E">
        <w:rPr>
          <w:rFonts w:ascii="Avenir Book" w:hAnsi="Avenir Book" w:cs="Calibri"/>
          <w:bCs/>
          <w:color w:val="000000" w:themeColor="text1"/>
        </w:rPr>
        <w:t xml:space="preserve">. </w:t>
      </w:r>
    </w:p>
    <w:p w14:paraId="003DDDDD" w14:textId="77777777" w:rsidR="00D1352E" w:rsidRPr="00D1352E" w:rsidRDefault="00D1352E" w:rsidP="00D1352E">
      <w:pPr>
        <w:pStyle w:val="ListParagraph"/>
        <w:rPr>
          <w:rFonts w:ascii="Avenir Book" w:hAnsi="Avenir Book"/>
        </w:rPr>
      </w:pPr>
    </w:p>
    <w:p w14:paraId="41B1D8B7" w14:textId="77777777" w:rsidR="00B370DF" w:rsidRPr="00D1352E" w:rsidRDefault="00B370DF" w:rsidP="00C74146">
      <w:pPr>
        <w:pStyle w:val="ListParagraph"/>
        <w:numPr>
          <w:ilvl w:val="2"/>
          <w:numId w:val="11"/>
        </w:numPr>
        <w:spacing w:line="276" w:lineRule="auto"/>
        <w:ind w:left="851" w:hanging="851"/>
        <w:contextualSpacing w:val="0"/>
        <w:rPr>
          <w:rFonts w:ascii="Avenir Book" w:hAnsi="Avenir Book"/>
        </w:rPr>
      </w:pPr>
      <w:r w:rsidRPr="00D1352E">
        <w:rPr>
          <w:rFonts w:ascii="Avenir Book" w:hAnsi="Avenir Book" w:cs="Calibri"/>
          <w:bCs/>
          <w:color w:val="000000" w:themeColor="text1"/>
        </w:rPr>
        <w:t xml:space="preserve">In addition, we are concerned that terminology that is defined in one way by the DRC, appears to be used interchangeably throughout the Final Report creating confusion about when it is actually referring to organisations of people with disability – those that are led, directed and governed by people with disability.  In </w:t>
      </w:r>
      <w:r w:rsidRPr="00D1352E">
        <w:rPr>
          <w:rFonts w:ascii="Avenir Book" w:hAnsi="Avenir Book" w:cs="Calibri"/>
          <w:bCs/>
          <w:color w:val="000000" w:themeColor="text1"/>
        </w:rPr>
        <w:lastRenderedPageBreak/>
        <w:t xml:space="preserve">particular, the term, ‘disability representative organisation (DRO)’ is defined as “[a] peak organisation providing systemic advocacy and representation </w:t>
      </w:r>
      <w:r w:rsidRPr="00D1352E">
        <w:rPr>
          <w:rFonts w:ascii="Avenir Book" w:hAnsi="Avenir Book" w:cs="Calibri"/>
          <w:bCs/>
          <w:i/>
          <w:iCs/>
          <w:color w:val="000000" w:themeColor="text1"/>
        </w:rPr>
        <w:t>for</w:t>
      </w:r>
      <w:r w:rsidRPr="00D1352E">
        <w:rPr>
          <w:rFonts w:ascii="Avenir Book" w:hAnsi="Avenir Book" w:cs="Calibri"/>
          <w:bCs/>
          <w:color w:val="000000" w:themeColor="text1"/>
        </w:rPr>
        <w:t xml:space="preserve"> people with disability” (emphasis added) and the term, ‘disabled people’s organisation (DPO)’ is defined as “[a]n organisation where the majority of members, as well as those on the governing body are people with disability”.</w:t>
      </w:r>
      <w:r w:rsidRPr="00B370DF">
        <w:rPr>
          <w:vertAlign w:val="superscript"/>
        </w:rPr>
        <w:endnoteReference w:id="271"/>
      </w:r>
      <w:r w:rsidRPr="00D1352E">
        <w:rPr>
          <w:rFonts w:ascii="Avenir Book" w:hAnsi="Avenir Book" w:cs="Calibri"/>
          <w:bCs/>
          <w:color w:val="000000" w:themeColor="text1"/>
        </w:rPr>
        <w:t xml:space="preserve"> While the term ‘DPO’ reflects the definition of ‘representative organisations’ or ‘organisations of persons with disabilities’ outlined in General Comment No. 7, the term ‘DRO’ reflects the definition used by the Department of Social Services (DSS) for its National Disability Representative Organisations program – a “program to provide systemic advocacy and representation </w:t>
      </w:r>
      <w:r w:rsidRPr="00D1352E">
        <w:rPr>
          <w:rFonts w:ascii="Avenir Book" w:hAnsi="Avenir Book" w:cs="Calibri"/>
          <w:bCs/>
          <w:i/>
          <w:iCs/>
          <w:color w:val="000000" w:themeColor="text1"/>
        </w:rPr>
        <w:t>for</w:t>
      </w:r>
      <w:r w:rsidRPr="00D1352E">
        <w:rPr>
          <w:rFonts w:ascii="Avenir Book" w:hAnsi="Avenir Book" w:cs="Calibri"/>
          <w:bCs/>
          <w:color w:val="000000" w:themeColor="text1"/>
        </w:rPr>
        <w:t xml:space="preserve"> Australians with disability” (emphasis added).</w:t>
      </w:r>
      <w:r w:rsidRPr="00B370DF">
        <w:rPr>
          <w:vertAlign w:val="superscript"/>
        </w:rPr>
        <w:endnoteReference w:id="272"/>
      </w:r>
    </w:p>
    <w:p w14:paraId="0CBB0A1F" w14:textId="77777777" w:rsidR="00D1352E" w:rsidRPr="00D1352E" w:rsidRDefault="00D1352E" w:rsidP="00D1352E">
      <w:pPr>
        <w:pStyle w:val="ListParagraph"/>
        <w:spacing w:line="276" w:lineRule="auto"/>
        <w:ind w:left="851"/>
        <w:contextualSpacing w:val="0"/>
        <w:rPr>
          <w:rFonts w:ascii="Avenir Book" w:hAnsi="Avenir Book"/>
        </w:rPr>
      </w:pPr>
    </w:p>
    <w:p w14:paraId="7EB744BF" w14:textId="71693CEB" w:rsidR="00B370DF" w:rsidRPr="00D1352E" w:rsidRDefault="00B370DF" w:rsidP="00C74146">
      <w:pPr>
        <w:pStyle w:val="ListParagraph"/>
        <w:numPr>
          <w:ilvl w:val="2"/>
          <w:numId w:val="11"/>
        </w:numPr>
        <w:spacing w:line="276" w:lineRule="auto"/>
        <w:ind w:left="851" w:hanging="851"/>
        <w:contextualSpacing w:val="0"/>
        <w:rPr>
          <w:rFonts w:ascii="Avenir Book" w:hAnsi="Avenir Book"/>
        </w:rPr>
      </w:pPr>
      <w:r w:rsidRPr="00D1352E">
        <w:rPr>
          <w:rFonts w:ascii="Avenir Book" w:hAnsi="Avenir Book" w:cs="Calibri"/>
          <w:bCs/>
          <w:color w:val="000000" w:themeColor="text1"/>
        </w:rPr>
        <w:t>Throughout the Final Report and its recommendations, the interchangeable use of this terminology runs the serious risk of the DRC Taskforce and other key stakeholders misunderstanding the content and recommendations of the DRC and inferring that “people with disability through their representative organisations”</w:t>
      </w:r>
      <w:r w:rsidRPr="00B370DF">
        <w:rPr>
          <w:vertAlign w:val="superscript"/>
        </w:rPr>
        <w:endnoteReference w:id="273"/>
      </w:r>
      <w:r w:rsidRPr="00D1352E">
        <w:rPr>
          <w:rFonts w:ascii="Avenir Book" w:hAnsi="Avenir Book" w:cs="Calibri"/>
          <w:bCs/>
          <w:color w:val="000000" w:themeColor="text1"/>
        </w:rPr>
        <w:t xml:space="preserve"> are not necessarily the main interlocutors in CRPD implementation and monitoring.  Terminology should reflect the definition of ‘representative organisations’ or ‘organisations of persons with disabilities’ </w:t>
      </w:r>
      <w:r w:rsidR="00797463">
        <w:rPr>
          <w:rFonts w:ascii="Avenir Book" w:hAnsi="Avenir Book" w:cs="Calibri"/>
          <w:bCs/>
          <w:color w:val="000000" w:themeColor="text1"/>
        </w:rPr>
        <w:t xml:space="preserve">(OPDs) </w:t>
      </w:r>
      <w:r w:rsidRPr="00D1352E">
        <w:rPr>
          <w:rFonts w:ascii="Avenir Book" w:hAnsi="Avenir Book" w:cs="Calibri"/>
          <w:bCs/>
          <w:color w:val="000000" w:themeColor="text1"/>
        </w:rPr>
        <w:t xml:space="preserve">outlined in General Comment No. 7, including reflecting the distinction between ‘organisations </w:t>
      </w:r>
      <w:r w:rsidRPr="00D1352E">
        <w:rPr>
          <w:rFonts w:ascii="Avenir Book" w:hAnsi="Avenir Book" w:cs="Calibri"/>
          <w:bCs/>
          <w:i/>
          <w:iCs/>
          <w:color w:val="000000" w:themeColor="text1"/>
        </w:rPr>
        <w:t>of</w:t>
      </w:r>
      <w:r w:rsidRPr="00D1352E">
        <w:rPr>
          <w:rFonts w:ascii="Avenir Book" w:hAnsi="Avenir Book" w:cs="Calibri"/>
          <w:bCs/>
          <w:color w:val="000000" w:themeColor="text1"/>
        </w:rPr>
        <w:t xml:space="preserve"> people with disability’ and ‘organisations </w:t>
      </w:r>
      <w:r w:rsidRPr="00D1352E">
        <w:rPr>
          <w:rFonts w:ascii="Avenir Book" w:hAnsi="Avenir Book" w:cs="Calibri"/>
          <w:bCs/>
          <w:i/>
          <w:iCs/>
          <w:color w:val="000000" w:themeColor="text1"/>
        </w:rPr>
        <w:t>for</w:t>
      </w:r>
      <w:r w:rsidRPr="00D1352E">
        <w:rPr>
          <w:rFonts w:ascii="Avenir Book" w:hAnsi="Avenir Book" w:cs="Calibri"/>
          <w:bCs/>
          <w:color w:val="000000" w:themeColor="text1"/>
        </w:rPr>
        <w:t xml:space="preserve"> people with disability’.</w:t>
      </w:r>
      <w:r w:rsidRPr="00B370DF">
        <w:rPr>
          <w:vertAlign w:val="superscript"/>
        </w:rPr>
        <w:endnoteReference w:id="274"/>
      </w:r>
      <w:r w:rsidRPr="00D1352E">
        <w:rPr>
          <w:rFonts w:ascii="Avenir Book" w:hAnsi="Avenir Book" w:cs="Calibri"/>
          <w:bCs/>
          <w:color w:val="000000" w:themeColor="text1"/>
        </w:rPr>
        <w:t xml:space="preserve"> </w:t>
      </w:r>
    </w:p>
    <w:p w14:paraId="0324C1A0" w14:textId="77777777" w:rsidR="00D1352E" w:rsidRDefault="00D1352E" w:rsidP="00D1352E">
      <w:pPr>
        <w:spacing w:line="276" w:lineRule="auto"/>
        <w:rPr>
          <w:rFonts w:ascii="Avenir Book" w:hAnsi="Avenir Book" w:cstheme="minorHAnsi"/>
          <w:b/>
          <w:color w:val="AC1F79"/>
        </w:rPr>
      </w:pPr>
    </w:p>
    <w:p w14:paraId="10B71FD5" w14:textId="77E40F1D" w:rsidR="00D1352E" w:rsidRPr="00D1352E" w:rsidRDefault="00D1352E" w:rsidP="00D1352E">
      <w:pPr>
        <w:spacing w:after="120" w:line="276" w:lineRule="auto"/>
        <w:rPr>
          <w:rFonts w:asciiTheme="minorHAnsi" w:hAnsiTheme="minorHAnsi" w:cstheme="minorHAnsi"/>
          <w:b/>
          <w:color w:val="7030A0"/>
        </w:rPr>
      </w:pPr>
      <w:r w:rsidRPr="00D1352E">
        <w:rPr>
          <w:rFonts w:ascii="Avenir Book" w:hAnsi="Avenir Book" w:cstheme="minorHAnsi"/>
          <w:b/>
          <w:color w:val="AC1F79"/>
        </w:rPr>
        <w:t>Preliminary Recommendations</w:t>
      </w:r>
    </w:p>
    <w:p w14:paraId="6242E46E" w14:textId="57544E17" w:rsidR="00B370DF" w:rsidRPr="00D14724" w:rsidRDefault="005409A2" w:rsidP="00C74146">
      <w:pPr>
        <w:pStyle w:val="ListParagraph"/>
        <w:numPr>
          <w:ilvl w:val="0"/>
          <w:numId w:val="8"/>
        </w:numPr>
        <w:spacing w:after="120" w:line="276" w:lineRule="auto"/>
        <w:ind w:left="425" w:hanging="425"/>
        <w:contextualSpacing w:val="0"/>
        <w:rPr>
          <w:rFonts w:ascii="Avenir Book" w:hAnsi="Avenir Book"/>
        </w:rPr>
      </w:pPr>
      <w:r>
        <w:rPr>
          <w:rFonts w:ascii="Avenir Book" w:hAnsi="Avenir Book"/>
        </w:rPr>
        <w:t xml:space="preserve">Co-designed with </w:t>
      </w:r>
      <w:r w:rsidR="00B370DF" w:rsidRPr="005409A2">
        <w:rPr>
          <w:rFonts w:ascii="Avenir Book" w:hAnsi="Avenir Book" w:cs="Calibri"/>
          <w:bCs/>
          <w:color w:val="000000" w:themeColor="text1"/>
        </w:rPr>
        <w:t xml:space="preserve">people with disability through their representative organisations, </w:t>
      </w:r>
      <w:r>
        <w:rPr>
          <w:rFonts w:ascii="Avenir Book" w:hAnsi="Avenir Book" w:cs="Calibri"/>
          <w:bCs/>
          <w:color w:val="000000" w:themeColor="text1"/>
        </w:rPr>
        <w:t xml:space="preserve">and in line with articles 4(3) and 33(3) of the CRPD, </w:t>
      </w:r>
      <w:r w:rsidR="00B370DF" w:rsidRPr="005409A2">
        <w:rPr>
          <w:rFonts w:ascii="Avenir Book" w:hAnsi="Avenir Book" w:cs="Calibri"/>
          <w:bCs/>
          <w:color w:val="000000" w:themeColor="text1"/>
        </w:rPr>
        <w:t>establish a formal, permanent, and adequately resource</w:t>
      </w:r>
      <w:r>
        <w:rPr>
          <w:rFonts w:ascii="Avenir Book" w:hAnsi="Avenir Book" w:cs="Calibri"/>
          <w:bCs/>
          <w:color w:val="000000" w:themeColor="text1"/>
        </w:rPr>
        <w:t>d</w:t>
      </w:r>
      <w:r w:rsidR="00B370DF" w:rsidRPr="005409A2">
        <w:rPr>
          <w:rFonts w:ascii="Avenir Book" w:hAnsi="Avenir Book" w:cs="Calibri"/>
          <w:bCs/>
          <w:color w:val="000000" w:themeColor="text1"/>
        </w:rPr>
        <w:t xml:space="preserve"> </w:t>
      </w:r>
      <w:r>
        <w:rPr>
          <w:rFonts w:ascii="Avenir Book" w:hAnsi="Avenir Book" w:cs="Calibri"/>
          <w:bCs/>
          <w:color w:val="000000" w:themeColor="text1"/>
        </w:rPr>
        <w:t>national OPD/</w:t>
      </w:r>
      <w:r w:rsidR="00B370DF" w:rsidRPr="005409A2">
        <w:rPr>
          <w:rFonts w:ascii="Avenir Book" w:hAnsi="Avenir Book" w:cs="Calibri"/>
          <w:bCs/>
          <w:color w:val="000000" w:themeColor="text1"/>
        </w:rPr>
        <w:t>DPO</w:t>
      </w:r>
      <w:r w:rsidR="00797463">
        <w:rPr>
          <w:rStyle w:val="EndnoteReference"/>
          <w:rFonts w:ascii="Avenir Book" w:hAnsi="Avenir Book" w:cs="Calibri"/>
          <w:bCs/>
          <w:color w:val="000000" w:themeColor="text1"/>
        </w:rPr>
        <w:endnoteReference w:id="275"/>
      </w:r>
      <w:r w:rsidR="00B370DF" w:rsidRPr="005409A2">
        <w:rPr>
          <w:rFonts w:ascii="Avenir Book" w:hAnsi="Avenir Book" w:cs="Calibri"/>
          <w:bCs/>
          <w:color w:val="000000" w:themeColor="text1"/>
        </w:rPr>
        <w:t xml:space="preserve"> Implementation and Monitoring Committee </w:t>
      </w:r>
      <w:r>
        <w:rPr>
          <w:rFonts w:ascii="Avenir Book" w:hAnsi="Avenir Book" w:cs="Calibri"/>
          <w:bCs/>
          <w:color w:val="000000" w:themeColor="text1"/>
        </w:rPr>
        <w:t xml:space="preserve">to ensure </w:t>
      </w:r>
      <w:r w:rsidR="00B370DF" w:rsidRPr="005409A2">
        <w:rPr>
          <w:rFonts w:ascii="Avenir Book" w:hAnsi="Avenir Book" w:cs="Calibri"/>
          <w:bCs/>
          <w:color w:val="000000" w:themeColor="text1"/>
        </w:rPr>
        <w:t>close consult</w:t>
      </w:r>
      <w:r>
        <w:rPr>
          <w:rFonts w:ascii="Avenir Book" w:hAnsi="Avenir Book" w:cs="Calibri"/>
          <w:bCs/>
          <w:color w:val="000000" w:themeColor="text1"/>
        </w:rPr>
        <w:t>ation</w:t>
      </w:r>
      <w:r w:rsidR="00B370DF" w:rsidRPr="005409A2">
        <w:rPr>
          <w:rFonts w:ascii="Avenir Book" w:hAnsi="Avenir Book" w:cs="Calibri"/>
          <w:bCs/>
          <w:color w:val="000000" w:themeColor="text1"/>
        </w:rPr>
        <w:t xml:space="preserve"> and active involve</w:t>
      </w:r>
      <w:r>
        <w:rPr>
          <w:rFonts w:ascii="Avenir Book" w:hAnsi="Avenir Book" w:cs="Calibri"/>
          <w:bCs/>
          <w:color w:val="000000" w:themeColor="text1"/>
        </w:rPr>
        <w:t>ment of</w:t>
      </w:r>
      <w:r w:rsidR="00B370DF" w:rsidRPr="005409A2">
        <w:rPr>
          <w:rFonts w:ascii="Avenir Book" w:hAnsi="Avenir Book" w:cs="Calibri"/>
          <w:bCs/>
          <w:color w:val="000000" w:themeColor="text1"/>
        </w:rPr>
        <w:t xml:space="preserve"> people with disability in </w:t>
      </w:r>
      <w:r>
        <w:rPr>
          <w:rFonts w:ascii="Avenir Book" w:hAnsi="Avenir Book" w:cs="Calibri"/>
          <w:bCs/>
          <w:color w:val="000000" w:themeColor="text1"/>
        </w:rPr>
        <w:t xml:space="preserve">the implementation and monitoring of the CRPD and other </w:t>
      </w:r>
      <w:r w:rsidR="00B370DF" w:rsidRPr="005409A2">
        <w:rPr>
          <w:rFonts w:ascii="Avenir Book" w:hAnsi="Avenir Book" w:cs="Calibri"/>
          <w:bCs/>
          <w:color w:val="000000" w:themeColor="text1"/>
        </w:rPr>
        <w:t>decision-making processes</w:t>
      </w:r>
      <w:r>
        <w:rPr>
          <w:rFonts w:ascii="Avenir Book" w:hAnsi="Avenir Book" w:cs="Calibri"/>
          <w:bCs/>
          <w:color w:val="000000" w:themeColor="text1"/>
        </w:rPr>
        <w:t>.</w:t>
      </w:r>
      <w:r w:rsidR="00B370DF" w:rsidRPr="005409A2">
        <w:rPr>
          <w:rFonts w:ascii="Avenir Book" w:hAnsi="Avenir Book" w:cs="Calibri"/>
          <w:bCs/>
          <w:color w:val="000000" w:themeColor="text1"/>
        </w:rPr>
        <w:t xml:space="preserve"> </w:t>
      </w:r>
    </w:p>
    <w:p w14:paraId="520E0BD6" w14:textId="1F990A47" w:rsidR="00D14724" w:rsidRPr="005409A2" w:rsidRDefault="00D14724" w:rsidP="00C74146">
      <w:pPr>
        <w:pStyle w:val="ListParagraph"/>
        <w:numPr>
          <w:ilvl w:val="0"/>
          <w:numId w:val="8"/>
        </w:numPr>
        <w:spacing w:after="120" w:line="276" w:lineRule="auto"/>
        <w:ind w:left="425" w:hanging="425"/>
        <w:contextualSpacing w:val="0"/>
        <w:rPr>
          <w:rFonts w:ascii="Avenir Book" w:hAnsi="Avenir Book"/>
        </w:rPr>
      </w:pPr>
      <w:r>
        <w:rPr>
          <w:rFonts w:ascii="Avenir Book" w:hAnsi="Avenir Book"/>
        </w:rPr>
        <w:t xml:space="preserve">Review funding arrangements of organisations of people with disability (OPDs/DPOs) </w:t>
      </w:r>
      <w:r w:rsidRPr="00B370DF">
        <w:rPr>
          <w:rFonts w:ascii="Avenir Book" w:hAnsi="Avenir Book" w:cs="Calibri"/>
          <w:bCs/>
          <w:color w:val="000000" w:themeColor="text1"/>
        </w:rPr>
        <w:t>to ensure adequate, long-term, sustainable funding that is inclusive of funding for systemic advocacy</w:t>
      </w:r>
      <w:r>
        <w:rPr>
          <w:rFonts w:ascii="Avenir Book" w:hAnsi="Avenir Book" w:cs="Calibri"/>
          <w:bCs/>
          <w:color w:val="000000" w:themeColor="text1"/>
        </w:rPr>
        <w:t xml:space="preserve">, </w:t>
      </w:r>
      <w:r w:rsidRPr="00B370DF">
        <w:rPr>
          <w:rFonts w:ascii="Avenir Book" w:hAnsi="Avenir Book" w:cs="Calibri"/>
          <w:bCs/>
          <w:color w:val="000000" w:themeColor="text1"/>
        </w:rPr>
        <w:t xml:space="preserve">representation, </w:t>
      </w:r>
      <w:r>
        <w:rPr>
          <w:rFonts w:ascii="Avenir Book" w:hAnsi="Avenir Book" w:cs="Calibri"/>
          <w:bCs/>
          <w:color w:val="000000" w:themeColor="text1"/>
        </w:rPr>
        <w:t xml:space="preserve">capacity building and research and that recognises the increase in activities </w:t>
      </w:r>
      <w:r w:rsidRPr="00B370DF">
        <w:rPr>
          <w:rFonts w:ascii="Avenir Book" w:hAnsi="Avenir Book" w:cs="Calibri"/>
          <w:bCs/>
          <w:color w:val="000000" w:themeColor="text1"/>
        </w:rPr>
        <w:t xml:space="preserve">associated with </w:t>
      </w:r>
      <w:r>
        <w:rPr>
          <w:rFonts w:ascii="Avenir Book" w:hAnsi="Avenir Book" w:cs="Calibri"/>
          <w:bCs/>
          <w:color w:val="000000" w:themeColor="text1"/>
        </w:rPr>
        <w:t>recent review processes, including the DRC and the NDIS review.</w:t>
      </w:r>
    </w:p>
    <w:p w14:paraId="6A6EA59C" w14:textId="5878E2FF" w:rsidR="0072436A" w:rsidRPr="0072436A" w:rsidRDefault="0072436A" w:rsidP="00C74146">
      <w:pPr>
        <w:pStyle w:val="ListParagraph"/>
        <w:numPr>
          <w:ilvl w:val="0"/>
          <w:numId w:val="8"/>
        </w:numPr>
        <w:spacing w:after="120" w:line="276" w:lineRule="auto"/>
        <w:ind w:left="426" w:hanging="426"/>
        <w:contextualSpacing w:val="0"/>
        <w:rPr>
          <w:rFonts w:ascii="Avenir Book" w:hAnsi="Avenir Book"/>
        </w:rPr>
      </w:pPr>
      <w:r>
        <w:rPr>
          <w:rFonts w:ascii="Avenir Book" w:hAnsi="Avenir Book"/>
        </w:rPr>
        <w:t xml:space="preserve">Review DRC recommendation 4.11, Consultation with people with disability to ensure it recognises the priority role of people with disability and their representative </w:t>
      </w:r>
      <w:r>
        <w:rPr>
          <w:rFonts w:ascii="Avenir Book" w:hAnsi="Avenir Book"/>
        </w:rPr>
        <w:lastRenderedPageBreak/>
        <w:t>organisations in consulta</w:t>
      </w:r>
      <w:r w:rsidRPr="0072436A">
        <w:rPr>
          <w:rFonts w:ascii="Avenir Book" w:hAnsi="Avenir Book"/>
        </w:rPr>
        <w:t xml:space="preserve">tion processes in line with the CRPD Committee’s general comment no.7. </w:t>
      </w:r>
    </w:p>
    <w:p w14:paraId="19C3A5D9" w14:textId="1A1C7428" w:rsidR="00797463" w:rsidRPr="00797463" w:rsidRDefault="0072436A" w:rsidP="00C74146">
      <w:pPr>
        <w:pStyle w:val="Heading3"/>
        <w:numPr>
          <w:ilvl w:val="0"/>
          <w:numId w:val="8"/>
        </w:numPr>
        <w:snapToGrid w:val="0"/>
        <w:spacing w:after="120"/>
        <w:ind w:left="426" w:hanging="426"/>
        <w:jc w:val="left"/>
        <w:rPr>
          <w:rFonts w:ascii="Avenir Book" w:hAnsi="Avenir Book" w:cs="Calibri"/>
          <w:b w:val="0"/>
          <w:bCs/>
          <w:color w:val="000000" w:themeColor="text1"/>
        </w:rPr>
      </w:pPr>
      <w:bookmarkStart w:id="173" w:name="_Toc156819970"/>
      <w:bookmarkStart w:id="174" w:name="_Toc156825253"/>
      <w:r>
        <w:rPr>
          <w:rFonts w:ascii="Avenir Book" w:hAnsi="Avenir Book" w:cs="Calibri"/>
          <w:b w:val="0"/>
          <w:bCs/>
          <w:color w:val="000000" w:themeColor="text1"/>
        </w:rPr>
        <w:t>Undertake further consultation with people with disability through their representative organisations in relation to the proposed ‘system for voluntary registration’ and associated ‘approval process’.</w:t>
      </w:r>
      <w:bookmarkEnd w:id="173"/>
      <w:bookmarkEnd w:id="174"/>
      <w:r w:rsidRPr="0072436A">
        <w:rPr>
          <w:rFonts w:ascii="Avenir Book" w:hAnsi="Avenir Book" w:cs="Calibri"/>
          <w:b w:val="0"/>
          <w:bCs/>
          <w:color w:val="000000" w:themeColor="text1"/>
        </w:rPr>
        <w:t xml:space="preserve"> </w:t>
      </w:r>
    </w:p>
    <w:p w14:paraId="251374EE" w14:textId="23093E6D" w:rsidR="00B370DF" w:rsidRPr="00D14724" w:rsidRDefault="005409A2" w:rsidP="00C74146">
      <w:pPr>
        <w:pStyle w:val="ListParagraph"/>
        <w:numPr>
          <w:ilvl w:val="0"/>
          <w:numId w:val="8"/>
        </w:numPr>
        <w:spacing w:after="120" w:line="276" w:lineRule="auto"/>
        <w:ind w:left="426" w:hanging="426"/>
        <w:contextualSpacing w:val="0"/>
        <w:rPr>
          <w:rFonts w:ascii="Avenir Book" w:hAnsi="Avenir Book"/>
        </w:rPr>
      </w:pPr>
      <w:r>
        <w:rPr>
          <w:rFonts w:ascii="Avenir Book" w:hAnsi="Avenir Book"/>
        </w:rPr>
        <w:t xml:space="preserve">Ensure that the DRC Taskforce and other key stakeholders </w:t>
      </w:r>
      <w:r w:rsidR="00797463">
        <w:rPr>
          <w:rFonts w:ascii="Avenir Book" w:hAnsi="Avenir Book"/>
        </w:rPr>
        <w:t xml:space="preserve">analysing and implementing DRC recommendations </w:t>
      </w:r>
      <w:r w:rsidR="00D14724">
        <w:rPr>
          <w:rFonts w:ascii="Avenir Book" w:hAnsi="Avenir Book"/>
        </w:rPr>
        <w:t>do not mis</w:t>
      </w:r>
      <w:r w:rsidR="00797463">
        <w:rPr>
          <w:rFonts w:ascii="Avenir Book" w:hAnsi="Avenir Book"/>
        </w:rPr>
        <w:t xml:space="preserve">understand </w:t>
      </w:r>
      <w:r w:rsidR="00D14724">
        <w:rPr>
          <w:rFonts w:ascii="Avenir Book" w:hAnsi="Avenir Book"/>
        </w:rPr>
        <w:t>th</w:t>
      </w:r>
      <w:r w:rsidR="00797463">
        <w:rPr>
          <w:rFonts w:ascii="Avenir Book" w:hAnsi="Avenir Book"/>
        </w:rPr>
        <w:t>e interchangeable use of the terminology ‘DPO’ and ‘DRO’ in the Final Report</w:t>
      </w:r>
      <w:r w:rsidR="00D14724">
        <w:rPr>
          <w:rFonts w:ascii="Avenir Book" w:hAnsi="Avenir Book"/>
        </w:rPr>
        <w:t xml:space="preserve"> as inferring </w:t>
      </w:r>
      <w:r w:rsidR="00D14724" w:rsidRPr="00D1352E">
        <w:rPr>
          <w:rFonts w:ascii="Avenir Book" w:hAnsi="Avenir Book" w:cs="Calibri"/>
          <w:bCs/>
          <w:color w:val="000000" w:themeColor="text1"/>
        </w:rPr>
        <w:t>that people with disability through their representative organisations are not the main interlocutors in CRPD implementation and monitoring</w:t>
      </w:r>
      <w:r w:rsidR="00D14724">
        <w:rPr>
          <w:rFonts w:ascii="Avenir Book" w:hAnsi="Avenir Book" w:cs="Calibri"/>
          <w:bCs/>
          <w:color w:val="000000" w:themeColor="text1"/>
        </w:rPr>
        <w:t>, and</w:t>
      </w:r>
      <w:r w:rsidR="00797463">
        <w:rPr>
          <w:rFonts w:ascii="Avenir Book" w:hAnsi="Avenir Book"/>
        </w:rPr>
        <w:t xml:space="preserve"> that they </w:t>
      </w:r>
      <w:r w:rsidR="00D14724">
        <w:rPr>
          <w:rFonts w:ascii="Avenir Book" w:hAnsi="Avenir Book"/>
        </w:rPr>
        <w:t>understand</w:t>
      </w:r>
      <w:r w:rsidR="00797463">
        <w:rPr>
          <w:rFonts w:ascii="Avenir Book" w:hAnsi="Avenir Book"/>
        </w:rPr>
        <w:t xml:space="preserve"> the distinction </w:t>
      </w:r>
      <w:r w:rsidR="00D14724" w:rsidRPr="00D14724">
        <w:rPr>
          <w:rFonts w:ascii="Avenir Book" w:hAnsi="Avenir Book" w:cs="Calibri"/>
          <w:color w:val="000000" w:themeColor="text1"/>
        </w:rPr>
        <w:t>between organisations of people with disability and organisations for people with disability</w:t>
      </w:r>
      <w:r w:rsidR="00D14724">
        <w:rPr>
          <w:rFonts w:ascii="Avenir Book" w:hAnsi="Avenir Book" w:cs="Calibri"/>
          <w:color w:val="000000" w:themeColor="text1"/>
        </w:rPr>
        <w:t>.</w:t>
      </w:r>
      <w:r w:rsidR="00797463">
        <w:rPr>
          <w:rFonts w:ascii="Avenir Book" w:hAnsi="Avenir Book"/>
        </w:rPr>
        <w:t xml:space="preserve"> </w:t>
      </w:r>
    </w:p>
    <w:p w14:paraId="63B13BBA" w14:textId="77777777" w:rsidR="007651C3" w:rsidRDefault="007651C3" w:rsidP="00934DDA">
      <w:pPr>
        <w:pStyle w:val="Heading3"/>
        <w:snapToGrid w:val="0"/>
        <w:rPr>
          <w:rFonts w:ascii="Avenir Book" w:hAnsi="Avenir Book" w:cs="Calibri"/>
          <w:color w:val="AC1F79"/>
        </w:rPr>
      </w:pPr>
    </w:p>
    <w:p w14:paraId="6C33D64F" w14:textId="1A292A06" w:rsidR="007651C3" w:rsidRPr="007651C3" w:rsidRDefault="00F20708" w:rsidP="00C74146">
      <w:pPr>
        <w:pStyle w:val="Heading3"/>
        <w:numPr>
          <w:ilvl w:val="1"/>
          <w:numId w:val="11"/>
        </w:numPr>
        <w:spacing w:after="120"/>
        <w:ind w:left="851" w:hanging="851"/>
        <w:rPr>
          <w:rFonts w:ascii="Avenir Book" w:hAnsi="Avenir Book" w:cs="Calibri"/>
          <w:color w:val="000000" w:themeColor="text1"/>
        </w:rPr>
      </w:pPr>
      <w:bookmarkStart w:id="175" w:name="_Toc156825254"/>
      <w:r w:rsidRPr="0045331F">
        <w:rPr>
          <w:rFonts w:ascii="Avenir Book" w:hAnsi="Avenir Book" w:cs="Calibri"/>
          <w:color w:val="000000" w:themeColor="text1"/>
          <w:lang w:val="en-GB"/>
        </w:rPr>
        <w:t>Implement a Disability Royal Commission Redress and Reparation Scheme</w:t>
      </w:r>
      <w:bookmarkEnd w:id="175"/>
    </w:p>
    <w:p w14:paraId="10025A00" w14:textId="68C751D7" w:rsidR="007651C3" w:rsidRDefault="007651C3" w:rsidP="00C74146">
      <w:pPr>
        <w:pStyle w:val="Heading3"/>
        <w:numPr>
          <w:ilvl w:val="2"/>
          <w:numId w:val="11"/>
        </w:numPr>
        <w:snapToGrid w:val="0"/>
        <w:ind w:left="851" w:hanging="851"/>
        <w:rPr>
          <w:rFonts w:ascii="Avenir Book" w:hAnsi="Avenir Book" w:cs="Calibri"/>
          <w:b w:val="0"/>
          <w:bCs/>
          <w:color w:val="000000" w:themeColor="text1"/>
        </w:rPr>
      </w:pPr>
      <w:bookmarkStart w:id="176" w:name="_Toc156819972"/>
      <w:bookmarkStart w:id="177" w:name="_Toc156825255"/>
      <w:r w:rsidRPr="007651C3">
        <w:rPr>
          <w:rFonts w:ascii="Avenir Book" w:hAnsi="Avenir Book" w:cs="Calibri"/>
          <w:b w:val="0"/>
          <w:bCs/>
          <w:color w:val="000000" w:themeColor="text1"/>
        </w:rPr>
        <w:t>In 2019, following Australia’s review, the CRPD Committee recommended that “adequate resources and a redress mechanism” be ensured for the DRC.</w:t>
      </w:r>
      <w:r w:rsidRPr="007651C3">
        <w:rPr>
          <w:rFonts w:ascii="Avenir Book" w:hAnsi="Avenir Book" w:cs="Calibri"/>
          <w:b w:val="0"/>
          <w:bCs/>
          <w:color w:val="000000" w:themeColor="text1"/>
          <w:vertAlign w:val="superscript"/>
        </w:rPr>
        <w:endnoteReference w:id="276"/>
      </w:r>
      <w:r w:rsidRPr="007651C3">
        <w:rPr>
          <w:rFonts w:ascii="Avenir Book" w:hAnsi="Avenir Book" w:cs="Calibri"/>
          <w:b w:val="0"/>
          <w:bCs/>
          <w:color w:val="000000" w:themeColor="text1"/>
        </w:rPr>
        <w:t xml:space="preserve"> In its 2020 Interim Report, the DRC observed that “it is clear that the question of redress, including compensation for serious harm, is worthy of further investigation”.</w:t>
      </w:r>
      <w:r w:rsidRPr="007651C3">
        <w:rPr>
          <w:rFonts w:ascii="Avenir Book" w:hAnsi="Avenir Book" w:cs="Calibri"/>
          <w:b w:val="0"/>
          <w:bCs/>
          <w:color w:val="000000" w:themeColor="text1"/>
          <w:vertAlign w:val="superscript"/>
        </w:rPr>
        <w:endnoteReference w:id="277"/>
      </w:r>
      <w:r w:rsidRPr="007651C3">
        <w:rPr>
          <w:rFonts w:ascii="Avenir Book" w:hAnsi="Avenir Book" w:cs="Calibri"/>
          <w:b w:val="0"/>
          <w:bCs/>
          <w:color w:val="000000" w:themeColor="text1"/>
        </w:rPr>
        <w:t xml:space="preserve"> It proposed to investigate “whether it is feasible to establish a scheme to compensate people with disability who have sustained serious harm from violence, abuse, neglect or exploitation in circumstances where no other redress is available to them”.</w:t>
      </w:r>
      <w:r w:rsidRPr="007651C3">
        <w:rPr>
          <w:rFonts w:ascii="Avenir Book" w:hAnsi="Avenir Book" w:cs="Calibri"/>
          <w:b w:val="0"/>
          <w:bCs/>
          <w:color w:val="000000" w:themeColor="text1"/>
          <w:vertAlign w:val="superscript"/>
        </w:rPr>
        <w:endnoteReference w:id="278"/>
      </w:r>
      <w:bookmarkEnd w:id="176"/>
      <w:bookmarkEnd w:id="177"/>
      <w:r w:rsidRPr="007651C3">
        <w:rPr>
          <w:rFonts w:ascii="Avenir Book" w:hAnsi="Avenir Book" w:cs="Calibri"/>
          <w:b w:val="0"/>
          <w:bCs/>
          <w:color w:val="000000" w:themeColor="text1"/>
        </w:rPr>
        <w:t xml:space="preserve"> </w:t>
      </w:r>
    </w:p>
    <w:p w14:paraId="2171B6A7" w14:textId="77777777" w:rsidR="0045331F" w:rsidRPr="0045331F" w:rsidRDefault="0045331F" w:rsidP="0045331F"/>
    <w:p w14:paraId="47C0B229" w14:textId="77777777" w:rsidR="007651C3" w:rsidRPr="0045331F" w:rsidRDefault="007651C3" w:rsidP="00C74146">
      <w:pPr>
        <w:pStyle w:val="ListParagraph"/>
        <w:numPr>
          <w:ilvl w:val="2"/>
          <w:numId w:val="11"/>
        </w:numPr>
        <w:spacing w:line="276" w:lineRule="auto"/>
        <w:ind w:left="851" w:hanging="851"/>
      </w:pPr>
      <w:r w:rsidRPr="0045331F">
        <w:rPr>
          <w:rFonts w:ascii="Avenir Book" w:hAnsi="Avenir Book" w:cs="Calibri"/>
          <w:bCs/>
          <w:color w:val="000000" w:themeColor="text1"/>
        </w:rPr>
        <w:t>However, while the issue of redress was raised throughout a number of public hearings,</w:t>
      </w:r>
      <w:r w:rsidRPr="007651C3">
        <w:rPr>
          <w:vertAlign w:val="superscript"/>
        </w:rPr>
        <w:endnoteReference w:id="279"/>
      </w:r>
      <w:r w:rsidRPr="0045331F">
        <w:rPr>
          <w:rFonts w:ascii="Avenir Book" w:hAnsi="Avenir Book" w:cs="Calibri"/>
          <w:bCs/>
          <w:color w:val="000000" w:themeColor="text1"/>
        </w:rPr>
        <w:t xml:space="preserve"> we are extremely disappointed that the DRC did not conduct specific public hearings, prepare issues papers or commission research on the feasibility of a national redress and reparation scheme.  The Final Report of the DRC confined its discussion and recommendations on redress to disability services, with a focus on the provision of redress by individual NDIS providers</w:t>
      </w:r>
      <w:r w:rsidRPr="007651C3">
        <w:rPr>
          <w:vertAlign w:val="superscript"/>
        </w:rPr>
        <w:endnoteReference w:id="280"/>
      </w:r>
      <w:r w:rsidRPr="0045331F">
        <w:rPr>
          <w:rFonts w:ascii="Avenir Book" w:hAnsi="Avenir Book" w:cs="Calibri"/>
          <w:bCs/>
          <w:color w:val="000000" w:themeColor="text1"/>
        </w:rPr>
        <w:t xml:space="preserve"> and the development of universal guidelines for inclusive and responsive complaint handling processes.</w:t>
      </w:r>
      <w:r w:rsidRPr="007651C3">
        <w:rPr>
          <w:vertAlign w:val="superscript"/>
        </w:rPr>
        <w:endnoteReference w:id="281"/>
      </w:r>
      <w:r w:rsidRPr="0045331F">
        <w:rPr>
          <w:rFonts w:ascii="Avenir Book" w:hAnsi="Avenir Book" w:cs="Calibri"/>
          <w:bCs/>
          <w:color w:val="000000" w:themeColor="text1"/>
        </w:rPr>
        <w:t xml:space="preserve">  These are important areas, but they fall far short of a systemic, overarching approach to providing redress and reparation to people with disability, including the many people with disability who provided evidence to the DRC about experiences of violence, abuse, neglect and exploitation in almost every aspect of their lives and throughout different life stages.</w:t>
      </w:r>
      <w:r w:rsidRPr="007651C3">
        <w:rPr>
          <w:vertAlign w:val="superscript"/>
        </w:rPr>
        <w:endnoteReference w:id="282"/>
      </w:r>
      <w:r w:rsidRPr="0045331F">
        <w:rPr>
          <w:rFonts w:ascii="Avenir Book" w:hAnsi="Avenir Book" w:cs="Calibri"/>
          <w:bCs/>
          <w:color w:val="000000" w:themeColor="text1"/>
        </w:rPr>
        <w:t xml:space="preserve"> </w:t>
      </w:r>
    </w:p>
    <w:p w14:paraId="102AFB8A" w14:textId="77777777" w:rsidR="0045331F" w:rsidRDefault="0045331F" w:rsidP="0045331F">
      <w:pPr>
        <w:pStyle w:val="ListParagraph"/>
      </w:pPr>
    </w:p>
    <w:p w14:paraId="2C8FADEA" w14:textId="77777777" w:rsidR="007651C3" w:rsidRPr="0045331F" w:rsidRDefault="007651C3" w:rsidP="00C74146">
      <w:pPr>
        <w:pStyle w:val="ListParagraph"/>
        <w:numPr>
          <w:ilvl w:val="2"/>
          <w:numId w:val="11"/>
        </w:numPr>
        <w:spacing w:line="276" w:lineRule="auto"/>
        <w:ind w:left="851" w:hanging="851"/>
      </w:pPr>
      <w:r w:rsidRPr="0045331F">
        <w:rPr>
          <w:rFonts w:ascii="Avenir Book" w:hAnsi="Avenir Book" w:cs="Calibri"/>
          <w:bCs/>
          <w:color w:val="000000" w:themeColor="text1"/>
        </w:rPr>
        <w:lastRenderedPageBreak/>
        <w:t xml:space="preserve">As outlined throughout the Final Report of the DRC, failures in law, policy and practice across a broad range of systems have facilitated, and in many cases authorised breaches of human rights constituting violence, abuse, neglect and exploitation, which have led to unresolved trauma and distress, long-term effects on physical and mental health, loss of hope and distrust of professionals, support systems and support workers.  In the face of the evidence, it is bewildering that there is not a recommendation for the establishment of a national redress and reparation scheme. </w:t>
      </w:r>
    </w:p>
    <w:p w14:paraId="423A43ED" w14:textId="77777777" w:rsidR="0045331F" w:rsidRDefault="0045331F" w:rsidP="0045331F">
      <w:pPr>
        <w:pStyle w:val="ListParagraph"/>
      </w:pPr>
    </w:p>
    <w:p w14:paraId="3AE4ACFD" w14:textId="77777777" w:rsidR="007651C3" w:rsidRPr="0045331F" w:rsidRDefault="007651C3" w:rsidP="00C74146">
      <w:pPr>
        <w:pStyle w:val="ListParagraph"/>
        <w:numPr>
          <w:ilvl w:val="2"/>
          <w:numId w:val="11"/>
        </w:numPr>
        <w:spacing w:line="276" w:lineRule="auto"/>
        <w:ind w:left="851" w:hanging="851"/>
      </w:pPr>
      <w:r w:rsidRPr="0045331F">
        <w:rPr>
          <w:rFonts w:ascii="Avenir Book" w:hAnsi="Avenir Book" w:cs="Calibri"/>
          <w:bCs/>
          <w:color w:val="000000" w:themeColor="text1"/>
        </w:rPr>
        <w:t>International human rights law provides for the right to a remedy for human rights violations.</w:t>
      </w:r>
      <w:r w:rsidRPr="007651C3">
        <w:rPr>
          <w:vertAlign w:val="superscript"/>
        </w:rPr>
        <w:endnoteReference w:id="283"/>
      </w:r>
      <w:r w:rsidRPr="0045331F">
        <w:rPr>
          <w:rFonts w:ascii="Avenir Book" w:hAnsi="Avenir Book" w:cs="Calibri"/>
          <w:bCs/>
          <w:color w:val="000000" w:themeColor="text1"/>
        </w:rPr>
        <w:t xml:space="preserve"> The International Covenant on Civil and Political Rights (ICCPR) requires access to an effective remedy that is enforceable, including compensation and rehabilitation for specific rights violations, such as deprivation of liberty and unlawful detention.</w:t>
      </w:r>
      <w:r w:rsidRPr="007651C3">
        <w:rPr>
          <w:vertAlign w:val="superscript"/>
        </w:rPr>
        <w:endnoteReference w:id="284"/>
      </w:r>
      <w:r w:rsidRPr="0045331F">
        <w:rPr>
          <w:rFonts w:ascii="Avenir Book" w:hAnsi="Avenir Book" w:cs="Calibri"/>
          <w:bCs/>
          <w:color w:val="000000" w:themeColor="text1"/>
        </w:rPr>
        <w:t xml:space="preserve"> Article 14 of the Convention Against Torture (CAT) outlines the duty to ensure victims of torture obtain redress and have access to “an enforceable right to fair and adequate compensation, including the means for as full rehabilitation as possible”.</w:t>
      </w:r>
      <w:r w:rsidRPr="007651C3">
        <w:rPr>
          <w:vertAlign w:val="superscript"/>
        </w:rPr>
        <w:endnoteReference w:id="285"/>
      </w:r>
      <w:r w:rsidRPr="0045331F">
        <w:rPr>
          <w:rFonts w:ascii="Avenir Book" w:hAnsi="Avenir Book" w:cs="Calibri"/>
          <w:bCs/>
          <w:color w:val="000000" w:themeColor="text1"/>
        </w:rPr>
        <w:t xml:space="preserve"> Article 16 of the CRPD, </w:t>
      </w:r>
      <w:r w:rsidRPr="0045331F">
        <w:rPr>
          <w:rFonts w:ascii="Avenir Book" w:hAnsi="Avenir Book" w:cs="Calibri"/>
          <w:bCs/>
          <w:i/>
          <w:iCs/>
          <w:color w:val="000000" w:themeColor="text1"/>
        </w:rPr>
        <w:t>Freedom from exploitation, violence and abuse</w:t>
      </w:r>
      <w:r w:rsidRPr="0045331F">
        <w:rPr>
          <w:rFonts w:ascii="Avenir Book" w:hAnsi="Avenir Book" w:cs="Calibri"/>
          <w:bCs/>
          <w:color w:val="000000" w:themeColor="text1"/>
        </w:rPr>
        <w:t xml:space="preserve"> requires “appropriate measures to promote the physical, cognitive and psychological recovery, rehabilitation and social reintegration” of victims/survivors of violence, and that such measures respond to gender- and age-specific needs.</w:t>
      </w:r>
      <w:r w:rsidRPr="007651C3">
        <w:rPr>
          <w:vertAlign w:val="superscript"/>
        </w:rPr>
        <w:endnoteReference w:id="286"/>
      </w:r>
    </w:p>
    <w:p w14:paraId="4E2E79EC" w14:textId="77777777" w:rsidR="0045331F" w:rsidRDefault="0045331F" w:rsidP="0045331F">
      <w:pPr>
        <w:pStyle w:val="ListParagraph"/>
      </w:pPr>
    </w:p>
    <w:p w14:paraId="6789D7A6" w14:textId="77777777" w:rsidR="007651C3" w:rsidRPr="0045331F" w:rsidRDefault="007651C3" w:rsidP="00C74146">
      <w:pPr>
        <w:pStyle w:val="ListParagraph"/>
        <w:numPr>
          <w:ilvl w:val="2"/>
          <w:numId w:val="11"/>
        </w:numPr>
        <w:spacing w:line="276" w:lineRule="auto"/>
        <w:ind w:left="851" w:hanging="851"/>
      </w:pPr>
      <w:r w:rsidRPr="0045331F">
        <w:rPr>
          <w:rFonts w:ascii="Avenir Book" w:hAnsi="Avenir Book" w:cs="Calibri"/>
          <w:bCs/>
          <w:color w:val="000000" w:themeColor="text1"/>
        </w:rPr>
        <w:t>In relation to gender-based violence, the Committee on the Elimination of Discrimination against Women (CEDAW Committee) has emphasised the need to provide effective reparations, such as compensation, the provision of legal, social and health services, and guarantees of non-repetition, as well as to adequately fund transitional justice mechanisms to address individual, institutional and structural injustices.</w:t>
      </w:r>
      <w:r w:rsidRPr="007651C3">
        <w:rPr>
          <w:vertAlign w:val="superscript"/>
        </w:rPr>
        <w:endnoteReference w:id="287"/>
      </w:r>
      <w:r w:rsidRPr="0045331F">
        <w:rPr>
          <w:rFonts w:ascii="Avenir Book" w:hAnsi="Avenir Book" w:cs="Calibri"/>
          <w:bCs/>
          <w:color w:val="000000" w:themeColor="text1"/>
        </w:rPr>
        <w:t xml:space="preserve"> In its General Comment No. 3 on women and girls with disabilities, the CRPD Committee has emphasised the duty to provide access to redress and reparations where human rights violations, including violence has occurred.</w:t>
      </w:r>
      <w:r w:rsidRPr="007651C3">
        <w:rPr>
          <w:vertAlign w:val="superscript"/>
        </w:rPr>
        <w:endnoteReference w:id="288"/>
      </w:r>
    </w:p>
    <w:p w14:paraId="29866A35" w14:textId="77777777" w:rsidR="0045331F" w:rsidRDefault="0045331F" w:rsidP="0045331F">
      <w:pPr>
        <w:pStyle w:val="ListParagraph"/>
      </w:pPr>
    </w:p>
    <w:p w14:paraId="0ADEAC87" w14:textId="29B9AAF5" w:rsidR="007651C3" w:rsidRPr="0045331F" w:rsidRDefault="007651C3" w:rsidP="00C74146">
      <w:pPr>
        <w:pStyle w:val="ListParagraph"/>
        <w:numPr>
          <w:ilvl w:val="2"/>
          <w:numId w:val="11"/>
        </w:numPr>
        <w:spacing w:line="276" w:lineRule="auto"/>
        <w:ind w:left="851" w:hanging="851"/>
      </w:pPr>
      <w:r w:rsidRPr="0045331F">
        <w:rPr>
          <w:rFonts w:ascii="Avenir Book" w:hAnsi="Avenir Book" w:cs="Calibri"/>
          <w:bCs/>
          <w:color w:val="000000" w:themeColor="text1"/>
        </w:rPr>
        <w:t>The CRPD Committee’s guidelines on the right to liberty and security affirm the need to ensure access to justice, reparation and redress for people with disability deprived of their liberty on the basis of impairment.</w:t>
      </w:r>
      <w:r w:rsidR="0045331F">
        <w:rPr>
          <w:rStyle w:val="EndnoteReference"/>
          <w:rFonts w:ascii="Avenir Book" w:hAnsi="Avenir Book" w:cs="Calibri"/>
          <w:bCs/>
          <w:color w:val="000000" w:themeColor="text1"/>
        </w:rPr>
        <w:endnoteReference w:id="289"/>
      </w:r>
      <w:r w:rsidRPr="0045331F">
        <w:rPr>
          <w:rFonts w:ascii="Avenir Book" w:hAnsi="Avenir Book" w:cs="Calibri"/>
          <w:bCs/>
          <w:color w:val="000000" w:themeColor="text1"/>
        </w:rPr>
        <w:t xml:space="preserve"> The CRPD Committee’s guidelines on deinstitutionalisation also affirm the need for remedies, reparations and redress to respond to the multiple violations of CRPD rights caused by institutionalisation.</w:t>
      </w:r>
      <w:r w:rsidRPr="007651C3">
        <w:rPr>
          <w:vertAlign w:val="superscript"/>
        </w:rPr>
        <w:endnoteReference w:id="290"/>
      </w:r>
      <w:r w:rsidRPr="0045331F">
        <w:rPr>
          <w:rFonts w:ascii="Avenir Book" w:hAnsi="Avenir Book" w:cs="Calibri"/>
          <w:bCs/>
          <w:color w:val="000000" w:themeColor="text1"/>
        </w:rPr>
        <w:t xml:space="preserve">  The guidelines emphasise individual, structural and collective remedies, such as formal apologies, compensation, rehabilitation, legal </w:t>
      </w:r>
      <w:r w:rsidRPr="0045331F">
        <w:rPr>
          <w:rFonts w:ascii="Avenir Book" w:hAnsi="Avenir Book" w:cs="Calibri"/>
          <w:bCs/>
          <w:color w:val="000000" w:themeColor="text1"/>
        </w:rPr>
        <w:lastRenderedPageBreak/>
        <w:t>prohibitions against disability-based detention, institutionalisation and disability-related torture and ill-treatment and truth commissions. All remedies “should be designed and implemented with the consultation and involvement of persons with disabilities, particularly survivors of institutionalisation”.</w:t>
      </w:r>
      <w:r w:rsidRPr="007651C3">
        <w:rPr>
          <w:vertAlign w:val="superscript"/>
        </w:rPr>
        <w:endnoteReference w:id="291"/>
      </w:r>
      <w:r w:rsidRPr="0045331F">
        <w:rPr>
          <w:rFonts w:ascii="Avenir Book" w:hAnsi="Avenir Book" w:cs="Calibri"/>
          <w:bCs/>
          <w:color w:val="000000" w:themeColor="text1"/>
        </w:rPr>
        <w:t xml:space="preserve"> </w:t>
      </w:r>
    </w:p>
    <w:p w14:paraId="55EE18B7" w14:textId="77777777" w:rsidR="0045331F" w:rsidRDefault="0045331F" w:rsidP="0045331F">
      <w:pPr>
        <w:pStyle w:val="ListParagraph"/>
      </w:pPr>
    </w:p>
    <w:p w14:paraId="1D69E8E7" w14:textId="63795F9E" w:rsidR="007651C3" w:rsidRPr="0045331F" w:rsidRDefault="007651C3" w:rsidP="00C74146">
      <w:pPr>
        <w:pStyle w:val="ListParagraph"/>
        <w:numPr>
          <w:ilvl w:val="2"/>
          <w:numId w:val="11"/>
        </w:numPr>
        <w:spacing w:line="276" w:lineRule="auto"/>
        <w:ind w:left="851" w:hanging="851"/>
      </w:pPr>
      <w:r w:rsidRPr="0045331F">
        <w:rPr>
          <w:rFonts w:ascii="Avenir Book" w:hAnsi="Avenir Book" w:cs="Calibri"/>
          <w:bCs/>
          <w:color w:val="000000" w:themeColor="text1"/>
          <w:lang w:val="en-US"/>
        </w:rPr>
        <w:t xml:space="preserve">The right to redress is set out in the </w:t>
      </w:r>
      <w:r w:rsidRPr="0045331F">
        <w:rPr>
          <w:rFonts w:ascii="Avenir Book" w:hAnsi="Avenir Book" w:cs="Calibri"/>
          <w:bCs/>
          <w:i/>
          <w:iCs/>
          <w:color w:val="000000" w:themeColor="text1"/>
          <w:lang w:val="en-US"/>
        </w:rPr>
        <w:t>‘Basic Principles and Guidelines on the Right to a Remedy and Reparation for Victims of Gross Violations of International Human Rights Law and Serious Violations of International Humanitarian Law’</w:t>
      </w:r>
      <w:r w:rsidRPr="0045331F">
        <w:rPr>
          <w:rFonts w:ascii="Avenir Book" w:hAnsi="Avenir Book" w:cs="Calibri"/>
          <w:bCs/>
          <w:color w:val="000000" w:themeColor="text1"/>
          <w:lang w:val="en-US"/>
        </w:rPr>
        <w:t xml:space="preserve"> (the ‘Van Boven Principles’).</w:t>
      </w:r>
      <w:r w:rsidRPr="007651C3">
        <w:rPr>
          <w:vertAlign w:val="superscript"/>
        </w:rPr>
        <w:endnoteReference w:id="292"/>
      </w:r>
      <w:r w:rsidRPr="0045331F">
        <w:rPr>
          <w:rFonts w:ascii="Avenir Book" w:hAnsi="Avenir Book" w:cs="Calibri"/>
          <w:bCs/>
          <w:color w:val="000000" w:themeColor="text1"/>
          <w:lang w:val="en-US"/>
        </w:rPr>
        <w:t xml:space="preserve"> </w:t>
      </w:r>
      <w:r w:rsidRPr="0045331F">
        <w:rPr>
          <w:rFonts w:ascii="Avenir Book" w:hAnsi="Avenir Book" w:cs="Calibri"/>
          <w:bCs/>
          <w:color w:val="000000" w:themeColor="text1"/>
        </w:rPr>
        <w:t>Specifically, the Van Boven Principles provide that remedies for gross human rights violations include the victim’s right to ‘equal and effective access to justice’; ‘adequate, effective and prompt reparation for harm suffered’; and ‘access to relevant information concerning violations and reparation mechanisms’.</w:t>
      </w:r>
      <w:r w:rsidRPr="007651C3">
        <w:rPr>
          <w:vertAlign w:val="superscript"/>
        </w:rPr>
        <w:endnoteReference w:id="293"/>
      </w:r>
    </w:p>
    <w:p w14:paraId="28860BA3" w14:textId="77777777" w:rsidR="0045331F" w:rsidRDefault="0045331F" w:rsidP="0045331F">
      <w:pPr>
        <w:pStyle w:val="ListParagraph"/>
      </w:pPr>
    </w:p>
    <w:p w14:paraId="629BFF88" w14:textId="77777777" w:rsidR="007651C3" w:rsidRPr="0045331F" w:rsidRDefault="007651C3" w:rsidP="00C74146">
      <w:pPr>
        <w:pStyle w:val="ListParagraph"/>
        <w:numPr>
          <w:ilvl w:val="2"/>
          <w:numId w:val="11"/>
        </w:numPr>
        <w:spacing w:line="276" w:lineRule="auto"/>
        <w:ind w:left="851" w:hanging="851"/>
      </w:pPr>
      <w:r w:rsidRPr="0045331F">
        <w:rPr>
          <w:rFonts w:ascii="Avenir Book" w:hAnsi="Avenir Book" w:cs="Calibri"/>
          <w:bCs/>
          <w:color w:val="000000" w:themeColor="text1"/>
          <w:lang w:val="en-US"/>
        </w:rPr>
        <w:t>As well as providing just outcomes in terms of remedies, there should also be the provision of accessible justice processes. Article 13 of the CRPD requires “</w:t>
      </w:r>
      <w:r w:rsidRPr="0045331F">
        <w:rPr>
          <w:rFonts w:ascii="Avenir Book" w:hAnsi="Avenir Book" w:cs="Calibri"/>
          <w:bCs/>
          <w:color w:val="000000" w:themeColor="text1"/>
        </w:rPr>
        <w:t>effective access to justice for persons with disabilities on an equal basis with others”,</w:t>
      </w:r>
      <w:r w:rsidRPr="007651C3">
        <w:rPr>
          <w:vertAlign w:val="superscript"/>
        </w:rPr>
        <w:endnoteReference w:id="294"/>
      </w:r>
      <w:r w:rsidRPr="0045331F">
        <w:rPr>
          <w:rFonts w:ascii="Avenir Book" w:hAnsi="Avenir Book" w:cs="Calibri"/>
          <w:bCs/>
          <w:color w:val="000000" w:themeColor="text1"/>
        </w:rPr>
        <w:t xml:space="preserve"> and this is elaborated further in the guidance, </w:t>
      </w:r>
      <w:r w:rsidRPr="0045331F">
        <w:rPr>
          <w:rFonts w:ascii="Avenir Book" w:hAnsi="Avenir Book" w:cs="Calibri"/>
          <w:bCs/>
          <w:i/>
          <w:iCs/>
          <w:color w:val="000000" w:themeColor="text1"/>
        </w:rPr>
        <w:t>International Principles and Guidelines on Access to Justice for Persons with Disabilities.</w:t>
      </w:r>
      <w:r w:rsidRPr="007651C3">
        <w:rPr>
          <w:vertAlign w:val="superscript"/>
        </w:rPr>
        <w:endnoteReference w:id="295"/>
      </w:r>
      <w:r w:rsidRPr="0045331F">
        <w:rPr>
          <w:rFonts w:ascii="Avenir Book" w:hAnsi="Avenir Book" w:cs="Calibri"/>
          <w:bCs/>
          <w:iCs/>
          <w:color w:val="000000" w:themeColor="text1"/>
          <w:vertAlign w:val="superscript"/>
        </w:rPr>
        <w:t xml:space="preserve">  </w:t>
      </w:r>
      <w:r w:rsidRPr="0045331F">
        <w:rPr>
          <w:rFonts w:ascii="Avenir Book" w:hAnsi="Avenir Book" w:cs="Calibri"/>
          <w:bCs/>
          <w:iCs/>
          <w:color w:val="000000" w:themeColor="text1"/>
        </w:rPr>
        <w:t>International human rights “emphasise the importance of equal access to remedies through the courts and justice systems, as well as access to redress beyond what is provided by law and through the courts”.</w:t>
      </w:r>
      <w:r w:rsidRPr="007651C3">
        <w:rPr>
          <w:iCs/>
          <w:vertAlign w:val="superscript"/>
        </w:rPr>
        <w:endnoteReference w:id="296"/>
      </w:r>
      <w:r w:rsidRPr="0045331F">
        <w:rPr>
          <w:rFonts w:ascii="Avenir Book" w:hAnsi="Avenir Book" w:cs="Calibri"/>
          <w:bCs/>
          <w:iCs/>
          <w:color w:val="000000" w:themeColor="text1"/>
        </w:rPr>
        <w:t xml:space="preserve"> This is particularly significant in relation to violence, abuse, neglect and exploitation that violates international human rights but is “beyond the scope of court-based remedies, such as violence that is lawful under domestic law or is of a historical nature.</w:t>
      </w:r>
      <w:r w:rsidRPr="007651C3">
        <w:rPr>
          <w:iCs/>
          <w:vertAlign w:val="superscript"/>
        </w:rPr>
        <w:endnoteReference w:id="297"/>
      </w:r>
    </w:p>
    <w:p w14:paraId="7F7C1865" w14:textId="77777777" w:rsidR="0045331F" w:rsidRDefault="0045331F" w:rsidP="0045331F">
      <w:pPr>
        <w:pStyle w:val="ListParagraph"/>
      </w:pPr>
    </w:p>
    <w:p w14:paraId="1A942C47" w14:textId="77777777" w:rsidR="0045331F" w:rsidRPr="0045331F" w:rsidRDefault="007651C3" w:rsidP="00C74146">
      <w:pPr>
        <w:pStyle w:val="ListParagraph"/>
        <w:numPr>
          <w:ilvl w:val="2"/>
          <w:numId w:val="11"/>
        </w:numPr>
        <w:spacing w:line="276" w:lineRule="auto"/>
        <w:ind w:left="851" w:hanging="851"/>
      </w:pPr>
      <w:r w:rsidRPr="0045331F">
        <w:rPr>
          <w:rFonts w:ascii="Avenir Book" w:hAnsi="Avenir Book" w:cs="Calibri"/>
          <w:bCs/>
          <w:color w:val="000000" w:themeColor="text1"/>
        </w:rPr>
        <w:t>The DRC provides a significant “opportunity for healing and a real step towards justice for people with disability”, as noted by the Chair of the DRC, Commissioner Hon Ronald Sackville AO QC.</w:t>
      </w:r>
      <w:r w:rsidRPr="007651C3">
        <w:rPr>
          <w:vertAlign w:val="superscript"/>
        </w:rPr>
        <w:endnoteReference w:id="298"/>
      </w:r>
      <w:r w:rsidRPr="0045331F">
        <w:rPr>
          <w:rFonts w:ascii="Avenir Book" w:hAnsi="Avenir Book" w:cs="Calibri"/>
          <w:bCs/>
          <w:color w:val="000000" w:themeColor="text1"/>
        </w:rPr>
        <w:t xml:space="preserve"> To seize this opportunity, it is critical that the evidence provided to the DRC lead to the establishment of a national redress and reparations scheme. </w:t>
      </w:r>
    </w:p>
    <w:p w14:paraId="41736D58" w14:textId="77777777" w:rsidR="0045331F" w:rsidRPr="0045331F" w:rsidRDefault="0045331F" w:rsidP="0045331F">
      <w:pPr>
        <w:pStyle w:val="ListParagraph"/>
        <w:rPr>
          <w:rFonts w:ascii="Avenir Book" w:hAnsi="Avenir Book" w:cs="Calibri"/>
          <w:bCs/>
          <w:color w:val="000000" w:themeColor="text1"/>
        </w:rPr>
      </w:pPr>
    </w:p>
    <w:p w14:paraId="7A0A3B1A" w14:textId="77777777" w:rsidR="0045331F" w:rsidRPr="0045331F" w:rsidRDefault="007651C3" w:rsidP="00C74146">
      <w:pPr>
        <w:pStyle w:val="ListParagraph"/>
        <w:numPr>
          <w:ilvl w:val="2"/>
          <w:numId w:val="11"/>
        </w:numPr>
        <w:spacing w:line="276" w:lineRule="auto"/>
        <w:ind w:left="851" w:hanging="851"/>
      </w:pPr>
      <w:r w:rsidRPr="0045331F">
        <w:rPr>
          <w:rFonts w:ascii="Avenir Book" w:hAnsi="Avenir Book" w:cs="Calibri"/>
          <w:bCs/>
          <w:color w:val="000000" w:themeColor="text1"/>
        </w:rPr>
        <w:t xml:space="preserve"> A national redress and reparations scheme, </w:t>
      </w:r>
      <w:r w:rsidR="0045331F">
        <w:rPr>
          <w:rFonts w:ascii="Avenir Book" w:hAnsi="Avenir Book" w:cs="Calibri"/>
          <w:bCs/>
          <w:color w:val="000000" w:themeColor="text1"/>
        </w:rPr>
        <w:t>co-</w:t>
      </w:r>
      <w:r w:rsidRPr="0045331F">
        <w:rPr>
          <w:rFonts w:ascii="Avenir Book" w:hAnsi="Avenir Book" w:cs="Calibri"/>
          <w:bCs/>
          <w:color w:val="000000" w:themeColor="text1"/>
        </w:rPr>
        <w:t xml:space="preserve">designed with people with disability through their representative organisations, is needed to respond to individual, structural and collective injustice that facilitate violence, abuse, neglect and exploitation of people with disability. It would provide a broad range of remedies, such as compensation, truth-telling, individual and collective apologies, rehabilitation, and commitments to legal and policy reform. Importantly, it would also enable the community, governments and service and legal systems to </w:t>
      </w:r>
      <w:r w:rsidRPr="0045331F">
        <w:rPr>
          <w:rFonts w:ascii="Avenir Book" w:hAnsi="Avenir Book" w:cs="Calibri"/>
          <w:bCs/>
          <w:color w:val="000000" w:themeColor="text1"/>
        </w:rPr>
        <w:lastRenderedPageBreak/>
        <w:t>confront, acknowledge and take responsibility for the harm caused and to begin the process of healing and providing justice.</w:t>
      </w:r>
      <w:r w:rsidRPr="007651C3">
        <w:rPr>
          <w:vertAlign w:val="superscript"/>
        </w:rPr>
        <w:endnoteReference w:id="299"/>
      </w:r>
      <w:r w:rsidRPr="0045331F">
        <w:rPr>
          <w:rFonts w:ascii="Avenir Book" w:hAnsi="Avenir Book" w:cs="Calibri"/>
          <w:bCs/>
          <w:color w:val="000000" w:themeColor="text1"/>
        </w:rPr>
        <w:t xml:space="preserve"> </w:t>
      </w:r>
    </w:p>
    <w:p w14:paraId="758A4596" w14:textId="77777777" w:rsidR="0045331F" w:rsidRPr="0045331F" w:rsidRDefault="0045331F" w:rsidP="0045331F">
      <w:pPr>
        <w:pStyle w:val="ListParagraph"/>
        <w:rPr>
          <w:rFonts w:ascii="Avenir Book" w:hAnsi="Avenir Book" w:cs="Calibri"/>
          <w:bCs/>
          <w:color w:val="000000" w:themeColor="text1"/>
        </w:rPr>
      </w:pPr>
    </w:p>
    <w:p w14:paraId="4D548A21" w14:textId="4363D61A" w:rsidR="007651C3" w:rsidRPr="0045331F" w:rsidRDefault="007651C3" w:rsidP="00C74146">
      <w:pPr>
        <w:pStyle w:val="ListParagraph"/>
        <w:numPr>
          <w:ilvl w:val="2"/>
          <w:numId w:val="11"/>
        </w:numPr>
        <w:spacing w:line="276" w:lineRule="auto"/>
        <w:ind w:left="851" w:hanging="851"/>
      </w:pPr>
      <w:r w:rsidRPr="0045331F">
        <w:rPr>
          <w:rFonts w:ascii="Avenir Book" w:hAnsi="Avenir Book" w:cs="Calibri"/>
          <w:bCs/>
          <w:color w:val="000000" w:themeColor="text1"/>
        </w:rPr>
        <w:t>There is a dearth of research and practical examples to draw upon in relation to redress and reparations for people with disability in Australia. However, the National Redress Scheme for people who have experienced institutional child sexual abuse</w:t>
      </w:r>
      <w:r w:rsidRPr="007651C3">
        <w:rPr>
          <w:vertAlign w:val="superscript"/>
        </w:rPr>
        <w:endnoteReference w:id="300"/>
      </w:r>
      <w:r w:rsidRPr="0045331F">
        <w:rPr>
          <w:rFonts w:ascii="Avenir Book" w:hAnsi="Avenir Book" w:cs="Calibri"/>
          <w:bCs/>
          <w:color w:val="000000" w:themeColor="text1"/>
        </w:rPr>
        <w:t xml:space="preserve"> was established in response to the recommendations from the Royal Commission into Institutional Responses to Child Sexual Abuse,</w:t>
      </w:r>
      <w:r w:rsidRPr="007651C3">
        <w:rPr>
          <w:vertAlign w:val="superscript"/>
        </w:rPr>
        <w:endnoteReference w:id="301"/>
      </w:r>
      <w:r w:rsidRPr="0045331F">
        <w:rPr>
          <w:rFonts w:ascii="Avenir Book" w:hAnsi="Avenir Book" w:cs="Calibri"/>
          <w:bCs/>
          <w:color w:val="000000" w:themeColor="text1"/>
        </w:rPr>
        <w:t xml:space="preserve"> and this scheme provides specific support to people with disability.</w:t>
      </w:r>
      <w:r w:rsidRPr="007651C3">
        <w:rPr>
          <w:vertAlign w:val="superscript"/>
        </w:rPr>
        <w:endnoteReference w:id="302"/>
      </w:r>
      <w:r w:rsidRPr="0045331F">
        <w:rPr>
          <w:rFonts w:ascii="Avenir Book" w:hAnsi="Avenir Book" w:cs="Calibri"/>
          <w:bCs/>
          <w:color w:val="000000" w:themeColor="text1"/>
        </w:rPr>
        <w:t xml:space="preserve">  There are also a number of redress schemes for Stolen Generation survivors, including those with disability, in the Northern Territory (NT), Australian Capital Territory (ACT) and Jervis Bay Territory, in New South Wales (NSW) and Victoria (VIC)</w:t>
      </w:r>
      <w:r w:rsidRPr="0045331F">
        <w:rPr>
          <w:rFonts w:ascii="Avenir Book" w:hAnsi="Avenir Book" w:cs="Calibri"/>
          <w:bCs/>
          <w:color w:val="000000" w:themeColor="text1"/>
          <w:vertAlign w:val="superscript"/>
        </w:rPr>
        <w:t xml:space="preserve"> </w:t>
      </w:r>
      <w:r w:rsidRPr="007651C3">
        <w:rPr>
          <w:vertAlign w:val="superscript"/>
        </w:rPr>
        <w:endnoteReference w:id="303"/>
      </w:r>
      <w:r w:rsidRPr="0045331F">
        <w:rPr>
          <w:rFonts w:ascii="Avenir Book" w:hAnsi="Avenir Book" w:cs="Calibri"/>
          <w:bCs/>
          <w:color w:val="000000" w:themeColor="text1"/>
        </w:rPr>
        <w:t xml:space="preserve"> that have been established over the past decade.  The National Redress Scheme and the redress schemes for Stolen Generation survivors only operate at the individual level and don’t address broader reparations. </w:t>
      </w:r>
    </w:p>
    <w:p w14:paraId="5F361152" w14:textId="77777777" w:rsidR="0045331F" w:rsidRDefault="0045331F" w:rsidP="0045331F">
      <w:pPr>
        <w:pStyle w:val="ListParagraph"/>
      </w:pPr>
    </w:p>
    <w:p w14:paraId="2B6F568B" w14:textId="77777777" w:rsidR="007651C3" w:rsidRPr="00DA79C5" w:rsidRDefault="007651C3" w:rsidP="00C74146">
      <w:pPr>
        <w:pStyle w:val="ListParagraph"/>
        <w:numPr>
          <w:ilvl w:val="2"/>
          <w:numId w:val="11"/>
        </w:numPr>
        <w:spacing w:line="276" w:lineRule="auto"/>
        <w:ind w:left="851" w:hanging="851"/>
        <w:contextualSpacing w:val="0"/>
      </w:pPr>
      <w:r w:rsidRPr="0045331F">
        <w:rPr>
          <w:rFonts w:ascii="Avenir Book" w:hAnsi="Avenir Book" w:cs="Calibri"/>
          <w:bCs/>
          <w:color w:val="000000" w:themeColor="text1"/>
        </w:rPr>
        <w:t>Some recent Australian research has specifically examined redress and reparations for specific groups of people with disability.  Following the Royal Commission into Victoria’s Mental Health System,</w:t>
      </w:r>
      <w:r w:rsidRPr="007651C3">
        <w:rPr>
          <w:vertAlign w:val="superscript"/>
        </w:rPr>
        <w:endnoteReference w:id="304"/>
      </w:r>
      <w:r w:rsidRPr="0045331F">
        <w:rPr>
          <w:rFonts w:ascii="Avenir Book" w:hAnsi="Avenir Book" w:cs="Calibri"/>
          <w:bCs/>
          <w:color w:val="000000" w:themeColor="text1"/>
        </w:rPr>
        <w:t xml:space="preserve"> a ‘lived experience-led’ project</w:t>
      </w:r>
      <w:r w:rsidRPr="007651C3">
        <w:rPr>
          <w:vertAlign w:val="superscript"/>
        </w:rPr>
        <w:endnoteReference w:id="305"/>
      </w:r>
      <w:r w:rsidRPr="0045331F">
        <w:rPr>
          <w:rFonts w:ascii="Avenir Book" w:hAnsi="Avenir Book" w:cs="Calibri"/>
          <w:bCs/>
          <w:color w:val="000000" w:themeColor="text1"/>
        </w:rPr>
        <w:t xml:space="preserve"> was commissioned to provide advice to the Minister for Mental Health on options for acknowledging the harm caused by the mental health system to people with psychosocial disability. The advice to the Minister detailed six options for consideration: political (or state-based) apologies; truth and reconciliation processes; individual material reparations; collective material reparations; symbolic reparations; and guarantees of non-repetition.</w:t>
      </w:r>
      <w:r w:rsidRPr="007651C3">
        <w:rPr>
          <w:vertAlign w:val="superscript"/>
        </w:rPr>
        <w:endnoteReference w:id="306"/>
      </w:r>
      <w:r w:rsidRPr="0045331F">
        <w:rPr>
          <w:rFonts w:ascii="Avenir Book" w:hAnsi="Avenir Book" w:cs="Calibri"/>
          <w:bCs/>
          <w:color w:val="000000" w:themeColor="text1"/>
        </w:rPr>
        <w:t xml:space="preserve"> It made 2 recommendations “informed by the principles of restorative justice, transitional justice, mad studies, human rights, critical pedagogy, relationality, critical approaches to violence and First Peoples’ calls for justice on this continent”:</w:t>
      </w:r>
      <w:r w:rsidRPr="007651C3">
        <w:rPr>
          <w:vertAlign w:val="superscript"/>
        </w:rPr>
        <w:endnoteReference w:id="307"/>
      </w:r>
      <w:r w:rsidRPr="0045331F">
        <w:rPr>
          <w:rFonts w:ascii="Avenir Book" w:hAnsi="Avenir Book" w:cs="Calibri"/>
          <w:bCs/>
          <w:color w:val="000000" w:themeColor="text1"/>
        </w:rPr>
        <w:t xml:space="preserve"> firstly, for the Mental Health and Wellbeing Commission to undertake a truth and reconciliation process, or a Restorative Justice process; and secondly, for the Victorian Government to formally apologise to those communities identified in the Restorative Justice Process report.</w:t>
      </w:r>
      <w:r w:rsidRPr="007651C3">
        <w:rPr>
          <w:vertAlign w:val="superscript"/>
        </w:rPr>
        <w:endnoteReference w:id="308"/>
      </w:r>
    </w:p>
    <w:p w14:paraId="03B03384" w14:textId="77777777" w:rsidR="00DA79C5" w:rsidRPr="00DA79C5" w:rsidRDefault="00DA79C5" w:rsidP="00DA79C5">
      <w:pPr>
        <w:pStyle w:val="ListParagraph"/>
        <w:spacing w:line="276" w:lineRule="auto"/>
        <w:ind w:left="851"/>
        <w:contextualSpacing w:val="0"/>
      </w:pPr>
    </w:p>
    <w:p w14:paraId="40AD2E38" w14:textId="2B8E6D42" w:rsidR="007651C3" w:rsidRPr="00DA79C5" w:rsidRDefault="007651C3" w:rsidP="00C74146">
      <w:pPr>
        <w:pStyle w:val="ListParagraph"/>
        <w:numPr>
          <w:ilvl w:val="2"/>
          <w:numId w:val="11"/>
        </w:numPr>
        <w:spacing w:line="276" w:lineRule="auto"/>
        <w:ind w:left="851" w:hanging="851"/>
      </w:pPr>
      <w:r w:rsidRPr="00DA79C5">
        <w:rPr>
          <w:rFonts w:ascii="Avenir Book" w:hAnsi="Avenir Book" w:cs="Calibri"/>
          <w:bCs/>
          <w:color w:val="000000" w:themeColor="text1"/>
        </w:rPr>
        <w:t>Another disability-inclusive research project, the Dementia Redress Project</w:t>
      </w:r>
      <w:r w:rsidRPr="007651C3">
        <w:rPr>
          <w:vertAlign w:val="superscript"/>
        </w:rPr>
        <w:endnoteReference w:id="309"/>
      </w:r>
      <w:r w:rsidRPr="00DA79C5">
        <w:rPr>
          <w:rFonts w:ascii="Avenir Book" w:hAnsi="Avenir Book" w:cs="Calibri"/>
          <w:bCs/>
          <w:color w:val="000000" w:themeColor="text1"/>
        </w:rPr>
        <w:t xml:space="preserve"> was undertaken following the Royal Commission into Aged Care Quality and Safety</w:t>
      </w:r>
      <w:r w:rsidRPr="007651C3">
        <w:rPr>
          <w:vertAlign w:val="superscript"/>
        </w:rPr>
        <w:endnoteReference w:id="310"/>
      </w:r>
      <w:r w:rsidRPr="00DA79C5">
        <w:rPr>
          <w:rFonts w:ascii="Avenir Book" w:hAnsi="Avenir Book" w:cs="Calibri"/>
          <w:bCs/>
          <w:color w:val="000000" w:themeColor="text1"/>
        </w:rPr>
        <w:t xml:space="preserve"> and the omission of recommendations for redress and reparations for harm caused to people living in residential aged care.  The project has resulted in the Dementia Reparations Principles to guide the design and operation of reparations for people with dementia,</w:t>
      </w:r>
      <w:r w:rsidRPr="007651C3">
        <w:rPr>
          <w:vertAlign w:val="superscript"/>
        </w:rPr>
        <w:endnoteReference w:id="311"/>
      </w:r>
      <w:r w:rsidRPr="00DA79C5">
        <w:rPr>
          <w:rFonts w:ascii="Avenir Book" w:hAnsi="Avenir Book" w:cs="Calibri"/>
          <w:bCs/>
          <w:color w:val="000000" w:themeColor="text1"/>
        </w:rPr>
        <w:t xml:space="preserve"> and a project report.</w:t>
      </w:r>
      <w:r w:rsidRPr="007651C3">
        <w:rPr>
          <w:vertAlign w:val="superscript"/>
        </w:rPr>
        <w:endnoteReference w:id="312"/>
      </w:r>
      <w:r w:rsidRPr="00DA79C5">
        <w:rPr>
          <w:rFonts w:ascii="Avenir Book" w:hAnsi="Avenir Book" w:cs="Calibri"/>
          <w:bCs/>
          <w:color w:val="000000" w:themeColor="text1"/>
        </w:rPr>
        <w:t xml:space="preserve"> Together, the principles and </w:t>
      </w:r>
      <w:r w:rsidRPr="00DA79C5">
        <w:rPr>
          <w:rFonts w:ascii="Avenir Book" w:hAnsi="Avenir Book" w:cs="Calibri"/>
          <w:bCs/>
          <w:color w:val="000000" w:themeColor="text1"/>
        </w:rPr>
        <w:lastRenderedPageBreak/>
        <w:t>project report “provide a conceptual framework and evidence-base for developing reparative approaches… to equal access to justice and remedies for people with disability and older people”.</w:t>
      </w:r>
      <w:r w:rsidRPr="007651C3">
        <w:rPr>
          <w:vertAlign w:val="superscript"/>
        </w:rPr>
        <w:endnoteReference w:id="313"/>
      </w:r>
      <w:r w:rsidRPr="00DA79C5">
        <w:rPr>
          <w:rFonts w:ascii="Avenir Book" w:hAnsi="Avenir Book" w:cs="Calibri"/>
          <w:bCs/>
          <w:color w:val="000000" w:themeColor="text1"/>
        </w:rPr>
        <w:t xml:space="preserve"> The principles and project report were shared with the DRC.</w:t>
      </w:r>
    </w:p>
    <w:p w14:paraId="7A87A319" w14:textId="77777777" w:rsidR="00DA79C5" w:rsidRPr="00DA79C5" w:rsidRDefault="00DA79C5" w:rsidP="00DA79C5">
      <w:pPr>
        <w:spacing w:line="276" w:lineRule="auto"/>
        <w:rPr>
          <w:rFonts w:eastAsiaTheme="minorHAnsi"/>
        </w:rPr>
      </w:pPr>
    </w:p>
    <w:p w14:paraId="6497E692" w14:textId="77777777" w:rsidR="00DA79C5" w:rsidRPr="00D1352E" w:rsidRDefault="00DA79C5" w:rsidP="00DA79C5">
      <w:pPr>
        <w:spacing w:after="120" w:line="276" w:lineRule="auto"/>
        <w:rPr>
          <w:rFonts w:asciiTheme="minorHAnsi" w:hAnsiTheme="minorHAnsi" w:cstheme="minorHAnsi"/>
          <w:b/>
          <w:color w:val="7030A0"/>
        </w:rPr>
      </w:pPr>
      <w:r w:rsidRPr="00D1352E">
        <w:rPr>
          <w:rFonts w:ascii="Avenir Book" w:hAnsi="Avenir Book" w:cstheme="minorHAnsi"/>
          <w:b/>
          <w:color w:val="AC1F79"/>
        </w:rPr>
        <w:t>Preliminary Recommendations</w:t>
      </w:r>
    </w:p>
    <w:p w14:paraId="57E6A377" w14:textId="3D6098AB" w:rsidR="007651C3" w:rsidRPr="007651C3" w:rsidRDefault="007651C3" w:rsidP="00C74146">
      <w:pPr>
        <w:pStyle w:val="Heading3"/>
        <w:numPr>
          <w:ilvl w:val="0"/>
          <w:numId w:val="9"/>
        </w:numPr>
        <w:snapToGrid w:val="0"/>
        <w:spacing w:after="120"/>
        <w:ind w:left="426" w:hanging="426"/>
        <w:jc w:val="left"/>
        <w:rPr>
          <w:rFonts w:ascii="Avenir Book" w:hAnsi="Avenir Book" w:cs="Calibri"/>
          <w:b w:val="0"/>
          <w:bCs/>
          <w:color w:val="000000" w:themeColor="text1"/>
        </w:rPr>
      </w:pPr>
      <w:bookmarkStart w:id="180" w:name="_Toc156819973"/>
      <w:bookmarkStart w:id="181" w:name="_Toc156825256"/>
      <w:r w:rsidRPr="007651C3">
        <w:rPr>
          <w:rFonts w:ascii="Avenir Book" w:hAnsi="Avenir Book" w:cs="Calibri"/>
          <w:b w:val="0"/>
          <w:bCs/>
          <w:color w:val="000000" w:themeColor="text1"/>
        </w:rPr>
        <w:t xml:space="preserve">Consistent with </w:t>
      </w:r>
      <w:r w:rsidR="00DA79C5">
        <w:rPr>
          <w:rFonts w:ascii="Avenir Book" w:hAnsi="Avenir Book" w:cs="Calibri"/>
          <w:b w:val="0"/>
          <w:bCs/>
          <w:color w:val="000000" w:themeColor="text1"/>
        </w:rPr>
        <w:t xml:space="preserve">international human rights obligations, </w:t>
      </w:r>
      <w:r w:rsidRPr="007651C3">
        <w:rPr>
          <w:rFonts w:ascii="Avenir Book" w:hAnsi="Avenir Book" w:cs="Calibri"/>
          <w:b w:val="0"/>
          <w:bCs/>
          <w:color w:val="000000" w:themeColor="text1"/>
        </w:rPr>
        <w:t xml:space="preserve">the </w:t>
      </w:r>
      <w:r w:rsidRPr="007651C3">
        <w:rPr>
          <w:rFonts w:ascii="Avenir Book" w:hAnsi="Avenir Book" w:cs="Calibri"/>
          <w:b w:val="0"/>
          <w:bCs/>
          <w:color w:val="000000" w:themeColor="text1"/>
          <w:lang w:val="en-US"/>
        </w:rPr>
        <w:t xml:space="preserve">Van Boven Principles, and the </w:t>
      </w:r>
      <w:r w:rsidRPr="007651C3">
        <w:rPr>
          <w:rFonts w:ascii="Avenir Book" w:hAnsi="Avenir Book" w:cs="Calibri"/>
          <w:b w:val="0"/>
          <w:bCs/>
          <w:color w:val="000000" w:themeColor="text1"/>
        </w:rPr>
        <w:t>International Principles and Guidelines on Access to Justice for Persons with Disabilities, the Australian Government establish a National D</w:t>
      </w:r>
      <w:r w:rsidR="00DA79C5">
        <w:rPr>
          <w:rFonts w:ascii="Avenir Book" w:hAnsi="Avenir Book" w:cs="Calibri"/>
          <w:b w:val="0"/>
          <w:bCs/>
          <w:color w:val="000000" w:themeColor="text1"/>
        </w:rPr>
        <w:t xml:space="preserve">isability </w:t>
      </w:r>
      <w:r w:rsidRPr="007651C3">
        <w:rPr>
          <w:rFonts w:ascii="Avenir Book" w:hAnsi="Avenir Book" w:cs="Calibri"/>
          <w:b w:val="0"/>
          <w:bCs/>
          <w:color w:val="000000" w:themeColor="text1"/>
        </w:rPr>
        <w:t>R</w:t>
      </w:r>
      <w:r w:rsidR="00DA79C5">
        <w:rPr>
          <w:rFonts w:ascii="Avenir Book" w:hAnsi="Avenir Book" w:cs="Calibri"/>
          <w:b w:val="0"/>
          <w:bCs/>
          <w:color w:val="000000" w:themeColor="text1"/>
        </w:rPr>
        <w:t xml:space="preserve">oyal </w:t>
      </w:r>
      <w:r w:rsidRPr="007651C3">
        <w:rPr>
          <w:rFonts w:ascii="Avenir Book" w:hAnsi="Avenir Book" w:cs="Calibri"/>
          <w:b w:val="0"/>
          <w:bCs/>
          <w:color w:val="000000" w:themeColor="text1"/>
        </w:rPr>
        <w:t>C</w:t>
      </w:r>
      <w:r w:rsidR="00DA79C5">
        <w:rPr>
          <w:rFonts w:ascii="Avenir Book" w:hAnsi="Avenir Book" w:cs="Calibri"/>
          <w:b w:val="0"/>
          <w:bCs/>
          <w:color w:val="000000" w:themeColor="text1"/>
        </w:rPr>
        <w:t>ommission</w:t>
      </w:r>
      <w:r w:rsidRPr="007651C3">
        <w:rPr>
          <w:rFonts w:ascii="Avenir Book" w:hAnsi="Avenir Book" w:cs="Calibri"/>
          <w:b w:val="0"/>
          <w:bCs/>
          <w:color w:val="000000" w:themeColor="text1"/>
        </w:rPr>
        <w:t xml:space="preserve"> Redress </w:t>
      </w:r>
      <w:r w:rsidR="00DA79C5">
        <w:rPr>
          <w:rFonts w:ascii="Avenir Book" w:hAnsi="Avenir Book" w:cs="Calibri"/>
          <w:b w:val="0"/>
          <w:bCs/>
          <w:color w:val="000000" w:themeColor="text1"/>
        </w:rPr>
        <w:t xml:space="preserve">and Reparation </w:t>
      </w:r>
      <w:r w:rsidRPr="007651C3">
        <w:rPr>
          <w:rFonts w:ascii="Avenir Book" w:hAnsi="Avenir Book" w:cs="Calibri"/>
          <w:b w:val="0"/>
          <w:bCs/>
          <w:color w:val="000000" w:themeColor="text1"/>
        </w:rPr>
        <w:t>Scheme</w:t>
      </w:r>
      <w:r w:rsidR="00DA79C5">
        <w:rPr>
          <w:rFonts w:ascii="Avenir Book" w:hAnsi="Avenir Book" w:cs="Calibri"/>
          <w:b w:val="0"/>
          <w:bCs/>
          <w:color w:val="000000" w:themeColor="text1"/>
        </w:rPr>
        <w:t xml:space="preserve"> co-designed with </w:t>
      </w:r>
      <w:r w:rsidRPr="007651C3">
        <w:rPr>
          <w:rFonts w:ascii="Avenir Book" w:hAnsi="Avenir Book" w:cs="Calibri"/>
          <w:b w:val="0"/>
          <w:bCs/>
          <w:color w:val="000000" w:themeColor="text1"/>
        </w:rPr>
        <w:t xml:space="preserve">people with disability and their representative </w:t>
      </w:r>
      <w:r w:rsidR="00C21922" w:rsidRPr="007651C3">
        <w:rPr>
          <w:rFonts w:ascii="Avenir Book" w:hAnsi="Avenir Book" w:cs="Calibri"/>
          <w:b w:val="0"/>
          <w:bCs/>
          <w:color w:val="000000" w:themeColor="text1"/>
        </w:rPr>
        <w:t>organisations</w:t>
      </w:r>
      <w:r w:rsidR="00C21922">
        <w:rPr>
          <w:rFonts w:ascii="Avenir Book" w:hAnsi="Avenir Book" w:cs="Calibri"/>
          <w:b w:val="0"/>
          <w:bCs/>
          <w:color w:val="000000" w:themeColor="text1"/>
        </w:rPr>
        <w:t xml:space="preserve"> and</w:t>
      </w:r>
      <w:r w:rsidR="00DA79C5">
        <w:rPr>
          <w:rFonts w:ascii="Avenir Book" w:hAnsi="Avenir Book" w:cs="Calibri"/>
          <w:b w:val="0"/>
          <w:bCs/>
          <w:color w:val="000000" w:themeColor="text1"/>
        </w:rPr>
        <w:t xml:space="preserve"> drawing on ‘lived experience-led’ and disability-inclusive research</w:t>
      </w:r>
      <w:r w:rsidRPr="007651C3">
        <w:rPr>
          <w:rFonts w:ascii="Avenir Book" w:hAnsi="Avenir Book" w:cs="Calibri"/>
          <w:b w:val="0"/>
          <w:bCs/>
          <w:color w:val="000000" w:themeColor="text1"/>
        </w:rPr>
        <w:t>.</w:t>
      </w:r>
      <w:bookmarkEnd w:id="180"/>
      <w:bookmarkEnd w:id="181"/>
      <w:r w:rsidRPr="007651C3">
        <w:rPr>
          <w:rFonts w:ascii="Avenir Book" w:hAnsi="Avenir Book" w:cs="Calibri"/>
          <w:b w:val="0"/>
          <w:bCs/>
          <w:color w:val="000000" w:themeColor="text1"/>
        </w:rPr>
        <w:t xml:space="preserve"> </w:t>
      </w:r>
    </w:p>
    <w:p w14:paraId="4619FFFF" w14:textId="77777777" w:rsidR="007651C3" w:rsidRDefault="007651C3" w:rsidP="00AF426E">
      <w:pPr>
        <w:pStyle w:val="Heading3"/>
        <w:snapToGrid w:val="0"/>
        <w:jc w:val="left"/>
        <w:rPr>
          <w:rFonts w:ascii="Avenir Book" w:hAnsi="Avenir Book" w:cs="Calibri"/>
          <w:b w:val="0"/>
          <w:bCs/>
          <w:color w:val="000000" w:themeColor="text1"/>
        </w:rPr>
      </w:pPr>
    </w:p>
    <w:p w14:paraId="5142AE99" w14:textId="7FE1887E" w:rsidR="007651C3" w:rsidRPr="007651C3" w:rsidRDefault="00430F34" w:rsidP="00C74146">
      <w:pPr>
        <w:pStyle w:val="Heading3"/>
        <w:numPr>
          <w:ilvl w:val="1"/>
          <w:numId w:val="11"/>
        </w:numPr>
        <w:spacing w:after="120"/>
        <w:ind w:left="851" w:hanging="851"/>
        <w:rPr>
          <w:rFonts w:ascii="Avenir Book" w:hAnsi="Avenir Book" w:cs="Calibri"/>
          <w:color w:val="000000" w:themeColor="text1"/>
        </w:rPr>
      </w:pPr>
      <w:bookmarkStart w:id="182" w:name="_Toc156825257"/>
      <w:r>
        <w:rPr>
          <w:rFonts w:ascii="Avenir Book" w:hAnsi="Avenir Book" w:cs="Calibri"/>
          <w:color w:val="000000" w:themeColor="text1"/>
          <w:lang w:val="en-GB"/>
        </w:rPr>
        <w:t>Embed human rights of people with disability into law and policy</w:t>
      </w:r>
      <w:bookmarkEnd w:id="182"/>
    </w:p>
    <w:p w14:paraId="4C5BE392" w14:textId="2DD7D3CF" w:rsidR="00204739" w:rsidRDefault="00204739" w:rsidP="00C74146">
      <w:pPr>
        <w:pStyle w:val="ListParagraph"/>
        <w:numPr>
          <w:ilvl w:val="2"/>
          <w:numId w:val="11"/>
        </w:numPr>
        <w:spacing w:line="276" w:lineRule="auto"/>
        <w:ind w:left="851" w:hanging="851"/>
        <w:rPr>
          <w:rFonts w:ascii="Avenir Book" w:hAnsi="Avenir Book"/>
        </w:rPr>
      </w:pPr>
      <w:r w:rsidRPr="00204739">
        <w:rPr>
          <w:rFonts w:ascii="Avenir Book" w:hAnsi="Avenir Book"/>
        </w:rPr>
        <w:t xml:space="preserve">International human rights treaties provide an agreed set of standards and principles for the realisation of all human rights and fundamental freedoms for all people, including people with disability.  By ratifying a human rights treaty, a country voluntarily accepts binding legal obligations under international law regarding human rights. </w:t>
      </w:r>
    </w:p>
    <w:p w14:paraId="302F1A4D" w14:textId="77777777" w:rsidR="00204739" w:rsidRPr="00204739" w:rsidRDefault="00204739" w:rsidP="00204739">
      <w:pPr>
        <w:pStyle w:val="ListParagraph"/>
        <w:spacing w:line="276" w:lineRule="auto"/>
        <w:ind w:left="851"/>
        <w:rPr>
          <w:rFonts w:ascii="Avenir Book" w:hAnsi="Avenir Book"/>
        </w:rPr>
      </w:pPr>
    </w:p>
    <w:p w14:paraId="447AE98D" w14:textId="2D6CA625" w:rsidR="00204739" w:rsidRDefault="00204739" w:rsidP="00C74146">
      <w:pPr>
        <w:pStyle w:val="ListParagraph"/>
        <w:numPr>
          <w:ilvl w:val="2"/>
          <w:numId w:val="11"/>
        </w:numPr>
        <w:spacing w:line="276" w:lineRule="auto"/>
        <w:ind w:left="851" w:hanging="851"/>
        <w:rPr>
          <w:rFonts w:ascii="Avenir Book" w:hAnsi="Avenir Book"/>
        </w:rPr>
      </w:pPr>
      <w:r w:rsidRPr="00204739">
        <w:rPr>
          <w:rFonts w:ascii="Avenir Book" w:hAnsi="Avenir Book"/>
        </w:rPr>
        <w:t>Australia has ratified seven core international human rights treaties.</w:t>
      </w:r>
      <w:r w:rsidRPr="00204739">
        <w:rPr>
          <w:vertAlign w:val="superscript"/>
        </w:rPr>
        <w:endnoteReference w:id="314"/>
      </w:r>
      <w:r w:rsidRPr="00204739">
        <w:rPr>
          <w:rFonts w:ascii="Avenir Book" w:hAnsi="Avenir Book"/>
        </w:rPr>
        <w:t xml:space="preserve"> Australia has also formally endorsed the United Nations Declaration on the Rights of Indigenous Peoples </w:t>
      </w:r>
      <w:r>
        <w:rPr>
          <w:rFonts w:ascii="Avenir Book" w:hAnsi="Avenir Book"/>
        </w:rPr>
        <w:t>(</w:t>
      </w:r>
      <w:r w:rsidRPr="00204739">
        <w:rPr>
          <w:rFonts w:ascii="Avenir Book" w:hAnsi="Avenir Book"/>
        </w:rPr>
        <w:t>UNDRIP)</w:t>
      </w:r>
      <w:r>
        <w:rPr>
          <w:rStyle w:val="EndnoteReference"/>
          <w:rFonts w:ascii="Avenir Book" w:hAnsi="Avenir Book"/>
        </w:rPr>
        <w:endnoteReference w:id="315"/>
      </w:r>
      <w:r>
        <w:rPr>
          <w:rFonts w:ascii="Avenir Book" w:hAnsi="Avenir Book"/>
        </w:rPr>
        <w:t xml:space="preserve"> </w:t>
      </w:r>
      <w:r w:rsidRPr="00204739">
        <w:rPr>
          <w:rFonts w:ascii="Avenir Book" w:hAnsi="Avenir Book"/>
        </w:rPr>
        <w:t>- an international non-binding human rights instrument that “establishes a universal framework of minimum standards for the survival, dignity and well-being” of the world’s Indigenous peoples and it outlines how existing human rights standards and fundamental freedoms apply to Indigenous peoples, including First Nations people in Australia.</w:t>
      </w:r>
      <w:r w:rsidRPr="00204739">
        <w:rPr>
          <w:vertAlign w:val="superscript"/>
        </w:rPr>
        <w:endnoteReference w:id="316"/>
      </w:r>
    </w:p>
    <w:p w14:paraId="088BD45C" w14:textId="77777777" w:rsidR="00204739" w:rsidRPr="00204739" w:rsidRDefault="00204739" w:rsidP="00204739">
      <w:pPr>
        <w:pStyle w:val="ListParagraph"/>
        <w:rPr>
          <w:rFonts w:ascii="Avenir Book" w:hAnsi="Avenir Book"/>
        </w:rPr>
      </w:pPr>
    </w:p>
    <w:p w14:paraId="5A889EFC" w14:textId="3A5D92BE" w:rsidR="00204739" w:rsidRDefault="00204739" w:rsidP="00C74146">
      <w:pPr>
        <w:pStyle w:val="ListParagraph"/>
        <w:numPr>
          <w:ilvl w:val="2"/>
          <w:numId w:val="11"/>
        </w:numPr>
        <w:spacing w:line="276" w:lineRule="auto"/>
        <w:ind w:left="851" w:hanging="851"/>
        <w:rPr>
          <w:rFonts w:ascii="Avenir Book" w:hAnsi="Avenir Book"/>
        </w:rPr>
      </w:pPr>
      <w:r w:rsidRPr="00204739">
        <w:rPr>
          <w:rFonts w:ascii="Avenir Book" w:hAnsi="Avenir Book"/>
        </w:rPr>
        <w:t>In Australia, ratification of a treaty, or endorsement of non-binding declarations does not mean automatic incorporation of these rights into domestic law. This requires the enactment of laws by the Australian, state and territory parliaments in order for the rights to be binding and directly enforced by Australian courts and tribunals.</w:t>
      </w:r>
      <w:r>
        <w:rPr>
          <w:rStyle w:val="EndnoteReference"/>
          <w:rFonts w:ascii="Avenir Book" w:hAnsi="Avenir Book"/>
        </w:rPr>
        <w:endnoteReference w:id="317"/>
      </w:r>
      <w:r w:rsidRPr="00204739">
        <w:rPr>
          <w:rFonts w:ascii="Avenir Book" w:hAnsi="Avenir Book"/>
        </w:rPr>
        <w:t xml:space="preserve">  </w:t>
      </w:r>
      <w:r>
        <w:rPr>
          <w:rFonts w:ascii="Avenir Book" w:hAnsi="Avenir Book"/>
        </w:rPr>
        <w:t>This means that</w:t>
      </w:r>
      <w:r w:rsidRPr="00204739">
        <w:rPr>
          <w:rFonts w:ascii="Avenir Book" w:hAnsi="Avenir Book"/>
        </w:rPr>
        <w:t xml:space="preserve"> “people’s basic human rights are not very well protected in Australian law”.</w:t>
      </w:r>
      <w:r w:rsidR="00DE7AF7">
        <w:rPr>
          <w:rStyle w:val="EndnoteReference"/>
          <w:rFonts w:ascii="Avenir Book" w:hAnsi="Avenir Book"/>
        </w:rPr>
        <w:endnoteReference w:id="318"/>
      </w:r>
    </w:p>
    <w:p w14:paraId="4D55E9D6" w14:textId="77777777" w:rsidR="00DE7AF7" w:rsidRPr="00DE7AF7" w:rsidRDefault="00DE7AF7" w:rsidP="00DE7AF7">
      <w:pPr>
        <w:pStyle w:val="ListParagraph"/>
        <w:rPr>
          <w:rFonts w:ascii="Avenir Book" w:hAnsi="Avenir Book"/>
        </w:rPr>
      </w:pPr>
    </w:p>
    <w:p w14:paraId="54F8B027" w14:textId="79F22A0E" w:rsidR="00204739" w:rsidRDefault="00204739" w:rsidP="00C74146">
      <w:pPr>
        <w:pStyle w:val="ListParagraph"/>
        <w:numPr>
          <w:ilvl w:val="2"/>
          <w:numId w:val="11"/>
        </w:numPr>
        <w:spacing w:line="276" w:lineRule="auto"/>
        <w:ind w:left="851" w:hanging="851"/>
        <w:rPr>
          <w:rFonts w:ascii="Avenir Book" w:hAnsi="Avenir Book"/>
        </w:rPr>
      </w:pPr>
      <w:r w:rsidRPr="00DE7AF7">
        <w:rPr>
          <w:rFonts w:ascii="Avenir Book" w:hAnsi="Avenir Book"/>
        </w:rPr>
        <w:t>In its examination, the DRC concluded that despite many positive legal, policy and programmatic measures,</w:t>
      </w:r>
      <w:r w:rsidR="00DE7AF7">
        <w:rPr>
          <w:rStyle w:val="EndnoteReference"/>
          <w:rFonts w:ascii="Avenir Book" w:hAnsi="Avenir Book"/>
        </w:rPr>
        <w:endnoteReference w:id="319"/>
      </w:r>
      <w:r w:rsidR="00DE7AF7">
        <w:rPr>
          <w:rFonts w:ascii="Avenir Book" w:hAnsi="Avenir Book"/>
        </w:rPr>
        <w:t xml:space="preserve"> </w:t>
      </w:r>
      <w:r w:rsidRPr="00DE7AF7">
        <w:rPr>
          <w:rFonts w:ascii="Avenir Book" w:hAnsi="Avenir Book"/>
        </w:rPr>
        <w:t xml:space="preserve">Australia takes a piecemeal approach to implementation of disability rights that has not prevented violence, abuse, </w:t>
      </w:r>
      <w:r w:rsidRPr="00DE7AF7">
        <w:rPr>
          <w:rFonts w:ascii="Avenir Book" w:hAnsi="Avenir Book"/>
        </w:rPr>
        <w:lastRenderedPageBreak/>
        <w:t>neglect and exploitation of people with disability.</w:t>
      </w:r>
      <w:r w:rsidR="00DE7AF7">
        <w:rPr>
          <w:rStyle w:val="EndnoteReference"/>
          <w:rFonts w:ascii="Avenir Book" w:hAnsi="Avenir Book"/>
        </w:rPr>
        <w:endnoteReference w:id="320"/>
      </w:r>
      <w:r w:rsidRPr="00DE7AF7">
        <w:rPr>
          <w:rFonts w:ascii="Avenir Book" w:hAnsi="Avenir Book"/>
        </w:rPr>
        <w:t xml:space="preserve"> The DRC recommended that the Australian Government commit to the enactment of a Disability Rights Act (DRA) – recommendation 4.1 – to “clearly articulate the human rights of people with disability in Commonwealth law”</w:t>
      </w:r>
      <w:r w:rsidR="00DE7AF7">
        <w:rPr>
          <w:rStyle w:val="EndnoteReference"/>
          <w:rFonts w:ascii="Avenir Book" w:hAnsi="Avenir Book"/>
        </w:rPr>
        <w:endnoteReference w:id="321"/>
      </w:r>
      <w:r w:rsidR="00DE7AF7">
        <w:rPr>
          <w:rFonts w:ascii="Avenir Book" w:hAnsi="Avenir Book"/>
        </w:rPr>
        <w:t xml:space="preserve"> i</w:t>
      </w:r>
      <w:r w:rsidRPr="00DE7AF7">
        <w:rPr>
          <w:rFonts w:ascii="Avenir Book" w:hAnsi="Avenir Book"/>
        </w:rPr>
        <w:t xml:space="preserve">n line with the CRPD. </w:t>
      </w:r>
    </w:p>
    <w:p w14:paraId="5344CCEB" w14:textId="77777777" w:rsidR="00DE7AF7" w:rsidRPr="00DE7AF7" w:rsidRDefault="00DE7AF7" w:rsidP="00DE7AF7">
      <w:pPr>
        <w:pStyle w:val="ListParagraph"/>
        <w:rPr>
          <w:rFonts w:ascii="Avenir Book" w:hAnsi="Avenir Book"/>
        </w:rPr>
      </w:pPr>
    </w:p>
    <w:p w14:paraId="7F8AFAA8" w14:textId="3AB60309" w:rsidR="006130F5" w:rsidRDefault="00204739" w:rsidP="00C74146">
      <w:pPr>
        <w:pStyle w:val="ListParagraph"/>
        <w:numPr>
          <w:ilvl w:val="2"/>
          <w:numId w:val="11"/>
        </w:numPr>
        <w:spacing w:line="276" w:lineRule="auto"/>
        <w:ind w:left="851" w:hanging="851"/>
        <w:rPr>
          <w:rFonts w:ascii="Avenir Book" w:hAnsi="Avenir Book"/>
        </w:rPr>
      </w:pPr>
      <w:r w:rsidRPr="006130F5">
        <w:rPr>
          <w:rFonts w:ascii="Avenir Book" w:hAnsi="Avenir Book"/>
        </w:rPr>
        <w:t xml:space="preserve">While WWDA agrees that the international human rights of people with disability should be incorporated into domestic law, we hold the position that this should be achieved through a national Human Rights Act.   This position is long-standing and has been provided to the DRC through our written submissions and formal evidence during </w:t>
      </w:r>
      <w:r w:rsidR="00CB0369" w:rsidRPr="006130F5">
        <w:rPr>
          <w:rFonts w:ascii="Avenir Book" w:hAnsi="Avenir Book"/>
        </w:rPr>
        <w:t xml:space="preserve">DRC </w:t>
      </w:r>
      <w:r w:rsidRPr="006130F5">
        <w:rPr>
          <w:rFonts w:ascii="Avenir Book" w:hAnsi="Avenir Book"/>
        </w:rPr>
        <w:t xml:space="preserve">public </w:t>
      </w:r>
      <w:r w:rsidR="00CB0369" w:rsidRPr="006130F5">
        <w:rPr>
          <w:rFonts w:ascii="Avenir Book" w:hAnsi="Avenir Book"/>
        </w:rPr>
        <w:t>hearings and</w:t>
      </w:r>
      <w:r w:rsidRPr="006130F5">
        <w:rPr>
          <w:rFonts w:ascii="Avenir Book" w:hAnsi="Avenir Book"/>
        </w:rPr>
        <w:t xml:space="preserve"> is consistent with other organisations of people with disability, disability representative organisations and disability advocacy organisations over many years.</w:t>
      </w:r>
      <w:r w:rsidR="00CB0369">
        <w:rPr>
          <w:rStyle w:val="EndnoteReference"/>
          <w:rFonts w:ascii="Avenir Book" w:hAnsi="Avenir Book"/>
        </w:rPr>
        <w:endnoteReference w:id="322"/>
      </w:r>
      <w:r w:rsidRPr="006130F5">
        <w:rPr>
          <w:rFonts w:ascii="Avenir Book" w:hAnsi="Avenir Book"/>
        </w:rPr>
        <w:t xml:space="preserve"> Most recently, this position has been provided in submissions to the Parliamentary Joint Committee on Human Rights (PJCHR) </w:t>
      </w:r>
      <w:r w:rsidR="00CB0369" w:rsidRPr="006130F5">
        <w:rPr>
          <w:rFonts w:ascii="Avenir Book" w:hAnsi="Avenir Book"/>
        </w:rPr>
        <w:t>for its inquiry into Australia’s Human Rights Framework,</w:t>
      </w:r>
      <w:r w:rsidR="00CB0369">
        <w:rPr>
          <w:rStyle w:val="EndnoteReference"/>
          <w:rFonts w:ascii="Avenir Book" w:hAnsi="Avenir Book"/>
        </w:rPr>
        <w:endnoteReference w:id="323"/>
      </w:r>
      <w:r w:rsidR="00CB0369" w:rsidRPr="006130F5">
        <w:rPr>
          <w:rFonts w:ascii="Avenir Book" w:hAnsi="Avenir Book"/>
        </w:rPr>
        <w:t xml:space="preserve"> with many disability organisations</w:t>
      </w:r>
      <w:r w:rsidR="006130F5">
        <w:rPr>
          <w:rStyle w:val="EndnoteReference"/>
          <w:rFonts w:ascii="Avenir Book" w:hAnsi="Avenir Book"/>
        </w:rPr>
        <w:endnoteReference w:id="324"/>
      </w:r>
      <w:r w:rsidR="00CB0369" w:rsidRPr="006130F5">
        <w:rPr>
          <w:rFonts w:ascii="Avenir Book" w:hAnsi="Avenir Book"/>
        </w:rPr>
        <w:t xml:space="preserve"> supporting the model for a National Human Rights Act provided by the Australian Human Rights Commission as part of its five-year long project, F</w:t>
      </w:r>
      <w:r w:rsidR="00934DDA">
        <w:rPr>
          <w:rFonts w:ascii="Avenir Book" w:hAnsi="Avenir Book"/>
        </w:rPr>
        <w:t>r</w:t>
      </w:r>
      <w:r w:rsidR="00CB0369" w:rsidRPr="006130F5">
        <w:rPr>
          <w:rFonts w:ascii="Avenir Book" w:hAnsi="Avenir Book"/>
        </w:rPr>
        <w:t>ee and Equal.</w:t>
      </w:r>
      <w:r w:rsidR="00CB0369">
        <w:rPr>
          <w:rStyle w:val="EndnoteReference"/>
          <w:rFonts w:ascii="Avenir Book" w:hAnsi="Avenir Book"/>
        </w:rPr>
        <w:endnoteReference w:id="325"/>
      </w:r>
    </w:p>
    <w:p w14:paraId="11BEF379" w14:textId="77777777" w:rsidR="006130F5" w:rsidRPr="006130F5" w:rsidRDefault="006130F5" w:rsidP="006130F5">
      <w:pPr>
        <w:pStyle w:val="ListParagraph"/>
        <w:rPr>
          <w:rFonts w:ascii="Avenir Book" w:hAnsi="Avenir Book"/>
        </w:rPr>
      </w:pPr>
    </w:p>
    <w:p w14:paraId="3A3FA8FD" w14:textId="51FF51E8" w:rsidR="00204739" w:rsidRPr="006130F5" w:rsidRDefault="00204739" w:rsidP="00C74146">
      <w:pPr>
        <w:pStyle w:val="ListParagraph"/>
        <w:numPr>
          <w:ilvl w:val="2"/>
          <w:numId w:val="11"/>
        </w:numPr>
        <w:spacing w:after="120" w:line="276" w:lineRule="auto"/>
        <w:ind w:left="851" w:hanging="851"/>
        <w:contextualSpacing w:val="0"/>
        <w:rPr>
          <w:rFonts w:ascii="Avenir Book" w:hAnsi="Avenir Book"/>
        </w:rPr>
      </w:pPr>
      <w:r w:rsidRPr="006130F5">
        <w:rPr>
          <w:rFonts w:ascii="Avenir Book" w:hAnsi="Avenir Book"/>
        </w:rPr>
        <w:t>There are several reasons why WWDA supports a national Human Rights Act, such as the one proposed by the AHRC:</w:t>
      </w:r>
    </w:p>
    <w:p w14:paraId="3742D6EA" w14:textId="0ABAA157" w:rsidR="00204739" w:rsidRPr="00204739" w:rsidRDefault="00204739" w:rsidP="00C74146">
      <w:pPr>
        <w:numPr>
          <w:ilvl w:val="0"/>
          <w:numId w:val="10"/>
        </w:numPr>
        <w:spacing w:after="120" w:line="276" w:lineRule="auto"/>
        <w:ind w:left="1276" w:hanging="425"/>
        <w:rPr>
          <w:rFonts w:ascii="Avenir Book" w:hAnsi="Avenir Book"/>
        </w:rPr>
      </w:pPr>
      <w:r w:rsidRPr="00204739">
        <w:rPr>
          <w:rFonts w:ascii="Avenir Book" w:hAnsi="Avenir Book"/>
        </w:rPr>
        <w:t>Implementation of the international human rights treaties and declarations should not be a mutually exclusive exercise. These treaties and declarations create a holistic framework of rights protection that are universal and inalienable, inter-related, indivisible and interdependent. Together, they provide the framework to delineate the obligations and responsibilities of governments and other duty-bearers to comprehensively promote and protect the human rights of all people with disability in all our diversity.  WWDA’s work is grounded in a human-rights based framework which links gender and disability issues to a full range of civil, political,</w:t>
      </w:r>
      <w:r w:rsidR="00E0233E">
        <w:rPr>
          <w:rFonts w:ascii="Avenir Book" w:hAnsi="Avenir Book"/>
        </w:rPr>
        <w:t xml:space="preserve"> </w:t>
      </w:r>
      <w:r w:rsidRPr="00204739">
        <w:rPr>
          <w:rFonts w:ascii="Avenir Book" w:hAnsi="Avenir Book"/>
        </w:rPr>
        <w:t xml:space="preserve">economic, social and cultural rights.  Implementing a stand-alone DRA reinforces the piecemeal approach to human rights protection for people with disability.  </w:t>
      </w:r>
    </w:p>
    <w:p w14:paraId="1A3BA328" w14:textId="0816CC1D" w:rsidR="00204739" w:rsidRPr="00204739" w:rsidRDefault="00204739" w:rsidP="00C74146">
      <w:pPr>
        <w:numPr>
          <w:ilvl w:val="0"/>
          <w:numId w:val="10"/>
        </w:numPr>
        <w:spacing w:after="120" w:line="276" w:lineRule="auto"/>
        <w:ind w:left="1276" w:hanging="425"/>
        <w:rPr>
          <w:rFonts w:ascii="Avenir Book" w:hAnsi="Avenir Book"/>
        </w:rPr>
      </w:pPr>
      <w:r w:rsidRPr="00204739">
        <w:rPr>
          <w:rFonts w:ascii="Avenir Book" w:hAnsi="Avenir Book"/>
        </w:rPr>
        <w:t xml:space="preserve">There are already inconsistencies and fragmentation in Australia’s existing anti-discrimination framework, which should not be mirrored by a stand-alone DRA. Other population groups, or groups that may not be covered by a DRA will potentially argue for other separate Acts, which only replicates existing inconsistencies and fragmentation. </w:t>
      </w:r>
    </w:p>
    <w:p w14:paraId="7CEEE854" w14:textId="21EE3DB2" w:rsidR="00204739" w:rsidRPr="00204739" w:rsidRDefault="00204739" w:rsidP="00C74146">
      <w:pPr>
        <w:numPr>
          <w:ilvl w:val="0"/>
          <w:numId w:val="10"/>
        </w:numPr>
        <w:spacing w:after="120" w:line="276" w:lineRule="auto"/>
        <w:ind w:left="1276" w:hanging="425"/>
        <w:rPr>
          <w:rFonts w:ascii="Avenir Book" w:hAnsi="Avenir Book"/>
        </w:rPr>
      </w:pPr>
      <w:r w:rsidRPr="00204739">
        <w:rPr>
          <w:rFonts w:ascii="Avenir Book" w:hAnsi="Avenir Book"/>
        </w:rPr>
        <w:lastRenderedPageBreak/>
        <w:t>As outlined in the Final Report,</w:t>
      </w:r>
      <w:r w:rsidR="00E0233E">
        <w:rPr>
          <w:rStyle w:val="EndnoteReference"/>
          <w:rFonts w:ascii="Avenir Book" w:hAnsi="Avenir Book"/>
        </w:rPr>
        <w:endnoteReference w:id="326"/>
      </w:r>
      <w:r w:rsidRPr="00204739">
        <w:rPr>
          <w:rFonts w:ascii="Avenir Book" w:hAnsi="Avenir Book"/>
        </w:rPr>
        <w:t xml:space="preserve"> many people with disability experience intersectional inequality and discrimination, including women and girls with disability, children with disability, older people with disabilities, First Nations people with disability, LGBTIQA+ people with disability and people with disability from culturally and linguistically diverse backgrounds. While the proposed DRA contains some clauses relevant to intersectionality in a few sections, it does not provide the broadest scope for protection against intersectional inequality and discrimination that would be found in a national Human Rights Act. </w:t>
      </w:r>
    </w:p>
    <w:p w14:paraId="7453E48F" w14:textId="3030B4C1" w:rsidR="00204739" w:rsidRPr="00204739" w:rsidRDefault="00204739" w:rsidP="00C74146">
      <w:pPr>
        <w:numPr>
          <w:ilvl w:val="0"/>
          <w:numId w:val="10"/>
        </w:numPr>
        <w:spacing w:after="120" w:line="276" w:lineRule="auto"/>
        <w:ind w:left="1276" w:hanging="425"/>
        <w:rPr>
          <w:rFonts w:ascii="Avenir Book" w:hAnsi="Avenir Book"/>
        </w:rPr>
      </w:pPr>
      <w:r w:rsidRPr="00204739">
        <w:rPr>
          <w:rFonts w:ascii="Avenir Book" w:hAnsi="Avenir Book"/>
        </w:rPr>
        <w:t xml:space="preserve">A comprehensive national Human Rights Act would incorporate civil and political rights and economic, social and cultural rights. While human rights laws in Victoria, Queensland and the ACT predominantly protect civil and political rights, the evidence of poverty and cumulative economic and social disadvantage that was provided to the DRC demonstrates a critical need for the protection of economic, social and cultural rights.  However, the proposed DRA is </w:t>
      </w:r>
      <w:r w:rsidR="00E0233E">
        <w:rPr>
          <w:rFonts w:ascii="Avenir Book" w:hAnsi="Avenir Book"/>
        </w:rPr>
        <w:t xml:space="preserve">also </w:t>
      </w:r>
      <w:r w:rsidRPr="00204739">
        <w:rPr>
          <w:rFonts w:ascii="Avenir Book" w:hAnsi="Avenir Book"/>
        </w:rPr>
        <w:t>predominantly focused on civil and political rights.</w:t>
      </w:r>
    </w:p>
    <w:p w14:paraId="51744081" w14:textId="428BB317" w:rsidR="00204739" w:rsidRPr="00204739" w:rsidRDefault="00204739" w:rsidP="00C74146">
      <w:pPr>
        <w:numPr>
          <w:ilvl w:val="0"/>
          <w:numId w:val="10"/>
        </w:numPr>
        <w:spacing w:line="276" w:lineRule="auto"/>
        <w:ind w:left="1276" w:hanging="425"/>
        <w:rPr>
          <w:rFonts w:ascii="Avenir Book" w:hAnsi="Avenir Book"/>
        </w:rPr>
      </w:pPr>
      <w:r w:rsidRPr="00204739">
        <w:rPr>
          <w:rFonts w:ascii="Avenir Book" w:hAnsi="Avenir Book"/>
        </w:rPr>
        <w:t>The proposed DRA refers to specific actions for First Nations people with disability in some clauses and requires that the Act be interpreted “as far as possible” with UNDRIP.</w:t>
      </w:r>
      <w:r w:rsidR="00E0233E">
        <w:rPr>
          <w:rStyle w:val="EndnoteReference"/>
          <w:rFonts w:ascii="Avenir Book" w:hAnsi="Avenir Book"/>
        </w:rPr>
        <w:endnoteReference w:id="327"/>
      </w:r>
      <w:r w:rsidRPr="00204739">
        <w:rPr>
          <w:rFonts w:ascii="Avenir Book" w:hAnsi="Avenir Book"/>
        </w:rPr>
        <w:t xml:space="preserve"> However, it does not enshrine the specific cultural rights of First Nations people as is proposed by the AHRC.</w:t>
      </w:r>
      <w:r w:rsidR="00E0233E">
        <w:rPr>
          <w:rStyle w:val="EndnoteReference"/>
          <w:rFonts w:ascii="Avenir Book" w:hAnsi="Avenir Book"/>
        </w:rPr>
        <w:endnoteReference w:id="328"/>
      </w:r>
    </w:p>
    <w:p w14:paraId="54400F6B" w14:textId="77777777" w:rsidR="00CF7926" w:rsidRDefault="00CF7926" w:rsidP="00204739">
      <w:pPr>
        <w:ind w:left="851" w:hanging="851"/>
        <w:rPr>
          <w:rFonts w:ascii="Avenir Book" w:hAnsi="Avenir Book"/>
        </w:rPr>
      </w:pPr>
    </w:p>
    <w:p w14:paraId="43020EC5" w14:textId="76E062C2" w:rsidR="00204739" w:rsidRDefault="00204739" w:rsidP="00C74146">
      <w:pPr>
        <w:pStyle w:val="ListParagraph"/>
        <w:numPr>
          <w:ilvl w:val="2"/>
          <w:numId w:val="11"/>
        </w:numPr>
        <w:spacing w:line="276" w:lineRule="auto"/>
        <w:ind w:left="851" w:hanging="851"/>
        <w:rPr>
          <w:rFonts w:ascii="Avenir Book" w:hAnsi="Avenir Book"/>
        </w:rPr>
      </w:pPr>
      <w:r w:rsidRPr="00CF7926">
        <w:rPr>
          <w:rFonts w:ascii="Avenir Book" w:hAnsi="Avenir Book"/>
        </w:rPr>
        <w:t xml:space="preserve">WWDA recognises that there are elements of the proposed DRA that are not included in the AHRC model for a national Human Rights Act but argues that these elements could be assessed for incorporation into a national Human Rights Act.  In particular, the </w:t>
      </w:r>
      <w:r w:rsidR="00CF7926" w:rsidRPr="00CF7926">
        <w:rPr>
          <w:rFonts w:ascii="Avenir Book" w:hAnsi="Avenir Book"/>
        </w:rPr>
        <w:t xml:space="preserve">DRC </w:t>
      </w:r>
      <w:r w:rsidRPr="00CF7926">
        <w:rPr>
          <w:rFonts w:ascii="Avenir Book" w:hAnsi="Avenir Book"/>
        </w:rPr>
        <w:t xml:space="preserve">recommendation for the inclusion of the right to live free from exploitation, violence and abuse </w:t>
      </w:r>
      <w:r w:rsidR="00CF7926" w:rsidRPr="00CF7926">
        <w:rPr>
          <w:rFonts w:ascii="Avenir Book" w:hAnsi="Avenir Book"/>
        </w:rPr>
        <w:t>– recommendation 4.7 -</w:t>
      </w:r>
      <w:r w:rsidRPr="00CF7926">
        <w:rPr>
          <w:rFonts w:ascii="Avenir Book" w:hAnsi="Avenir Book"/>
        </w:rPr>
        <w:t xml:space="preserve"> should be included in a national Human Rights Act.</w:t>
      </w:r>
    </w:p>
    <w:p w14:paraId="7BEAC881" w14:textId="77777777" w:rsidR="00CF7926" w:rsidRPr="00CF7926" w:rsidRDefault="00CF7926" w:rsidP="00CF7926">
      <w:pPr>
        <w:pStyle w:val="ListParagraph"/>
        <w:spacing w:line="276" w:lineRule="auto"/>
        <w:ind w:left="851"/>
        <w:rPr>
          <w:rFonts w:ascii="Avenir Book" w:hAnsi="Avenir Book"/>
        </w:rPr>
      </w:pPr>
    </w:p>
    <w:p w14:paraId="58B5CF9F" w14:textId="23FE1AAA" w:rsidR="00204739" w:rsidRDefault="00204739" w:rsidP="00C74146">
      <w:pPr>
        <w:pStyle w:val="ListParagraph"/>
        <w:numPr>
          <w:ilvl w:val="2"/>
          <w:numId w:val="11"/>
        </w:numPr>
        <w:spacing w:line="276" w:lineRule="auto"/>
        <w:ind w:left="851" w:hanging="851"/>
        <w:rPr>
          <w:rFonts w:ascii="Avenir Book" w:hAnsi="Avenir Book"/>
        </w:rPr>
      </w:pPr>
      <w:r w:rsidRPr="00CF7926">
        <w:rPr>
          <w:rFonts w:ascii="Avenir Book" w:hAnsi="Avenir Book"/>
        </w:rPr>
        <w:t xml:space="preserve">Specifically in relation to the right to liberty and security of person – </w:t>
      </w:r>
      <w:r w:rsidR="00CF7926">
        <w:rPr>
          <w:rFonts w:ascii="Avenir Book" w:hAnsi="Avenir Book"/>
        </w:rPr>
        <w:t xml:space="preserve">DRC </w:t>
      </w:r>
      <w:r w:rsidRPr="00CF7926">
        <w:rPr>
          <w:rFonts w:ascii="Avenir Book" w:hAnsi="Avenir Book"/>
        </w:rPr>
        <w:t xml:space="preserve">recommendation 4.8 – WWDA is concerned about the implications of the proposed provision which states that, “[n]o person with disability may be deprived of liberty, </w:t>
      </w:r>
      <w:r w:rsidRPr="00CF7926">
        <w:rPr>
          <w:rFonts w:ascii="Avenir Book" w:hAnsi="Avenir Book"/>
          <w:i/>
          <w:iCs/>
        </w:rPr>
        <w:t>except on the grounds and in accordance with the procedures established by law</w:t>
      </w:r>
      <w:r w:rsidRPr="00CF7926">
        <w:rPr>
          <w:rFonts w:ascii="Avenir Book" w:hAnsi="Avenir Book"/>
        </w:rPr>
        <w:t>”.</w:t>
      </w:r>
      <w:r w:rsidR="00CF7926">
        <w:rPr>
          <w:rStyle w:val="EndnoteReference"/>
          <w:rFonts w:ascii="Avenir Book" w:hAnsi="Avenir Book"/>
        </w:rPr>
        <w:endnoteReference w:id="329"/>
      </w:r>
      <w:r w:rsidRPr="00CF7926">
        <w:rPr>
          <w:rFonts w:ascii="Avenir Book" w:hAnsi="Avenir Book"/>
        </w:rPr>
        <w:t xml:space="preserve"> As noted in this submission, people with disability are subjected to lawful deprivation of liberty on the basis of impairment, which constitutes violations of article 14 of the CRPD</w:t>
      </w:r>
      <w:r w:rsidR="00CF7926">
        <w:rPr>
          <w:rFonts w:ascii="Avenir Book" w:hAnsi="Avenir Book"/>
        </w:rPr>
        <w:t xml:space="preserve">, in particular </w:t>
      </w:r>
      <w:r w:rsidRPr="00CF7926">
        <w:rPr>
          <w:rFonts w:ascii="Avenir Book" w:hAnsi="Avenir Book"/>
        </w:rPr>
        <w:t xml:space="preserve">deprivation of liberty through mental health laws and justice diversion provisions (see sections </w:t>
      </w:r>
      <w:r w:rsidR="00CF7926">
        <w:rPr>
          <w:rFonts w:ascii="Avenir Book" w:hAnsi="Avenir Book"/>
        </w:rPr>
        <w:t>3.3</w:t>
      </w:r>
      <w:r w:rsidRPr="00CF7926">
        <w:rPr>
          <w:rFonts w:ascii="Avenir Book" w:hAnsi="Avenir Book"/>
        </w:rPr>
        <w:t xml:space="preserve"> and </w:t>
      </w:r>
      <w:r w:rsidR="00CF7926">
        <w:rPr>
          <w:rFonts w:ascii="Avenir Book" w:hAnsi="Avenir Book"/>
        </w:rPr>
        <w:t>3.5</w:t>
      </w:r>
      <w:r w:rsidRPr="00CF7926">
        <w:rPr>
          <w:rFonts w:ascii="Avenir Book" w:hAnsi="Avenir Book"/>
        </w:rPr>
        <w:t xml:space="preserve"> above).  While the wording of this provision reflects the wording in the ICCPR, </w:t>
      </w:r>
      <w:r w:rsidR="00CF7926">
        <w:rPr>
          <w:rFonts w:ascii="Avenir Book" w:hAnsi="Avenir Book"/>
        </w:rPr>
        <w:t xml:space="preserve">and the wording in the AHRC proposal, </w:t>
      </w:r>
      <w:r w:rsidRPr="00CF7926">
        <w:rPr>
          <w:rFonts w:ascii="Avenir Book" w:hAnsi="Avenir Book"/>
        </w:rPr>
        <w:t xml:space="preserve">it does not reflect the wording of the </w:t>
      </w:r>
      <w:r w:rsidRPr="00CF7926">
        <w:rPr>
          <w:rFonts w:ascii="Avenir Book" w:hAnsi="Avenir Book"/>
        </w:rPr>
        <w:lastRenderedPageBreak/>
        <w:t>CRPD which states that “the existence of a disability shall in no case justify a deprivation of liberty”.</w:t>
      </w:r>
      <w:r w:rsidR="00CF7926">
        <w:rPr>
          <w:rStyle w:val="EndnoteReference"/>
          <w:rFonts w:ascii="Avenir Book" w:hAnsi="Avenir Book"/>
        </w:rPr>
        <w:endnoteReference w:id="330"/>
      </w:r>
      <w:r w:rsidRPr="00CF7926">
        <w:rPr>
          <w:rFonts w:ascii="Avenir Book" w:hAnsi="Avenir Book"/>
        </w:rPr>
        <w:t xml:space="preserve"> In relation to liberty and security of person, the wording used in a national Human Rights Act should reflect the wording of the CRPD and be interpreted in line with the CRPD Committee guidelines on article 14. </w:t>
      </w:r>
    </w:p>
    <w:p w14:paraId="2D412859" w14:textId="77777777" w:rsidR="00BC27A6" w:rsidRPr="00BC27A6" w:rsidRDefault="00BC27A6" w:rsidP="00BC27A6">
      <w:pPr>
        <w:spacing w:line="276" w:lineRule="auto"/>
        <w:rPr>
          <w:rFonts w:ascii="Avenir Book" w:hAnsi="Avenir Book"/>
        </w:rPr>
      </w:pPr>
    </w:p>
    <w:p w14:paraId="3CCDED90" w14:textId="00DC90F0" w:rsidR="00204739" w:rsidRPr="00BC27A6" w:rsidRDefault="00204739" w:rsidP="00C74146">
      <w:pPr>
        <w:pStyle w:val="ListParagraph"/>
        <w:numPr>
          <w:ilvl w:val="2"/>
          <w:numId w:val="11"/>
        </w:numPr>
        <w:spacing w:after="120" w:line="276" w:lineRule="auto"/>
        <w:ind w:left="851" w:hanging="851"/>
        <w:contextualSpacing w:val="0"/>
        <w:rPr>
          <w:rFonts w:ascii="Avenir Book" w:hAnsi="Avenir Book"/>
        </w:rPr>
      </w:pPr>
      <w:r w:rsidRPr="00BC27A6">
        <w:rPr>
          <w:rFonts w:ascii="Avenir Book" w:hAnsi="Avenir Book"/>
        </w:rPr>
        <w:t>WWDA does not support the establishment of a National Disability Commission – recommendation 5.5 – for several reasons:</w:t>
      </w:r>
    </w:p>
    <w:p w14:paraId="431F8774" w14:textId="77777777" w:rsidR="00204739" w:rsidRPr="00204739" w:rsidRDefault="00204739" w:rsidP="00C74146">
      <w:pPr>
        <w:numPr>
          <w:ilvl w:val="0"/>
          <w:numId w:val="10"/>
        </w:numPr>
        <w:spacing w:after="120" w:line="276" w:lineRule="auto"/>
        <w:ind w:left="1276" w:hanging="425"/>
        <w:rPr>
          <w:rFonts w:ascii="Avenir Book" w:hAnsi="Avenir Book"/>
        </w:rPr>
      </w:pPr>
      <w:r w:rsidRPr="00204739">
        <w:rPr>
          <w:rFonts w:ascii="Avenir Book" w:hAnsi="Avenir Book"/>
        </w:rPr>
        <w:t xml:space="preserve">The role and functions of the National Disability Commission (NDC) appear to overlap or duplicate the role and functions of the Australian Human Rights Commission. This will contribute to greater confusion and complexity for people with disability, industry and other stakeholders in accessing information, understanding rights and obligations and in lodging or responding to complaints. There is existing complexity in Australian, state and territory anti-discrimination and rights protection mechanisms, and we do not support this being exacerbated.  </w:t>
      </w:r>
    </w:p>
    <w:p w14:paraId="2B9C3453" w14:textId="5E8A17D7" w:rsidR="00204739" w:rsidRPr="00204739" w:rsidRDefault="00204739" w:rsidP="00C74146">
      <w:pPr>
        <w:numPr>
          <w:ilvl w:val="0"/>
          <w:numId w:val="10"/>
        </w:numPr>
        <w:spacing w:after="120" w:line="276" w:lineRule="auto"/>
        <w:ind w:left="1276" w:hanging="425"/>
        <w:rPr>
          <w:rFonts w:ascii="Avenir Book" w:hAnsi="Avenir Book"/>
        </w:rPr>
      </w:pPr>
      <w:r w:rsidRPr="00204739">
        <w:rPr>
          <w:rFonts w:ascii="Avenir Book" w:hAnsi="Avenir Book"/>
        </w:rPr>
        <w:t xml:space="preserve">A separate NDC would segregate disability rights from human rights matters addressed by the AHRC. This is a retrograde step in ensuring recognition that disability rights are human rights, and that people with disability through our representative organisations should be included in human rights activities and mechanisms.  A separate NDC would mean constant referral of disability rights matters to the NDC, when issues, such as the rights of women and girls with disability need to be addressed holistically and intersectionally with other human rights. This has been </w:t>
      </w:r>
      <w:r w:rsidR="005F5A33">
        <w:rPr>
          <w:rFonts w:ascii="Avenir Book" w:hAnsi="Avenir Book"/>
        </w:rPr>
        <w:t>a</w:t>
      </w:r>
      <w:r w:rsidRPr="00204739">
        <w:rPr>
          <w:rFonts w:ascii="Avenir Book" w:hAnsi="Avenir Book"/>
        </w:rPr>
        <w:t xml:space="preserve"> constant and frustrating experience </w:t>
      </w:r>
      <w:r w:rsidR="005F5A33">
        <w:rPr>
          <w:rFonts w:ascii="Avenir Book" w:hAnsi="Avenir Book"/>
        </w:rPr>
        <w:t>for</w:t>
      </w:r>
      <w:r w:rsidRPr="00204739">
        <w:rPr>
          <w:rFonts w:ascii="Avenir Book" w:hAnsi="Avenir Book"/>
        </w:rPr>
        <w:t xml:space="preserve"> WWDA in obtaining recognition within both women’s and disability rights policy and law reform processes.  In addition, the AHRC would be weakened in its ability to work intersectionally across the various areas of its mandate.</w:t>
      </w:r>
    </w:p>
    <w:p w14:paraId="22901D0F" w14:textId="00DF38B4" w:rsidR="00204739" w:rsidRPr="00204739" w:rsidRDefault="00204739" w:rsidP="00C74146">
      <w:pPr>
        <w:numPr>
          <w:ilvl w:val="0"/>
          <w:numId w:val="10"/>
        </w:numPr>
        <w:spacing w:after="120" w:line="276" w:lineRule="auto"/>
        <w:ind w:left="1276" w:hanging="425"/>
        <w:rPr>
          <w:rFonts w:ascii="Avenir Book" w:hAnsi="Avenir Book"/>
        </w:rPr>
      </w:pPr>
      <w:r w:rsidRPr="00204739">
        <w:rPr>
          <w:rFonts w:ascii="Avenir Book" w:hAnsi="Avenir Book"/>
        </w:rPr>
        <w:t>The AHRC is accredited with the Global Alliance of National Human Rights Institutions (GANHRI) as an A-Status national human rights institution (NHRI).</w:t>
      </w:r>
      <w:r w:rsidR="005F5A33">
        <w:rPr>
          <w:rStyle w:val="EndnoteReference"/>
          <w:rFonts w:ascii="Avenir Book" w:hAnsi="Avenir Book"/>
        </w:rPr>
        <w:endnoteReference w:id="331"/>
      </w:r>
      <w:r w:rsidRPr="00204739">
        <w:rPr>
          <w:rFonts w:ascii="Avenir Book" w:hAnsi="Avenir Book"/>
        </w:rPr>
        <w:t xml:space="preserve"> This provides recognition and credibility when monitoring and reporting on Australia’s human rights obligations and participating in UN reviews of Australia under human rights treaties.  A NDC will not have the breadth of mandate required to be able to attain NHRI status, and the A-Status accreditation of the AHRC would be compromised by the removal of disability rights from its mandate.  </w:t>
      </w:r>
    </w:p>
    <w:p w14:paraId="0DB7982D" w14:textId="6EE6C1E2" w:rsidR="00204739" w:rsidRPr="00204739" w:rsidRDefault="005F5A33" w:rsidP="00C74146">
      <w:pPr>
        <w:numPr>
          <w:ilvl w:val="0"/>
          <w:numId w:val="10"/>
        </w:numPr>
        <w:spacing w:line="276" w:lineRule="auto"/>
        <w:ind w:left="1276" w:hanging="425"/>
        <w:rPr>
          <w:rFonts w:ascii="Avenir Book" w:hAnsi="Avenir Book"/>
        </w:rPr>
      </w:pPr>
      <w:r>
        <w:rPr>
          <w:rFonts w:ascii="Avenir Book" w:hAnsi="Avenir Book"/>
        </w:rPr>
        <w:t>The</w:t>
      </w:r>
      <w:r w:rsidR="00204739" w:rsidRPr="00204739">
        <w:rPr>
          <w:rFonts w:ascii="Avenir Book" w:hAnsi="Avenir Book"/>
        </w:rPr>
        <w:t xml:space="preserve"> roles and functions proposed by an NDC could be absorbed by the AHRC with amendments to legislation and the provision of appropriate resources to fulfil an expanded mandate.  In this situation, the role of </w:t>
      </w:r>
      <w:r w:rsidR="00204739" w:rsidRPr="00204739">
        <w:rPr>
          <w:rFonts w:ascii="Avenir Book" w:hAnsi="Avenir Book"/>
        </w:rPr>
        <w:lastRenderedPageBreak/>
        <w:t xml:space="preserve">Disability Discrimination Commissioner </w:t>
      </w:r>
      <w:r>
        <w:rPr>
          <w:rFonts w:ascii="Avenir Book" w:hAnsi="Avenir Book"/>
        </w:rPr>
        <w:t>c</w:t>
      </w:r>
      <w:r w:rsidR="00204739" w:rsidRPr="00204739">
        <w:rPr>
          <w:rFonts w:ascii="Avenir Book" w:hAnsi="Avenir Book"/>
        </w:rPr>
        <w:t xml:space="preserve">ould be renamed ‘Disability Rights Commissioner’. An expanded disability rights mandate for the AHRC would also support formal recognition and resourcing for independent monitoring of implementation of the CRPD in line with article 33(2). </w:t>
      </w:r>
    </w:p>
    <w:p w14:paraId="5755B403" w14:textId="77777777" w:rsidR="00204739" w:rsidRPr="00204739" w:rsidRDefault="00204739" w:rsidP="00BC27A6">
      <w:pPr>
        <w:ind w:left="1276" w:hanging="425"/>
        <w:rPr>
          <w:rFonts w:ascii="Avenir Book" w:hAnsi="Avenir Book"/>
        </w:rPr>
      </w:pPr>
    </w:p>
    <w:p w14:paraId="0DE7C3BD" w14:textId="04AE8D52" w:rsidR="00204739" w:rsidRPr="00204739" w:rsidRDefault="005F5A33" w:rsidP="0025643C">
      <w:pPr>
        <w:spacing w:line="276" w:lineRule="auto"/>
        <w:ind w:left="851" w:hanging="851"/>
        <w:rPr>
          <w:rFonts w:ascii="Avenir Book" w:hAnsi="Avenir Book"/>
        </w:rPr>
      </w:pPr>
      <w:r>
        <w:rPr>
          <w:rFonts w:ascii="Avenir Book" w:hAnsi="Avenir Book"/>
        </w:rPr>
        <w:t>3.10.10</w:t>
      </w:r>
      <w:r>
        <w:rPr>
          <w:rFonts w:ascii="Avenir Book" w:hAnsi="Avenir Book"/>
        </w:rPr>
        <w:tab/>
      </w:r>
      <w:r w:rsidR="00204739" w:rsidRPr="00204739">
        <w:rPr>
          <w:rFonts w:ascii="Avenir Book" w:hAnsi="Avenir Book"/>
        </w:rPr>
        <w:t xml:space="preserve">WWDA generally supports the recommendations to strengthen the </w:t>
      </w:r>
      <w:r w:rsidR="00204739" w:rsidRPr="00204739">
        <w:rPr>
          <w:rFonts w:ascii="Avenir Book" w:hAnsi="Avenir Book"/>
          <w:i/>
          <w:iCs/>
        </w:rPr>
        <w:t>Disability Discrimination Act 1992</w:t>
      </w:r>
      <w:r w:rsidR="00204739" w:rsidRPr="00204739">
        <w:rPr>
          <w:rFonts w:ascii="Avenir Book" w:hAnsi="Avenir Book"/>
        </w:rPr>
        <w:t xml:space="preserve"> (DDA) – recommendations 4.22 - 4.34 – but notes our concerns in relation to recommendation 4.3</w:t>
      </w:r>
      <w:r w:rsidR="000A0719">
        <w:rPr>
          <w:rFonts w:ascii="Avenir Book" w:hAnsi="Avenir Book"/>
        </w:rPr>
        <w:t>1</w:t>
      </w:r>
      <w:r w:rsidR="00204739" w:rsidRPr="00204739">
        <w:rPr>
          <w:rFonts w:ascii="Avenir Book" w:hAnsi="Avenir Book"/>
        </w:rPr>
        <w:t xml:space="preserve"> outlined in </w:t>
      </w:r>
      <w:r>
        <w:rPr>
          <w:rFonts w:ascii="Avenir Book" w:hAnsi="Avenir Book"/>
        </w:rPr>
        <w:t xml:space="preserve">the above </w:t>
      </w:r>
      <w:r w:rsidR="00204739" w:rsidRPr="00204739">
        <w:rPr>
          <w:rFonts w:ascii="Avenir Book" w:hAnsi="Avenir Book"/>
        </w:rPr>
        <w:t xml:space="preserve">section </w:t>
      </w:r>
      <w:r>
        <w:rPr>
          <w:rFonts w:ascii="Avenir Book" w:hAnsi="Avenir Book"/>
        </w:rPr>
        <w:t>3.</w:t>
      </w:r>
      <w:r w:rsidR="00204739" w:rsidRPr="00204739">
        <w:rPr>
          <w:rFonts w:ascii="Avenir Book" w:hAnsi="Avenir Book"/>
        </w:rPr>
        <w:t xml:space="preserve">6, </w:t>
      </w:r>
      <w:r>
        <w:rPr>
          <w:rFonts w:ascii="Avenir Book" w:hAnsi="Avenir Book"/>
        </w:rPr>
        <w:t>End discrimination against migrants and refugees with disability</w:t>
      </w:r>
      <w:r w:rsidR="00204739" w:rsidRPr="00204739">
        <w:rPr>
          <w:rFonts w:ascii="Avenir Book" w:hAnsi="Avenir Book"/>
        </w:rPr>
        <w:t xml:space="preserve">.  In relation to recommendations 4.33 and 4.34, we highlight the lack of accuracy in the titles of treaties which creates interpretative </w:t>
      </w:r>
      <w:r w:rsidRPr="00204739">
        <w:rPr>
          <w:rFonts w:ascii="Avenir Book" w:hAnsi="Avenir Book"/>
        </w:rPr>
        <w:t>ambiguity,</w:t>
      </w:r>
      <w:r w:rsidR="00204739" w:rsidRPr="00204739">
        <w:rPr>
          <w:rFonts w:ascii="Avenir Book" w:hAnsi="Avenir Book"/>
        </w:rPr>
        <w:t xml:space="preserve"> and which needs to be addressed. There is reference to “the Disabilities Convention” </w:t>
      </w:r>
      <w:r>
        <w:rPr>
          <w:rFonts w:ascii="Avenir Book" w:hAnsi="Avenir Book"/>
        </w:rPr>
        <w:t>in recommendations 4.33 and</w:t>
      </w:r>
      <w:r w:rsidR="00204739" w:rsidRPr="00204739">
        <w:rPr>
          <w:rFonts w:ascii="Avenir Book" w:hAnsi="Avenir Book"/>
        </w:rPr>
        <w:t xml:space="preserve"> 4.34, </w:t>
      </w:r>
      <w:r>
        <w:rPr>
          <w:rFonts w:ascii="Avenir Book" w:hAnsi="Avenir Book"/>
        </w:rPr>
        <w:t>reference to</w:t>
      </w:r>
      <w:r w:rsidR="00204739" w:rsidRPr="00204739">
        <w:rPr>
          <w:rFonts w:ascii="Avenir Book" w:hAnsi="Avenir Book"/>
        </w:rPr>
        <w:t xml:space="preserve"> “the Convention” </w:t>
      </w:r>
      <w:r>
        <w:rPr>
          <w:rFonts w:ascii="Avenir Book" w:hAnsi="Avenir Book"/>
        </w:rPr>
        <w:t xml:space="preserve">in recommendation </w:t>
      </w:r>
      <w:r w:rsidR="00204739" w:rsidRPr="00204739">
        <w:rPr>
          <w:rFonts w:ascii="Avenir Book" w:hAnsi="Avenir Book"/>
        </w:rPr>
        <w:t>4.34 and omission of the work ‘International’ before the Covenant on Civil and Political Rights</w:t>
      </w:r>
      <w:r>
        <w:rPr>
          <w:rFonts w:ascii="Avenir Book" w:hAnsi="Avenir Book"/>
        </w:rPr>
        <w:t xml:space="preserve"> in recommendation 4.34</w:t>
      </w:r>
      <w:r w:rsidR="00204739" w:rsidRPr="00204739">
        <w:rPr>
          <w:rFonts w:ascii="Avenir Book" w:hAnsi="Avenir Book"/>
        </w:rPr>
        <w:t xml:space="preserve">. </w:t>
      </w:r>
    </w:p>
    <w:p w14:paraId="0F4CEBAD" w14:textId="77777777" w:rsidR="00204739" w:rsidRPr="00204739" w:rsidRDefault="00204739" w:rsidP="00204739">
      <w:pPr>
        <w:ind w:left="851" w:hanging="851"/>
        <w:rPr>
          <w:rFonts w:ascii="Avenir Book" w:hAnsi="Avenir Book"/>
        </w:rPr>
      </w:pPr>
    </w:p>
    <w:p w14:paraId="4352C81F" w14:textId="77777777" w:rsidR="005F5A33" w:rsidRPr="00D1352E" w:rsidRDefault="005F5A33" w:rsidP="005F5A33">
      <w:pPr>
        <w:spacing w:after="120" w:line="276" w:lineRule="auto"/>
        <w:rPr>
          <w:rFonts w:asciiTheme="minorHAnsi" w:hAnsiTheme="minorHAnsi" w:cstheme="minorHAnsi"/>
          <w:b/>
          <w:color w:val="7030A0"/>
        </w:rPr>
      </w:pPr>
      <w:r w:rsidRPr="00D1352E">
        <w:rPr>
          <w:rFonts w:ascii="Avenir Book" w:hAnsi="Avenir Book" w:cstheme="minorHAnsi"/>
          <w:b/>
          <w:color w:val="AC1F79"/>
        </w:rPr>
        <w:t>Preliminary Recommendations</w:t>
      </w:r>
    </w:p>
    <w:p w14:paraId="3403BC84" w14:textId="54A5E0DE" w:rsidR="005F5A33" w:rsidRDefault="00090896" w:rsidP="00C74146">
      <w:pPr>
        <w:pStyle w:val="ListParagraph"/>
        <w:numPr>
          <w:ilvl w:val="0"/>
          <w:numId w:val="10"/>
        </w:numPr>
        <w:spacing w:after="120" w:line="276" w:lineRule="auto"/>
        <w:ind w:left="425" w:hanging="425"/>
        <w:contextualSpacing w:val="0"/>
        <w:rPr>
          <w:rFonts w:ascii="Avenir Book" w:hAnsi="Avenir Book"/>
        </w:rPr>
      </w:pPr>
      <w:r>
        <w:rPr>
          <w:rFonts w:ascii="Avenir Book" w:hAnsi="Avenir Book"/>
        </w:rPr>
        <w:t>Defer consideration of the DRC recommendation</w:t>
      </w:r>
      <w:r w:rsidR="006E3DFD">
        <w:rPr>
          <w:rFonts w:ascii="Avenir Book" w:hAnsi="Avenir Book"/>
        </w:rPr>
        <w:t xml:space="preserve"> 4.1 for the establishment of a Disability Rights Act until the </w:t>
      </w:r>
      <w:r w:rsidR="006E3DFD" w:rsidRPr="006130F5">
        <w:rPr>
          <w:rFonts w:ascii="Avenir Book" w:hAnsi="Avenir Book"/>
        </w:rPr>
        <w:t xml:space="preserve">Parliamentary Joint Committee on Human Rights (PJCHR) </w:t>
      </w:r>
      <w:r w:rsidR="006E3DFD">
        <w:rPr>
          <w:rFonts w:ascii="Avenir Book" w:hAnsi="Avenir Book"/>
        </w:rPr>
        <w:t xml:space="preserve">has released its report, due on 31 March 2024. </w:t>
      </w:r>
    </w:p>
    <w:p w14:paraId="602510C1" w14:textId="671FD2C4" w:rsidR="006E3DFD" w:rsidRDefault="006E3DFD" w:rsidP="00C74146">
      <w:pPr>
        <w:pStyle w:val="ListParagraph"/>
        <w:numPr>
          <w:ilvl w:val="0"/>
          <w:numId w:val="10"/>
        </w:numPr>
        <w:spacing w:after="120" w:line="276" w:lineRule="auto"/>
        <w:ind w:left="425" w:hanging="425"/>
        <w:contextualSpacing w:val="0"/>
        <w:rPr>
          <w:rFonts w:ascii="Avenir Book" w:hAnsi="Avenir Book"/>
        </w:rPr>
      </w:pPr>
      <w:r>
        <w:rPr>
          <w:rFonts w:ascii="Avenir Book" w:hAnsi="Avenir Book"/>
        </w:rPr>
        <w:t xml:space="preserve">Integrate DRC recommendations for a Disability Rights Act into </w:t>
      </w:r>
      <w:r w:rsidRPr="00204739">
        <w:rPr>
          <w:rFonts w:ascii="Avenir Book" w:hAnsi="Avenir Book"/>
        </w:rPr>
        <w:t>a comprehensive, judicially enforceable Human Rights Act that incorporates Australia’s obligations under the CRPD</w:t>
      </w:r>
      <w:r>
        <w:rPr>
          <w:rFonts w:ascii="Avenir Book" w:hAnsi="Avenir Book"/>
        </w:rPr>
        <w:t xml:space="preserve">, under </w:t>
      </w:r>
      <w:r w:rsidRPr="00204739">
        <w:rPr>
          <w:rFonts w:ascii="Avenir Book" w:hAnsi="Avenir Book"/>
        </w:rPr>
        <w:t>other human rights treaties</w:t>
      </w:r>
      <w:r>
        <w:rPr>
          <w:rFonts w:ascii="Avenir Book" w:hAnsi="Avenir Book"/>
        </w:rPr>
        <w:t xml:space="preserve"> and under UNDRIP. </w:t>
      </w:r>
    </w:p>
    <w:p w14:paraId="683011D4" w14:textId="11BDA051" w:rsidR="00154089" w:rsidRDefault="00154089" w:rsidP="00C74146">
      <w:pPr>
        <w:pStyle w:val="ListParagraph"/>
        <w:numPr>
          <w:ilvl w:val="0"/>
          <w:numId w:val="10"/>
        </w:numPr>
        <w:spacing w:after="120" w:line="276" w:lineRule="auto"/>
        <w:ind w:left="425" w:hanging="425"/>
        <w:contextualSpacing w:val="0"/>
        <w:rPr>
          <w:rFonts w:ascii="Avenir Book" w:hAnsi="Avenir Book"/>
        </w:rPr>
      </w:pPr>
      <w:r>
        <w:rPr>
          <w:rFonts w:ascii="Avenir Book" w:hAnsi="Avenir Book"/>
        </w:rPr>
        <w:t>Ensure the right to liberty and security of person in a national Human Rights Act is in line with the CRPD.</w:t>
      </w:r>
    </w:p>
    <w:p w14:paraId="6495CF80" w14:textId="57A5039F" w:rsidR="006E3DFD" w:rsidRDefault="006E3DFD" w:rsidP="00C74146">
      <w:pPr>
        <w:pStyle w:val="ListParagraph"/>
        <w:numPr>
          <w:ilvl w:val="0"/>
          <w:numId w:val="10"/>
        </w:numPr>
        <w:spacing w:after="120" w:line="276" w:lineRule="auto"/>
        <w:ind w:left="425" w:hanging="425"/>
        <w:contextualSpacing w:val="0"/>
        <w:rPr>
          <w:rFonts w:ascii="Avenir Book" w:hAnsi="Avenir Book"/>
        </w:rPr>
      </w:pPr>
      <w:r>
        <w:rPr>
          <w:rFonts w:ascii="Avenir Book" w:hAnsi="Avenir Book"/>
        </w:rPr>
        <w:t xml:space="preserve">Expand the role and functions of the Australian Human Rights Commission (AHRC) and the Disability Discrimination Commissioner </w:t>
      </w:r>
      <w:r w:rsidR="000A0719">
        <w:rPr>
          <w:rFonts w:ascii="Avenir Book" w:hAnsi="Avenir Book"/>
        </w:rPr>
        <w:t xml:space="preserve">(DDC) </w:t>
      </w:r>
      <w:r>
        <w:rPr>
          <w:rFonts w:ascii="Avenir Book" w:hAnsi="Avenir Book"/>
        </w:rPr>
        <w:t>to include a disability rights mandate, including by designating the AHRC as an independent monitoring mechanism of CRPD implementation in line with article 33(2)</w:t>
      </w:r>
      <w:r w:rsidR="000A0719">
        <w:rPr>
          <w:rFonts w:ascii="Avenir Book" w:hAnsi="Avenir Book"/>
        </w:rPr>
        <w:t>, and renaming the DDC as Disability Rights Commissioner (DRC)</w:t>
      </w:r>
      <w:r>
        <w:rPr>
          <w:rFonts w:ascii="Avenir Book" w:hAnsi="Avenir Book"/>
        </w:rPr>
        <w:t>.</w:t>
      </w:r>
    </w:p>
    <w:p w14:paraId="101026EC" w14:textId="4B7D0C78" w:rsidR="006E3DFD" w:rsidRDefault="006E3DFD" w:rsidP="00C74146">
      <w:pPr>
        <w:pStyle w:val="ListParagraph"/>
        <w:numPr>
          <w:ilvl w:val="0"/>
          <w:numId w:val="10"/>
        </w:numPr>
        <w:spacing w:after="120" w:line="276" w:lineRule="auto"/>
        <w:ind w:left="425" w:hanging="425"/>
        <w:contextualSpacing w:val="0"/>
        <w:rPr>
          <w:rFonts w:ascii="Avenir Book" w:hAnsi="Avenir Book"/>
        </w:rPr>
      </w:pPr>
      <w:r>
        <w:rPr>
          <w:rFonts w:ascii="Avenir Book" w:hAnsi="Avenir Book"/>
        </w:rPr>
        <w:t xml:space="preserve">Provide appropriate resourcing for the AHRC </w:t>
      </w:r>
      <w:r w:rsidR="000A0719">
        <w:rPr>
          <w:rFonts w:ascii="Avenir Book" w:hAnsi="Avenir Book"/>
        </w:rPr>
        <w:t>and the DRC to perform expanded roles.</w:t>
      </w:r>
    </w:p>
    <w:p w14:paraId="02742347" w14:textId="67257E9F" w:rsidR="00204739" w:rsidRPr="00154089" w:rsidRDefault="000A0719" w:rsidP="00C74146">
      <w:pPr>
        <w:pStyle w:val="ListParagraph"/>
        <w:numPr>
          <w:ilvl w:val="0"/>
          <w:numId w:val="10"/>
        </w:numPr>
        <w:spacing w:after="120" w:line="276" w:lineRule="auto"/>
        <w:ind w:left="425" w:hanging="425"/>
        <w:contextualSpacing w:val="0"/>
        <w:rPr>
          <w:rFonts w:ascii="Avenir Book" w:hAnsi="Avenir Book"/>
        </w:rPr>
      </w:pPr>
      <w:r>
        <w:rPr>
          <w:rFonts w:ascii="Avenir Book" w:hAnsi="Avenir Book"/>
        </w:rPr>
        <w:t xml:space="preserve">Implement recommendations </w:t>
      </w:r>
      <w:r w:rsidRPr="00204739">
        <w:rPr>
          <w:rFonts w:ascii="Avenir Book" w:hAnsi="Avenir Book"/>
        </w:rPr>
        <w:t>4.22 - 4.3</w:t>
      </w:r>
      <w:r>
        <w:rPr>
          <w:rFonts w:ascii="Avenir Book" w:hAnsi="Avenir Book"/>
        </w:rPr>
        <w:t>0 and 4.32-4.3</w:t>
      </w:r>
      <w:r w:rsidRPr="00204739">
        <w:rPr>
          <w:rFonts w:ascii="Avenir Book" w:hAnsi="Avenir Book"/>
        </w:rPr>
        <w:t xml:space="preserve">4 </w:t>
      </w:r>
      <w:r>
        <w:rPr>
          <w:rFonts w:ascii="Avenir Book" w:hAnsi="Avenir Book"/>
        </w:rPr>
        <w:t>to revise and strengthen the DDA.</w:t>
      </w:r>
    </w:p>
    <w:p w14:paraId="726ED567" w14:textId="778825D0" w:rsidR="001777B3" w:rsidRPr="00A007ED" w:rsidRDefault="001777B3" w:rsidP="00DF6186">
      <w:pPr>
        <w:pStyle w:val="Heading3"/>
        <w:snapToGrid w:val="0"/>
        <w:spacing w:after="120"/>
        <w:rPr>
          <w:rFonts w:ascii="Avenir Book" w:hAnsi="Avenir Book" w:cstheme="minorHAnsi"/>
          <w:color w:val="000000" w:themeColor="text1"/>
          <w:sz w:val="22"/>
          <w:szCs w:val="22"/>
        </w:rPr>
      </w:pPr>
      <w:r w:rsidRPr="00A007ED">
        <w:rPr>
          <w:rFonts w:ascii="Avenir Book" w:hAnsi="Avenir Book" w:cs="Calibri"/>
          <w:color w:val="AC1F79"/>
        </w:rPr>
        <w:br w:type="page"/>
      </w:r>
    </w:p>
    <w:p w14:paraId="7C28B11D" w14:textId="35BBFF5F" w:rsidR="001777B3" w:rsidRDefault="001777B3" w:rsidP="001777B3">
      <w:pPr>
        <w:pStyle w:val="Heading2"/>
        <w:jc w:val="left"/>
        <w:rPr>
          <w:rFonts w:ascii="Avenir Book" w:hAnsi="Avenir Book" w:cs="Calibri"/>
          <w:color w:val="AC1F79"/>
        </w:rPr>
      </w:pPr>
      <w:bookmarkStart w:id="183" w:name="_Toc156825258"/>
      <w:r>
        <w:rPr>
          <w:rFonts w:ascii="Avenir Book" w:hAnsi="Avenir Book" w:cs="Calibri"/>
          <w:color w:val="AC1F79"/>
        </w:rPr>
        <w:lastRenderedPageBreak/>
        <w:t>Endnotes</w:t>
      </w:r>
      <w:bookmarkEnd w:id="183"/>
    </w:p>
    <w:sectPr w:rsidR="001777B3" w:rsidSect="001B4541">
      <w:footerReference w:type="even" r:id="rId14"/>
      <w:footerReference w:type="default" r:id="rId15"/>
      <w:endnotePr>
        <w:numFmt w:val="decimal"/>
      </w:endnotePr>
      <w:pgSz w:w="11900" w:h="16840"/>
      <w:pgMar w:top="1134" w:right="1134"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91636D" w14:textId="77777777" w:rsidR="00C1594A" w:rsidRDefault="00C1594A" w:rsidP="006811B8">
      <w:r>
        <w:separator/>
      </w:r>
    </w:p>
    <w:p w14:paraId="26A01E0C" w14:textId="77777777" w:rsidR="00C1594A" w:rsidRDefault="00C1594A"/>
  </w:endnote>
  <w:endnote w:type="continuationSeparator" w:id="0">
    <w:p w14:paraId="04B51710" w14:textId="77777777" w:rsidR="00C1594A" w:rsidRDefault="00C1594A" w:rsidP="006811B8">
      <w:r>
        <w:continuationSeparator/>
      </w:r>
    </w:p>
    <w:p w14:paraId="32426514" w14:textId="77777777" w:rsidR="00C1594A" w:rsidRDefault="00C1594A"/>
  </w:endnote>
  <w:endnote w:id="1">
    <w:p w14:paraId="03BD1F10" w14:textId="77777777" w:rsidR="00DC0666" w:rsidRPr="006B3A88" w:rsidRDefault="00DC0666" w:rsidP="00F251AD">
      <w:pPr>
        <w:pStyle w:val="EndnoteText"/>
        <w:rPr>
          <w:rFonts w:ascii="Avenir Book" w:hAnsi="Avenir Book" w:cstheme="minorHAnsi"/>
        </w:rPr>
      </w:pPr>
      <w:r w:rsidRPr="006B3A88">
        <w:rPr>
          <w:rStyle w:val="EndnoteReference"/>
          <w:rFonts w:ascii="Avenir Book" w:hAnsi="Avenir Book" w:cstheme="minorHAnsi"/>
        </w:rPr>
        <w:endnoteRef/>
      </w:r>
      <w:r w:rsidRPr="006B3A88">
        <w:rPr>
          <w:rFonts w:ascii="Avenir Book" w:hAnsi="Avenir Book" w:cstheme="minorHAnsi"/>
        </w:rPr>
        <w:t xml:space="preserve"> This reflects obligations under article 4(3) of the CRPD. See section 8 of this submission, </w:t>
      </w:r>
      <w:r w:rsidRPr="006B3A88">
        <w:rPr>
          <w:rFonts w:ascii="Avenir Book" w:hAnsi="Avenir Book" w:cstheme="minorHAnsi"/>
          <w:i/>
          <w:iCs/>
        </w:rPr>
        <w:t>Ensure full participation of people with disability including through their representative organisations in all matters that affect them</w:t>
      </w:r>
      <w:r w:rsidRPr="006B3A88">
        <w:rPr>
          <w:rFonts w:ascii="Avenir Book" w:hAnsi="Avenir Book" w:cstheme="minorHAnsi"/>
        </w:rPr>
        <w:t xml:space="preserve">. This overarching recommendation also recognises that analysis and response to the 222 recommendations and the 12 volumes of the Final Report is an extensive and time intensive task, which was not possible to undertake for the purpose of this submission. </w:t>
      </w:r>
    </w:p>
  </w:endnote>
  <w:endnote w:id="2">
    <w:p w14:paraId="2A805988" w14:textId="77777777" w:rsidR="00B54DE9" w:rsidRPr="006B3A88" w:rsidRDefault="00B54DE9" w:rsidP="00F251AD">
      <w:pPr>
        <w:pStyle w:val="EndnoteText"/>
        <w:rPr>
          <w:rFonts w:ascii="Avenir Book" w:hAnsi="Avenir Book" w:cstheme="minorHAnsi"/>
        </w:rPr>
      </w:pPr>
      <w:r w:rsidRPr="006B3A88">
        <w:rPr>
          <w:rStyle w:val="EndnoteReference"/>
          <w:rFonts w:ascii="Avenir Book" w:hAnsi="Avenir Book" w:cstheme="minorHAnsi"/>
        </w:rPr>
        <w:endnoteRef/>
      </w:r>
      <w:r w:rsidRPr="006B3A88">
        <w:rPr>
          <w:rFonts w:ascii="Avenir Book" w:hAnsi="Avenir Book" w:cstheme="minorHAnsi"/>
        </w:rPr>
        <w:t xml:space="preserve"> Dr Claire Spivakovsky (The University of Melbourne), Associate Professor Linda Steele (University of Technology Sydney), Associate Professor Dinesh Wadiwel (The University of Sydney), op. cit. See also: Cortis, N., Smyth, C. and Katz, I. (2023). Reducing restrictive practices: A review of evidence based alternatives. Report for the Royal Commission into Violence, Abuse, Neglect and Exploitation of People with Disability. Sydney: UNSW Social Policy Research Centre.</w:t>
      </w:r>
    </w:p>
  </w:endnote>
  <w:endnote w:id="3">
    <w:p w14:paraId="18F77114" w14:textId="77777777" w:rsidR="00B54DE9" w:rsidRPr="006B3A88" w:rsidRDefault="00B54DE9" w:rsidP="00F251AD">
      <w:pPr>
        <w:pStyle w:val="EndnoteText"/>
        <w:rPr>
          <w:rFonts w:ascii="Avenir Book" w:hAnsi="Avenir Book"/>
          <w:lang w:val="en-AU"/>
        </w:rPr>
      </w:pPr>
      <w:r w:rsidRPr="006B3A88">
        <w:rPr>
          <w:rStyle w:val="EndnoteReference"/>
          <w:rFonts w:ascii="Avenir Book" w:hAnsi="Avenir Book"/>
        </w:rPr>
        <w:endnoteRef/>
      </w:r>
      <w:r w:rsidRPr="006B3A88">
        <w:rPr>
          <w:rFonts w:ascii="Avenir Book" w:hAnsi="Avenir Book"/>
        </w:rPr>
        <w:t xml:space="preserve"> </w:t>
      </w:r>
      <w:r w:rsidRPr="006B3A88">
        <w:rPr>
          <w:rFonts w:ascii="Avenir Book" w:hAnsi="Avenir Book"/>
          <w:lang w:val="en-AU"/>
        </w:rPr>
        <w:t xml:space="preserve">For guidance in repealing or amending mental health legislation, policy and practice, see </w:t>
      </w:r>
      <w:r w:rsidRPr="006B3A88">
        <w:rPr>
          <w:rFonts w:ascii="Avenir Book" w:hAnsi="Avenir Book" w:cstheme="minorHAnsi"/>
        </w:rPr>
        <w:t>World Health Organisation, ‘</w:t>
      </w:r>
      <w:hyperlink r:id="rId1" w:history="1">
        <w:r w:rsidRPr="006B3A88">
          <w:rPr>
            <w:rStyle w:val="Hyperlink"/>
            <w:rFonts w:ascii="Avenir Book" w:hAnsi="Avenir Book" w:cstheme="minorHAnsi"/>
          </w:rPr>
          <w:t>Mental health, human rights and legislation: guidance and practice</w:t>
        </w:r>
      </w:hyperlink>
      <w:r w:rsidRPr="006B3A88">
        <w:rPr>
          <w:rFonts w:ascii="Avenir Book" w:hAnsi="Avenir Book" w:cstheme="minorHAnsi"/>
        </w:rPr>
        <w:t>’, Geneva 2023, World Health Organisation and United Nations (represented by the Office of the United Nations High Commissioner for Human Rights).</w:t>
      </w:r>
    </w:p>
  </w:endnote>
  <w:endnote w:id="4">
    <w:p w14:paraId="67B9C85B" w14:textId="77777777" w:rsidR="00B54DE9" w:rsidRPr="006B3A88" w:rsidRDefault="00B54DE9" w:rsidP="00F251AD">
      <w:pPr>
        <w:pStyle w:val="EndnoteText"/>
        <w:rPr>
          <w:rFonts w:ascii="Avenir Book" w:hAnsi="Avenir Book"/>
          <w:lang w:val="en-AU"/>
        </w:rPr>
      </w:pPr>
      <w:r w:rsidRPr="006B3A88">
        <w:rPr>
          <w:rStyle w:val="EndnoteReference"/>
          <w:rFonts w:ascii="Avenir Book" w:hAnsi="Avenir Book"/>
        </w:rPr>
        <w:endnoteRef/>
      </w:r>
      <w:r w:rsidRPr="006B3A88">
        <w:rPr>
          <w:rFonts w:ascii="Avenir Book" w:hAnsi="Avenir Book"/>
        </w:rPr>
        <w:t xml:space="preserve"> For actions and measures to recognise and respect the right to bodily integrity of intersex people, see, the Joint statement by the Australian and Aotearoa/New Zealand intersex community organisations and independent advocates, ‘</w:t>
      </w:r>
      <w:hyperlink r:id="rId2" w:history="1">
        <w:r w:rsidRPr="006B3A88">
          <w:rPr>
            <w:rStyle w:val="Hyperlink"/>
            <w:rFonts w:ascii="Avenir Book" w:hAnsi="Avenir Book"/>
          </w:rPr>
          <w:t>Darlington Statement</w:t>
        </w:r>
      </w:hyperlink>
      <w:r w:rsidRPr="006B3A88">
        <w:rPr>
          <w:rFonts w:ascii="Avenir Book" w:hAnsi="Avenir Book"/>
        </w:rPr>
        <w:t xml:space="preserve">’ (March 2017). Also see, </w:t>
      </w:r>
      <w:hyperlink r:id="rId3" w:history="1">
        <w:r w:rsidRPr="006B3A88">
          <w:rPr>
            <w:rStyle w:val="Hyperlink"/>
            <w:rFonts w:ascii="Avenir Book" w:hAnsi="Avenir Book"/>
          </w:rPr>
          <w:t>Intersex Human Rights Australia</w:t>
        </w:r>
      </w:hyperlink>
      <w:r w:rsidRPr="006B3A88">
        <w:rPr>
          <w:rFonts w:ascii="Avenir Book" w:hAnsi="Avenir Book"/>
        </w:rPr>
        <w:t>.</w:t>
      </w:r>
    </w:p>
  </w:endnote>
  <w:endnote w:id="5">
    <w:p w14:paraId="5D483ED2" w14:textId="77777777" w:rsidR="00B54DE9" w:rsidRPr="006B3A88" w:rsidRDefault="00B54DE9" w:rsidP="00F251AD">
      <w:pPr>
        <w:pStyle w:val="EndnoteText"/>
        <w:rPr>
          <w:rFonts w:ascii="Avenir Book" w:hAnsi="Avenir Book"/>
          <w:lang w:val="en-AU"/>
        </w:rPr>
      </w:pPr>
      <w:r w:rsidRPr="006B3A88">
        <w:rPr>
          <w:rStyle w:val="EndnoteReference"/>
          <w:rFonts w:ascii="Avenir Book" w:hAnsi="Avenir Book"/>
        </w:rPr>
        <w:endnoteRef/>
      </w:r>
      <w:r w:rsidRPr="006B3A88">
        <w:rPr>
          <w:rFonts w:ascii="Avenir Book" w:hAnsi="Avenir Book"/>
        </w:rPr>
        <w:t xml:space="preserve"> </w:t>
      </w:r>
      <w:r w:rsidRPr="006B3A88">
        <w:rPr>
          <w:rFonts w:ascii="Avenir Book" w:hAnsi="Avenir Book"/>
          <w:lang w:val="en-AU"/>
        </w:rPr>
        <w:t>Australian Human Rights Commission (AHRC), ‘</w:t>
      </w:r>
      <w:hyperlink r:id="rId4" w:history="1">
        <w:r w:rsidRPr="006B3A88">
          <w:rPr>
            <w:rStyle w:val="Hyperlink"/>
            <w:rFonts w:ascii="Avenir Book" w:hAnsi="Avenir Book"/>
            <w:lang w:val="en-AU"/>
          </w:rPr>
          <w:t>Ensuring health and bodily integrity: towards a human rights approach for people born with variations in sex characteristics</w:t>
        </w:r>
      </w:hyperlink>
      <w:r w:rsidRPr="006B3A88">
        <w:rPr>
          <w:rFonts w:ascii="Avenir Book" w:hAnsi="Avenir Book"/>
          <w:lang w:val="en-AU"/>
        </w:rPr>
        <w:t>’ (October 2021) AHRC 2021.</w:t>
      </w:r>
    </w:p>
  </w:endnote>
  <w:endnote w:id="6">
    <w:p w14:paraId="3CD6BC01" w14:textId="77777777" w:rsidR="00AC7079" w:rsidRPr="006B3A88" w:rsidRDefault="00AC7079" w:rsidP="00F251AD">
      <w:pPr>
        <w:pStyle w:val="EndnoteText"/>
        <w:rPr>
          <w:rFonts w:ascii="Avenir Book" w:hAnsi="Avenir Book"/>
          <w:lang w:val="en-AU"/>
        </w:rPr>
      </w:pPr>
      <w:r w:rsidRPr="006B3A88">
        <w:rPr>
          <w:rStyle w:val="EndnoteReference"/>
          <w:rFonts w:ascii="Avenir Book" w:hAnsi="Avenir Book"/>
        </w:rPr>
        <w:endnoteRef/>
      </w:r>
      <w:r w:rsidRPr="006B3A88">
        <w:rPr>
          <w:rFonts w:ascii="Avenir Book" w:hAnsi="Avenir Book"/>
        </w:rPr>
        <w:t xml:space="preserve"> </w:t>
      </w:r>
      <w:r w:rsidRPr="006B3A88">
        <w:rPr>
          <w:rFonts w:ascii="Avenir Book" w:hAnsi="Avenir Book" w:cstheme="minorHAnsi"/>
        </w:rPr>
        <w:t>Women With Disabilities Australia (WWDA) (2022), ‘Submission on Sexual and Reproductive Rights of Women and Girls with Disability to the Royal Commission into Violence, Abuse, Neglect and Exploitation of People with Disability’, WWDA, Hobart</w:t>
      </w:r>
    </w:p>
  </w:endnote>
  <w:endnote w:id="7">
    <w:p w14:paraId="14F75965" w14:textId="77777777" w:rsidR="00AC7079" w:rsidRPr="006B3A88" w:rsidRDefault="00AC7079" w:rsidP="00F251AD">
      <w:pPr>
        <w:pStyle w:val="EndnoteText"/>
        <w:rPr>
          <w:rFonts w:ascii="Avenir Book" w:hAnsi="Avenir Book"/>
          <w:lang w:val="en-AU"/>
        </w:rPr>
      </w:pPr>
      <w:r w:rsidRPr="006B3A88">
        <w:rPr>
          <w:rStyle w:val="EndnoteReference"/>
          <w:rFonts w:ascii="Avenir Book" w:hAnsi="Avenir Book"/>
        </w:rPr>
        <w:endnoteRef/>
      </w:r>
      <w:r w:rsidRPr="006B3A88">
        <w:rPr>
          <w:rFonts w:ascii="Avenir Book" w:hAnsi="Avenir Book"/>
        </w:rPr>
        <w:t xml:space="preserve"> </w:t>
      </w:r>
      <w:r w:rsidRPr="006B3A88">
        <w:rPr>
          <w:rFonts w:ascii="Avenir Book" w:hAnsi="Avenir Book"/>
          <w:lang w:val="en-AU"/>
        </w:rPr>
        <w:t>Terri Libesman, Paul Gray, Eloise Chandler, Linda Briskman, Aminath Didi and Scott Avery, ‘</w:t>
      </w:r>
      <w:hyperlink r:id="rId5" w:history="1">
        <w:r w:rsidRPr="006B3A88">
          <w:rPr>
            <w:rStyle w:val="Hyperlink"/>
            <w:rFonts w:ascii="Avenir Book" w:hAnsi="Avenir Book"/>
            <w:lang w:val="en-AU"/>
          </w:rPr>
          <w:t>Parents with Disability and their Experiences of Child Protection Systems</w:t>
        </w:r>
      </w:hyperlink>
      <w:r w:rsidRPr="006B3A88">
        <w:rPr>
          <w:rFonts w:ascii="Avenir Book" w:hAnsi="Avenir Book"/>
          <w:lang w:val="en-AU"/>
        </w:rPr>
        <w:t xml:space="preserve">’ (July 2023) Royal Commission into Violence, Abuse, Neglect and Exploitation of People with Disability. </w:t>
      </w:r>
    </w:p>
  </w:endnote>
  <w:endnote w:id="8">
    <w:p w14:paraId="702D21CC" w14:textId="77777777" w:rsidR="00AC7079" w:rsidRPr="006B3A88" w:rsidRDefault="00AC7079" w:rsidP="00F251AD">
      <w:pPr>
        <w:pStyle w:val="EndnoteText"/>
        <w:rPr>
          <w:rFonts w:ascii="Avenir Book" w:hAnsi="Avenir Book" w:cstheme="minorHAnsi"/>
        </w:rPr>
      </w:pPr>
      <w:r w:rsidRPr="006B3A88">
        <w:rPr>
          <w:rStyle w:val="EndnoteReference"/>
          <w:rFonts w:ascii="Avenir Book" w:hAnsi="Avenir Book" w:cstheme="minorHAnsi"/>
        </w:rPr>
        <w:endnoteRef/>
      </w:r>
      <w:r w:rsidRPr="006B3A88">
        <w:rPr>
          <w:rFonts w:ascii="Avenir Book" w:hAnsi="Avenir Book" w:cstheme="minorHAnsi"/>
        </w:rPr>
        <w:t xml:space="preserve"> See </w:t>
      </w:r>
      <w:hyperlink r:id="rId6" w:history="1">
        <w:r w:rsidRPr="006B3A88">
          <w:rPr>
            <w:rStyle w:val="Hyperlink"/>
            <w:rFonts w:ascii="Avenir Book" w:hAnsi="Avenir Book" w:cstheme="minorHAnsi"/>
            <w:i/>
            <w:iCs/>
          </w:rPr>
          <w:t>National Disability Insurance Agency v WRMF</w:t>
        </w:r>
      </w:hyperlink>
      <w:r w:rsidRPr="006B3A88">
        <w:rPr>
          <w:rFonts w:ascii="Avenir Book" w:hAnsi="Avenir Book" w:cstheme="minorHAnsi"/>
        </w:rPr>
        <w:t xml:space="preserve"> [2020] FCAFC 79. Also see: People with Disability Australia, ‘</w:t>
      </w:r>
      <w:hyperlink r:id="rId7" w:history="1">
        <w:r w:rsidRPr="006B3A88">
          <w:rPr>
            <w:rStyle w:val="Hyperlink"/>
            <w:rFonts w:ascii="Avenir Book" w:hAnsi="Avenir Book" w:cstheme="minorHAnsi"/>
          </w:rPr>
          <w:t>Landmark decision for the right of people with disability to have sex</w:t>
        </w:r>
      </w:hyperlink>
      <w:r w:rsidRPr="006B3A88">
        <w:rPr>
          <w:rFonts w:ascii="Avenir Book" w:hAnsi="Avenir Book" w:cstheme="minorHAnsi"/>
        </w:rPr>
        <w:t xml:space="preserve">’ (Media release, 12 May 2020); Sara Gingold, ‘Sex and the NDIS: the Case That Has Everyone Talking’ (Website article, 20 May 2020), </w:t>
      </w:r>
      <w:r w:rsidRPr="006B3A88">
        <w:rPr>
          <w:rFonts w:ascii="Avenir Book" w:hAnsi="Avenir Book" w:cstheme="minorHAnsi"/>
          <w:i/>
          <w:iCs/>
        </w:rPr>
        <w:t>DSC</w:t>
      </w:r>
      <w:r w:rsidRPr="006B3A88">
        <w:rPr>
          <w:rFonts w:ascii="Avenir Book" w:hAnsi="Avenir Book" w:cstheme="minorHAnsi"/>
        </w:rPr>
        <w:t xml:space="preserve">. </w:t>
      </w:r>
    </w:p>
  </w:endnote>
  <w:endnote w:id="9">
    <w:p w14:paraId="41CC2E2D" w14:textId="77777777" w:rsidR="00AF5FB9" w:rsidRPr="006B3A88" w:rsidRDefault="00AF5FB9" w:rsidP="00F251AD">
      <w:pPr>
        <w:pStyle w:val="EndnoteText"/>
        <w:rPr>
          <w:rFonts w:ascii="Avenir Book" w:hAnsi="Avenir Book"/>
          <w:lang w:val="en-AU"/>
        </w:rPr>
      </w:pPr>
      <w:r w:rsidRPr="006B3A88">
        <w:rPr>
          <w:rStyle w:val="EndnoteReference"/>
          <w:rFonts w:ascii="Avenir Book" w:hAnsi="Avenir Book"/>
        </w:rPr>
        <w:endnoteRef/>
      </w:r>
      <w:r w:rsidRPr="006B3A88">
        <w:rPr>
          <w:rFonts w:ascii="Avenir Book" w:hAnsi="Avenir Book"/>
        </w:rPr>
        <w:t xml:space="preserve"> </w:t>
      </w:r>
      <w:r w:rsidRPr="006B3A88">
        <w:rPr>
          <w:rFonts w:ascii="Avenir Book" w:hAnsi="Avenir Book"/>
          <w:lang w:val="en-AU"/>
        </w:rPr>
        <w:t>See e.g., Change the Record, ‘</w:t>
      </w:r>
      <w:hyperlink r:id="rId8" w:history="1">
        <w:r w:rsidRPr="006B3A88">
          <w:rPr>
            <w:rStyle w:val="Hyperlink"/>
            <w:rFonts w:ascii="Avenir Book" w:hAnsi="Avenir Book"/>
            <w:lang w:val="en-AU"/>
          </w:rPr>
          <w:t>Justice Reinvestment</w:t>
        </w:r>
      </w:hyperlink>
      <w:r w:rsidRPr="006B3A88">
        <w:rPr>
          <w:rFonts w:ascii="Avenir Book" w:hAnsi="Avenir Book"/>
          <w:lang w:val="en-AU"/>
        </w:rPr>
        <w:t xml:space="preserve">’ (Website information). </w:t>
      </w:r>
    </w:p>
  </w:endnote>
  <w:endnote w:id="10">
    <w:p w14:paraId="51143D1A" w14:textId="77777777" w:rsidR="00AF5FB9" w:rsidRPr="006B3A88" w:rsidRDefault="00AF5FB9" w:rsidP="00F251AD">
      <w:pPr>
        <w:pStyle w:val="EndnoteText"/>
        <w:rPr>
          <w:rFonts w:ascii="Avenir Book" w:hAnsi="Avenir Book" w:cstheme="minorHAnsi"/>
        </w:rPr>
      </w:pPr>
      <w:r w:rsidRPr="006B3A88">
        <w:rPr>
          <w:rStyle w:val="EndnoteReference"/>
          <w:rFonts w:ascii="Avenir Book" w:hAnsi="Avenir Book" w:cstheme="minorHAnsi"/>
        </w:rPr>
        <w:endnoteRef/>
      </w:r>
      <w:r w:rsidRPr="006B3A88">
        <w:rPr>
          <w:rFonts w:ascii="Avenir Book" w:hAnsi="Avenir Book" w:cstheme="minorHAnsi"/>
        </w:rPr>
        <w:t xml:space="preserve"> See e.g., </w:t>
      </w:r>
      <w:hyperlink r:id="rId9" w:anchor=":~:text=The%20Royal%20Commission%20was%20established,General%20on%2016%20October%201987." w:history="1">
        <w:r w:rsidRPr="006B3A88">
          <w:rPr>
            <w:rStyle w:val="Hyperlink"/>
            <w:rFonts w:ascii="Avenir Book" w:hAnsi="Avenir Book" w:cstheme="minorHAnsi"/>
          </w:rPr>
          <w:t>Royal Commission into Aboriginal Deaths in Custody</w:t>
        </w:r>
      </w:hyperlink>
      <w:r w:rsidRPr="006B3A88">
        <w:rPr>
          <w:rFonts w:ascii="Avenir Book" w:hAnsi="Avenir Book" w:cstheme="minorHAnsi"/>
        </w:rPr>
        <w:t xml:space="preserve"> (1987-1991); </w:t>
      </w:r>
      <w:hyperlink r:id="rId10" w:history="1">
        <w:r w:rsidRPr="006B3A88">
          <w:rPr>
            <w:rStyle w:val="Hyperlink"/>
            <w:rFonts w:ascii="Avenir Book" w:hAnsi="Avenir Book" w:cstheme="minorHAnsi"/>
          </w:rPr>
          <w:t>Royal Commission into the Protection and Detention of Children in the Northern Territory</w:t>
        </w:r>
      </w:hyperlink>
      <w:r w:rsidRPr="006B3A88">
        <w:rPr>
          <w:rFonts w:ascii="Avenir Book" w:hAnsi="Avenir Book" w:cstheme="minorHAnsi"/>
        </w:rPr>
        <w:t xml:space="preserve"> (2016-2017); </w:t>
      </w:r>
      <w:hyperlink r:id="rId11" w:history="1">
        <w:r w:rsidRPr="006B3A88">
          <w:rPr>
            <w:rStyle w:val="Hyperlink"/>
            <w:rFonts w:ascii="Avenir Book" w:hAnsi="Avenir Book" w:cstheme="minorHAnsi"/>
          </w:rPr>
          <w:t>Commission of Inquiry into the Tasmanian Government’s Responses to Child Sexual Abuse in Institutional Settings</w:t>
        </w:r>
      </w:hyperlink>
      <w:r w:rsidRPr="006B3A88">
        <w:rPr>
          <w:rFonts w:ascii="Avenir Book" w:hAnsi="Avenir Book" w:cstheme="minorHAnsi"/>
        </w:rPr>
        <w:t xml:space="preserve"> (2021-2023); </w:t>
      </w:r>
      <w:hyperlink r:id="rId12" w:history="1">
        <w:r w:rsidRPr="006B3A88">
          <w:rPr>
            <w:rStyle w:val="Hyperlink"/>
            <w:rFonts w:ascii="Avenir Book" w:hAnsi="Avenir Book" w:cstheme="minorHAnsi"/>
          </w:rPr>
          <w:t>Inquiry into Incarceration rates of Aboriginal and Torres Strait Islander peoples</w:t>
        </w:r>
      </w:hyperlink>
      <w:r w:rsidRPr="006B3A88">
        <w:rPr>
          <w:rFonts w:ascii="Avenir Book" w:hAnsi="Avenir Book" w:cstheme="minorHAnsi"/>
        </w:rPr>
        <w:t xml:space="preserve"> (Australian Law Reform Commission, 2017); </w:t>
      </w:r>
      <w:hyperlink r:id="rId13" w:history="1">
        <w:r w:rsidRPr="006B3A88">
          <w:rPr>
            <w:rStyle w:val="Hyperlink"/>
            <w:rFonts w:ascii="Avenir Book" w:hAnsi="Avenir Book" w:cstheme="minorHAnsi"/>
          </w:rPr>
          <w:t>Inquiry into Indefinite detention of people with cognitive and psychiatric impairment in Australia</w:t>
        </w:r>
      </w:hyperlink>
      <w:r w:rsidRPr="006B3A88">
        <w:rPr>
          <w:rFonts w:ascii="Avenir Book" w:hAnsi="Avenir Book" w:cstheme="minorHAnsi"/>
        </w:rPr>
        <w:t xml:space="preserve"> (Senate Community Affairs References Committee, 2016). </w:t>
      </w:r>
    </w:p>
  </w:endnote>
  <w:endnote w:id="11">
    <w:p w14:paraId="7242A25B" w14:textId="77777777" w:rsidR="000E10D1" w:rsidRPr="006B3A88" w:rsidRDefault="000E10D1" w:rsidP="00F251AD">
      <w:pPr>
        <w:pStyle w:val="EndnoteText"/>
        <w:rPr>
          <w:rFonts w:ascii="Avenir Book" w:hAnsi="Avenir Book" w:cstheme="minorHAnsi"/>
        </w:rPr>
      </w:pPr>
      <w:r w:rsidRPr="006B3A88">
        <w:rPr>
          <w:rStyle w:val="EndnoteReference"/>
          <w:rFonts w:ascii="Avenir Book" w:hAnsi="Avenir Book" w:cstheme="minorHAnsi"/>
        </w:rPr>
        <w:endnoteRef/>
      </w:r>
      <w:r w:rsidRPr="006B3A88">
        <w:rPr>
          <w:rFonts w:ascii="Avenir Book" w:hAnsi="Avenir Book" w:cstheme="minorHAnsi"/>
        </w:rPr>
        <w:t xml:space="preserve"> The Welcoming Disability campaign is coordinated by Australian Lawyers for Human Rights and Down Syndrome Australia. </w:t>
      </w:r>
    </w:p>
  </w:endnote>
  <w:endnote w:id="12">
    <w:p w14:paraId="015B6EBB" w14:textId="77777777" w:rsidR="000E10D1" w:rsidRPr="006B3A88" w:rsidRDefault="000E10D1" w:rsidP="00F251AD">
      <w:pPr>
        <w:pStyle w:val="EndnoteText"/>
        <w:rPr>
          <w:rFonts w:ascii="Avenir Book" w:hAnsi="Avenir Book" w:cstheme="minorHAnsi"/>
          <w:lang w:val="en-US"/>
        </w:rPr>
      </w:pPr>
      <w:r w:rsidRPr="006B3A88">
        <w:rPr>
          <w:rStyle w:val="EndnoteReference"/>
          <w:rFonts w:ascii="Avenir Book" w:hAnsi="Avenir Book" w:cstheme="minorHAnsi"/>
        </w:rPr>
        <w:endnoteRef/>
      </w:r>
      <w:r w:rsidRPr="006B3A88">
        <w:rPr>
          <w:rFonts w:ascii="Avenir Book" w:hAnsi="Avenir Book" w:cstheme="minorHAnsi"/>
        </w:rPr>
        <w:t xml:space="preserve"> Welcoming Disability, ‘</w:t>
      </w:r>
      <w:hyperlink r:id="rId14" w:history="1">
        <w:r w:rsidRPr="006B3A88">
          <w:rPr>
            <w:rStyle w:val="Hyperlink"/>
            <w:rFonts w:ascii="Avenir Book" w:hAnsi="Avenir Book" w:cstheme="minorHAnsi"/>
          </w:rPr>
          <w:t>Position Statement on Migration and Disability</w:t>
        </w:r>
      </w:hyperlink>
      <w:r w:rsidRPr="006B3A88">
        <w:rPr>
          <w:rFonts w:ascii="Avenir Book" w:hAnsi="Avenir Book" w:cstheme="minorHAnsi"/>
        </w:rPr>
        <w:t>’ (2 November 2022), Welcoming Disability campaign.</w:t>
      </w:r>
    </w:p>
  </w:endnote>
  <w:endnote w:id="13">
    <w:p w14:paraId="2BB39E2D" w14:textId="77777777" w:rsidR="000E10D1" w:rsidRPr="006B3A88" w:rsidRDefault="000E10D1" w:rsidP="00F251AD">
      <w:pPr>
        <w:pStyle w:val="EndnoteText"/>
        <w:rPr>
          <w:rFonts w:ascii="Avenir Book" w:hAnsi="Avenir Book" w:cstheme="minorHAnsi"/>
        </w:rPr>
      </w:pPr>
      <w:r w:rsidRPr="006B3A88">
        <w:rPr>
          <w:rStyle w:val="EndnoteReference"/>
          <w:rFonts w:ascii="Avenir Book" w:hAnsi="Avenir Book" w:cstheme="minorHAnsi"/>
        </w:rPr>
        <w:endnoteRef/>
      </w:r>
      <w:r w:rsidRPr="006B3A88">
        <w:rPr>
          <w:rFonts w:ascii="Avenir Book" w:hAnsi="Avenir Book" w:cstheme="minorHAnsi"/>
        </w:rPr>
        <w:t xml:space="preserve"> Welcoming Disability, ‘</w:t>
      </w:r>
      <w:hyperlink r:id="rId15" w:history="1">
        <w:r w:rsidRPr="006B3A88">
          <w:rPr>
            <w:rStyle w:val="Hyperlink"/>
            <w:rFonts w:ascii="Avenir Book" w:hAnsi="Avenir Book" w:cstheme="minorHAnsi"/>
          </w:rPr>
          <w:t>Review of Australia’s visa Significant Cost Threshold (SCT)</w:t>
        </w:r>
      </w:hyperlink>
      <w:r w:rsidRPr="006B3A88">
        <w:rPr>
          <w:rFonts w:ascii="Avenir Book" w:hAnsi="Avenir Book" w:cstheme="minorHAnsi"/>
        </w:rPr>
        <w:t>’ (November 2023), Welcoming Disability campaign.</w:t>
      </w:r>
    </w:p>
  </w:endnote>
  <w:endnote w:id="14">
    <w:p w14:paraId="24C7FE91" w14:textId="77777777" w:rsidR="000E10D1" w:rsidRPr="006B3A88" w:rsidRDefault="000E10D1" w:rsidP="00F251AD">
      <w:pPr>
        <w:pStyle w:val="EndnoteText"/>
        <w:rPr>
          <w:rFonts w:ascii="Avenir Book" w:hAnsi="Avenir Book"/>
          <w:lang w:val="en-AU"/>
        </w:rPr>
      </w:pPr>
      <w:r w:rsidRPr="006B3A88">
        <w:rPr>
          <w:rStyle w:val="EndnoteReference"/>
          <w:rFonts w:ascii="Avenir Book" w:hAnsi="Avenir Book"/>
        </w:rPr>
        <w:endnoteRef/>
      </w:r>
      <w:r w:rsidRPr="006B3A88">
        <w:rPr>
          <w:rFonts w:ascii="Avenir Book" w:hAnsi="Avenir Book"/>
        </w:rPr>
        <w:t xml:space="preserve"> </w:t>
      </w:r>
      <w:r w:rsidRPr="006B3A88">
        <w:rPr>
          <w:rFonts w:ascii="Avenir Book" w:hAnsi="Avenir Book"/>
          <w:lang w:val="en-AU"/>
        </w:rPr>
        <w:t>Department of Home Affairs, ‘</w:t>
      </w:r>
      <w:r w:rsidRPr="006B3A88">
        <w:rPr>
          <w:rFonts w:ascii="Avenir Book" w:hAnsi="Avenir Book"/>
          <w:i/>
          <w:iCs/>
          <w:lang w:val="en-AU"/>
        </w:rPr>
        <w:t>Review of Australia’s visa Significant Cost Threshold (SCT</w:t>
      </w:r>
      <w:r w:rsidRPr="006B3A88">
        <w:rPr>
          <w:rFonts w:ascii="Avenir Book" w:hAnsi="Avenir Book"/>
          <w:lang w:val="en-AU"/>
        </w:rPr>
        <w:t>)’ (Website information).</w:t>
      </w:r>
    </w:p>
  </w:endnote>
  <w:endnote w:id="15">
    <w:p w14:paraId="76F27FB5" w14:textId="77777777" w:rsidR="000E10D1" w:rsidRPr="006B3A88" w:rsidRDefault="000E10D1" w:rsidP="00F251AD">
      <w:pPr>
        <w:pStyle w:val="EndnoteText"/>
        <w:rPr>
          <w:rFonts w:ascii="Avenir Book" w:hAnsi="Avenir Book"/>
          <w:lang w:val="en-AU"/>
        </w:rPr>
      </w:pPr>
      <w:r w:rsidRPr="006B3A88">
        <w:rPr>
          <w:rStyle w:val="EndnoteReference"/>
          <w:rFonts w:ascii="Avenir Book" w:hAnsi="Avenir Book"/>
        </w:rPr>
        <w:endnoteRef/>
      </w:r>
      <w:r w:rsidRPr="006B3A88">
        <w:rPr>
          <w:rFonts w:ascii="Avenir Book" w:hAnsi="Avenir Book"/>
        </w:rPr>
        <w:t xml:space="preserve"> </w:t>
      </w:r>
      <w:r w:rsidRPr="006B3A88">
        <w:rPr>
          <w:rFonts w:ascii="Avenir Book" w:hAnsi="Avenir Book"/>
          <w:lang w:val="en-AU"/>
        </w:rPr>
        <w:t>Department of the Prime Minister and Cabinet, ‘</w:t>
      </w:r>
      <w:hyperlink r:id="rId16" w:history="1">
        <w:r w:rsidRPr="006B3A88">
          <w:rPr>
            <w:rStyle w:val="Hyperlink"/>
            <w:rFonts w:ascii="Avenir Book" w:hAnsi="Avenir Book"/>
            <w:lang w:val="en-AU"/>
          </w:rPr>
          <w:t>National Strategy to Achieve Gender Equality’</w:t>
        </w:r>
      </w:hyperlink>
      <w:r w:rsidRPr="006B3A88">
        <w:rPr>
          <w:rFonts w:ascii="Avenir Book" w:hAnsi="Avenir Book"/>
          <w:lang w:val="en-AU"/>
        </w:rPr>
        <w:t xml:space="preserve"> (Website information).</w:t>
      </w:r>
    </w:p>
  </w:endnote>
  <w:endnote w:id="16">
    <w:p w14:paraId="501A298E" w14:textId="77777777" w:rsidR="000E10D1" w:rsidRPr="006B3A88" w:rsidRDefault="000E10D1" w:rsidP="00F251AD">
      <w:pPr>
        <w:pStyle w:val="EndnoteText"/>
        <w:rPr>
          <w:rFonts w:ascii="Avenir Book" w:hAnsi="Avenir Book" w:cstheme="minorHAnsi"/>
        </w:rPr>
      </w:pPr>
      <w:r w:rsidRPr="006B3A88">
        <w:rPr>
          <w:rStyle w:val="EndnoteReference"/>
          <w:rFonts w:ascii="Avenir Book" w:hAnsi="Avenir Book" w:cstheme="minorHAnsi"/>
        </w:rPr>
        <w:endnoteRef/>
      </w:r>
      <w:r w:rsidRPr="006B3A88">
        <w:rPr>
          <w:rFonts w:ascii="Avenir Book" w:hAnsi="Avenir Book" w:cstheme="minorHAnsi"/>
        </w:rPr>
        <w:t xml:space="preserve"> Community Affairs References Committee, ‘</w:t>
      </w:r>
      <w:hyperlink r:id="rId17" w:history="1">
        <w:r w:rsidRPr="006B3A88">
          <w:rPr>
            <w:rStyle w:val="Hyperlink"/>
            <w:rFonts w:ascii="Avenir Book" w:hAnsi="Avenir Book" w:cstheme="minorHAnsi"/>
          </w:rPr>
          <w:t>Purpose, intent and adequacy of the Disability Support Pension</w:t>
        </w:r>
      </w:hyperlink>
      <w:r w:rsidRPr="006B3A88">
        <w:rPr>
          <w:rFonts w:ascii="Avenir Book" w:hAnsi="Avenir Book" w:cstheme="minorHAnsi"/>
        </w:rPr>
        <w:t xml:space="preserve">’, (Senate Report, February 2022), Commonwealth of Australia. </w:t>
      </w:r>
    </w:p>
  </w:endnote>
  <w:endnote w:id="17">
    <w:p w14:paraId="16B90E85" w14:textId="77777777" w:rsidR="000E10D1" w:rsidRPr="006B3A88" w:rsidRDefault="000E10D1" w:rsidP="00F251AD">
      <w:pPr>
        <w:pStyle w:val="EndnoteText"/>
        <w:rPr>
          <w:rFonts w:ascii="Avenir Book" w:hAnsi="Avenir Book" w:cstheme="minorHAnsi"/>
        </w:rPr>
      </w:pPr>
      <w:r w:rsidRPr="006B3A88">
        <w:rPr>
          <w:rStyle w:val="EndnoteReference"/>
          <w:rFonts w:ascii="Avenir Book" w:hAnsi="Avenir Book" w:cstheme="minorHAnsi"/>
        </w:rPr>
        <w:endnoteRef/>
      </w:r>
      <w:r w:rsidRPr="006B3A88">
        <w:rPr>
          <w:rFonts w:ascii="Avenir Book" w:hAnsi="Avenir Book" w:cstheme="minorHAnsi"/>
        </w:rPr>
        <w:t xml:space="preserve"> See: Australian Council of Social Services (ACOSS), ‘</w:t>
      </w:r>
      <w:hyperlink r:id="rId18" w:history="1">
        <w:r w:rsidRPr="006B3A88">
          <w:rPr>
            <w:rStyle w:val="Hyperlink"/>
            <w:rFonts w:ascii="Avenir Book" w:hAnsi="Avenir Book" w:cstheme="minorHAnsi"/>
          </w:rPr>
          <w:t>It’s not enough: why more is needed to life people out of poverty</w:t>
        </w:r>
      </w:hyperlink>
      <w:r w:rsidRPr="006B3A88">
        <w:rPr>
          <w:rFonts w:ascii="Avenir Book" w:hAnsi="Avenir Book" w:cstheme="minorHAnsi"/>
        </w:rPr>
        <w:t>’ (September 2023) ACOSS. See also: Australian Council of Social Service, ‘</w:t>
      </w:r>
      <w:hyperlink r:id="rId19" w:history="1">
        <w:r w:rsidRPr="006B3A88">
          <w:rPr>
            <w:rStyle w:val="Hyperlink"/>
            <w:rFonts w:ascii="Avenir Book" w:hAnsi="Avenir Book" w:cstheme="minorHAnsi"/>
          </w:rPr>
          <w:t>Increase to social security payments grossly inadequate</w:t>
        </w:r>
      </w:hyperlink>
      <w:r w:rsidRPr="006B3A88">
        <w:rPr>
          <w:rFonts w:ascii="Avenir Book" w:hAnsi="Avenir Book" w:cstheme="minorHAnsi"/>
        </w:rPr>
        <w:t>’ (Media release, 20 September 2023).</w:t>
      </w:r>
    </w:p>
  </w:endnote>
  <w:endnote w:id="18">
    <w:p w14:paraId="291D6DA5" w14:textId="77777777" w:rsidR="000039C3" w:rsidRPr="006B3A88" w:rsidRDefault="000039C3" w:rsidP="00F251AD">
      <w:pPr>
        <w:pStyle w:val="EndnoteText"/>
        <w:rPr>
          <w:rFonts w:ascii="Avenir Book" w:hAnsi="Avenir Book"/>
          <w:lang w:val="en-AU"/>
        </w:rPr>
      </w:pPr>
      <w:r w:rsidRPr="006B3A88">
        <w:rPr>
          <w:rStyle w:val="EndnoteReference"/>
          <w:rFonts w:ascii="Avenir Book" w:hAnsi="Avenir Book"/>
        </w:rPr>
        <w:endnoteRef/>
      </w:r>
      <w:r w:rsidRPr="006B3A88">
        <w:rPr>
          <w:rFonts w:ascii="Avenir Book" w:hAnsi="Avenir Book"/>
        </w:rPr>
        <w:t xml:space="preserve"> </w:t>
      </w:r>
      <w:r w:rsidRPr="006B3A88">
        <w:rPr>
          <w:rFonts w:ascii="Avenir Book" w:hAnsi="Avenir Book"/>
          <w:lang w:val="en-AU"/>
        </w:rPr>
        <w:t xml:space="preserve">Ibid. </w:t>
      </w:r>
    </w:p>
  </w:endnote>
  <w:endnote w:id="19">
    <w:p w14:paraId="37DA9A16" w14:textId="77777777" w:rsidR="00766755" w:rsidRPr="006B3A88" w:rsidRDefault="00766755" w:rsidP="00F251AD">
      <w:pPr>
        <w:pStyle w:val="EndnoteText"/>
        <w:rPr>
          <w:rFonts w:ascii="Avenir Book" w:hAnsi="Avenir Book" w:cstheme="minorHAnsi"/>
        </w:rPr>
      </w:pPr>
      <w:r w:rsidRPr="006B3A88">
        <w:rPr>
          <w:rStyle w:val="EndnoteReference"/>
          <w:rFonts w:ascii="Avenir Book" w:hAnsi="Avenir Book" w:cstheme="minorHAnsi"/>
        </w:rPr>
        <w:endnoteRef/>
      </w:r>
      <w:r w:rsidRPr="006B3A88">
        <w:rPr>
          <w:rFonts w:ascii="Avenir Book" w:hAnsi="Avenir Book" w:cstheme="minorHAnsi"/>
        </w:rPr>
        <w:t xml:space="preserve"> The Hon Amanda Rishworth MP, The Hon Bill Shorten MP, ‘</w:t>
      </w:r>
      <w:hyperlink r:id="rId20" w:history="1">
        <w:r w:rsidRPr="006B3A88">
          <w:rPr>
            <w:rStyle w:val="Hyperlink"/>
            <w:rFonts w:ascii="Avenir Book" w:hAnsi="Avenir Book" w:cstheme="minorHAnsi"/>
          </w:rPr>
          <w:t>Findings of the Disability Royal Commission</w:t>
        </w:r>
      </w:hyperlink>
      <w:r w:rsidRPr="006B3A88">
        <w:rPr>
          <w:rFonts w:ascii="Avenir Book" w:hAnsi="Avenir Book" w:cstheme="minorHAnsi"/>
        </w:rPr>
        <w:t>’, (Media Release, 29 September 2023).</w:t>
      </w:r>
    </w:p>
  </w:endnote>
  <w:endnote w:id="20">
    <w:p w14:paraId="58561D26" w14:textId="77777777" w:rsidR="00766755" w:rsidRPr="006B3A88" w:rsidRDefault="00766755" w:rsidP="00F251AD">
      <w:pPr>
        <w:pStyle w:val="EndnoteText"/>
        <w:rPr>
          <w:rFonts w:ascii="Avenir Book" w:hAnsi="Avenir Book" w:cstheme="minorHAnsi"/>
        </w:rPr>
      </w:pPr>
      <w:r w:rsidRPr="006B3A88">
        <w:rPr>
          <w:rStyle w:val="EndnoteReference"/>
          <w:rFonts w:ascii="Avenir Book" w:hAnsi="Avenir Book" w:cstheme="minorHAnsi"/>
        </w:rPr>
        <w:endnoteRef/>
      </w:r>
      <w:r w:rsidRPr="006B3A88">
        <w:rPr>
          <w:rFonts w:ascii="Avenir Book" w:hAnsi="Avenir Book" w:cstheme="minorHAnsi"/>
        </w:rPr>
        <w:t xml:space="preserve"> Royal Commission into Violence, Abuse, Neglect and Exploitation of People with Disability, ‘Final Report – Executive Summary, Our vision for an inclusive Australia and Recommendations’, (September 2023), Commonwealth of Australia, p. 37. </w:t>
      </w:r>
    </w:p>
  </w:endnote>
  <w:endnote w:id="21">
    <w:p w14:paraId="7AA92EDE" w14:textId="77777777" w:rsidR="00766755" w:rsidRPr="006B3A88" w:rsidRDefault="00766755" w:rsidP="00F251AD">
      <w:pPr>
        <w:rPr>
          <w:rFonts w:ascii="Avenir Book" w:hAnsi="Avenir Book" w:cstheme="minorHAnsi"/>
          <w:sz w:val="20"/>
          <w:szCs w:val="20"/>
        </w:rPr>
      </w:pPr>
      <w:r w:rsidRPr="006B3A88">
        <w:rPr>
          <w:rStyle w:val="EndnoteReference"/>
          <w:rFonts w:ascii="Avenir Book" w:hAnsi="Avenir Book" w:cstheme="minorHAnsi"/>
          <w:sz w:val="20"/>
          <w:szCs w:val="20"/>
        </w:rPr>
        <w:endnoteRef/>
      </w:r>
      <w:r w:rsidRPr="006B3A88">
        <w:rPr>
          <w:rFonts w:ascii="Avenir Book" w:hAnsi="Avenir Book" w:cstheme="minorHAnsi"/>
          <w:sz w:val="20"/>
          <w:szCs w:val="20"/>
        </w:rPr>
        <w:t xml:space="preserve"> See section 9 of this submission, </w:t>
      </w:r>
      <w:r w:rsidRPr="006B3A88">
        <w:rPr>
          <w:rFonts w:ascii="Avenir Book" w:hAnsi="Avenir Book" w:cstheme="minorHAnsi"/>
          <w:i/>
          <w:iCs/>
          <w:sz w:val="20"/>
          <w:szCs w:val="20"/>
        </w:rPr>
        <w:t>Implement a Disability Royal Commission Redress and Reparation Scheme</w:t>
      </w:r>
      <w:r w:rsidRPr="006B3A88">
        <w:rPr>
          <w:rFonts w:ascii="Avenir Book" w:hAnsi="Avenir Book" w:cstheme="minorHAnsi"/>
          <w:sz w:val="20"/>
          <w:szCs w:val="20"/>
        </w:rPr>
        <w:t xml:space="preserve">. </w:t>
      </w:r>
    </w:p>
    <w:p w14:paraId="4777E259" w14:textId="1D1FB508" w:rsidR="00766755" w:rsidRPr="006B3A88" w:rsidRDefault="00766755" w:rsidP="00F251AD">
      <w:pPr>
        <w:pStyle w:val="EndnoteText"/>
        <w:rPr>
          <w:rFonts w:ascii="Avenir Book" w:hAnsi="Avenir Book" w:cstheme="minorHAnsi"/>
        </w:rPr>
      </w:pPr>
      <w:r w:rsidRPr="006B3A88">
        <w:rPr>
          <w:rFonts w:ascii="Avenir Book" w:hAnsi="Avenir Book" w:cstheme="minorHAnsi"/>
        </w:rPr>
        <w:t xml:space="preserve">The Interim Report of the </w:t>
      </w:r>
      <w:r w:rsidR="00414B6F" w:rsidRPr="006B3A88">
        <w:rPr>
          <w:rFonts w:ascii="Avenir Book" w:hAnsi="Avenir Book" w:cstheme="minorHAnsi"/>
        </w:rPr>
        <w:t>DRC</w:t>
      </w:r>
      <w:r w:rsidRPr="006B3A88">
        <w:rPr>
          <w:rFonts w:ascii="Avenir Book" w:hAnsi="Avenir Book" w:cstheme="minorHAnsi"/>
        </w:rPr>
        <w:t xml:space="preserve"> stated that there was an intention to investigate </w:t>
      </w:r>
      <w:r w:rsidRPr="006B3A88">
        <w:rPr>
          <w:rFonts w:ascii="Avenir Book" w:hAnsi="Avenir Book" w:cstheme="minorHAnsi"/>
          <w:i/>
          <w:iCs/>
        </w:rPr>
        <w:t xml:space="preserve">‘whether it is feasible to establish a scheme to compensate people with disability who have sustained serious harm from violence, abuse, neglect or exploitation in circumstances where no other redress is available to them.’ </w:t>
      </w:r>
      <w:r w:rsidRPr="006B3A88">
        <w:rPr>
          <w:rFonts w:ascii="Avenir Book" w:hAnsi="Avenir Book" w:cstheme="minorHAnsi"/>
        </w:rPr>
        <w:t>Royal Commission into Violence, Abuse, Neglect and Exploitation of People with Disability, ‘</w:t>
      </w:r>
      <w:hyperlink r:id="rId21" w:history="1">
        <w:r w:rsidRPr="006B3A88">
          <w:rPr>
            <w:rStyle w:val="Hyperlink"/>
            <w:rFonts w:ascii="Avenir Book" w:hAnsi="Avenir Book" w:cstheme="minorHAnsi"/>
          </w:rPr>
          <w:t>Interim Report</w:t>
        </w:r>
      </w:hyperlink>
      <w:r w:rsidRPr="006B3A88">
        <w:rPr>
          <w:rFonts w:ascii="Avenir Book" w:hAnsi="Avenir Book" w:cstheme="minorHAnsi"/>
        </w:rPr>
        <w:t xml:space="preserve">’ (October 2020), Commonwealth of Australia, p. 258. See also: Committee on the Rights of Persons with Disabilities, </w:t>
      </w:r>
      <w:r w:rsidRPr="006B3A88">
        <w:rPr>
          <w:rFonts w:ascii="Avenir Book" w:hAnsi="Avenir Book" w:cstheme="minorHAnsi"/>
          <w:i/>
          <w:iCs/>
        </w:rPr>
        <w:t>Concluding Observations on the Combined Second and Third Periodic Reports of Australia, Adopted by the Committee at Its 511th Meeting (20 September 2019) of the 22nd Session</w:t>
      </w:r>
      <w:r w:rsidRPr="006B3A88">
        <w:rPr>
          <w:rFonts w:ascii="Avenir Book" w:hAnsi="Avenir Book" w:cstheme="minorHAnsi"/>
          <w:iCs/>
        </w:rPr>
        <w:t xml:space="preserve">; </w:t>
      </w:r>
      <w:r w:rsidRPr="006B3A88">
        <w:rPr>
          <w:rFonts w:ascii="Avenir Book" w:hAnsi="Avenir Book" w:cstheme="minorHAnsi"/>
        </w:rPr>
        <w:t>CRPD/C/AUS/CO/2-3, 15 October 2019, para. 32b.</w:t>
      </w:r>
    </w:p>
  </w:endnote>
  <w:endnote w:id="22">
    <w:p w14:paraId="5D335928" w14:textId="77777777" w:rsidR="00766755" w:rsidRPr="006B3A88" w:rsidRDefault="00766755" w:rsidP="00F251AD">
      <w:pPr>
        <w:pStyle w:val="EndnoteText"/>
        <w:rPr>
          <w:rFonts w:ascii="Avenir Book" w:hAnsi="Avenir Book" w:cstheme="minorHAnsi"/>
        </w:rPr>
      </w:pPr>
      <w:r w:rsidRPr="006B3A88">
        <w:rPr>
          <w:rStyle w:val="EndnoteReference"/>
          <w:rFonts w:ascii="Avenir Book" w:hAnsi="Avenir Book" w:cstheme="minorHAnsi"/>
        </w:rPr>
        <w:endnoteRef/>
      </w:r>
      <w:r w:rsidRPr="006B3A88">
        <w:rPr>
          <w:rFonts w:ascii="Avenir Book" w:hAnsi="Avenir Book" w:cstheme="minorHAnsi"/>
        </w:rPr>
        <w:t xml:space="preserve"> Royal Commission into Violence, Abuse, Neglect and Exploitation of People with Disability, ‘Final Report – Volume 2 – About the Royal Commission’ (September 2023), Commonwealth of Australia, p. 13. </w:t>
      </w:r>
    </w:p>
  </w:endnote>
  <w:endnote w:id="23">
    <w:p w14:paraId="15F031CB" w14:textId="77777777" w:rsidR="00766755" w:rsidRPr="006B3A88" w:rsidRDefault="00766755" w:rsidP="00F251AD">
      <w:pPr>
        <w:pStyle w:val="EndnoteText"/>
        <w:rPr>
          <w:rFonts w:ascii="Avenir Book" w:hAnsi="Avenir Book" w:cstheme="minorHAnsi"/>
        </w:rPr>
      </w:pPr>
      <w:r w:rsidRPr="006B3A88">
        <w:rPr>
          <w:rStyle w:val="EndnoteReference"/>
          <w:rFonts w:ascii="Avenir Book" w:hAnsi="Avenir Book" w:cstheme="minorHAnsi"/>
        </w:rPr>
        <w:endnoteRef/>
      </w:r>
      <w:r w:rsidRPr="006B3A88">
        <w:rPr>
          <w:rFonts w:ascii="Avenir Book" w:hAnsi="Avenir Book" w:cstheme="minorHAnsi"/>
        </w:rPr>
        <w:t xml:space="preserve"> Royal Commission into Violence, Abuse, Neglect and Exploitation of People with Disability, ‘</w:t>
      </w:r>
      <w:hyperlink r:id="rId22" w:history="1">
        <w:r w:rsidRPr="006B3A88">
          <w:rPr>
            <w:rStyle w:val="Hyperlink"/>
            <w:rFonts w:ascii="Avenir Book" w:hAnsi="Avenir Book" w:cstheme="minorHAnsi"/>
          </w:rPr>
          <w:t>Transcript of Proceedings’</w:t>
        </w:r>
      </w:hyperlink>
      <w:r w:rsidRPr="006B3A88">
        <w:rPr>
          <w:rFonts w:ascii="Avenir Book" w:hAnsi="Avenir Book" w:cstheme="minorHAnsi"/>
        </w:rPr>
        <w:t xml:space="preserve">, (First Public Sitting, 16 September 2019, Brisbane), p. 13. </w:t>
      </w:r>
    </w:p>
  </w:endnote>
  <w:endnote w:id="24">
    <w:p w14:paraId="3AB2FF8E" w14:textId="77777777" w:rsidR="00766755" w:rsidRPr="006B3A88" w:rsidRDefault="00766755" w:rsidP="00F251AD">
      <w:pPr>
        <w:pStyle w:val="EndnoteText"/>
        <w:rPr>
          <w:rFonts w:ascii="Avenir Book" w:hAnsi="Avenir Book" w:cstheme="minorHAnsi"/>
        </w:rPr>
      </w:pPr>
      <w:r w:rsidRPr="006B3A88">
        <w:rPr>
          <w:rStyle w:val="EndnoteReference"/>
          <w:rFonts w:ascii="Avenir Book" w:hAnsi="Avenir Book" w:cstheme="minorHAnsi"/>
        </w:rPr>
        <w:endnoteRef/>
      </w:r>
      <w:r w:rsidRPr="006B3A88">
        <w:rPr>
          <w:rFonts w:ascii="Avenir Book" w:hAnsi="Avenir Book" w:cstheme="minorHAnsi"/>
        </w:rPr>
        <w:t xml:space="preserve"> Convention on the Rights of Persons with Disabilities, opened for signature 30 March 2007, 2515 UNTS 3 (entered into force 13 March 1976).</w:t>
      </w:r>
    </w:p>
  </w:endnote>
  <w:endnote w:id="25">
    <w:p w14:paraId="0002B704" w14:textId="33BDCEBF" w:rsidR="00766755" w:rsidRPr="006B3A88" w:rsidRDefault="00766755" w:rsidP="00F251AD">
      <w:pPr>
        <w:pStyle w:val="EndnoteText"/>
        <w:rPr>
          <w:rFonts w:ascii="Avenir Book" w:hAnsi="Avenir Book" w:cstheme="minorHAnsi"/>
        </w:rPr>
      </w:pPr>
      <w:r w:rsidRPr="006B3A88">
        <w:rPr>
          <w:rStyle w:val="EndnoteReference"/>
          <w:rFonts w:ascii="Avenir Book" w:hAnsi="Avenir Book" w:cstheme="minorHAnsi"/>
        </w:rPr>
        <w:endnoteRef/>
      </w:r>
      <w:r w:rsidRPr="006B3A88">
        <w:rPr>
          <w:rFonts w:ascii="Avenir Book" w:hAnsi="Avenir Book" w:cstheme="minorHAnsi"/>
        </w:rPr>
        <w:t xml:space="preserve"> This reflects obligations under article 4(3) of the CRPD. See section 8 of this submission, </w:t>
      </w:r>
      <w:r w:rsidRPr="006B3A88">
        <w:rPr>
          <w:rFonts w:ascii="Avenir Book" w:hAnsi="Avenir Book" w:cstheme="minorHAnsi"/>
          <w:i/>
          <w:iCs/>
        </w:rPr>
        <w:t>Ensure full participation of people with disability including through their representative organisations in all matters that affect them</w:t>
      </w:r>
      <w:r w:rsidRPr="006B3A88">
        <w:rPr>
          <w:rFonts w:ascii="Avenir Book" w:hAnsi="Avenir Book" w:cstheme="minorHAnsi"/>
        </w:rPr>
        <w:t xml:space="preserve">. This overarching recommendation also recognises that analysis and response to the 222 recommendations and the 12 volumes of the Final Report is an extensive and time intensive task, which was not possible to undertake for the purpose of this submission. </w:t>
      </w:r>
    </w:p>
  </w:endnote>
  <w:endnote w:id="26">
    <w:p w14:paraId="147DCB64" w14:textId="77777777" w:rsidR="00714265" w:rsidRPr="006B3A88" w:rsidRDefault="00714265" w:rsidP="00F251AD">
      <w:pPr>
        <w:pStyle w:val="EndnoteText"/>
        <w:rPr>
          <w:rFonts w:ascii="Avenir Book" w:hAnsi="Avenir Book" w:cstheme="minorHAnsi"/>
        </w:rPr>
      </w:pPr>
      <w:r w:rsidRPr="006B3A88">
        <w:rPr>
          <w:rStyle w:val="EndnoteReference"/>
          <w:rFonts w:ascii="Avenir Book" w:hAnsi="Avenir Book" w:cstheme="minorHAnsi"/>
        </w:rPr>
        <w:endnoteRef/>
      </w:r>
      <w:r w:rsidRPr="006B3A88">
        <w:rPr>
          <w:rFonts w:ascii="Avenir Book" w:hAnsi="Avenir Book" w:cstheme="minorHAnsi"/>
        </w:rPr>
        <w:t xml:space="preserve"> Disability Representative Organisations (DRO) Position Paper </w:t>
      </w:r>
      <w:hyperlink r:id="rId23" w:history="1">
        <w:r w:rsidRPr="006B3A88">
          <w:rPr>
            <w:rStyle w:val="Hyperlink"/>
            <w:rFonts w:ascii="Avenir Book" w:hAnsi="Avenir Book" w:cstheme="minorHAnsi"/>
          </w:rPr>
          <w:t>‘Segregation Of People With Disability Is Discrimination And Must End’</w:t>
        </w:r>
      </w:hyperlink>
      <w:r w:rsidRPr="006B3A88">
        <w:rPr>
          <w:rFonts w:ascii="Avenir Book" w:hAnsi="Avenir Book" w:cstheme="minorHAnsi"/>
        </w:rPr>
        <w:t xml:space="preserve"> (September 2020).</w:t>
      </w:r>
    </w:p>
  </w:endnote>
  <w:endnote w:id="27">
    <w:p w14:paraId="38F08210" w14:textId="36CF10CF" w:rsidR="00714265" w:rsidRPr="006B3A88" w:rsidRDefault="00714265" w:rsidP="00F251AD">
      <w:pPr>
        <w:pStyle w:val="EndnoteText"/>
        <w:rPr>
          <w:rFonts w:ascii="Avenir Book" w:hAnsi="Avenir Book" w:cstheme="minorHAnsi"/>
        </w:rPr>
      </w:pPr>
      <w:r w:rsidRPr="006B3A88">
        <w:rPr>
          <w:rStyle w:val="EndnoteReference"/>
          <w:rFonts w:ascii="Avenir Book" w:hAnsi="Avenir Book" w:cstheme="minorHAnsi"/>
        </w:rPr>
        <w:endnoteRef/>
      </w:r>
      <w:r w:rsidRPr="006B3A88">
        <w:rPr>
          <w:rFonts w:ascii="Avenir Book" w:hAnsi="Avenir Book" w:cstheme="minorHAnsi"/>
        </w:rPr>
        <w:t xml:space="preserve"> 1 in 5 (20%) students with ‘severe or profound’ disability attend a special school. Of school students with disability who attend a mainstream school, those with ‘severe or profound disability’ (21%) are more likely than other students with disability (13%) to go to special classes in a mainstream school (2018). People with disability are more likely than people without disability to leave school early and to have a lower level of education. See: Australian Institute of Health and Welfare (2022) People with disability in Australia 2022: In brief, catalogue number DIS 81, AIHW, Australian Government.</w:t>
      </w:r>
    </w:p>
  </w:endnote>
  <w:endnote w:id="28">
    <w:p w14:paraId="7DBA6545" w14:textId="77777777" w:rsidR="00714265" w:rsidRPr="006B3A88" w:rsidRDefault="00714265" w:rsidP="00F251AD">
      <w:pPr>
        <w:pStyle w:val="EndnoteText"/>
        <w:rPr>
          <w:rFonts w:ascii="Avenir Book" w:hAnsi="Avenir Book" w:cstheme="minorHAnsi"/>
        </w:rPr>
      </w:pPr>
      <w:r w:rsidRPr="006B3A88">
        <w:rPr>
          <w:rStyle w:val="EndnoteReference"/>
          <w:rFonts w:ascii="Avenir Book" w:hAnsi="Avenir Book" w:cstheme="minorHAnsi"/>
        </w:rPr>
        <w:endnoteRef/>
      </w:r>
      <w:r w:rsidRPr="006B3A88">
        <w:rPr>
          <w:rFonts w:ascii="Avenir Book" w:hAnsi="Avenir Book" w:cstheme="minorHAnsi"/>
        </w:rPr>
        <w:t xml:space="preserve"> Disability Representative Organisations (DRO) Position Paper </w:t>
      </w:r>
      <w:hyperlink r:id="rId24" w:history="1">
        <w:r w:rsidRPr="006B3A88">
          <w:rPr>
            <w:rStyle w:val="Hyperlink"/>
            <w:rFonts w:ascii="Avenir Book" w:hAnsi="Avenir Book" w:cstheme="minorHAnsi"/>
          </w:rPr>
          <w:t>‘Segregation Of People With Disability Is Discrimination And Must End’</w:t>
        </w:r>
      </w:hyperlink>
      <w:r w:rsidRPr="006B3A88">
        <w:rPr>
          <w:rFonts w:ascii="Avenir Book" w:hAnsi="Avenir Book" w:cstheme="minorHAnsi"/>
        </w:rPr>
        <w:t xml:space="preserve"> (September 2020).</w:t>
      </w:r>
    </w:p>
  </w:endnote>
  <w:endnote w:id="29">
    <w:p w14:paraId="72CBF083" w14:textId="77777777" w:rsidR="00714265" w:rsidRPr="006B3A88" w:rsidRDefault="00714265" w:rsidP="00F251AD">
      <w:pPr>
        <w:pStyle w:val="EndnoteText"/>
        <w:rPr>
          <w:rFonts w:ascii="Avenir Book" w:hAnsi="Avenir Book" w:cstheme="minorHAnsi"/>
        </w:rPr>
      </w:pPr>
      <w:r w:rsidRPr="006B3A88">
        <w:rPr>
          <w:rStyle w:val="EndnoteReference"/>
          <w:rFonts w:ascii="Avenir Book" w:hAnsi="Avenir Book" w:cstheme="minorHAnsi"/>
        </w:rPr>
        <w:endnoteRef/>
      </w:r>
      <w:r w:rsidRPr="006B3A88">
        <w:rPr>
          <w:rFonts w:ascii="Avenir Book" w:hAnsi="Avenir Book" w:cstheme="minorHAnsi"/>
        </w:rPr>
        <w:t xml:space="preserve"> Commissioner Andrea Mason, ‘Transcript of Proceedings’, (First Public Sitting, 16 September 2019, Brisbane), p. 5; See also: Gerard Goggin and Christopher Newell, </w:t>
      </w:r>
      <w:r w:rsidRPr="006B3A88">
        <w:rPr>
          <w:rFonts w:ascii="Avenir Book" w:hAnsi="Avenir Book" w:cstheme="minorHAnsi"/>
          <w:i/>
        </w:rPr>
        <w:t xml:space="preserve">Disability in Australia – Exposing a Social Apartheid </w:t>
      </w:r>
      <w:r w:rsidRPr="006B3A88">
        <w:rPr>
          <w:rFonts w:ascii="Avenir Book" w:hAnsi="Avenir Book" w:cstheme="minorHAnsi"/>
        </w:rPr>
        <w:t>(University of New South Wales Press Ltd, 2005).</w:t>
      </w:r>
    </w:p>
  </w:endnote>
  <w:endnote w:id="30">
    <w:p w14:paraId="14D6D9BD" w14:textId="77777777" w:rsidR="00714265" w:rsidRPr="006B3A88" w:rsidRDefault="00714265" w:rsidP="00F251AD">
      <w:pPr>
        <w:pStyle w:val="EndnoteText"/>
        <w:rPr>
          <w:rFonts w:ascii="Avenir Book" w:hAnsi="Avenir Book" w:cstheme="minorHAnsi"/>
        </w:rPr>
      </w:pPr>
      <w:r w:rsidRPr="006B3A88">
        <w:rPr>
          <w:rStyle w:val="EndnoteReference"/>
          <w:rFonts w:ascii="Avenir Book" w:hAnsi="Avenir Book" w:cstheme="minorHAnsi"/>
        </w:rPr>
        <w:endnoteRef/>
      </w:r>
      <w:r w:rsidRPr="006B3A88">
        <w:rPr>
          <w:rFonts w:ascii="Avenir Book" w:hAnsi="Avenir Book" w:cstheme="minorHAnsi"/>
        </w:rPr>
        <w:t xml:space="preserve"> See e.g., Community Affairs References Committee, </w:t>
      </w:r>
      <w:hyperlink r:id="rId25" w:history="1">
        <w:r w:rsidRPr="006B3A88">
          <w:rPr>
            <w:rStyle w:val="Hyperlink"/>
            <w:rFonts w:ascii="Avenir Book" w:hAnsi="Avenir Book" w:cstheme="minorHAnsi"/>
            <w:i/>
          </w:rPr>
          <w:t>Violence, abuse and neglect against people with disability in institutional and residential settings,</w:t>
        </w:r>
      </w:hyperlink>
      <w:r w:rsidRPr="006B3A88">
        <w:rPr>
          <w:rFonts w:ascii="Avenir Book" w:hAnsi="Avenir Book" w:cstheme="minorHAnsi"/>
          <w:i/>
        </w:rPr>
        <w:t xml:space="preserve"> including the gender and age related dimensions, and the particular situation of Aboriginal and Torres Strait Islander people with disability, and culturally and linguistically diverse people with disability</w:t>
      </w:r>
      <w:r w:rsidRPr="006B3A88">
        <w:rPr>
          <w:rFonts w:ascii="Avenir Book" w:hAnsi="Avenir Book" w:cstheme="minorHAnsi"/>
        </w:rPr>
        <w:t>, November 2015, Commonwealth of Australia. See also: Human Rights Council (13 July 2021) Accelerating efforts to eliminate all forms of violence against women and girls: preventing and responding to all forms of violence against women and girls with disabilities, Resolution 47/15. See also: Committee on the Rights of the Child and Committee on the Rights of Children with Disabilities, ‘</w:t>
      </w:r>
      <w:hyperlink r:id="rId26" w:history="1">
        <w:r w:rsidRPr="006B3A88">
          <w:rPr>
            <w:rStyle w:val="Hyperlink"/>
            <w:rFonts w:ascii="Avenir Book" w:hAnsi="Avenir Book" w:cstheme="minorHAnsi"/>
          </w:rPr>
          <w:t>Joint Statement - The rights of children with disabilities</w:t>
        </w:r>
      </w:hyperlink>
      <w:r w:rsidRPr="006B3A88">
        <w:rPr>
          <w:rFonts w:ascii="Avenir Book" w:hAnsi="Avenir Book" w:cstheme="minorHAnsi"/>
        </w:rPr>
        <w:t xml:space="preserve">’ (23 August 2021). </w:t>
      </w:r>
    </w:p>
  </w:endnote>
  <w:endnote w:id="31">
    <w:p w14:paraId="116BDCCA" w14:textId="77777777" w:rsidR="00714265" w:rsidRPr="006B3A88" w:rsidRDefault="00714265" w:rsidP="00F251AD">
      <w:pPr>
        <w:pStyle w:val="EndnoteText"/>
        <w:rPr>
          <w:rFonts w:ascii="Avenir Book" w:hAnsi="Avenir Book" w:cstheme="minorHAnsi"/>
        </w:rPr>
      </w:pPr>
      <w:r w:rsidRPr="006B3A88">
        <w:rPr>
          <w:rStyle w:val="EndnoteReference"/>
          <w:rFonts w:ascii="Avenir Book" w:hAnsi="Avenir Book" w:cstheme="minorHAnsi"/>
        </w:rPr>
        <w:endnoteRef/>
      </w:r>
      <w:r w:rsidRPr="006B3A88">
        <w:rPr>
          <w:rFonts w:ascii="Avenir Book" w:hAnsi="Avenir Book" w:cstheme="minorHAnsi"/>
        </w:rPr>
        <w:t xml:space="preserve"> Committee on Economic, Social and Cultural Rights, ‘General comment No. 5: Persons with disabilities’, eleventh session (1994), UN Doc E/1995/22 (9 December 1994) para 15; Committee on Economic, Social</w:t>
      </w:r>
      <w:r w:rsidRPr="00C422B6">
        <w:rPr>
          <w:rFonts w:ascii="Avenir Book" w:hAnsi="Avenir Book" w:cstheme="minorHAnsi"/>
        </w:rPr>
        <w:t xml:space="preserve"> </w:t>
      </w:r>
      <w:r w:rsidRPr="006B3A88">
        <w:rPr>
          <w:rFonts w:ascii="Avenir Book" w:hAnsi="Avenir Book" w:cstheme="minorHAnsi"/>
        </w:rPr>
        <w:t xml:space="preserve">and Cultural Rights, Concluding observations on the fifth periodic report of Australia, UN Doc E/C.12/AUS/CO/5, paras 55-56. See also: Committee on the Rights of Persons with Disabilities, General comment No. 4 (2016) on the right to inclusive education, UN Doc No. CRPD/C/GC/4; Committee on the Rights of Persons with Disabilities, General comment No. 5 (2017) on living independently and being included in the community, UN Doc CRPD/C/GC/5; Committee on the Rights of Persons with Disabilities, General comment No. 8 (2022) on the right of persons with disabilities to work and employment, UN Doc CRPD/C/GC/8. See also: United Nations Office of the High Commissioner for Human Rights, Human Rights indicators on the Convention on the Rights of Persons with Disabilities. Accessed at: </w:t>
      </w:r>
      <w:hyperlink r:id="rId27" w:history="1">
        <w:r w:rsidRPr="006B3A88">
          <w:rPr>
            <w:rStyle w:val="Hyperlink"/>
            <w:rFonts w:ascii="Avenir Book" w:hAnsi="Avenir Book" w:cstheme="minorHAnsi"/>
          </w:rPr>
          <w:t xml:space="preserve">https://www.ohchr.org/en/disabilities/sdg-crpd-resource-package </w:t>
        </w:r>
      </w:hyperlink>
    </w:p>
  </w:endnote>
  <w:endnote w:id="32">
    <w:p w14:paraId="7201DC8A" w14:textId="77777777" w:rsidR="00714265" w:rsidRPr="006B3A88" w:rsidRDefault="00714265" w:rsidP="00F251AD">
      <w:pPr>
        <w:pStyle w:val="EndnoteText"/>
        <w:rPr>
          <w:rFonts w:ascii="Avenir Book" w:hAnsi="Avenir Book" w:cstheme="minorHAnsi"/>
        </w:rPr>
      </w:pPr>
      <w:r w:rsidRPr="006B3A88">
        <w:rPr>
          <w:rStyle w:val="EndnoteReference"/>
          <w:rFonts w:ascii="Avenir Book" w:hAnsi="Avenir Book" w:cstheme="minorHAnsi"/>
        </w:rPr>
        <w:endnoteRef/>
      </w:r>
      <w:r w:rsidRPr="006B3A88">
        <w:rPr>
          <w:rFonts w:ascii="Avenir Book" w:hAnsi="Avenir Book" w:cstheme="minorHAnsi"/>
        </w:rPr>
        <w:t xml:space="preserve"> Women With Disabilities Australia (WWDA), ‘Submission on Sexual and Reproductive Rights of Women and Girls with Disability to the Royal Commission into Violence, Abuse, Neglect and Exploitation of People with Disability’ (December 2022), para 4.24, p. 53. </w:t>
      </w:r>
    </w:p>
  </w:endnote>
  <w:endnote w:id="33">
    <w:p w14:paraId="4C768BF3" w14:textId="77777777" w:rsidR="00714265" w:rsidRPr="006B3A88" w:rsidRDefault="00714265" w:rsidP="00F251AD">
      <w:pPr>
        <w:pStyle w:val="EndnoteText"/>
        <w:rPr>
          <w:rFonts w:ascii="Avenir Book" w:hAnsi="Avenir Book" w:cstheme="minorHAnsi"/>
        </w:rPr>
      </w:pPr>
      <w:r w:rsidRPr="006B3A88">
        <w:rPr>
          <w:rStyle w:val="EndnoteReference"/>
          <w:rFonts w:ascii="Avenir Book" w:hAnsi="Avenir Book" w:cstheme="minorHAnsi"/>
        </w:rPr>
        <w:endnoteRef/>
      </w:r>
      <w:r w:rsidRPr="006B3A88">
        <w:rPr>
          <w:rFonts w:ascii="Avenir Book" w:hAnsi="Avenir Book" w:cstheme="minorHAnsi"/>
        </w:rPr>
        <w:t xml:space="preserve"> Committee on the Rights of Persons with Disabilities, ‘General comment No. 6 (2018) on equality and non-discrimination’</w:t>
      </w:r>
      <w:r w:rsidRPr="006B3A88">
        <w:rPr>
          <w:rFonts w:ascii="Avenir Book" w:hAnsi="Avenir Book" w:cstheme="minorHAnsi"/>
          <w:i/>
        </w:rPr>
        <w:t xml:space="preserve">, </w:t>
      </w:r>
      <w:r w:rsidRPr="006B3A88">
        <w:rPr>
          <w:rFonts w:ascii="Avenir Book" w:hAnsi="Avenir Book" w:cstheme="minorHAnsi"/>
        </w:rPr>
        <w:t>UN Doc: CRPD/C/GC/6 (26 April 2018). See also: Rosemary Kayess and Therese Sands, ‘Convention on the Rights of Persons with Disabilities: Shining a light on Social Transformation’ (Royal Commission into Violence, Abuse, Neglect and Exploitation of People with Disability Research Report), 2020, p. 9, 25, 29. See also: Prof. Gerard Quinn, Prof. Grainne de Búrca, Prof. Lisa Waddington, Prof. Mark Bell, Prof. Anna Lawson, Prof. Michael Stein, Prof. Titti Mattsson and Prof. Luke Clements, ‘Segregation and segregated facilities as a prima facie form of discrimination. The Impermissibility of using the ESIF to invest monies in long term care residential institutions for persons with disabilities’ (Legal Memo, 17 March 2018).</w:t>
      </w:r>
    </w:p>
  </w:endnote>
  <w:endnote w:id="34">
    <w:p w14:paraId="7AE3BFD1" w14:textId="77777777" w:rsidR="00714265" w:rsidRPr="006B3A88" w:rsidRDefault="00714265" w:rsidP="00F251AD">
      <w:pPr>
        <w:pStyle w:val="EndnoteText"/>
        <w:rPr>
          <w:rFonts w:ascii="Avenir Book" w:hAnsi="Avenir Book" w:cstheme="minorHAnsi"/>
        </w:rPr>
      </w:pPr>
      <w:r w:rsidRPr="006B3A88">
        <w:rPr>
          <w:rStyle w:val="EndnoteReference"/>
          <w:rFonts w:ascii="Avenir Book" w:hAnsi="Avenir Book" w:cstheme="minorHAnsi"/>
        </w:rPr>
        <w:endnoteRef/>
      </w:r>
      <w:r w:rsidRPr="006B3A88">
        <w:rPr>
          <w:rFonts w:ascii="Avenir Book" w:hAnsi="Avenir Book" w:cstheme="minorHAnsi"/>
        </w:rPr>
        <w:t xml:space="preserve"> See Committee on the Rights of Persons with Disabilities, ‘General comment No. 8 (2022) on the right of persons with disabilities to work and employment’ (7 October 2022) UN Doc: CRPD/C/GC/8; Committee on the Rights of Persons with Disabilities, ‘General comment No. 5 (2017) on living independently and being included in the community’ (27 October 2017) UN Doc: CRPD/C/GC/5; Committee on the Rights of Persons with Disabilities, ‘General Comment No. 4 (2016) on the right to inclusive education’ (25 November 2016) UN Doc: CRPD/C/GC/4; Committee on the Rights of Persons with Disabilities (10 Oct 2022) </w:t>
      </w:r>
      <w:hyperlink r:id="rId28" w:history="1">
        <w:r w:rsidRPr="006B3A88">
          <w:rPr>
            <w:rStyle w:val="Hyperlink"/>
            <w:rFonts w:ascii="Avenir Book" w:hAnsi="Avenir Book" w:cstheme="minorHAnsi"/>
          </w:rPr>
          <w:t>Guidelines on deinstitutionalization, including in emergencies</w:t>
        </w:r>
      </w:hyperlink>
      <w:r w:rsidRPr="006B3A88">
        <w:rPr>
          <w:rFonts w:ascii="Avenir Book" w:hAnsi="Avenir Book" w:cstheme="minorHAnsi"/>
        </w:rPr>
        <w:t xml:space="preserve">, (15 August–9 September 2022), UN Doc. CRPD/C/5. See also, Committee on Economic, Social and Cultural Rights (CESCR), ‘General comment No. 23 (2016) on the right to just and favourable conditions of work (article 7 of the International Covenant on Economic, Social and Cultural Rights)’, 7 April 2016, E/C.12/GC/23; Committee on the Elimination of Discrimination against Women </w:t>
      </w:r>
      <w:hyperlink r:id="rId29" w:history="1">
        <w:r w:rsidRPr="006B3A88">
          <w:rPr>
            <w:rStyle w:val="Hyperlink"/>
            <w:rFonts w:ascii="Avenir Book" w:hAnsi="Avenir Book" w:cstheme="minorHAnsi"/>
          </w:rPr>
          <w:t>Concluding observations on the eighth periodic report of Australia</w:t>
        </w:r>
      </w:hyperlink>
      <w:r w:rsidRPr="006B3A88">
        <w:rPr>
          <w:rFonts w:ascii="Avenir Book" w:hAnsi="Avenir Book" w:cstheme="minorHAnsi"/>
        </w:rPr>
        <w:t xml:space="preserve">, 25 July 2018, UN Doc. CEDAW/C/AUS/CO/8; Committee on the Rights of the Child, Consideration of reports submitted by States parties under article 44 of the Convention, </w:t>
      </w:r>
      <w:hyperlink r:id="rId30" w:history="1">
        <w:r w:rsidRPr="006B3A88">
          <w:rPr>
            <w:rStyle w:val="Hyperlink"/>
            <w:rFonts w:ascii="Avenir Book" w:hAnsi="Avenir Book" w:cstheme="minorHAnsi"/>
          </w:rPr>
          <w:t>Concluding observations: Australia</w:t>
        </w:r>
      </w:hyperlink>
      <w:r w:rsidRPr="006B3A88">
        <w:rPr>
          <w:rFonts w:ascii="Avenir Book" w:hAnsi="Avenir Book" w:cstheme="minorHAnsi"/>
        </w:rPr>
        <w:t xml:space="preserve">, 1 November 2019, UN Doc. CRC/C/AUS/CO/5-6; Committee on Economic, Social and Cultural Rights (2017) </w:t>
      </w:r>
      <w:hyperlink r:id="rId31" w:history="1">
        <w:r w:rsidRPr="006B3A88">
          <w:rPr>
            <w:rStyle w:val="Hyperlink"/>
            <w:rFonts w:ascii="Avenir Book" w:hAnsi="Avenir Book" w:cstheme="minorHAnsi"/>
          </w:rPr>
          <w:t>Concluding observations on the fifth periodic report of Australia</w:t>
        </w:r>
      </w:hyperlink>
      <w:r w:rsidRPr="006B3A88">
        <w:rPr>
          <w:rFonts w:ascii="Avenir Book" w:hAnsi="Avenir Book" w:cstheme="minorHAnsi"/>
        </w:rPr>
        <w:t xml:space="preserve">, 11 July 2017, UN Doc. E/C.12/AUS/CO/5.  </w:t>
      </w:r>
    </w:p>
  </w:endnote>
  <w:endnote w:id="35">
    <w:p w14:paraId="0E42AD44" w14:textId="77777777" w:rsidR="00714265" w:rsidRPr="006B3A88" w:rsidRDefault="00714265" w:rsidP="00F251AD">
      <w:pPr>
        <w:pStyle w:val="EndnoteText"/>
        <w:rPr>
          <w:rFonts w:ascii="Avenir Book" w:hAnsi="Avenir Book" w:cstheme="minorHAnsi"/>
        </w:rPr>
      </w:pPr>
      <w:r w:rsidRPr="006B3A88">
        <w:rPr>
          <w:rStyle w:val="EndnoteReference"/>
          <w:rFonts w:ascii="Avenir Book" w:hAnsi="Avenir Book" w:cstheme="minorHAnsi"/>
        </w:rPr>
        <w:endnoteRef/>
      </w:r>
      <w:r w:rsidRPr="006B3A88">
        <w:rPr>
          <w:rFonts w:ascii="Avenir Book" w:hAnsi="Avenir Book" w:cstheme="minorHAnsi"/>
        </w:rPr>
        <w:t xml:space="preserve"> For example: “Article 24 of the CRPD obliges States Parties to transition to a system of fully inclusive education” involving “over the medium-term to long-term the allocation of resources to general schools to support this transition and the eventual abolition of special schools and other forms of segregated education for children with disability”. However, “some aspects of the right are immediately realisable,” meaning “that a number of steps need to be taken </w:t>
      </w:r>
      <w:r w:rsidRPr="006B3A88">
        <w:rPr>
          <w:rFonts w:ascii="Avenir Book" w:hAnsi="Avenir Book" w:cstheme="minorHAnsi"/>
          <w:i/>
          <w:iCs/>
        </w:rPr>
        <w:t>immediately</w:t>
      </w:r>
      <w:r w:rsidRPr="006B3A88">
        <w:rPr>
          <w:rFonts w:ascii="Avenir Book" w:hAnsi="Avenir Book" w:cstheme="minorHAnsi"/>
        </w:rPr>
        <w:t xml:space="preserve"> including the adoption of a policy, a baseline assessment, the setting of measurable and time-defined goals, and means of monitoring and reviewing progress.” From Professor Andrew Byrnes (2020) ‘</w:t>
      </w:r>
      <w:hyperlink r:id="rId32" w:history="1">
        <w:r w:rsidRPr="006B3A88">
          <w:rPr>
            <w:rStyle w:val="Hyperlink"/>
            <w:rFonts w:ascii="Avenir Book" w:hAnsi="Avenir Book" w:cstheme="minorHAnsi"/>
          </w:rPr>
          <w:t>Analysis of article 24 of the convention on the rights of persons with disabilities and its relation to other international instruments</w:t>
        </w:r>
      </w:hyperlink>
      <w:r w:rsidRPr="006B3A88">
        <w:rPr>
          <w:rFonts w:ascii="Avenir Book" w:hAnsi="Avenir Book" w:cstheme="minorHAnsi"/>
        </w:rPr>
        <w:t xml:space="preserve">’ (Legal Advice for the Royal Commission into Violence, Abuse, Neglect and Exploitation of People with Disability, 2020), pp. 1-2. </w:t>
      </w:r>
    </w:p>
  </w:endnote>
  <w:endnote w:id="36">
    <w:p w14:paraId="2EFDB23E" w14:textId="77777777" w:rsidR="00714265" w:rsidRPr="006B3A88" w:rsidRDefault="00714265" w:rsidP="00F251AD">
      <w:pPr>
        <w:pStyle w:val="EndnoteText"/>
        <w:rPr>
          <w:rFonts w:ascii="Avenir Book" w:hAnsi="Avenir Book" w:cstheme="minorHAnsi"/>
        </w:rPr>
      </w:pPr>
      <w:r w:rsidRPr="006B3A88">
        <w:rPr>
          <w:rStyle w:val="EndnoteReference"/>
          <w:rFonts w:ascii="Avenir Book" w:hAnsi="Avenir Book" w:cstheme="minorHAnsi"/>
        </w:rPr>
        <w:endnoteRef/>
      </w:r>
      <w:r w:rsidRPr="006B3A88">
        <w:rPr>
          <w:rFonts w:ascii="Avenir Book" w:hAnsi="Avenir Book" w:cstheme="minorHAnsi"/>
        </w:rPr>
        <w:t xml:space="preserve"> Committee on the Rights of Persons with Disabilities, ‘Guidelines on deinstitutionalization, including in emergencies’ (10 October 2022) UN Doc: CRPD/C/5, para 8.</w:t>
      </w:r>
    </w:p>
  </w:endnote>
  <w:endnote w:id="37">
    <w:p w14:paraId="55ABB243" w14:textId="77777777" w:rsidR="00714265" w:rsidRPr="006B3A88" w:rsidRDefault="00714265" w:rsidP="00F251AD">
      <w:pPr>
        <w:pStyle w:val="EndnoteText"/>
        <w:rPr>
          <w:rFonts w:ascii="Avenir Book" w:hAnsi="Avenir Book" w:cstheme="minorHAnsi"/>
        </w:rPr>
      </w:pPr>
      <w:r w:rsidRPr="006B3A88">
        <w:rPr>
          <w:rStyle w:val="EndnoteReference"/>
          <w:rFonts w:ascii="Avenir Book" w:hAnsi="Avenir Book" w:cstheme="minorHAnsi"/>
        </w:rPr>
        <w:endnoteRef/>
      </w:r>
      <w:r w:rsidRPr="006B3A88">
        <w:rPr>
          <w:rFonts w:ascii="Avenir Book" w:hAnsi="Avenir Book" w:cstheme="minorHAnsi"/>
        </w:rPr>
        <w:t xml:space="preserve"> Committee on the Rights of Persons with Disabilities, ‘Concluding observations on the combined second and third periodic reports of Australia’, 15 October 2019, UN Doc CRPD/C/AUS/CO/2-3; Committee on the Rights of Persons with Disabilities, ‘Concluding observations on the initial report of Australia, adopted by the Committee at its tenth session (2-23 September 2013), 21 October 2013, UN Doc CRPD/C/AUS/CO/1. </w:t>
      </w:r>
    </w:p>
  </w:endnote>
  <w:endnote w:id="38">
    <w:p w14:paraId="36E2A7F4" w14:textId="77777777" w:rsidR="00714265" w:rsidRPr="006B3A88" w:rsidRDefault="00714265" w:rsidP="00F251AD">
      <w:pPr>
        <w:pStyle w:val="EndnoteText"/>
        <w:rPr>
          <w:rFonts w:ascii="Avenir Book" w:hAnsi="Avenir Book" w:cstheme="minorHAnsi"/>
        </w:rPr>
      </w:pPr>
      <w:r w:rsidRPr="006B3A88">
        <w:rPr>
          <w:rStyle w:val="EndnoteReference"/>
          <w:rFonts w:ascii="Avenir Book" w:hAnsi="Avenir Book" w:cstheme="minorHAnsi"/>
        </w:rPr>
        <w:endnoteRef/>
      </w:r>
      <w:r w:rsidRPr="006B3A88">
        <w:rPr>
          <w:rFonts w:ascii="Avenir Book" w:hAnsi="Avenir Book" w:cstheme="minorHAnsi"/>
        </w:rPr>
        <w:t xml:space="preserve"> Royal Commission into Violence, Abuse, Neglect and Exploitation of People with Disability, ‘Inclusive education, employment and housing – Summary and recommendations’, (Final Report, Volume 7), p. 9.</w:t>
      </w:r>
    </w:p>
  </w:endnote>
  <w:endnote w:id="39">
    <w:p w14:paraId="30521FE5" w14:textId="77777777" w:rsidR="00714265" w:rsidRPr="006B3A88" w:rsidRDefault="00714265" w:rsidP="00F251AD">
      <w:pPr>
        <w:pStyle w:val="EndnoteText"/>
        <w:rPr>
          <w:rFonts w:ascii="Avenir Book" w:hAnsi="Avenir Book" w:cstheme="minorHAnsi"/>
        </w:rPr>
      </w:pPr>
      <w:r w:rsidRPr="006B3A88">
        <w:rPr>
          <w:rStyle w:val="EndnoteReference"/>
          <w:rFonts w:ascii="Avenir Book" w:hAnsi="Avenir Book" w:cstheme="minorHAnsi"/>
        </w:rPr>
        <w:endnoteRef/>
      </w:r>
      <w:r w:rsidRPr="006B3A88">
        <w:rPr>
          <w:rFonts w:ascii="Avenir Book" w:hAnsi="Avenir Book" w:cstheme="minorHAnsi"/>
        </w:rPr>
        <w:t xml:space="preserve"> Royal Commission into Violence, Abuse, Neglect and Exploitation of People with Disability, ‘Inclusive education, employment and housing – Part A’, (Final Report, Volume 7), p. 90</w:t>
      </w:r>
    </w:p>
  </w:endnote>
  <w:endnote w:id="40">
    <w:p w14:paraId="599E6F61" w14:textId="77777777" w:rsidR="00714265" w:rsidRPr="006B3A88" w:rsidRDefault="00714265" w:rsidP="00F251AD">
      <w:pPr>
        <w:pStyle w:val="EndnoteText"/>
        <w:rPr>
          <w:rFonts w:ascii="Avenir Book" w:hAnsi="Avenir Book" w:cstheme="minorHAnsi"/>
        </w:rPr>
      </w:pPr>
      <w:r w:rsidRPr="006B3A88">
        <w:rPr>
          <w:rStyle w:val="EndnoteReference"/>
          <w:rFonts w:ascii="Avenir Book" w:hAnsi="Avenir Book" w:cstheme="minorHAnsi"/>
        </w:rPr>
        <w:endnoteRef/>
      </w:r>
      <w:r w:rsidRPr="006B3A88">
        <w:rPr>
          <w:rFonts w:ascii="Avenir Book" w:hAnsi="Avenir Book" w:cstheme="minorHAnsi"/>
        </w:rPr>
        <w:t xml:space="preserve"> Royal Commission into Violence, Abuse, Neglect and Exploitation of People with Disability, ‘Inclusive education, employment and housing – Part B’, (Final Report, Volume 7), p. 461.</w:t>
      </w:r>
    </w:p>
  </w:endnote>
  <w:endnote w:id="41">
    <w:p w14:paraId="2E23B840" w14:textId="77777777" w:rsidR="00714265" w:rsidRPr="006B3A88" w:rsidRDefault="00714265" w:rsidP="00F251AD">
      <w:pPr>
        <w:pStyle w:val="EndnoteText"/>
        <w:rPr>
          <w:rFonts w:ascii="Avenir Book" w:hAnsi="Avenir Book" w:cstheme="minorHAnsi"/>
        </w:rPr>
      </w:pPr>
      <w:r w:rsidRPr="006B3A88">
        <w:rPr>
          <w:rStyle w:val="EndnoteReference"/>
          <w:rFonts w:ascii="Avenir Book" w:hAnsi="Avenir Book" w:cstheme="minorHAnsi"/>
        </w:rPr>
        <w:endnoteRef/>
      </w:r>
      <w:r w:rsidRPr="006B3A88">
        <w:rPr>
          <w:rFonts w:ascii="Avenir Book" w:hAnsi="Avenir Book" w:cstheme="minorHAnsi"/>
        </w:rPr>
        <w:t xml:space="preserve"> Royal Commission into Violence, Abuse, Neglect and Exploitation of People with Disability, ‘Inclusive education, employment and housing – Part C’, (Final Report, Volume 7), p. 615.</w:t>
      </w:r>
    </w:p>
  </w:endnote>
  <w:endnote w:id="42">
    <w:p w14:paraId="2B604B30" w14:textId="77777777" w:rsidR="00714265" w:rsidRPr="006B3A88" w:rsidRDefault="00714265" w:rsidP="00F251AD">
      <w:pPr>
        <w:pStyle w:val="EndnoteText"/>
        <w:rPr>
          <w:rFonts w:ascii="Avenir Book" w:hAnsi="Avenir Book" w:cstheme="minorHAnsi"/>
        </w:rPr>
      </w:pPr>
      <w:r w:rsidRPr="006B3A88">
        <w:rPr>
          <w:rStyle w:val="EndnoteReference"/>
          <w:rFonts w:ascii="Avenir Book" w:hAnsi="Avenir Book" w:cstheme="minorHAnsi"/>
        </w:rPr>
        <w:endnoteRef/>
      </w:r>
      <w:r w:rsidRPr="006B3A88">
        <w:rPr>
          <w:rFonts w:ascii="Avenir Book" w:hAnsi="Avenir Book" w:cstheme="minorHAnsi"/>
        </w:rPr>
        <w:t xml:space="preserve"> Commissioners Galbally, McEwin, Bennett and Mason. </w:t>
      </w:r>
    </w:p>
  </w:endnote>
  <w:endnote w:id="43">
    <w:p w14:paraId="28314568" w14:textId="77777777" w:rsidR="00714265" w:rsidRPr="006B3A88" w:rsidRDefault="00714265" w:rsidP="00F251AD">
      <w:pPr>
        <w:pStyle w:val="EndnoteText"/>
        <w:rPr>
          <w:rFonts w:ascii="Avenir Book" w:hAnsi="Avenir Book" w:cstheme="minorHAnsi"/>
        </w:rPr>
      </w:pPr>
      <w:r w:rsidRPr="006B3A88">
        <w:rPr>
          <w:rStyle w:val="EndnoteReference"/>
          <w:rFonts w:ascii="Avenir Book" w:hAnsi="Avenir Book" w:cstheme="minorHAnsi"/>
        </w:rPr>
        <w:endnoteRef/>
      </w:r>
      <w:r w:rsidRPr="006B3A88">
        <w:rPr>
          <w:rFonts w:ascii="Avenir Book" w:hAnsi="Avenir Book" w:cstheme="minorHAnsi"/>
        </w:rPr>
        <w:t xml:space="preserve"> Royal Commission into Violence, Abuse, Neglect and Exploitation of People with Disability, ‘Inclusive education, employment and housing – Part B’, (Final Report, Volume 7), p. 479.</w:t>
      </w:r>
    </w:p>
  </w:endnote>
  <w:endnote w:id="44">
    <w:p w14:paraId="15113976" w14:textId="77777777" w:rsidR="0070051B" w:rsidRPr="006B3A88" w:rsidRDefault="0070051B" w:rsidP="00F251AD">
      <w:pPr>
        <w:pStyle w:val="EndnoteText"/>
        <w:rPr>
          <w:rFonts w:ascii="Avenir Book" w:hAnsi="Avenir Book" w:cstheme="minorHAnsi"/>
        </w:rPr>
      </w:pPr>
      <w:r w:rsidRPr="006B3A88">
        <w:rPr>
          <w:rStyle w:val="EndnoteReference"/>
          <w:rFonts w:ascii="Avenir Book" w:hAnsi="Avenir Book" w:cstheme="minorHAnsi"/>
        </w:rPr>
        <w:endnoteRef/>
      </w:r>
      <w:r w:rsidRPr="006B3A88">
        <w:rPr>
          <w:rFonts w:ascii="Avenir Book" w:hAnsi="Avenir Book" w:cstheme="minorHAnsi"/>
        </w:rPr>
        <w:t xml:space="preserve"> The Chair and Commissioners Ryan and Mason.</w:t>
      </w:r>
    </w:p>
  </w:endnote>
  <w:endnote w:id="45">
    <w:p w14:paraId="50D6214F" w14:textId="77777777" w:rsidR="0070051B" w:rsidRPr="006B3A88" w:rsidRDefault="0070051B" w:rsidP="00F251AD">
      <w:pPr>
        <w:pStyle w:val="EndnoteText"/>
        <w:rPr>
          <w:rFonts w:ascii="Avenir Book" w:hAnsi="Avenir Book" w:cstheme="minorHAnsi"/>
        </w:rPr>
      </w:pPr>
      <w:r w:rsidRPr="006B3A88">
        <w:rPr>
          <w:rStyle w:val="EndnoteReference"/>
          <w:rFonts w:ascii="Avenir Book" w:hAnsi="Avenir Book" w:cstheme="minorHAnsi"/>
        </w:rPr>
        <w:endnoteRef/>
      </w:r>
      <w:r w:rsidRPr="006B3A88">
        <w:rPr>
          <w:rFonts w:ascii="Avenir Book" w:hAnsi="Avenir Book" w:cstheme="minorHAnsi"/>
        </w:rPr>
        <w:t xml:space="preserve"> The Chair and Commissioner Ryan.</w:t>
      </w:r>
    </w:p>
  </w:endnote>
  <w:endnote w:id="46">
    <w:p w14:paraId="41C8AB71" w14:textId="77777777" w:rsidR="0070051B" w:rsidRPr="006B3A88" w:rsidRDefault="0070051B" w:rsidP="00F251AD">
      <w:pPr>
        <w:pStyle w:val="EndnoteText"/>
        <w:rPr>
          <w:rFonts w:ascii="Avenir Book" w:hAnsi="Avenir Book" w:cstheme="minorHAnsi"/>
        </w:rPr>
      </w:pPr>
      <w:r w:rsidRPr="006B3A88">
        <w:rPr>
          <w:rStyle w:val="EndnoteReference"/>
          <w:rFonts w:ascii="Avenir Book" w:hAnsi="Avenir Book" w:cstheme="minorHAnsi"/>
        </w:rPr>
        <w:endnoteRef/>
      </w:r>
      <w:r w:rsidRPr="006B3A88">
        <w:rPr>
          <w:rFonts w:ascii="Avenir Book" w:hAnsi="Avenir Book" w:cstheme="minorHAnsi"/>
        </w:rPr>
        <w:t xml:space="preserve"> The Chair and Commissioner Ryan. The Chair’s views were not reflected by a specific recommendation. </w:t>
      </w:r>
    </w:p>
  </w:endnote>
  <w:endnote w:id="47">
    <w:p w14:paraId="05407FE0" w14:textId="77777777" w:rsidR="00714265" w:rsidRPr="006B3A88" w:rsidRDefault="00714265" w:rsidP="00F251AD">
      <w:pPr>
        <w:pStyle w:val="EndnoteText"/>
        <w:rPr>
          <w:rFonts w:ascii="Avenir Book" w:hAnsi="Avenir Book" w:cstheme="minorHAnsi"/>
        </w:rPr>
      </w:pPr>
      <w:r w:rsidRPr="006B3A88">
        <w:rPr>
          <w:rStyle w:val="EndnoteReference"/>
          <w:rFonts w:ascii="Avenir Book" w:hAnsi="Avenir Book" w:cstheme="minorHAnsi"/>
        </w:rPr>
        <w:endnoteRef/>
      </w:r>
      <w:r w:rsidRPr="006B3A88">
        <w:rPr>
          <w:rFonts w:ascii="Avenir Book" w:hAnsi="Avenir Book" w:cstheme="minorHAnsi"/>
        </w:rPr>
        <w:t xml:space="preserve"> Views of the Chair and Commissioners Ryan and Mason in relation to education in Royal Commission into Violence, Abuse, Neglect and Exploitation of People with Disability, op. cit., ‘Part A’, (Final Report, Volume 7), p. 92; views of the Chair and Commissioner Ryan in relation to employment in Royal Commission into Violence, Abuse, Neglect and Exploitation of People with Disability, op. cit., ‘Part B’, (Final Report, Volume 7), p. 462.</w:t>
      </w:r>
    </w:p>
  </w:endnote>
  <w:endnote w:id="48">
    <w:p w14:paraId="167666BB" w14:textId="77777777" w:rsidR="00714265" w:rsidRPr="006B3A88" w:rsidRDefault="00714265" w:rsidP="00F251AD">
      <w:pPr>
        <w:pStyle w:val="EndnoteText"/>
        <w:rPr>
          <w:rFonts w:ascii="Avenir Book" w:hAnsi="Avenir Book" w:cstheme="minorHAnsi"/>
        </w:rPr>
      </w:pPr>
      <w:r w:rsidRPr="006B3A88">
        <w:rPr>
          <w:rStyle w:val="EndnoteReference"/>
          <w:rFonts w:ascii="Avenir Book" w:hAnsi="Avenir Book" w:cstheme="minorHAnsi"/>
        </w:rPr>
        <w:endnoteRef/>
      </w:r>
      <w:r w:rsidRPr="006B3A88">
        <w:rPr>
          <w:rFonts w:ascii="Avenir Book" w:hAnsi="Avenir Book" w:cstheme="minorHAnsi"/>
        </w:rPr>
        <w:t xml:space="preserve"> Views of the Chair and Commissioner Ryan in relation to employment in Royal Commission into Violence, Abuse, Neglect and Exploitation of People with Disability, op. cit., ‘Part B’, (Final Report, Volume 7), p. 518.</w:t>
      </w:r>
    </w:p>
  </w:endnote>
  <w:endnote w:id="49">
    <w:p w14:paraId="574FC9CE" w14:textId="77777777" w:rsidR="00714265" w:rsidRPr="006B3A88" w:rsidRDefault="00714265" w:rsidP="00F251AD">
      <w:pPr>
        <w:pStyle w:val="EndnoteText"/>
        <w:rPr>
          <w:rFonts w:ascii="Avenir Book" w:hAnsi="Avenir Book" w:cstheme="minorHAnsi"/>
        </w:rPr>
      </w:pPr>
      <w:r w:rsidRPr="006B3A88">
        <w:rPr>
          <w:rStyle w:val="EndnoteReference"/>
          <w:rFonts w:ascii="Avenir Book" w:hAnsi="Avenir Book" w:cstheme="minorHAnsi"/>
        </w:rPr>
        <w:endnoteRef/>
      </w:r>
      <w:r w:rsidRPr="006B3A88">
        <w:rPr>
          <w:rFonts w:ascii="Avenir Book" w:hAnsi="Avenir Book" w:cstheme="minorHAnsi"/>
        </w:rPr>
        <w:t xml:space="preserve"> Views of the Chair and Commissioners Ryan and Mason in relation to education in Royal Commission into Violence, Abuse, Neglect and Exploitation of People with Disability, op. cit., ‘Part A’, (Final Report, Volume 7), p. 93. </w:t>
      </w:r>
    </w:p>
  </w:endnote>
  <w:endnote w:id="50">
    <w:p w14:paraId="2AFDD4AE" w14:textId="77777777" w:rsidR="00714265" w:rsidRPr="006B3A88" w:rsidRDefault="00714265" w:rsidP="00F251AD">
      <w:pPr>
        <w:pStyle w:val="EndnoteText"/>
        <w:rPr>
          <w:rFonts w:ascii="Avenir Book" w:hAnsi="Avenir Book" w:cstheme="minorHAnsi"/>
        </w:rPr>
      </w:pPr>
      <w:r w:rsidRPr="006B3A88">
        <w:rPr>
          <w:rStyle w:val="EndnoteReference"/>
          <w:rFonts w:ascii="Avenir Book" w:hAnsi="Avenir Book" w:cstheme="minorHAnsi"/>
        </w:rPr>
        <w:endnoteRef/>
      </w:r>
      <w:r w:rsidRPr="006B3A88">
        <w:rPr>
          <w:rFonts w:ascii="Avenir Book" w:hAnsi="Avenir Book" w:cstheme="minorHAnsi"/>
        </w:rPr>
        <w:t xml:space="preserve"> View of Commissioner Ryan in relation to group homes in Royal Commission into Violence, Abuse, Neglect and Exploitation of People with Disability, op. cit., ‘Part C’, (Final Report, Volume 7), p. 648.</w:t>
      </w:r>
    </w:p>
  </w:endnote>
  <w:endnote w:id="51">
    <w:p w14:paraId="66D4DFD0" w14:textId="77777777" w:rsidR="00714265" w:rsidRPr="006B3A88" w:rsidRDefault="00714265" w:rsidP="00F251AD">
      <w:pPr>
        <w:pStyle w:val="EndnoteText"/>
        <w:rPr>
          <w:rFonts w:ascii="Avenir Book" w:hAnsi="Avenir Book" w:cstheme="minorHAnsi"/>
        </w:rPr>
      </w:pPr>
      <w:r w:rsidRPr="006B3A88">
        <w:rPr>
          <w:rStyle w:val="EndnoteReference"/>
          <w:rFonts w:ascii="Avenir Book" w:hAnsi="Avenir Book" w:cstheme="minorHAnsi"/>
        </w:rPr>
        <w:endnoteRef/>
      </w:r>
      <w:r w:rsidRPr="006B3A88">
        <w:rPr>
          <w:rFonts w:ascii="Avenir Book" w:hAnsi="Avenir Book" w:cstheme="minorHAnsi"/>
        </w:rPr>
        <w:t xml:space="preserve"> View of the Chair and Commissioner Ryan in relation to employment in Royal Commission into Violence, Abuse, Neglect and Exploitation of People with Disability, op. cit., ‘Part B’, (Final Report, Volume 7), p. 519</w:t>
      </w:r>
    </w:p>
  </w:endnote>
  <w:endnote w:id="52">
    <w:p w14:paraId="0F9B2F25" w14:textId="77777777" w:rsidR="00714265" w:rsidRPr="006B3A88" w:rsidRDefault="00714265" w:rsidP="00F251AD">
      <w:pPr>
        <w:pStyle w:val="EndnoteText"/>
        <w:rPr>
          <w:rFonts w:ascii="Avenir Book" w:hAnsi="Avenir Book" w:cstheme="minorHAnsi"/>
        </w:rPr>
      </w:pPr>
      <w:r w:rsidRPr="006B3A88">
        <w:rPr>
          <w:rStyle w:val="EndnoteReference"/>
          <w:rFonts w:ascii="Avenir Book" w:hAnsi="Avenir Book" w:cstheme="minorHAnsi"/>
        </w:rPr>
        <w:endnoteRef/>
      </w:r>
      <w:r w:rsidRPr="006B3A88">
        <w:rPr>
          <w:rFonts w:ascii="Avenir Book" w:hAnsi="Avenir Book" w:cstheme="minorHAnsi"/>
        </w:rPr>
        <w:t xml:space="preserve"> View of the Chair and Commissioners Ryan and Mason in relation to education in Royal Commission into Violence, Abuse, Neglect and Exploitation of People with Disability, op. cit., ‘Part A’, (Final Report, Volume 7), p. 93; view of the Chair and Commissioner Ryan in relation to employment in Royal Commission into Violence, Abuse, Neglect and Exploitation of People with Disability, op. cit., ‘Part B’, (Final Report, Volume 7), p. 519; view of the Chair in relation to group homes in Royal Commission into Violence, Abuse, Neglect and Exploitation of People with Disability, op. cit., ‘Part C’, (Final Report, Volume 7), p. 651.</w:t>
      </w:r>
    </w:p>
  </w:endnote>
  <w:endnote w:id="53">
    <w:p w14:paraId="4F6C463A" w14:textId="77777777" w:rsidR="00714265" w:rsidRPr="006B3A88" w:rsidRDefault="00714265" w:rsidP="00F251AD">
      <w:pPr>
        <w:pStyle w:val="EndnoteText"/>
        <w:rPr>
          <w:rFonts w:ascii="Avenir Book" w:hAnsi="Avenir Book" w:cstheme="minorHAnsi"/>
        </w:rPr>
      </w:pPr>
      <w:r w:rsidRPr="006B3A88">
        <w:rPr>
          <w:rStyle w:val="EndnoteReference"/>
          <w:rFonts w:ascii="Avenir Book" w:hAnsi="Avenir Book" w:cstheme="minorHAnsi"/>
        </w:rPr>
        <w:endnoteRef/>
      </w:r>
      <w:r w:rsidRPr="006B3A88">
        <w:rPr>
          <w:rFonts w:ascii="Avenir Book" w:hAnsi="Avenir Book" w:cstheme="minorHAnsi"/>
        </w:rPr>
        <w:t xml:space="preserve"> This is central to the human rights model of disability which is enshrined in the CRPD. See Committee on the Rights of Persons with Disabilities, ‘General Comment No. 6 (2018) on equality and non-discrimination’ (26 April 2018), UN Doc CRPD/C/GC/6, paras 8-9.</w:t>
      </w:r>
    </w:p>
  </w:endnote>
  <w:endnote w:id="54">
    <w:p w14:paraId="07CF0A39" w14:textId="77777777" w:rsidR="00714265" w:rsidRPr="006B3A88" w:rsidRDefault="00714265" w:rsidP="00F251AD">
      <w:pPr>
        <w:pStyle w:val="EndnoteText"/>
        <w:rPr>
          <w:rFonts w:ascii="Avenir Book" w:hAnsi="Avenir Book" w:cstheme="minorHAnsi"/>
        </w:rPr>
      </w:pPr>
      <w:r w:rsidRPr="006B3A88">
        <w:rPr>
          <w:rStyle w:val="EndnoteReference"/>
          <w:rFonts w:ascii="Avenir Book" w:hAnsi="Avenir Book" w:cstheme="minorHAnsi"/>
        </w:rPr>
        <w:endnoteRef/>
      </w:r>
      <w:r w:rsidRPr="006B3A88">
        <w:rPr>
          <w:rFonts w:ascii="Avenir Book" w:hAnsi="Avenir Book" w:cstheme="minorHAnsi"/>
        </w:rPr>
        <w:t xml:space="preserve"> CRPD, art. 1.</w:t>
      </w:r>
    </w:p>
  </w:endnote>
  <w:endnote w:id="55">
    <w:p w14:paraId="2CC7D672" w14:textId="77777777" w:rsidR="00714265" w:rsidRPr="006B3A88" w:rsidRDefault="00714265" w:rsidP="00F251AD">
      <w:pPr>
        <w:pStyle w:val="EndnoteText"/>
        <w:rPr>
          <w:rFonts w:ascii="Avenir Book" w:hAnsi="Avenir Book" w:cstheme="minorHAnsi"/>
        </w:rPr>
      </w:pPr>
      <w:r w:rsidRPr="006B3A88">
        <w:rPr>
          <w:rStyle w:val="EndnoteReference"/>
          <w:rFonts w:ascii="Avenir Book" w:hAnsi="Avenir Book" w:cstheme="minorHAnsi"/>
        </w:rPr>
        <w:endnoteRef/>
      </w:r>
      <w:r w:rsidRPr="006B3A88">
        <w:rPr>
          <w:rFonts w:ascii="Avenir Book" w:hAnsi="Avenir Book" w:cstheme="minorHAnsi"/>
        </w:rPr>
        <w:t xml:space="preserve"> Royal Commission into Violence, Abuse, Neglect and Exploitation of People with Disability, ‘Final Report – Executive Summary, Our vision for an inclusive Australia and Recommendations’, (September 2023), Commonwealth of Australia, p. 37. </w:t>
      </w:r>
    </w:p>
  </w:endnote>
  <w:endnote w:id="56">
    <w:p w14:paraId="48EA1B7B" w14:textId="77777777" w:rsidR="00AB3CD5" w:rsidRPr="006B3A88" w:rsidRDefault="00AB3CD5" w:rsidP="00F251AD">
      <w:pPr>
        <w:pStyle w:val="EndnoteText"/>
        <w:rPr>
          <w:rFonts w:ascii="Avenir Book" w:hAnsi="Avenir Book" w:cstheme="minorHAnsi"/>
        </w:rPr>
      </w:pPr>
      <w:r w:rsidRPr="006B3A88">
        <w:rPr>
          <w:rStyle w:val="EndnoteReference"/>
          <w:rFonts w:ascii="Avenir Book" w:hAnsi="Avenir Book" w:cstheme="minorHAnsi"/>
        </w:rPr>
        <w:endnoteRef/>
      </w:r>
      <w:r w:rsidRPr="006B3A88">
        <w:rPr>
          <w:rFonts w:ascii="Avenir Book" w:hAnsi="Avenir Book" w:cstheme="minorHAnsi"/>
        </w:rPr>
        <w:t xml:space="preserve"> Gerard Quinn, </w:t>
      </w:r>
      <w:hyperlink r:id="rId33" w:history="1">
        <w:r w:rsidRPr="006B3A88">
          <w:rPr>
            <w:rStyle w:val="Hyperlink"/>
            <w:rFonts w:ascii="Avenir Book" w:hAnsi="Avenir Book" w:cstheme="minorHAnsi"/>
          </w:rPr>
          <w:t>Personhood &amp; Legal Capacity Perspectives on the Paradigm Shift of Article 12 CRPD</w:t>
        </w:r>
      </w:hyperlink>
      <w:r w:rsidRPr="006B3A88">
        <w:rPr>
          <w:rFonts w:ascii="Avenir Book" w:hAnsi="Avenir Book" w:cstheme="minorHAnsi"/>
        </w:rPr>
        <w:t xml:space="preserve"> (Concept Paper for the Harvard Law School Project on Disability Conference), Cambridge, 20 February 2010) 5.</w:t>
      </w:r>
    </w:p>
  </w:endnote>
  <w:endnote w:id="57">
    <w:p w14:paraId="582D2349" w14:textId="77777777" w:rsidR="00AB3CD5" w:rsidRPr="006B3A88" w:rsidRDefault="00AB3CD5" w:rsidP="00F251AD">
      <w:pPr>
        <w:pStyle w:val="EndnoteText"/>
        <w:rPr>
          <w:rFonts w:ascii="Avenir Book" w:hAnsi="Avenir Book" w:cstheme="minorHAnsi"/>
        </w:rPr>
      </w:pPr>
      <w:r w:rsidRPr="006B3A88">
        <w:rPr>
          <w:rStyle w:val="EndnoteReference"/>
          <w:rFonts w:ascii="Avenir Book" w:hAnsi="Avenir Book" w:cstheme="minorHAnsi"/>
        </w:rPr>
        <w:endnoteRef/>
      </w:r>
      <w:r w:rsidRPr="006B3A88">
        <w:rPr>
          <w:rFonts w:ascii="Avenir Book" w:hAnsi="Avenir Book" w:cstheme="minorHAnsi"/>
        </w:rPr>
        <w:t xml:space="preserve"> </w:t>
      </w:r>
      <w:r w:rsidRPr="006B3A88">
        <w:rPr>
          <w:rFonts w:ascii="Avenir Book" w:eastAsia="Arial" w:hAnsi="Avenir Book" w:cstheme="minorHAnsi"/>
        </w:rPr>
        <w:t xml:space="preserve">As clearly articulated in the Universal Declaration of Human Rights, </w:t>
      </w:r>
      <w:r w:rsidRPr="006B3A88">
        <w:rPr>
          <w:rFonts w:ascii="Avenir Book" w:eastAsia="Arial" w:hAnsi="Avenir Book" w:cstheme="minorHAnsi"/>
          <w:i/>
          <w:iCs/>
        </w:rPr>
        <w:t xml:space="preserve">“All human beings are born free and equal in dignity and rights” </w:t>
      </w:r>
      <w:r w:rsidRPr="006B3A88">
        <w:rPr>
          <w:rFonts w:ascii="Avenir Book" w:eastAsia="Arial" w:hAnsi="Avenir Book" w:cstheme="minorHAnsi"/>
        </w:rPr>
        <w:t>(article 1);</w:t>
      </w:r>
      <w:r w:rsidRPr="006B3A88">
        <w:rPr>
          <w:rFonts w:ascii="Avenir Book" w:eastAsia="Arial" w:hAnsi="Avenir Book" w:cstheme="minorHAnsi"/>
          <w:i/>
          <w:iCs/>
        </w:rPr>
        <w:t xml:space="preserve"> “Everyone has the right to recognition everywhere as a person before the law” </w:t>
      </w:r>
      <w:r w:rsidRPr="006B3A88">
        <w:rPr>
          <w:rFonts w:ascii="Avenir Book" w:eastAsia="Arial" w:hAnsi="Avenir Book" w:cstheme="minorHAnsi"/>
        </w:rPr>
        <w:t>(article 6).</w:t>
      </w:r>
    </w:p>
  </w:endnote>
  <w:endnote w:id="58">
    <w:p w14:paraId="56AF8D0C" w14:textId="77777777" w:rsidR="00AB3CD5" w:rsidRPr="006B3A88" w:rsidRDefault="00AB3CD5" w:rsidP="00F251AD">
      <w:pPr>
        <w:pStyle w:val="EndnoteText"/>
        <w:rPr>
          <w:rFonts w:ascii="Avenir Book" w:hAnsi="Avenir Book" w:cstheme="minorHAnsi"/>
        </w:rPr>
      </w:pPr>
      <w:r w:rsidRPr="006B3A88">
        <w:rPr>
          <w:rStyle w:val="EndnoteReference"/>
          <w:rFonts w:ascii="Avenir Book" w:hAnsi="Avenir Book" w:cstheme="minorHAnsi"/>
        </w:rPr>
        <w:endnoteRef/>
      </w:r>
      <w:r w:rsidRPr="006B3A88">
        <w:rPr>
          <w:rFonts w:ascii="Avenir Book" w:hAnsi="Avenir Book" w:cstheme="minorHAnsi"/>
        </w:rPr>
        <w:t xml:space="preserve"> Committee on the Rights of Persons with Disabilities, General Comment No 1 (2014) on Equal recognition before the law, (19 May 2014), UN Doc: CRPD/C/GC/1, para. 1.</w:t>
      </w:r>
    </w:p>
  </w:endnote>
  <w:endnote w:id="59">
    <w:p w14:paraId="27C2E3EC" w14:textId="77777777" w:rsidR="00AB3CD5" w:rsidRPr="006B3A88" w:rsidRDefault="00AB3CD5" w:rsidP="00F251AD">
      <w:pPr>
        <w:pStyle w:val="EndnoteText"/>
        <w:rPr>
          <w:rFonts w:ascii="Avenir Book" w:hAnsi="Avenir Book" w:cstheme="minorHAnsi"/>
        </w:rPr>
      </w:pPr>
      <w:r w:rsidRPr="006B3A88">
        <w:rPr>
          <w:rStyle w:val="EndnoteReference"/>
          <w:rFonts w:ascii="Avenir Book" w:hAnsi="Avenir Book" w:cstheme="minorHAnsi"/>
        </w:rPr>
        <w:endnoteRef/>
      </w:r>
      <w:r w:rsidRPr="006B3A88">
        <w:rPr>
          <w:rFonts w:ascii="Avenir Book" w:hAnsi="Avenir Book" w:cstheme="minorHAnsi"/>
        </w:rPr>
        <w:t xml:space="preserve"> These principles are outlined in article 3, General principles of the Convention on the Rights of Persons with Disabilities. </w:t>
      </w:r>
    </w:p>
  </w:endnote>
  <w:endnote w:id="60">
    <w:p w14:paraId="7AAE910C" w14:textId="77777777" w:rsidR="00AB3CD5" w:rsidRPr="006B3A88" w:rsidRDefault="00AB3CD5" w:rsidP="00F251AD">
      <w:pPr>
        <w:pStyle w:val="EndnoteText"/>
        <w:rPr>
          <w:rFonts w:ascii="Avenir Book" w:hAnsi="Avenir Book" w:cstheme="minorHAnsi"/>
        </w:rPr>
      </w:pPr>
      <w:r w:rsidRPr="006B3A88">
        <w:rPr>
          <w:rStyle w:val="EndnoteReference"/>
          <w:rFonts w:ascii="Avenir Book" w:hAnsi="Avenir Book" w:cstheme="minorHAnsi"/>
        </w:rPr>
        <w:endnoteRef/>
      </w:r>
      <w:r w:rsidRPr="006B3A88">
        <w:rPr>
          <w:rFonts w:ascii="Avenir Book" w:hAnsi="Avenir Book" w:cstheme="minorHAnsi"/>
        </w:rPr>
        <w:t xml:space="preserve"> Universal Declaration of Human Rights (UDHR) 1948, UN Doc: A/RES/217A(111), art. 6.</w:t>
      </w:r>
    </w:p>
  </w:endnote>
  <w:endnote w:id="61">
    <w:p w14:paraId="15FF8208" w14:textId="77777777" w:rsidR="00AB3CD5" w:rsidRPr="006B3A88" w:rsidRDefault="00AB3CD5" w:rsidP="00F251AD">
      <w:pPr>
        <w:pStyle w:val="EndnoteText"/>
        <w:rPr>
          <w:rFonts w:ascii="Avenir Book" w:hAnsi="Avenir Book" w:cstheme="minorHAnsi"/>
        </w:rPr>
      </w:pPr>
      <w:r w:rsidRPr="006B3A88">
        <w:rPr>
          <w:rStyle w:val="EndnoteReference"/>
          <w:rFonts w:ascii="Avenir Book" w:hAnsi="Avenir Book" w:cstheme="minorHAnsi"/>
        </w:rPr>
        <w:endnoteRef/>
      </w:r>
      <w:r w:rsidRPr="006B3A88">
        <w:rPr>
          <w:rFonts w:ascii="Avenir Book" w:hAnsi="Avenir Book" w:cstheme="minorHAnsi"/>
        </w:rPr>
        <w:t xml:space="preserve"> International Covenant on Civil and Political Rights (ICCPR) 1966, UNTS, vol. 999, p.171, art. 26; Convention on the Elimination of All Forms of Discrimination Against Women (CEDAW) 1979, UNTS, vol. 1249, p. 13, art. 15.</w:t>
      </w:r>
    </w:p>
  </w:endnote>
  <w:endnote w:id="62">
    <w:p w14:paraId="062C2C60" w14:textId="192ADC5B" w:rsidR="00AB3CD5" w:rsidRPr="006B3A88" w:rsidRDefault="00AB3CD5" w:rsidP="00F251AD">
      <w:pPr>
        <w:pStyle w:val="EndnoteText"/>
        <w:rPr>
          <w:rFonts w:ascii="Avenir Book" w:hAnsi="Avenir Book" w:cstheme="minorHAnsi"/>
          <w:color w:val="FF0000"/>
        </w:rPr>
      </w:pPr>
      <w:r w:rsidRPr="006B3A88">
        <w:rPr>
          <w:rStyle w:val="EndnoteReference"/>
          <w:rFonts w:ascii="Avenir Book" w:hAnsi="Avenir Book" w:cstheme="minorHAnsi"/>
        </w:rPr>
        <w:endnoteRef/>
      </w:r>
      <w:r w:rsidRPr="006B3A88">
        <w:rPr>
          <w:rFonts w:ascii="Avenir Book" w:hAnsi="Avenir Book" w:cstheme="minorHAnsi"/>
        </w:rPr>
        <w:t xml:space="preserve"> ‘Parens patriae’ is a Latin term meaning ‘the parent of his or her country’. Pursuant to the common law doctrine </w:t>
      </w:r>
      <w:r w:rsidRPr="006B3A88">
        <w:rPr>
          <w:rFonts w:ascii="Avenir Book" w:hAnsi="Avenir Book" w:cstheme="minorHAnsi"/>
          <w:i/>
          <w:iCs/>
        </w:rPr>
        <w:t>‘the Sovereign has an obligation to protect the interests of those unable to protect themselves, such as protecting the assets of children and 'lunatics’</w:t>
      </w:r>
      <w:r w:rsidRPr="006B3A88">
        <w:rPr>
          <w:rFonts w:ascii="Avenir Book" w:hAnsi="Avenir Book" w:cstheme="minorHAnsi"/>
        </w:rPr>
        <w:t xml:space="preserve"> [Peter Butt and PE Nygh, Butterworths Encyclopaedic Australian Legal Dictionary (online), ‘parens patriae’]. In practice in common law nations, it involves the crown (or head of state) assuming responsibility for those persons unable to care for themselves, such as children and the “mentally ill”</w:t>
      </w:r>
      <w:r w:rsidR="00B80718" w:rsidRPr="006B3A88">
        <w:rPr>
          <w:rFonts w:ascii="Avenir Book" w:hAnsi="Avenir Book" w:cstheme="minorHAnsi"/>
        </w:rPr>
        <w:t xml:space="preserve">. </w:t>
      </w:r>
      <w:r w:rsidRPr="006B3A88">
        <w:rPr>
          <w:rFonts w:ascii="Avenir Book" w:hAnsi="Avenir Book" w:cstheme="minorHAnsi"/>
        </w:rPr>
        <w:t>See: Parliament of Australia ‘</w:t>
      </w:r>
      <w:hyperlink r:id="rId34" w:history="1">
        <w:r w:rsidRPr="006B3A88">
          <w:rPr>
            <w:rStyle w:val="Hyperlink"/>
            <w:rFonts w:ascii="Avenir Book" w:hAnsi="Avenir Book" w:cstheme="minorHAnsi"/>
          </w:rPr>
          <w:t>The king, the courts and 'incompetent' children: the welfare jurisdiction of the Family Court of Australia’</w:t>
        </w:r>
      </w:hyperlink>
      <w:r w:rsidRPr="006B3A88">
        <w:rPr>
          <w:rFonts w:ascii="Avenir Book" w:hAnsi="Avenir Book" w:cstheme="minorHAnsi"/>
        </w:rPr>
        <w:t xml:space="preserve">. </w:t>
      </w:r>
    </w:p>
  </w:endnote>
  <w:endnote w:id="63">
    <w:p w14:paraId="67AF0C94" w14:textId="77777777" w:rsidR="00AB3CD5" w:rsidRPr="006B3A88" w:rsidRDefault="00AB3CD5" w:rsidP="00F251AD">
      <w:pPr>
        <w:pStyle w:val="EndnoteText"/>
        <w:rPr>
          <w:rFonts w:ascii="Avenir Book" w:hAnsi="Avenir Book" w:cstheme="minorHAnsi"/>
        </w:rPr>
      </w:pPr>
      <w:r w:rsidRPr="006B3A88">
        <w:rPr>
          <w:rStyle w:val="EndnoteReference"/>
          <w:rFonts w:ascii="Avenir Book" w:hAnsi="Avenir Book" w:cstheme="minorHAnsi"/>
        </w:rPr>
        <w:endnoteRef/>
      </w:r>
      <w:r w:rsidRPr="006B3A88">
        <w:rPr>
          <w:rFonts w:ascii="Avenir Book" w:hAnsi="Avenir Book" w:cstheme="minorHAnsi"/>
        </w:rPr>
        <w:t xml:space="preserve"> Committee on the Rights of Persons with Disabilities, General Comment No 1 (2014) on Equal recognition before the law, (19 May 2014), UN Doc: CRPD/C/GC/1, para. 14.</w:t>
      </w:r>
    </w:p>
  </w:endnote>
  <w:endnote w:id="64">
    <w:p w14:paraId="41828253" w14:textId="77777777" w:rsidR="00AB3CD5" w:rsidRPr="006B3A88" w:rsidRDefault="00AB3CD5" w:rsidP="00F251AD">
      <w:pPr>
        <w:pStyle w:val="EndnoteText"/>
        <w:rPr>
          <w:rFonts w:ascii="Avenir Book" w:hAnsi="Avenir Book" w:cstheme="minorHAnsi"/>
        </w:rPr>
      </w:pPr>
      <w:r w:rsidRPr="006B3A88">
        <w:rPr>
          <w:rStyle w:val="EndnoteReference"/>
          <w:rFonts w:ascii="Avenir Book" w:hAnsi="Avenir Book" w:cstheme="minorHAnsi"/>
        </w:rPr>
        <w:endnoteRef/>
      </w:r>
      <w:r w:rsidRPr="006B3A88">
        <w:rPr>
          <w:rFonts w:ascii="Avenir Book" w:hAnsi="Avenir Book" w:cstheme="minorHAnsi"/>
        </w:rPr>
        <w:t xml:space="preserve"> Ibid, para. 28.</w:t>
      </w:r>
    </w:p>
  </w:endnote>
  <w:endnote w:id="65">
    <w:p w14:paraId="46CE8DF5" w14:textId="77777777" w:rsidR="00AB3CD5" w:rsidRPr="006B3A88" w:rsidRDefault="00AB3CD5" w:rsidP="00F251AD">
      <w:pPr>
        <w:pStyle w:val="EndnoteText"/>
        <w:rPr>
          <w:rFonts w:ascii="Avenir Book" w:hAnsi="Avenir Book" w:cstheme="minorHAnsi"/>
        </w:rPr>
      </w:pPr>
      <w:r w:rsidRPr="006B3A88">
        <w:rPr>
          <w:rStyle w:val="EndnoteReference"/>
          <w:rFonts w:ascii="Avenir Book" w:hAnsi="Avenir Book" w:cstheme="minorHAnsi"/>
        </w:rPr>
        <w:endnoteRef/>
      </w:r>
      <w:r w:rsidRPr="006B3A88">
        <w:rPr>
          <w:rFonts w:ascii="Avenir Book" w:hAnsi="Avenir Book" w:cstheme="minorHAnsi"/>
        </w:rPr>
        <w:t xml:space="preserve"> Royal Commission into Violence, Abuse, Neglect and Exploitation of People with Disability, ‘Enabling autonomy and access’ (Final Report, Volume 6), September 2023, Commonwealth of Australia, p. 115.</w:t>
      </w:r>
    </w:p>
  </w:endnote>
  <w:endnote w:id="66">
    <w:p w14:paraId="7D28C7BE" w14:textId="77777777" w:rsidR="00AB3CD5" w:rsidRPr="006B3A88" w:rsidRDefault="00AB3CD5" w:rsidP="00F251AD">
      <w:pPr>
        <w:pStyle w:val="EndnoteText"/>
        <w:rPr>
          <w:rFonts w:ascii="Avenir Book" w:hAnsi="Avenir Book" w:cstheme="minorHAnsi"/>
        </w:rPr>
      </w:pPr>
      <w:r w:rsidRPr="006B3A88">
        <w:rPr>
          <w:rStyle w:val="EndnoteReference"/>
          <w:rFonts w:ascii="Avenir Book" w:hAnsi="Avenir Book" w:cstheme="minorHAnsi"/>
        </w:rPr>
        <w:endnoteRef/>
      </w:r>
      <w:r w:rsidRPr="006B3A88">
        <w:rPr>
          <w:rFonts w:ascii="Avenir Book" w:hAnsi="Avenir Book" w:cstheme="minorHAnsi"/>
        </w:rPr>
        <w:t xml:space="preserve"> Committee on the Rights of Persons with Disabilities, General Comment No 1 (2014) on Equal recognition before the law, (19 May 2014), UN Doc: CRPD/C/GC/1, para. 17.</w:t>
      </w:r>
    </w:p>
  </w:endnote>
  <w:endnote w:id="67">
    <w:p w14:paraId="2083B8C4" w14:textId="77777777" w:rsidR="00AB3CD5" w:rsidRPr="006B3A88" w:rsidRDefault="00AB3CD5" w:rsidP="00F251AD">
      <w:pPr>
        <w:pStyle w:val="EndnoteText"/>
        <w:rPr>
          <w:rFonts w:ascii="Avenir Book" w:hAnsi="Avenir Book" w:cstheme="minorHAnsi"/>
        </w:rPr>
      </w:pPr>
      <w:r w:rsidRPr="006B3A88">
        <w:rPr>
          <w:rStyle w:val="EndnoteReference"/>
          <w:rFonts w:ascii="Avenir Book" w:hAnsi="Avenir Book" w:cstheme="minorHAnsi"/>
        </w:rPr>
        <w:endnoteRef/>
      </w:r>
      <w:r w:rsidRPr="006B3A88">
        <w:rPr>
          <w:rFonts w:ascii="Avenir Book" w:hAnsi="Avenir Book" w:cstheme="minorHAnsi"/>
        </w:rPr>
        <w:t xml:space="preserve"> Royal Commission into Violence, Abuse, Neglect and Exploitation of People with Disability, op. cit., (Final Report, Volume 6), September 2023, Commonwealth of Australia, p. 122.</w:t>
      </w:r>
    </w:p>
  </w:endnote>
  <w:endnote w:id="68">
    <w:p w14:paraId="7853EA87" w14:textId="77777777" w:rsidR="00AB3CD5" w:rsidRPr="006B3A88" w:rsidRDefault="00AB3CD5" w:rsidP="00F251AD">
      <w:pPr>
        <w:pStyle w:val="EndnoteText"/>
        <w:rPr>
          <w:rFonts w:ascii="Avenir Book" w:hAnsi="Avenir Book" w:cstheme="minorHAnsi"/>
        </w:rPr>
      </w:pPr>
      <w:r w:rsidRPr="006B3A88">
        <w:rPr>
          <w:rStyle w:val="EndnoteReference"/>
          <w:rFonts w:ascii="Avenir Book" w:hAnsi="Avenir Book" w:cstheme="minorHAnsi"/>
        </w:rPr>
        <w:endnoteRef/>
      </w:r>
      <w:r w:rsidRPr="006B3A88">
        <w:rPr>
          <w:rFonts w:ascii="Avenir Book" w:hAnsi="Avenir Book" w:cstheme="minorHAnsi"/>
        </w:rPr>
        <w:t xml:space="preserve"> Committee on the Rights of Persons with Disabilities, General Comment No 1 (2014) on Equal recognition before the law, (19 May 2014), UN Doc: CRPD/C/GC/1, para. 27.</w:t>
      </w:r>
    </w:p>
  </w:endnote>
  <w:endnote w:id="69">
    <w:p w14:paraId="46592724" w14:textId="77777777" w:rsidR="00AB3CD5" w:rsidRPr="006B3A88" w:rsidRDefault="00AB3CD5" w:rsidP="00F251AD">
      <w:pPr>
        <w:pStyle w:val="EndnoteText"/>
        <w:rPr>
          <w:rFonts w:ascii="Avenir Book" w:hAnsi="Avenir Book" w:cstheme="minorHAnsi"/>
        </w:rPr>
      </w:pPr>
      <w:r w:rsidRPr="006B3A88">
        <w:rPr>
          <w:rStyle w:val="EndnoteReference"/>
          <w:rFonts w:ascii="Avenir Book" w:hAnsi="Avenir Book" w:cstheme="minorHAnsi"/>
        </w:rPr>
        <w:endnoteRef/>
      </w:r>
      <w:r w:rsidRPr="006B3A88">
        <w:rPr>
          <w:rFonts w:ascii="Avenir Book" w:hAnsi="Avenir Book" w:cstheme="minorHAnsi"/>
        </w:rPr>
        <w:t xml:space="preserve"> Royal Commission into Violence, Abuse, Neglect and Exploitation of People with Disability, op. cit., (Final Report, Volume 6), September 2023, Commonwealth of Australia, p. 123.</w:t>
      </w:r>
    </w:p>
  </w:endnote>
  <w:endnote w:id="70">
    <w:p w14:paraId="653F71B5" w14:textId="77777777" w:rsidR="00AB3CD5" w:rsidRPr="006B3A88" w:rsidRDefault="00AB3CD5" w:rsidP="00F251AD">
      <w:pPr>
        <w:pStyle w:val="EndnoteText"/>
        <w:rPr>
          <w:rFonts w:ascii="Avenir Book" w:hAnsi="Avenir Book" w:cstheme="minorHAnsi"/>
        </w:rPr>
      </w:pPr>
      <w:r w:rsidRPr="006B3A88">
        <w:rPr>
          <w:rStyle w:val="EndnoteReference"/>
          <w:rFonts w:ascii="Avenir Book" w:hAnsi="Avenir Book" w:cstheme="minorHAnsi"/>
        </w:rPr>
        <w:endnoteRef/>
      </w:r>
      <w:r w:rsidRPr="006B3A88">
        <w:rPr>
          <w:rFonts w:ascii="Avenir Book" w:hAnsi="Avenir Book" w:cstheme="minorHAnsi"/>
        </w:rPr>
        <w:t xml:space="preserve"> Ibid, p. 191-192.</w:t>
      </w:r>
    </w:p>
  </w:endnote>
  <w:endnote w:id="71">
    <w:p w14:paraId="4DFA2098" w14:textId="77777777" w:rsidR="00AB3CD5" w:rsidRPr="006B3A88" w:rsidRDefault="00AB3CD5" w:rsidP="00F251AD">
      <w:pPr>
        <w:pStyle w:val="EndnoteText"/>
        <w:rPr>
          <w:rFonts w:ascii="Avenir Book" w:hAnsi="Avenir Book"/>
        </w:rPr>
      </w:pPr>
      <w:r w:rsidRPr="006B3A88">
        <w:rPr>
          <w:rStyle w:val="EndnoteReference"/>
          <w:rFonts w:ascii="Avenir Book" w:hAnsi="Avenir Book" w:cstheme="minorHAnsi"/>
        </w:rPr>
        <w:endnoteRef/>
      </w:r>
      <w:r w:rsidRPr="006B3A88">
        <w:rPr>
          <w:rFonts w:ascii="Avenir Book" w:hAnsi="Avenir Book" w:cstheme="minorHAnsi"/>
        </w:rPr>
        <w:t xml:space="preserve"> Ibid, p. 190. For example, a ‘personal and social wellbeing’ standard could be used to ensure a person receives mental health treatment by using mental health legislation to forcibly detain and treat that person in contravention of their human rights under articles 12, 14 and 17 of the CRPD.</w:t>
      </w:r>
      <w:r w:rsidRPr="006B3A88">
        <w:rPr>
          <w:rFonts w:ascii="Avenir Book" w:hAnsi="Avenir Book"/>
        </w:rPr>
        <w:t xml:space="preserve"> </w:t>
      </w:r>
    </w:p>
  </w:endnote>
  <w:endnote w:id="72">
    <w:p w14:paraId="0FC13A05" w14:textId="77777777" w:rsidR="00AB3CD5" w:rsidRPr="006B3A88" w:rsidRDefault="00AB3CD5" w:rsidP="00F251AD">
      <w:pPr>
        <w:pStyle w:val="EndnoteText"/>
        <w:rPr>
          <w:rFonts w:ascii="Avenir Book" w:hAnsi="Avenir Book" w:cstheme="minorHAnsi"/>
        </w:rPr>
      </w:pPr>
      <w:r w:rsidRPr="006B3A88">
        <w:rPr>
          <w:rStyle w:val="EndnoteReference"/>
          <w:rFonts w:ascii="Avenir Book" w:hAnsi="Avenir Book" w:cstheme="minorHAnsi"/>
        </w:rPr>
        <w:endnoteRef/>
      </w:r>
      <w:r w:rsidRPr="006B3A88">
        <w:rPr>
          <w:rFonts w:ascii="Avenir Book" w:hAnsi="Avenir Book" w:cstheme="minorHAnsi"/>
        </w:rPr>
        <w:t xml:space="preserve"> Ibid, p. 190.</w:t>
      </w:r>
    </w:p>
  </w:endnote>
  <w:endnote w:id="73">
    <w:p w14:paraId="02DB7A48" w14:textId="77777777" w:rsidR="00AB3CD5" w:rsidRPr="006B3A88" w:rsidRDefault="00AB3CD5" w:rsidP="00F251AD">
      <w:pPr>
        <w:pStyle w:val="EndnoteText"/>
        <w:rPr>
          <w:rFonts w:ascii="Avenir Book" w:hAnsi="Avenir Book" w:cstheme="minorHAnsi"/>
        </w:rPr>
      </w:pPr>
      <w:r w:rsidRPr="006B3A88">
        <w:rPr>
          <w:rStyle w:val="EndnoteReference"/>
          <w:rFonts w:ascii="Avenir Book" w:hAnsi="Avenir Book" w:cstheme="minorHAnsi"/>
        </w:rPr>
        <w:endnoteRef/>
      </w:r>
      <w:r w:rsidRPr="006B3A88">
        <w:rPr>
          <w:rFonts w:ascii="Avenir Book" w:hAnsi="Avenir Book" w:cstheme="minorHAnsi"/>
        </w:rPr>
        <w:t xml:space="preserve"> Committee on the Rights of Persons with Disabilities, General Comment No 1 (2014) on Equal recognition before the law, (19 May 2014), UN Doc: CRPD/C/GC/1, paras. 17, 20, 21, 22, 50(b).</w:t>
      </w:r>
    </w:p>
  </w:endnote>
  <w:endnote w:id="74">
    <w:p w14:paraId="38EED2EE" w14:textId="77777777" w:rsidR="00AB3CD5" w:rsidRPr="006B3A88" w:rsidRDefault="00AB3CD5" w:rsidP="00F251AD">
      <w:pPr>
        <w:pStyle w:val="EndnoteText"/>
        <w:rPr>
          <w:rFonts w:ascii="Avenir Book" w:hAnsi="Avenir Book" w:cstheme="minorHAnsi"/>
        </w:rPr>
      </w:pPr>
      <w:r w:rsidRPr="006B3A88">
        <w:rPr>
          <w:rStyle w:val="EndnoteReference"/>
          <w:rFonts w:ascii="Avenir Book" w:hAnsi="Avenir Book" w:cstheme="minorHAnsi"/>
        </w:rPr>
        <w:endnoteRef/>
      </w:r>
      <w:r w:rsidRPr="006B3A88">
        <w:rPr>
          <w:rFonts w:ascii="Avenir Book" w:hAnsi="Avenir Book" w:cstheme="minorHAnsi"/>
        </w:rPr>
        <w:t xml:space="preserve"> Royal Commission into Violence, Abuse, Neglect and Exploitation of People with Disability, op. cit., (Final Report, Volume 6), September 2023, Commonwealth of Australia, p. 190.</w:t>
      </w:r>
    </w:p>
  </w:endnote>
  <w:endnote w:id="75">
    <w:p w14:paraId="3D1EC5D6" w14:textId="77777777" w:rsidR="00AB3CD5" w:rsidRPr="006B3A88" w:rsidRDefault="00AB3CD5" w:rsidP="00F251AD">
      <w:pPr>
        <w:pStyle w:val="EndnoteText"/>
        <w:rPr>
          <w:rFonts w:ascii="Avenir Book" w:hAnsi="Avenir Book" w:cstheme="minorHAnsi"/>
        </w:rPr>
      </w:pPr>
      <w:r w:rsidRPr="006B3A88">
        <w:rPr>
          <w:rStyle w:val="EndnoteReference"/>
          <w:rFonts w:ascii="Avenir Book" w:hAnsi="Avenir Book" w:cstheme="minorHAnsi"/>
        </w:rPr>
        <w:endnoteRef/>
      </w:r>
      <w:r w:rsidRPr="006B3A88">
        <w:rPr>
          <w:rFonts w:ascii="Avenir Book" w:hAnsi="Avenir Book" w:cstheme="minorHAnsi"/>
        </w:rPr>
        <w:t xml:space="preserve"> Ibid, p. 118.</w:t>
      </w:r>
    </w:p>
  </w:endnote>
  <w:endnote w:id="76">
    <w:p w14:paraId="60987742" w14:textId="77777777" w:rsidR="00AB3CD5" w:rsidRPr="006B3A88" w:rsidRDefault="00AB3CD5" w:rsidP="00F251AD">
      <w:pPr>
        <w:pStyle w:val="EndnoteText"/>
        <w:rPr>
          <w:rFonts w:ascii="Avenir Book" w:hAnsi="Avenir Book" w:cstheme="minorHAnsi"/>
        </w:rPr>
      </w:pPr>
      <w:r w:rsidRPr="006B3A88">
        <w:rPr>
          <w:rStyle w:val="EndnoteReference"/>
          <w:rFonts w:ascii="Avenir Book" w:hAnsi="Avenir Book" w:cstheme="minorHAnsi"/>
        </w:rPr>
        <w:endnoteRef/>
      </w:r>
      <w:r w:rsidRPr="006B3A88">
        <w:rPr>
          <w:rFonts w:ascii="Avenir Book" w:hAnsi="Avenir Book" w:cstheme="minorHAnsi"/>
        </w:rPr>
        <w:t xml:space="preserve"> For a comprehensive discussion of the ‘parens patriae’ jurisdiction, see Women With Disabilities Australia (WWDA) (2020), ‘Our Right to Decide: Equality and Autonomy for Women with Disability’ (Submission on Guardianship and Financial Management to the Royal Commission into Violence, Abuse, Neglect and Exploitation of People with Disability), WWDA, Hobart; see also Women With Disabilities Australia (WWDA) (2022), ‘Submission on Sexual and Reproductive Rights of Women and Girls with Disability to the Royal Commission into Violence, Abuse, Neglect and Exploitation of People with Disability’, WWDA, Hobart. </w:t>
      </w:r>
    </w:p>
  </w:endnote>
  <w:endnote w:id="77">
    <w:p w14:paraId="54241AFB" w14:textId="77777777" w:rsidR="00AB3CD5" w:rsidRPr="006B3A88" w:rsidRDefault="00AB3CD5" w:rsidP="00F251AD">
      <w:pPr>
        <w:pStyle w:val="EndnoteText"/>
        <w:rPr>
          <w:rFonts w:ascii="Avenir Book" w:hAnsi="Avenir Book" w:cstheme="minorHAnsi"/>
        </w:rPr>
      </w:pPr>
      <w:r w:rsidRPr="006B3A88">
        <w:rPr>
          <w:rStyle w:val="EndnoteReference"/>
          <w:rFonts w:ascii="Avenir Book" w:hAnsi="Avenir Book" w:cstheme="minorHAnsi"/>
        </w:rPr>
        <w:endnoteRef/>
      </w:r>
      <w:r w:rsidRPr="006B3A88">
        <w:rPr>
          <w:rFonts w:ascii="Avenir Book" w:hAnsi="Avenir Book" w:cstheme="minorHAnsi"/>
        </w:rPr>
        <w:t xml:space="preserve"> Royal Commission into Violence, Abuse, Neglect and Exploitation of People with Disability, op. cit., (Final Report, Volume 6), September 2023, Commonwealth of Australia, p. 124.</w:t>
      </w:r>
    </w:p>
  </w:endnote>
  <w:endnote w:id="78">
    <w:p w14:paraId="082C00A1" w14:textId="77777777" w:rsidR="00AB3CD5" w:rsidRPr="006B3A88" w:rsidRDefault="00AB3CD5" w:rsidP="00F251AD">
      <w:pPr>
        <w:pStyle w:val="EndnoteText"/>
        <w:rPr>
          <w:rFonts w:ascii="Avenir Book" w:hAnsi="Avenir Book" w:cstheme="minorHAnsi"/>
        </w:rPr>
      </w:pPr>
      <w:r w:rsidRPr="006B3A88">
        <w:rPr>
          <w:rStyle w:val="EndnoteReference"/>
          <w:rFonts w:ascii="Avenir Book" w:hAnsi="Avenir Book" w:cstheme="minorHAnsi"/>
        </w:rPr>
        <w:endnoteRef/>
      </w:r>
      <w:r w:rsidRPr="006B3A88">
        <w:rPr>
          <w:rFonts w:ascii="Avenir Book" w:hAnsi="Avenir Book" w:cstheme="minorHAnsi"/>
        </w:rPr>
        <w:t xml:space="preserve"> Committee on the Rights of Persons with Disabilities, General Comment No 1 (2014) on Equal recognition before the law, (19 May 2014), UN Doc: CRPD/C/GC/1, para. 21.</w:t>
      </w:r>
    </w:p>
  </w:endnote>
  <w:endnote w:id="79">
    <w:p w14:paraId="1B20D41E" w14:textId="77777777" w:rsidR="00AB3CD5" w:rsidRPr="006B3A88" w:rsidRDefault="00AB3CD5" w:rsidP="00F251AD">
      <w:pPr>
        <w:pStyle w:val="EndnoteText"/>
        <w:rPr>
          <w:rFonts w:ascii="Avenir Book" w:hAnsi="Avenir Book" w:cstheme="minorHAnsi"/>
        </w:rPr>
      </w:pPr>
      <w:r w:rsidRPr="006B3A88">
        <w:rPr>
          <w:rStyle w:val="EndnoteReference"/>
          <w:rFonts w:ascii="Avenir Book" w:hAnsi="Avenir Book" w:cstheme="minorHAnsi"/>
        </w:rPr>
        <w:endnoteRef/>
      </w:r>
      <w:r w:rsidRPr="006B3A88">
        <w:rPr>
          <w:rFonts w:ascii="Avenir Book" w:hAnsi="Avenir Book" w:cstheme="minorHAnsi"/>
        </w:rPr>
        <w:t xml:space="preserve"> </w:t>
      </w:r>
      <w:r w:rsidRPr="006B3A88">
        <w:rPr>
          <w:rFonts w:ascii="Avenir Book" w:hAnsi="Avenir Book" w:cstheme="minorHAnsi"/>
          <w:i/>
          <w:iCs/>
        </w:rPr>
        <w:t>Convention on the Rights of the Child</w:t>
      </w:r>
      <w:r w:rsidRPr="006B3A88">
        <w:rPr>
          <w:rFonts w:ascii="Avenir Book" w:hAnsi="Avenir Book" w:cstheme="minorHAnsi"/>
        </w:rPr>
        <w:t xml:space="preserve">, (20 November 1989), UNTS, vol. 1577, p. 3, arts. 3 and 12; </w:t>
      </w:r>
      <w:r w:rsidRPr="006B3A88">
        <w:rPr>
          <w:rFonts w:ascii="Avenir Book" w:hAnsi="Avenir Book" w:cstheme="minorHAnsi"/>
          <w:i/>
          <w:iCs/>
        </w:rPr>
        <w:t>Convention on the Rights of Persons with Disabilities</w:t>
      </w:r>
      <w:r w:rsidRPr="006B3A88">
        <w:rPr>
          <w:rFonts w:ascii="Avenir Book" w:hAnsi="Avenir Book" w:cstheme="minorHAnsi"/>
        </w:rPr>
        <w:t xml:space="preserve">, (24 January 2007), UN Doc: A/RES/61/106, art. 7. </w:t>
      </w:r>
    </w:p>
  </w:endnote>
  <w:endnote w:id="80">
    <w:p w14:paraId="55763C25" w14:textId="77777777" w:rsidR="00AB3CD5" w:rsidRPr="006B3A88" w:rsidRDefault="00AB3CD5" w:rsidP="00F251AD">
      <w:pPr>
        <w:pStyle w:val="EndnoteText"/>
        <w:rPr>
          <w:rFonts w:ascii="Avenir Book" w:hAnsi="Avenir Book" w:cstheme="minorHAnsi"/>
        </w:rPr>
      </w:pPr>
      <w:r w:rsidRPr="006B3A88">
        <w:rPr>
          <w:rStyle w:val="EndnoteReference"/>
          <w:rFonts w:ascii="Avenir Book" w:hAnsi="Avenir Book" w:cstheme="minorHAnsi"/>
        </w:rPr>
        <w:endnoteRef/>
      </w:r>
      <w:r w:rsidRPr="006B3A88">
        <w:rPr>
          <w:rFonts w:ascii="Avenir Book" w:hAnsi="Avenir Book" w:cstheme="minorHAnsi"/>
        </w:rPr>
        <w:t xml:space="preserve"> </w:t>
      </w:r>
      <w:r w:rsidRPr="006B3A88">
        <w:rPr>
          <w:rFonts w:ascii="Avenir Book" w:hAnsi="Avenir Book" w:cstheme="minorHAnsi"/>
          <w:i/>
          <w:iCs/>
        </w:rPr>
        <w:t>Convention on the Rights of Persons with Disabilities</w:t>
      </w:r>
      <w:r w:rsidRPr="006B3A88">
        <w:rPr>
          <w:rFonts w:ascii="Avenir Book" w:hAnsi="Avenir Book" w:cstheme="minorHAnsi"/>
        </w:rPr>
        <w:t xml:space="preserve">, (24 January 2007), UN Doc: A/RES/61/106, art. 3(h). </w:t>
      </w:r>
    </w:p>
  </w:endnote>
  <w:endnote w:id="81">
    <w:p w14:paraId="33EE2897" w14:textId="77777777" w:rsidR="00AB3CD5" w:rsidRPr="006B3A88" w:rsidRDefault="00AB3CD5" w:rsidP="00F251AD">
      <w:pPr>
        <w:pStyle w:val="EndnoteText"/>
        <w:rPr>
          <w:rFonts w:ascii="Avenir Book" w:hAnsi="Avenir Book" w:cstheme="minorHAnsi"/>
        </w:rPr>
      </w:pPr>
      <w:r w:rsidRPr="006B3A88">
        <w:rPr>
          <w:rStyle w:val="EndnoteReference"/>
          <w:rFonts w:ascii="Avenir Book" w:hAnsi="Avenir Book" w:cstheme="minorHAnsi"/>
        </w:rPr>
        <w:endnoteRef/>
      </w:r>
      <w:r w:rsidRPr="006B3A88">
        <w:rPr>
          <w:rFonts w:ascii="Avenir Book" w:hAnsi="Avenir Book" w:cstheme="minorHAnsi"/>
        </w:rPr>
        <w:t xml:space="preserve"> Committee on the Rights of Persons with Disabilities, General Comment No 1 (2014) on Equal recognition before the law, (19 May 2014), UN Doc: CRPD/C/GC/1, para. 36.</w:t>
      </w:r>
    </w:p>
  </w:endnote>
  <w:endnote w:id="82">
    <w:p w14:paraId="5297F7D4" w14:textId="77777777" w:rsidR="00AB3CD5" w:rsidRPr="006B3A88" w:rsidRDefault="00AB3CD5" w:rsidP="00F251AD">
      <w:pPr>
        <w:pStyle w:val="EndnoteText"/>
        <w:rPr>
          <w:rFonts w:ascii="Avenir Book" w:hAnsi="Avenir Book" w:cstheme="minorHAnsi"/>
        </w:rPr>
      </w:pPr>
      <w:r w:rsidRPr="006B3A88">
        <w:rPr>
          <w:rStyle w:val="EndnoteReference"/>
          <w:rFonts w:ascii="Avenir Book" w:hAnsi="Avenir Book" w:cstheme="minorHAnsi"/>
        </w:rPr>
        <w:endnoteRef/>
      </w:r>
      <w:r w:rsidRPr="006B3A88">
        <w:rPr>
          <w:rFonts w:ascii="Avenir Book" w:hAnsi="Avenir Book" w:cstheme="minorHAnsi"/>
        </w:rPr>
        <w:t xml:space="preserve"> </w:t>
      </w:r>
      <w:r w:rsidRPr="006B3A88">
        <w:rPr>
          <w:rFonts w:ascii="Avenir Book" w:hAnsi="Avenir Book" w:cstheme="minorHAnsi"/>
          <w:i/>
          <w:iCs/>
        </w:rPr>
        <w:t>Convention on the Rights of the Child</w:t>
      </w:r>
      <w:r w:rsidRPr="006B3A88">
        <w:rPr>
          <w:rFonts w:ascii="Avenir Book" w:hAnsi="Avenir Book" w:cstheme="minorHAnsi"/>
        </w:rPr>
        <w:t>, (20 November 1989), UNTS, vol. 1577, art. 2(1); see also Committee on the Rights of the Child, ‘General comment No. 14 (2013) on the right of the child to have his or her best interests taken as a primary consideration (art. 3, para. 1)’ (29 May 2013), UN Doc: CRC/C/GC/14, Part A, p. 2.</w:t>
      </w:r>
    </w:p>
  </w:endnote>
  <w:endnote w:id="83">
    <w:p w14:paraId="2B0B6B17" w14:textId="77777777" w:rsidR="00AB3CD5" w:rsidRPr="006B3A88" w:rsidRDefault="00AB3CD5" w:rsidP="00F251AD">
      <w:pPr>
        <w:pStyle w:val="EndnoteText"/>
        <w:rPr>
          <w:rFonts w:ascii="Avenir Book" w:hAnsi="Avenir Book" w:cstheme="minorHAnsi"/>
        </w:rPr>
      </w:pPr>
      <w:r w:rsidRPr="006B3A88">
        <w:rPr>
          <w:rStyle w:val="EndnoteReference"/>
          <w:rFonts w:ascii="Avenir Book" w:hAnsi="Avenir Book" w:cstheme="minorHAnsi"/>
        </w:rPr>
        <w:endnoteRef/>
      </w:r>
      <w:r w:rsidRPr="006B3A88">
        <w:rPr>
          <w:rFonts w:ascii="Avenir Book" w:hAnsi="Avenir Book" w:cstheme="minorHAnsi"/>
        </w:rPr>
        <w:t xml:space="preserve"> </w:t>
      </w:r>
      <w:r w:rsidRPr="006B3A88">
        <w:rPr>
          <w:rFonts w:ascii="Avenir Book" w:hAnsi="Avenir Book" w:cstheme="minorHAnsi"/>
          <w:i/>
          <w:iCs/>
        </w:rPr>
        <w:t>Convention on the Rights of Persons with Disabilities</w:t>
      </w:r>
      <w:r w:rsidRPr="006B3A88">
        <w:rPr>
          <w:rFonts w:ascii="Avenir Book" w:hAnsi="Avenir Book" w:cstheme="minorHAnsi"/>
        </w:rPr>
        <w:t>, (24 January 2007), UN Doc: A/RES/61/106, art. 7(1). See also, Committee on the Rights of the Child and Committee on the Rights of People with Disabilities, ‘</w:t>
      </w:r>
      <w:hyperlink r:id="rId35" w:history="1">
        <w:r w:rsidRPr="006B3A88">
          <w:rPr>
            <w:rStyle w:val="Hyperlink"/>
            <w:rFonts w:ascii="Avenir Book" w:hAnsi="Avenir Book" w:cstheme="minorHAnsi"/>
          </w:rPr>
          <w:t>Joint Statement – The rights of children with disabilities</w:t>
        </w:r>
      </w:hyperlink>
      <w:r w:rsidRPr="006B3A88">
        <w:rPr>
          <w:rFonts w:ascii="Avenir Book" w:hAnsi="Avenir Book" w:cstheme="minorHAnsi"/>
        </w:rPr>
        <w:t xml:space="preserve">’, 18 March 2022. </w:t>
      </w:r>
    </w:p>
  </w:endnote>
  <w:endnote w:id="84">
    <w:p w14:paraId="70181A7C" w14:textId="77777777" w:rsidR="00AB3CD5" w:rsidRPr="006B3A88" w:rsidRDefault="00AB3CD5" w:rsidP="00AB3CD5">
      <w:pPr>
        <w:pStyle w:val="EndnoteText"/>
        <w:rPr>
          <w:rFonts w:ascii="Avenir Book" w:hAnsi="Avenir Book" w:cstheme="minorHAnsi"/>
        </w:rPr>
      </w:pPr>
      <w:r w:rsidRPr="006B3A88">
        <w:rPr>
          <w:rStyle w:val="EndnoteReference"/>
          <w:rFonts w:ascii="Avenir Book" w:hAnsi="Avenir Book" w:cstheme="minorHAnsi"/>
        </w:rPr>
        <w:endnoteRef/>
      </w:r>
      <w:r w:rsidRPr="006B3A88">
        <w:rPr>
          <w:rFonts w:ascii="Avenir Book" w:hAnsi="Avenir Book" w:cstheme="minorHAnsi"/>
        </w:rPr>
        <w:t xml:space="preserve"> Royal Commission into Violence, Abuse, Neglect and Exploitation of People with Disability, op. cit., (Final Report, Volume 6), September 2023, Commonwealth of Australia, Recommendation 6.20, p. 224.</w:t>
      </w:r>
    </w:p>
  </w:endnote>
  <w:endnote w:id="85">
    <w:p w14:paraId="67BCEBAC" w14:textId="77777777" w:rsidR="00AB3CD5" w:rsidRPr="006B3A88" w:rsidRDefault="00AB3CD5" w:rsidP="00AB3CD5">
      <w:pPr>
        <w:pStyle w:val="EndnoteText"/>
        <w:rPr>
          <w:rFonts w:ascii="Avenir Book" w:hAnsi="Avenir Book" w:cstheme="minorHAnsi"/>
        </w:rPr>
      </w:pPr>
      <w:r w:rsidRPr="006B3A88">
        <w:rPr>
          <w:rStyle w:val="EndnoteReference"/>
          <w:rFonts w:ascii="Avenir Book" w:hAnsi="Avenir Book" w:cstheme="minorHAnsi"/>
        </w:rPr>
        <w:endnoteRef/>
      </w:r>
      <w:r w:rsidRPr="006B3A88">
        <w:rPr>
          <w:rFonts w:ascii="Avenir Book" w:hAnsi="Avenir Book" w:cstheme="minorHAnsi"/>
        </w:rPr>
        <w:t xml:space="preserve"> See e.g., Committee on the Rights of Persons with Disabilities, General Comment No 1 (2014) on Equal recognition before the law, (19 May 2014), UN Doc: CRPD/C/GC/1; numerous concluding observations on States Parties, including Australia that state that substitute decision-making must be replaced by supported decision-making, which respects the person’s rights, will and preference. </w:t>
      </w:r>
    </w:p>
  </w:endnote>
  <w:endnote w:id="86">
    <w:p w14:paraId="55AA2396" w14:textId="77777777" w:rsidR="00AB3CD5" w:rsidRPr="006B3A88" w:rsidRDefault="00AB3CD5" w:rsidP="00AB3CD5">
      <w:pPr>
        <w:pStyle w:val="EndnoteText"/>
        <w:rPr>
          <w:rFonts w:ascii="Avenir Book" w:hAnsi="Avenir Book" w:cstheme="minorHAnsi"/>
        </w:rPr>
      </w:pPr>
      <w:r w:rsidRPr="006B3A88">
        <w:rPr>
          <w:rStyle w:val="EndnoteReference"/>
          <w:rFonts w:ascii="Avenir Book" w:hAnsi="Avenir Book" w:cstheme="minorHAnsi"/>
        </w:rPr>
        <w:endnoteRef/>
      </w:r>
      <w:r w:rsidRPr="006B3A88">
        <w:rPr>
          <w:rFonts w:ascii="Avenir Book" w:hAnsi="Avenir Book" w:cstheme="minorHAnsi"/>
        </w:rPr>
        <w:t xml:space="preserve"> See e.g., Special Rapporteur on the Rights of Persons with Disabilities, ‘Report of the Special Rapporteur on the rights of persons with disabilities’ (Report to the Human Rights Council), thirty-seventh session, 26 February-23 March 2018, UN Doc: A/HRC/37/56, sections 111-VI, pp. 4-20. </w:t>
      </w:r>
    </w:p>
  </w:endnote>
  <w:endnote w:id="87">
    <w:p w14:paraId="7B24263A" w14:textId="77777777" w:rsidR="00AB3CD5" w:rsidRPr="006B3A88" w:rsidRDefault="00AB3CD5" w:rsidP="00AB3CD5">
      <w:pPr>
        <w:pStyle w:val="EndnoteText"/>
        <w:rPr>
          <w:rFonts w:ascii="Avenir Book" w:hAnsi="Avenir Book" w:cstheme="minorHAnsi"/>
        </w:rPr>
      </w:pPr>
      <w:r w:rsidRPr="006B3A88">
        <w:rPr>
          <w:rStyle w:val="EndnoteReference"/>
          <w:rFonts w:ascii="Avenir Book" w:hAnsi="Avenir Book" w:cstheme="minorHAnsi"/>
        </w:rPr>
        <w:endnoteRef/>
      </w:r>
      <w:r w:rsidRPr="006B3A88">
        <w:rPr>
          <w:rFonts w:ascii="Avenir Book" w:hAnsi="Avenir Book" w:cstheme="minorHAnsi"/>
        </w:rPr>
        <w:t xml:space="preserve"> Gerard Quinn, ‘An Ideas Paper – Rethinking Personhood: New Directions in Legal Capacity Law &amp; Policy. Or How to Put the ‘Shift’ back into ‘Paradigm Shift’ (29 April 2011) Centre for Disability Law and Policy, National University of Ireland, Galway, Ireland; Anna Arstein-Kerslake, ‘Legal Capacity &amp; Gender: Realising the Human Right to Legal Personhood and Agency of Women, Disabled Women, and Gender Minorities’ (27 January 2022), Springer Cham, Switzerland; Clíona de Bhailís and Eilionóir Flynn, ‘Recognising legal capacity: commentary and analysis of Article 12 CRPD’, </w:t>
      </w:r>
      <w:r w:rsidRPr="006B3A88">
        <w:rPr>
          <w:rFonts w:ascii="Avenir Book" w:hAnsi="Avenir Book" w:cstheme="minorHAnsi"/>
          <w:i/>
          <w:iCs/>
        </w:rPr>
        <w:t>International Journal of Law in Context</w:t>
      </w:r>
      <w:r w:rsidRPr="006B3A88">
        <w:rPr>
          <w:rFonts w:ascii="Avenir Book" w:hAnsi="Avenir Book" w:cstheme="minorHAnsi"/>
        </w:rPr>
        <w:t>, Cambridge University Press, Volume 13, Issue 1, March 2017, pp. 6-21.</w:t>
      </w:r>
    </w:p>
  </w:endnote>
  <w:endnote w:id="88">
    <w:p w14:paraId="34DB7F20" w14:textId="77777777" w:rsidR="00AB3CD5" w:rsidRPr="006B3A88" w:rsidRDefault="00AB3CD5" w:rsidP="00AB3CD5">
      <w:pPr>
        <w:pStyle w:val="EndnoteText"/>
        <w:rPr>
          <w:rFonts w:ascii="Avenir Book" w:hAnsi="Avenir Book" w:cstheme="minorHAnsi"/>
        </w:rPr>
      </w:pPr>
      <w:r w:rsidRPr="006B3A88">
        <w:rPr>
          <w:rStyle w:val="EndnoteReference"/>
          <w:rFonts w:ascii="Avenir Book" w:hAnsi="Avenir Book" w:cstheme="minorHAnsi"/>
        </w:rPr>
        <w:endnoteRef/>
      </w:r>
      <w:r w:rsidRPr="006B3A88">
        <w:rPr>
          <w:rFonts w:ascii="Avenir Book" w:hAnsi="Avenir Book" w:cstheme="minorHAnsi"/>
        </w:rPr>
        <w:t xml:space="preserve"> Australia, Declarations and Reservations, United Nations Treaty Collection, Chapter IV-Human Rights, Part 15 Convention on the Rights of Persons with Disabilities, accessed online: </w:t>
      </w:r>
      <w:hyperlink r:id="rId36" w:anchor="EndDec" w:history="1">
        <w:r w:rsidRPr="006B3A88">
          <w:rPr>
            <w:rStyle w:val="Hyperlink"/>
            <w:rFonts w:ascii="Avenir Book" w:hAnsi="Avenir Book" w:cstheme="minorHAnsi"/>
          </w:rPr>
          <w:t>https://treaties.un.org/Pages/ViewDetails.aspx?src=TREATY&amp;mtdsg_no=iv-15&amp;chapter=4&amp;clang=_en#EndDec</w:t>
        </w:r>
      </w:hyperlink>
      <w:r w:rsidRPr="006B3A88">
        <w:rPr>
          <w:rFonts w:ascii="Avenir Book" w:hAnsi="Avenir Book" w:cstheme="minorHAnsi"/>
        </w:rPr>
        <w:t xml:space="preserve"> </w:t>
      </w:r>
    </w:p>
  </w:endnote>
  <w:endnote w:id="89">
    <w:p w14:paraId="6CDF61ED" w14:textId="7B4194A9" w:rsidR="00EB0C66" w:rsidRPr="006B3A88" w:rsidRDefault="00EB0C66" w:rsidP="00EB0C66">
      <w:pPr>
        <w:pStyle w:val="EndnoteText"/>
        <w:rPr>
          <w:rFonts w:ascii="Avenir Book" w:hAnsi="Avenir Book" w:cstheme="minorHAnsi"/>
        </w:rPr>
      </w:pPr>
      <w:r w:rsidRPr="006B3A88">
        <w:rPr>
          <w:rStyle w:val="EndnoteReference"/>
          <w:rFonts w:ascii="Avenir Book" w:hAnsi="Avenir Book" w:cstheme="minorHAnsi"/>
        </w:rPr>
        <w:endnoteRef/>
      </w:r>
      <w:r w:rsidRPr="006B3A88">
        <w:rPr>
          <w:rFonts w:ascii="Avenir Book" w:hAnsi="Avenir Book" w:cstheme="minorHAnsi"/>
        </w:rPr>
        <w:t xml:space="preserve"> “Restrictive practices include, but are not limited to, chemical, mechanical, physical and environmental restraint and seclusion, guardianship, forced sterilisation, menstrual suppression and anti-libidinal medication, financial management, involuntary mental health treatment, and other non-consensual or coercive interventions said to be undertaken for protective, behavioural or medical reasons” as </w:t>
      </w:r>
      <w:r w:rsidR="005D48EF" w:rsidRPr="006B3A88">
        <w:rPr>
          <w:rFonts w:ascii="Avenir Book" w:hAnsi="Avenir Book" w:cstheme="minorHAnsi"/>
        </w:rPr>
        <w:t>outlined</w:t>
      </w:r>
      <w:r w:rsidRPr="006B3A88">
        <w:rPr>
          <w:rFonts w:ascii="Avenir Book" w:hAnsi="Avenir Book" w:cstheme="minorHAnsi"/>
        </w:rPr>
        <w:t xml:space="preserve"> in </w:t>
      </w:r>
      <w:r w:rsidR="005D48EF" w:rsidRPr="006B3A88">
        <w:rPr>
          <w:rFonts w:ascii="Avenir Book" w:hAnsi="Avenir Book" w:cstheme="minorHAnsi"/>
        </w:rPr>
        <w:t>Dr Claire Spivakovsky (</w:t>
      </w:r>
      <w:r w:rsidRPr="006B3A88">
        <w:rPr>
          <w:rFonts w:ascii="Avenir Book" w:hAnsi="Avenir Book" w:cstheme="minorHAnsi"/>
        </w:rPr>
        <w:t>The University of Melbourne</w:t>
      </w:r>
      <w:r w:rsidR="005D48EF" w:rsidRPr="006B3A88">
        <w:rPr>
          <w:rFonts w:ascii="Avenir Book" w:hAnsi="Avenir Book" w:cstheme="minorHAnsi"/>
        </w:rPr>
        <w:t>)</w:t>
      </w:r>
      <w:r w:rsidRPr="006B3A88">
        <w:rPr>
          <w:rFonts w:ascii="Avenir Book" w:hAnsi="Avenir Book" w:cstheme="minorHAnsi"/>
        </w:rPr>
        <w:t xml:space="preserve">, </w:t>
      </w:r>
      <w:r w:rsidR="005D48EF" w:rsidRPr="006B3A88">
        <w:rPr>
          <w:rFonts w:ascii="Avenir Book" w:hAnsi="Avenir Book" w:cstheme="minorHAnsi"/>
        </w:rPr>
        <w:t>Associate Professor Linda Steele (</w:t>
      </w:r>
      <w:r w:rsidRPr="006B3A88">
        <w:rPr>
          <w:rFonts w:ascii="Avenir Book" w:hAnsi="Avenir Book" w:cstheme="minorHAnsi"/>
        </w:rPr>
        <w:t>University of Technology Sydney</w:t>
      </w:r>
      <w:r w:rsidR="005D48EF" w:rsidRPr="006B3A88">
        <w:rPr>
          <w:rFonts w:ascii="Avenir Book" w:hAnsi="Avenir Book" w:cstheme="minorHAnsi"/>
        </w:rPr>
        <w:t>)</w:t>
      </w:r>
      <w:r w:rsidRPr="006B3A88">
        <w:rPr>
          <w:rFonts w:ascii="Avenir Book" w:hAnsi="Avenir Book" w:cstheme="minorHAnsi"/>
        </w:rPr>
        <w:t xml:space="preserve">, </w:t>
      </w:r>
      <w:r w:rsidR="005D48EF" w:rsidRPr="006B3A88">
        <w:rPr>
          <w:rFonts w:ascii="Avenir Book" w:hAnsi="Avenir Book" w:cstheme="minorHAnsi"/>
        </w:rPr>
        <w:t>Associate Professor Dinesh Wadiwel</w:t>
      </w:r>
      <w:r w:rsidR="003B4E02" w:rsidRPr="006B3A88">
        <w:rPr>
          <w:rFonts w:ascii="Avenir Book" w:hAnsi="Avenir Book" w:cstheme="minorHAnsi"/>
        </w:rPr>
        <w:t xml:space="preserve"> (</w:t>
      </w:r>
      <w:r w:rsidRPr="006B3A88">
        <w:rPr>
          <w:rFonts w:ascii="Avenir Book" w:hAnsi="Avenir Book" w:cstheme="minorHAnsi"/>
        </w:rPr>
        <w:t>The University of Sydney</w:t>
      </w:r>
      <w:r w:rsidR="003B4E02" w:rsidRPr="006B3A88">
        <w:rPr>
          <w:rFonts w:ascii="Avenir Book" w:hAnsi="Avenir Book" w:cstheme="minorHAnsi"/>
        </w:rPr>
        <w:t>)</w:t>
      </w:r>
      <w:r w:rsidRPr="006B3A88">
        <w:rPr>
          <w:rFonts w:ascii="Avenir Book" w:hAnsi="Avenir Book" w:cstheme="minorHAnsi"/>
        </w:rPr>
        <w:t>, ‘Restrictive practices: A pathway to elimination’ (Research Report, July 2023) Royal Commission into Violence, Abuse, neglect and Exploitation of People with Disability, op. 17-18.</w:t>
      </w:r>
    </w:p>
  </w:endnote>
  <w:endnote w:id="90">
    <w:p w14:paraId="50BCB2D7" w14:textId="08C1990C" w:rsidR="00EB0C66" w:rsidRPr="006B3A88" w:rsidRDefault="00EB0C66" w:rsidP="00EB0C66">
      <w:pPr>
        <w:pStyle w:val="EndnoteText"/>
        <w:rPr>
          <w:rFonts w:ascii="Avenir Book" w:hAnsi="Avenir Book" w:cstheme="minorHAnsi"/>
        </w:rPr>
      </w:pPr>
      <w:r w:rsidRPr="006B3A88">
        <w:rPr>
          <w:rStyle w:val="EndnoteReference"/>
          <w:rFonts w:ascii="Avenir Book" w:hAnsi="Avenir Book" w:cstheme="minorHAnsi"/>
        </w:rPr>
        <w:endnoteRef/>
      </w:r>
      <w:r w:rsidRPr="006B3A88">
        <w:rPr>
          <w:rFonts w:ascii="Avenir Book" w:hAnsi="Avenir Book" w:cstheme="minorHAnsi"/>
        </w:rPr>
        <w:t xml:space="preserve"> </w:t>
      </w:r>
      <w:r w:rsidR="00CC08B8" w:rsidRPr="006B3A88">
        <w:rPr>
          <w:rFonts w:ascii="Avenir Book" w:hAnsi="Avenir Book" w:cstheme="minorHAnsi"/>
        </w:rPr>
        <w:t>Dr Claire Spivakovsky (The University of Melbourne), Associate Professor Linda Steele (University of Technology Sydney), Associate Professor Dinesh Wadiwel (The University of Sydney)</w:t>
      </w:r>
      <w:r w:rsidRPr="006B3A88">
        <w:rPr>
          <w:rFonts w:ascii="Avenir Book" w:hAnsi="Avenir Book" w:cstheme="minorHAnsi"/>
        </w:rPr>
        <w:t>, The University of Sydney, p. cit., p. 17.</w:t>
      </w:r>
    </w:p>
  </w:endnote>
  <w:endnote w:id="91">
    <w:p w14:paraId="7225B19A" w14:textId="77777777" w:rsidR="00EB0C66" w:rsidRPr="006B3A88" w:rsidRDefault="00EB0C66" w:rsidP="00EB0C66">
      <w:pPr>
        <w:pStyle w:val="EndnoteText"/>
        <w:rPr>
          <w:rFonts w:ascii="Avenir Book" w:hAnsi="Avenir Book" w:cstheme="minorHAnsi"/>
        </w:rPr>
      </w:pPr>
      <w:r w:rsidRPr="006B3A88">
        <w:rPr>
          <w:rStyle w:val="EndnoteReference"/>
          <w:rFonts w:ascii="Avenir Book" w:hAnsi="Avenir Book" w:cstheme="minorHAnsi"/>
        </w:rPr>
        <w:endnoteRef/>
      </w:r>
      <w:r w:rsidRPr="006B3A88">
        <w:rPr>
          <w:rFonts w:ascii="Avenir Book" w:hAnsi="Avenir Book" w:cstheme="minorHAnsi"/>
        </w:rPr>
        <w:t xml:space="preserve"> Ibid, p. 7.</w:t>
      </w:r>
    </w:p>
  </w:endnote>
  <w:endnote w:id="92">
    <w:p w14:paraId="2B1B566F" w14:textId="77777777" w:rsidR="00EB0C66" w:rsidRPr="006B3A88" w:rsidRDefault="00EB0C66" w:rsidP="00F251AD">
      <w:pPr>
        <w:pStyle w:val="EndnoteText"/>
        <w:rPr>
          <w:rFonts w:ascii="Avenir Book" w:hAnsi="Avenir Book" w:cstheme="minorHAnsi"/>
          <w:color w:val="0563C1" w:themeColor="hyperlink"/>
          <w:u w:val="single"/>
        </w:rPr>
      </w:pPr>
      <w:r w:rsidRPr="006B3A88">
        <w:rPr>
          <w:rStyle w:val="EndnoteReference"/>
          <w:rFonts w:ascii="Avenir Book" w:hAnsi="Avenir Book" w:cstheme="minorHAnsi"/>
        </w:rPr>
        <w:endnoteRef/>
      </w:r>
      <w:r w:rsidRPr="006B3A88">
        <w:rPr>
          <w:rFonts w:ascii="Avenir Book" w:hAnsi="Avenir Book" w:cstheme="minorHAnsi"/>
        </w:rPr>
        <w:t xml:space="preserve"> For example, the authorisation of psychosurgery, electroconvulsive therapy and forced sterilisation, chemical, mechanical and physical restraint and seclusion. See e.g.: Frohmader, C., &amp; Sands, T. (2015) Australian Cross Disability Alliance (ACDA) </w:t>
      </w:r>
      <w:hyperlink r:id="rId37" w:history="1">
        <w:r w:rsidRPr="006B3A88">
          <w:rPr>
            <w:rStyle w:val="Hyperlink"/>
            <w:rFonts w:ascii="Avenir Book" w:hAnsi="Avenir Book" w:cstheme="minorHAnsi"/>
          </w:rPr>
          <w:t>Submission to the Senate Inquiry into Violence, abuse and neglect against people with disability in institutional and residential settings’</w:t>
        </w:r>
      </w:hyperlink>
      <w:r w:rsidRPr="006B3A88">
        <w:rPr>
          <w:rFonts w:ascii="Avenir Book" w:hAnsi="Avenir Book" w:cstheme="minorHAnsi"/>
        </w:rPr>
        <w:t xml:space="preserve">. Australian Cross Disability Alliance (ACDA); Sydney, Australia; Bevan, N., and Sands, T., (2016) Australian Cross Disability Alliance (ACDA) ‘Submission to the Senate Inquiry into Indefinite Detention of People with Cognitive and Psychiatric Impairment in Australia’, Australian Cross Disability Alliance (ACDA); Sydney, Australia, paras 21-26 and 37-44. See also: Lynne Webber, Mandy Donley and Hellen Tzanakis, </w:t>
      </w:r>
      <w:hyperlink r:id="rId38" w:history="1">
        <w:r w:rsidRPr="006B3A88">
          <w:rPr>
            <w:rStyle w:val="Hyperlink"/>
            <w:rFonts w:ascii="Avenir Book" w:hAnsi="Avenir Book" w:cstheme="minorHAnsi"/>
          </w:rPr>
          <w:t>‘Chemical Restraint: What Every Disability Support Worker Needs to Know’</w:t>
        </w:r>
      </w:hyperlink>
      <w:r w:rsidRPr="006B3A88">
        <w:rPr>
          <w:rFonts w:ascii="Avenir Book" w:hAnsi="Avenir Book" w:cstheme="minorHAnsi"/>
        </w:rPr>
        <w:t xml:space="preserve"> (Article, Office of the Senior Practitioner, 2008); Australian Psychological Society (May 2011) </w:t>
      </w:r>
      <w:hyperlink r:id="rId39" w:history="1">
        <w:r w:rsidRPr="006B3A88">
          <w:rPr>
            <w:rStyle w:val="Hyperlink"/>
            <w:rFonts w:ascii="Avenir Book" w:hAnsi="Avenir Book" w:cstheme="minorHAnsi"/>
          </w:rPr>
          <w:t>Psychologists call for prompt end to restrictive practices in disability sector</w:t>
        </w:r>
      </w:hyperlink>
      <w:r w:rsidRPr="006B3A88">
        <w:rPr>
          <w:rFonts w:ascii="Avenir Book" w:hAnsi="Avenir Book" w:cstheme="minorHAnsi"/>
        </w:rPr>
        <w:t xml:space="preserve">, Media Release; May 2011. For a discussion on Psychotropic polypharmacy in people with disability, see: Victorian Department of Human Services (2010) </w:t>
      </w:r>
      <w:hyperlink r:id="rId40" w:history="1">
        <w:r w:rsidRPr="006B3A88">
          <w:rPr>
            <w:rStyle w:val="Hyperlink"/>
            <w:rFonts w:ascii="Avenir Book" w:hAnsi="Avenir Book" w:cstheme="minorHAnsi"/>
          </w:rPr>
          <w:t>Disability, mental health and medication: Implications for practice and policy</w:t>
        </w:r>
      </w:hyperlink>
      <w:r w:rsidRPr="006B3A88">
        <w:rPr>
          <w:rFonts w:ascii="Avenir Book" w:hAnsi="Avenir Book" w:cstheme="minorHAnsi"/>
        </w:rPr>
        <w:t xml:space="preserve">, A report prepared for the Office of the Senior Practitioner by Dr Stuart Thomas, Kaisha Corkery-Lavender, Dr Michael Daffern, Dr Danny Sullivan, Centre for Forensic Behavioural Science, School of Psychology &amp; Psychiatry, Monash University, Australia. See also: Dillon, M. (22 Feb 2019) </w:t>
      </w:r>
      <w:hyperlink r:id="rId41" w:history="1">
        <w:r w:rsidRPr="006B3A88">
          <w:rPr>
            <w:rStyle w:val="Hyperlink"/>
            <w:rFonts w:ascii="Avenir Book" w:hAnsi="Avenir Book" w:cstheme="minorHAnsi"/>
          </w:rPr>
          <w:t>What have we heard at the Royal Commission into Aged Care Quality and Safety so far?</w:t>
        </w:r>
      </w:hyperlink>
      <w:r w:rsidRPr="006B3A88">
        <w:rPr>
          <w:rFonts w:ascii="Avenir Book" w:hAnsi="Avenir Book" w:cstheme="minorHAnsi"/>
        </w:rPr>
        <w:t xml:space="preserve"> ABC News.</w:t>
      </w:r>
    </w:p>
  </w:endnote>
  <w:endnote w:id="93">
    <w:p w14:paraId="52CFB2F8" w14:textId="77777777" w:rsidR="00EB0C66" w:rsidRPr="006B3A88" w:rsidRDefault="00EB0C66" w:rsidP="00EB0C66">
      <w:pPr>
        <w:pStyle w:val="EndnoteText"/>
        <w:rPr>
          <w:rFonts w:ascii="Avenir Book" w:hAnsi="Avenir Book" w:cstheme="minorHAnsi"/>
        </w:rPr>
      </w:pPr>
      <w:r w:rsidRPr="006B3A88">
        <w:rPr>
          <w:rStyle w:val="EndnoteReference"/>
          <w:rFonts w:ascii="Avenir Book" w:hAnsi="Avenir Book" w:cstheme="minorHAnsi"/>
        </w:rPr>
        <w:endnoteRef/>
      </w:r>
      <w:r w:rsidRPr="006B3A88">
        <w:rPr>
          <w:rFonts w:ascii="Avenir Book" w:hAnsi="Avenir Book" w:cstheme="minorHAnsi"/>
        </w:rPr>
        <w:t xml:space="preserve"> See e.g., Committee on the Rights of Persons with Disabilities, ‘Concluding observations on the combined second and third periodic reports of Australia’, 15 October 2019, UN Doc CRPD/C/AUS/CO/2-3, paras. 28(a), 28(e), 30(a); Committee on the Rights of the Child, ‘Concluding observations on the combined fifth and sixth periodic reports of Australia’, 1 November 2019, UN Doc CRC/C/AUS/CO/5-6, paras. 30(g), 31(b); Committee against Torture, ‘Concluding observations on the sixth periodic report of Australia’, 5</w:t>
      </w:r>
      <w:r w:rsidRPr="00437C78">
        <w:rPr>
          <w:rFonts w:ascii="Avenir Book" w:hAnsi="Avenir Book" w:cstheme="minorHAnsi"/>
        </w:rPr>
        <w:t xml:space="preserve"> </w:t>
      </w:r>
      <w:r w:rsidRPr="006B3A88">
        <w:rPr>
          <w:rFonts w:ascii="Avenir Book" w:hAnsi="Avenir Book" w:cstheme="minorHAnsi"/>
        </w:rPr>
        <w:t>December 2022, UN Doc CAT/C/AUS/CO/6, paras. 38(c), 38(d), 40(a)-(e); Committee on Economic, Social and Cultural Rights, ‘concluding observations on the fifth periodic report of Australia’, 11 July 2017, UN Doc: E/C.12/AUS/CO/5, para. 46(d); Special Rapporteur on the rights of persons with disabilities, ‘Report on the deprivation of liberty of persons with disabilities’, 11 January 2019, UN Doc: A/HRC/40/54, sections III-VII, pp. 4-19; World Health Organisation, ‘</w:t>
      </w:r>
      <w:hyperlink r:id="rId42" w:history="1">
        <w:r w:rsidRPr="006B3A88">
          <w:rPr>
            <w:rStyle w:val="Hyperlink"/>
            <w:rFonts w:ascii="Avenir Book" w:hAnsi="Avenir Book" w:cstheme="minorHAnsi"/>
          </w:rPr>
          <w:t>Mental health, human rights and legislation: guidance and practice</w:t>
        </w:r>
      </w:hyperlink>
      <w:r w:rsidRPr="006B3A88">
        <w:rPr>
          <w:rFonts w:ascii="Avenir Book" w:hAnsi="Avenir Book" w:cstheme="minorHAnsi"/>
        </w:rPr>
        <w:t>’, Geneva 2023, World Health Organisation and United Nations (represented by the Office of the United Nations High Commissioner for Human Rights).</w:t>
      </w:r>
    </w:p>
  </w:endnote>
  <w:endnote w:id="94">
    <w:p w14:paraId="0511BB59" w14:textId="77777777" w:rsidR="00EB0C66" w:rsidRPr="006B3A88" w:rsidRDefault="00EB0C66" w:rsidP="00EB0C66">
      <w:pPr>
        <w:pStyle w:val="EndnoteText"/>
        <w:rPr>
          <w:rFonts w:ascii="Avenir Book" w:hAnsi="Avenir Book" w:cstheme="minorHAnsi"/>
        </w:rPr>
      </w:pPr>
      <w:r w:rsidRPr="006B3A88">
        <w:rPr>
          <w:rStyle w:val="EndnoteReference"/>
          <w:rFonts w:ascii="Avenir Book" w:hAnsi="Avenir Book" w:cstheme="minorHAnsi"/>
        </w:rPr>
        <w:endnoteRef/>
      </w:r>
      <w:r w:rsidRPr="006B3A88">
        <w:rPr>
          <w:rFonts w:ascii="Avenir Book" w:hAnsi="Avenir Book" w:cstheme="minorHAnsi"/>
        </w:rPr>
        <w:t xml:space="preserve"> Royal Commission into Violence, Abuse, Neglect and Exploitation of People with Disability, op. cit. (Final Report, Volume 6), September 2023, Commonwealth of Australia, recommendation 6.35, p. 512.</w:t>
      </w:r>
    </w:p>
  </w:endnote>
  <w:endnote w:id="95">
    <w:p w14:paraId="144D045A" w14:textId="15488EC4" w:rsidR="00EB0C66" w:rsidRPr="006B3A88" w:rsidRDefault="00EB0C66" w:rsidP="00EB0C66">
      <w:pPr>
        <w:pStyle w:val="EndnoteText"/>
        <w:rPr>
          <w:rFonts w:ascii="Avenir Book" w:hAnsi="Avenir Book" w:cstheme="minorHAnsi"/>
        </w:rPr>
      </w:pPr>
      <w:r w:rsidRPr="006B3A88">
        <w:rPr>
          <w:rStyle w:val="EndnoteReference"/>
          <w:rFonts w:ascii="Avenir Book" w:hAnsi="Avenir Book" w:cstheme="minorHAnsi"/>
        </w:rPr>
        <w:endnoteRef/>
      </w:r>
      <w:r w:rsidRPr="006B3A88">
        <w:rPr>
          <w:rFonts w:ascii="Avenir Book" w:hAnsi="Avenir Book" w:cstheme="minorHAnsi"/>
        </w:rPr>
        <w:t xml:space="preserve"> </w:t>
      </w:r>
      <w:r w:rsidR="00997F10" w:rsidRPr="006B3A88">
        <w:rPr>
          <w:rFonts w:ascii="Avenir Book" w:hAnsi="Avenir Book" w:cstheme="minorHAnsi"/>
        </w:rPr>
        <w:t>Dr Claire Spivakovsky (The University of Melbourne), Associate Professor Linda Steele (University of Technology Sydney), Associate Professor Dinesh Wadiwel (The University of Sydney)</w:t>
      </w:r>
      <w:r w:rsidRPr="006B3A88">
        <w:rPr>
          <w:rFonts w:ascii="Avenir Book" w:hAnsi="Avenir Book" w:cstheme="minorHAnsi"/>
        </w:rPr>
        <w:t>, p. cit., p. 15.</w:t>
      </w:r>
    </w:p>
  </w:endnote>
  <w:endnote w:id="96">
    <w:p w14:paraId="69AC9AF4" w14:textId="77777777" w:rsidR="00EB0C66" w:rsidRPr="006B3A88" w:rsidRDefault="00EB0C66" w:rsidP="00EB0C66">
      <w:pPr>
        <w:pStyle w:val="EndnoteText"/>
        <w:rPr>
          <w:rFonts w:ascii="Avenir Book" w:hAnsi="Avenir Book" w:cstheme="minorHAnsi"/>
        </w:rPr>
      </w:pPr>
      <w:r w:rsidRPr="006B3A88">
        <w:rPr>
          <w:rStyle w:val="EndnoteReference"/>
          <w:rFonts w:ascii="Avenir Book" w:hAnsi="Avenir Book" w:cstheme="minorHAnsi"/>
        </w:rPr>
        <w:endnoteRef/>
      </w:r>
      <w:r w:rsidRPr="006B3A88">
        <w:rPr>
          <w:rFonts w:ascii="Avenir Book" w:hAnsi="Avenir Book" w:cstheme="minorHAnsi"/>
        </w:rPr>
        <w:t xml:space="preserve"> Royal Commission into Violence, Abuse, Neglect and Exploitation of People with Disability, op. cit., (Final Report, Volume 6), September 2023, Commonwealth of Australia, recommendation 6.38 p. 536.</w:t>
      </w:r>
    </w:p>
  </w:endnote>
  <w:endnote w:id="97">
    <w:p w14:paraId="1DC16D91" w14:textId="77777777" w:rsidR="00EB0C66" w:rsidRPr="006B3A88" w:rsidRDefault="00EB0C66" w:rsidP="00EB0C66">
      <w:pPr>
        <w:pStyle w:val="EndnoteText"/>
        <w:rPr>
          <w:rFonts w:ascii="Avenir Book" w:hAnsi="Avenir Book" w:cstheme="minorHAnsi"/>
        </w:rPr>
      </w:pPr>
      <w:r w:rsidRPr="006B3A88">
        <w:rPr>
          <w:rStyle w:val="EndnoteReference"/>
          <w:rFonts w:ascii="Avenir Book" w:hAnsi="Avenir Book" w:cstheme="minorHAnsi"/>
        </w:rPr>
        <w:endnoteRef/>
      </w:r>
      <w:r w:rsidRPr="006B3A88">
        <w:rPr>
          <w:rFonts w:ascii="Avenir Book" w:hAnsi="Avenir Book" w:cstheme="minorHAnsi"/>
        </w:rPr>
        <w:t xml:space="preserve"> Ibid, recommendation 6.39, p. 538.</w:t>
      </w:r>
    </w:p>
  </w:endnote>
  <w:endnote w:id="98">
    <w:p w14:paraId="20950EDF" w14:textId="77777777" w:rsidR="00EB0C66" w:rsidRPr="006B3A88" w:rsidRDefault="00EB0C66" w:rsidP="00EB0C66">
      <w:pPr>
        <w:pStyle w:val="EndnoteText"/>
        <w:rPr>
          <w:rFonts w:ascii="Avenir Book" w:hAnsi="Avenir Book" w:cstheme="minorHAnsi"/>
        </w:rPr>
      </w:pPr>
      <w:r w:rsidRPr="006B3A88">
        <w:rPr>
          <w:rStyle w:val="EndnoteReference"/>
          <w:rFonts w:ascii="Avenir Book" w:hAnsi="Avenir Book" w:cstheme="minorHAnsi"/>
        </w:rPr>
        <w:endnoteRef/>
      </w:r>
      <w:r w:rsidRPr="006B3A88">
        <w:rPr>
          <w:rFonts w:ascii="Avenir Book" w:hAnsi="Avenir Book" w:cstheme="minorHAnsi"/>
        </w:rPr>
        <w:t xml:space="preserve"> </w:t>
      </w:r>
      <w:hyperlink r:id="rId43" w:history="1">
        <w:r w:rsidRPr="006B3A88">
          <w:rPr>
            <w:rStyle w:val="Hyperlink"/>
            <w:rFonts w:ascii="Avenir Book" w:hAnsi="Avenir Book" w:cstheme="minorHAnsi"/>
          </w:rPr>
          <w:t>Royal Commission into Aged Care Quality and Safety</w:t>
        </w:r>
      </w:hyperlink>
      <w:r w:rsidRPr="006B3A88">
        <w:rPr>
          <w:rFonts w:ascii="Avenir Book" w:hAnsi="Avenir Book" w:cstheme="minorHAnsi"/>
        </w:rPr>
        <w:t xml:space="preserve"> (2019-2021)</w:t>
      </w:r>
    </w:p>
  </w:endnote>
  <w:endnote w:id="99">
    <w:p w14:paraId="11684786" w14:textId="77777777" w:rsidR="00EB0C66" w:rsidRPr="006B3A88" w:rsidRDefault="00EB0C66" w:rsidP="00EB0C66">
      <w:pPr>
        <w:pStyle w:val="EndnoteText"/>
        <w:rPr>
          <w:rFonts w:ascii="Avenir Book" w:hAnsi="Avenir Book" w:cstheme="minorHAnsi"/>
        </w:rPr>
      </w:pPr>
      <w:r w:rsidRPr="006B3A88">
        <w:rPr>
          <w:rStyle w:val="EndnoteReference"/>
          <w:rFonts w:ascii="Avenir Book" w:hAnsi="Avenir Book" w:cstheme="minorHAnsi"/>
        </w:rPr>
        <w:endnoteRef/>
      </w:r>
      <w:r w:rsidRPr="006B3A88">
        <w:rPr>
          <w:rFonts w:ascii="Avenir Book" w:hAnsi="Avenir Book" w:cstheme="minorHAnsi"/>
        </w:rPr>
        <w:t xml:space="preserve"> Australia, Declarations and Reservations, United Nations Treaty Collection, Chapter IV-Human Rights, Part 15 Convention on the Rights of Persons with Disabilities, accessed online: </w:t>
      </w:r>
      <w:hyperlink r:id="rId44" w:anchor="EndDec" w:history="1">
        <w:r w:rsidRPr="006B3A88">
          <w:rPr>
            <w:rStyle w:val="Hyperlink"/>
            <w:rFonts w:ascii="Avenir Book" w:hAnsi="Avenir Book" w:cstheme="minorHAnsi"/>
          </w:rPr>
          <w:t>https://treaties.un.org/Pages/ViewDetails.aspx?src=TREATY&amp;mtdsg_no=iv-15&amp;chapter=4&amp;clang=_en#EndDec</w:t>
        </w:r>
      </w:hyperlink>
    </w:p>
  </w:endnote>
  <w:endnote w:id="100">
    <w:p w14:paraId="688C903B" w14:textId="77777777" w:rsidR="00EB0C66" w:rsidRPr="006B3A88" w:rsidRDefault="00EB0C66" w:rsidP="00EB0C66">
      <w:pPr>
        <w:pStyle w:val="EndnoteText"/>
        <w:rPr>
          <w:rFonts w:ascii="Avenir Book" w:hAnsi="Avenir Book" w:cstheme="minorHAnsi"/>
        </w:rPr>
      </w:pPr>
      <w:r w:rsidRPr="006B3A88">
        <w:rPr>
          <w:rStyle w:val="EndnoteReference"/>
          <w:rFonts w:ascii="Avenir Book" w:hAnsi="Avenir Book" w:cstheme="minorHAnsi"/>
        </w:rPr>
        <w:endnoteRef/>
      </w:r>
      <w:r w:rsidRPr="006B3A88">
        <w:rPr>
          <w:rFonts w:ascii="Avenir Book" w:hAnsi="Avenir Book" w:cstheme="minorHAnsi"/>
        </w:rPr>
        <w:t xml:space="preserve"> See e.g., Committee on the Rights of Persons with Disabilities, ‘Guidelines on the right to liberty and security of persons with disabilities’, (2015) annex to the Report of the Committee on the Rights of Persons with Disabilities to the General Assembly, 2017, UN Doc: A/72/55, p. 16; Committee on the Rights of Persons with Disabilities, ‘Concluding observations on the combined second and third periodic reports of Australia’, 15 October 2019, UN Doc CRPD/C/AUS/CO/2-3; Juan E. Méndez, ‘</w:t>
      </w:r>
      <w:hyperlink r:id="rId45" w:history="1">
        <w:r w:rsidRPr="006B3A88">
          <w:rPr>
            <w:rStyle w:val="Hyperlink"/>
            <w:rFonts w:ascii="Avenir Book" w:hAnsi="Avenir Book" w:cstheme="minorHAnsi"/>
          </w:rPr>
          <w:t>Report of the Special Rapporteur on torture and other cruel, inhuman or degrading treatment or punishment</w:t>
        </w:r>
      </w:hyperlink>
      <w:r w:rsidRPr="006B3A88">
        <w:rPr>
          <w:rFonts w:ascii="Avenir Book" w:hAnsi="Avenir Book" w:cstheme="minorHAnsi"/>
        </w:rPr>
        <w:t>’ (1 February 2013) UN Doc: A/HRC/22/53. See also: World Health Organisation, ‘</w:t>
      </w:r>
      <w:hyperlink r:id="rId46" w:history="1">
        <w:r w:rsidRPr="006B3A88">
          <w:rPr>
            <w:rStyle w:val="Hyperlink"/>
            <w:rFonts w:ascii="Avenir Book" w:hAnsi="Avenir Book" w:cstheme="minorHAnsi"/>
          </w:rPr>
          <w:t>Mental health, human rights and legislation: guidance and practice</w:t>
        </w:r>
      </w:hyperlink>
      <w:r w:rsidRPr="006B3A88">
        <w:rPr>
          <w:rFonts w:ascii="Avenir Book" w:hAnsi="Avenir Book" w:cstheme="minorHAnsi"/>
        </w:rPr>
        <w:t>’, Geneva 2023, World Health Organisation and United Nations (represented by the Office of the United Nations High Commissioner for Human Rights).</w:t>
      </w:r>
    </w:p>
  </w:endnote>
  <w:endnote w:id="101">
    <w:p w14:paraId="7AF67D8A" w14:textId="77777777" w:rsidR="00EB0C66" w:rsidRPr="006B3A88" w:rsidRDefault="00EB0C66" w:rsidP="00EB0C66">
      <w:pPr>
        <w:pStyle w:val="EndnoteText"/>
        <w:rPr>
          <w:rFonts w:ascii="Avenir Book" w:hAnsi="Avenir Book" w:cstheme="minorHAnsi"/>
        </w:rPr>
      </w:pPr>
      <w:r w:rsidRPr="006B3A88">
        <w:rPr>
          <w:rStyle w:val="EndnoteReference"/>
          <w:rFonts w:ascii="Avenir Book" w:hAnsi="Avenir Book" w:cstheme="minorHAnsi"/>
        </w:rPr>
        <w:endnoteRef/>
      </w:r>
      <w:r w:rsidRPr="006B3A88">
        <w:rPr>
          <w:rFonts w:ascii="Avenir Book" w:hAnsi="Avenir Book" w:cstheme="minorHAnsi"/>
        </w:rPr>
        <w:t xml:space="preserve"> The term ‘psychosocial disability’ is used in this submission to reflect its usage by the disability community, the CRPD Committee and human rights experts in the context of international human rights and the CRPD. The term draws on the social model definition of disability found in article 1 of the CRPD, and it denotes that psychosocial disability arises from the interaction between persons with actual or perceived mental health or emotional challenges, trauma or distress and attitudinal and environmental barriers that hinder their full and effective participation in society on an equal basis with others.  Individuals will choose their own terminology to describe themselves and their situations and this should be respected.</w:t>
      </w:r>
    </w:p>
  </w:endnote>
  <w:endnote w:id="102">
    <w:p w14:paraId="4F7453D4" w14:textId="77777777" w:rsidR="004B1B0D" w:rsidRPr="006B3A88" w:rsidRDefault="004B1B0D" w:rsidP="004B1B0D">
      <w:pPr>
        <w:pStyle w:val="EndnoteText"/>
        <w:rPr>
          <w:rFonts w:ascii="Avenir Book" w:hAnsi="Avenir Book" w:cstheme="minorHAnsi"/>
        </w:rPr>
      </w:pPr>
      <w:r w:rsidRPr="006B3A88">
        <w:rPr>
          <w:rStyle w:val="EndnoteReference"/>
          <w:rFonts w:ascii="Avenir Book" w:hAnsi="Avenir Book" w:cstheme="minorHAnsi"/>
        </w:rPr>
        <w:endnoteRef/>
      </w:r>
      <w:r w:rsidRPr="006B3A88">
        <w:rPr>
          <w:rFonts w:ascii="Avenir Book" w:hAnsi="Avenir Book" w:cstheme="minorHAnsi"/>
        </w:rPr>
        <w:t xml:space="preserve"> People with psychosocial disability have reported difficulties and barriers in engaging with the DRC and being largely omitted from its recommendations, see e.g., Victorian Mental Illness Awareness Council (VMIAC), ‘</w:t>
      </w:r>
      <w:hyperlink r:id="rId47" w:history="1">
        <w:r w:rsidRPr="006B3A88">
          <w:rPr>
            <w:rStyle w:val="Hyperlink"/>
            <w:rFonts w:ascii="Avenir Book" w:hAnsi="Avenir Book" w:cstheme="minorHAnsi"/>
          </w:rPr>
          <w:t>VMIAC report on Barriers to Engagement with the Disability Royal Commission</w:t>
        </w:r>
      </w:hyperlink>
      <w:r w:rsidRPr="006B3A88">
        <w:rPr>
          <w:rFonts w:ascii="Avenir Book" w:hAnsi="Avenir Book" w:cstheme="minorHAnsi"/>
        </w:rPr>
        <w:t>’ (June 2023); Nicole Lee and Simon Katterl, ‘</w:t>
      </w:r>
      <w:hyperlink r:id="rId48" w:anchor=":~:text=It%20is%20a%20dichotomy%20facing,impact%20people%20with%20psychosocial%20disabilities." w:history="1">
        <w:r w:rsidRPr="006B3A88">
          <w:rPr>
            <w:rStyle w:val="Hyperlink"/>
            <w:rFonts w:ascii="Avenir Book" w:hAnsi="Avenir Book" w:cstheme="minorHAnsi"/>
          </w:rPr>
          <w:t>Locked inside units and outside disability reform</w:t>
        </w:r>
      </w:hyperlink>
      <w:r w:rsidRPr="006B3A88">
        <w:rPr>
          <w:rFonts w:ascii="Avenir Book" w:hAnsi="Avenir Book" w:cstheme="minorHAnsi"/>
        </w:rPr>
        <w:t xml:space="preserve">’, (Opinion, 17 October 2023) </w:t>
      </w:r>
      <w:r w:rsidRPr="006B3A88">
        <w:rPr>
          <w:rFonts w:ascii="Avenir Book" w:hAnsi="Avenir Book" w:cstheme="minorHAnsi"/>
          <w:i/>
          <w:iCs/>
        </w:rPr>
        <w:t>Independent Australia.</w:t>
      </w:r>
    </w:p>
  </w:endnote>
  <w:endnote w:id="103">
    <w:p w14:paraId="5D3B2379" w14:textId="77777777" w:rsidR="00EB0C66" w:rsidRPr="006B3A88" w:rsidRDefault="00EB0C66" w:rsidP="00EB0C66">
      <w:pPr>
        <w:pStyle w:val="EndnoteText"/>
        <w:rPr>
          <w:rFonts w:ascii="Avenir Book" w:hAnsi="Avenir Book" w:cstheme="minorHAnsi"/>
        </w:rPr>
      </w:pPr>
      <w:r w:rsidRPr="006B3A88">
        <w:rPr>
          <w:rStyle w:val="EndnoteReference"/>
          <w:rFonts w:ascii="Avenir Book" w:hAnsi="Avenir Book" w:cstheme="minorHAnsi"/>
        </w:rPr>
        <w:endnoteRef/>
      </w:r>
      <w:r w:rsidRPr="006B3A88">
        <w:rPr>
          <w:rFonts w:ascii="Avenir Book" w:hAnsi="Avenir Book" w:cstheme="minorHAnsi"/>
        </w:rPr>
        <w:t xml:space="preserve"> Royal Commission into Violence, Abuse, Neglect and Exploitation of People with Disability, op. cit., (Final Report, Volume 6), September 2023, Commonwealth of Australia, p. 518</w:t>
      </w:r>
    </w:p>
  </w:endnote>
  <w:endnote w:id="104">
    <w:p w14:paraId="40CCBB0A" w14:textId="77777777" w:rsidR="00EB0C66" w:rsidRPr="006B3A88" w:rsidRDefault="00EB0C66" w:rsidP="00EB0C66">
      <w:pPr>
        <w:pStyle w:val="EndnoteText"/>
        <w:rPr>
          <w:rFonts w:ascii="Avenir Book" w:hAnsi="Avenir Book" w:cstheme="minorHAnsi"/>
        </w:rPr>
      </w:pPr>
      <w:r w:rsidRPr="006B3A88">
        <w:rPr>
          <w:rStyle w:val="EndnoteReference"/>
          <w:rFonts w:ascii="Avenir Book" w:hAnsi="Avenir Book" w:cstheme="minorHAnsi"/>
        </w:rPr>
        <w:endnoteRef/>
      </w:r>
      <w:r w:rsidRPr="006B3A88">
        <w:rPr>
          <w:rFonts w:ascii="Avenir Book" w:hAnsi="Avenir Book" w:cstheme="minorHAnsi"/>
        </w:rPr>
        <w:t xml:space="preserve"> Australian Institute of Health and Welfare (AIHW), ‘Physical health of people with mental illness’ (Web article, 28 March 2023), accessed at: </w:t>
      </w:r>
      <w:hyperlink r:id="rId49" w:history="1">
        <w:r w:rsidRPr="006B3A88">
          <w:rPr>
            <w:rStyle w:val="Hyperlink"/>
            <w:rFonts w:ascii="Avenir Book" w:hAnsi="Avenir Book" w:cstheme="minorHAnsi"/>
          </w:rPr>
          <w:t>https://www.aihw.gov.au/reports/mental-health/physical-health-of-people-with-mental-illness</w:t>
        </w:r>
      </w:hyperlink>
      <w:r w:rsidRPr="006B3A88">
        <w:rPr>
          <w:rFonts w:ascii="Avenir Book" w:hAnsi="Avenir Book" w:cstheme="minorHAnsi"/>
        </w:rPr>
        <w:t xml:space="preserve"> </w:t>
      </w:r>
    </w:p>
  </w:endnote>
  <w:endnote w:id="105">
    <w:p w14:paraId="09303F8F" w14:textId="77777777" w:rsidR="00EB0C66" w:rsidRPr="006B3A88" w:rsidRDefault="00EB0C66" w:rsidP="00EB0C66">
      <w:pPr>
        <w:pStyle w:val="EndnoteText"/>
        <w:rPr>
          <w:rFonts w:ascii="Avenir Book" w:hAnsi="Avenir Book" w:cstheme="minorHAnsi"/>
        </w:rPr>
      </w:pPr>
      <w:r w:rsidRPr="006B3A88">
        <w:rPr>
          <w:rStyle w:val="EndnoteReference"/>
          <w:rFonts w:ascii="Avenir Book" w:hAnsi="Avenir Book" w:cstheme="minorHAnsi"/>
        </w:rPr>
        <w:endnoteRef/>
      </w:r>
      <w:r w:rsidRPr="006B3A88">
        <w:rPr>
          <w:rFonts w:ascii="Avenir Book" w:hAnsi="Avenir Book" w:cstheme="minorHAnsi"/>
        </w:rPr>
        <w:t xml:space="preserve"> Royal Commission into Victoria’s Mental Health System, ‘Final Report – Summary and recommendations’ (February 2021), State of Victoria, p. 4.</w:t>
      </w:r>
    </w:p>
  </w:endnote>
  <w:endnote w:id="106">
    <w:p w14:paraId="1B030B05" w14:textId="77777777" w:rsidR="00EB0C66" w:rsidRPr="006B3A88" w:rsidRDefault="00EB0C66" w:rsidP="00EB0C66">
      <w:pPr>
        <w:pStyle w:val="EndnoteText"/>
        <w:rPr>
          <w:rFonts w:ascii="Avenir Book" w:hAnsi="Avenir Book" w:cstheme="minorHAnsi"/>
        </w:rPr>
      </w:pPr>
      <w:r w:rsidRPr="006B3A88">
        <w:rPr>
          <w:rStyle w:val="EndnoteReference"/>
          <w:rFonts w:ascii="Avenir Book" w:hAnsi="Avenir Book" w:cstheme="minorHAnsi"/>
        </w:rPr>
        <w:endnoteRef/>
      </w:r>
      <w:r w:rsidRPr="006B3A88">
        <w:rPr>
          <w:rFonts w:ascii="Avenir Book" w:hAnsi="Avenir Book" w:cstheme="minorHAnsi"/>
        </w:rPr>
        <w:t xml:space="preserve"> Chris Maylea, ‘</w:t>
      </w:r>
      <w:hyperlink r:id="rId50" w:history="1">
        <w:r w:rsidRPr="006B3A88">
          <w:rPr>
            <w:rStyle w:val="Hyperlink"/>
            <w:rFonts w:ascii="Avenir Book" w:hAnsi="Avenir Book" w:cstheme="minorHAnsi"/>
          </w:rPr>
          <w:t>Does New Mental Health Legislation in Victoria, Australia, Advance Human Rights</w:t>
        </w:r>
      </w:hyperlink>
      <w:r w:rsidRPr="006B3A88">
        <w:rPr>
          <w:rFonts w:ascii="Avenir Book" w:hAnsi="Avenir Book" w:cstheme="minorHAnsi"/>
        </w:rPr>
        <w:t xml:space="preserve">?’ (April 3, 2023) in </w:t>
      </w:r>
      <w:r w:rsidRPr="006B3A88">
        <w:rPr>
          <w:rFonts w:ascii="Avenir Book" w:hAnsi="Avenir Book" w:cstheme="minorHAnsi"/>
          <w:i/>
          <w:iCs/>
        </w:rPr>
        <w:t>Health and Human Rights Journal</w:t>
      </w:r>
      <w:r w:rsidRPr="006B3A88">
        <w:rPr>
          <w:rFonts w:ascii="Avenir Book" w:hAnsi="Avenir Book" w:cstheme="minorHAnsi"/>
        </w:rPr>
        <w:t xml:space="preserve"> (HHR), Vol 25/1, 2023, pp. 149-160. </w:t>
      </w:r>
    </w:p>
  </w:endnote>
  <w:endnote w:id="107">
    <w:p w14:paraId="5ECA8FE3" w14:textId="77777777" w:rsidR="00EB0C66" w:rsidRPr="006B3A88" w:rsidRDefault="00EB0C66" w:rsidP="00EB0C66">
      <w:pPr>
        <w:pStyle w:val="EndnoteText"/>
        <w:rPr>
          <w:rFonts w:ascii="Avenir Book" w:hAnsi="Avenir Book" w:cstheme="minorHAnsi"/>
        </w:rPr>
      </w:pPr>
      <w:r w:rsidRPr="006B3A88">
        <w:rPr>
          <w:rStyle w:val="EndnoteReference"/>
          <w:rFonts w:ascii="Avenir Book" w:hAnsi="Avenir Book" w:cstheme="minorHAnsi"/>
        </w:rPr>
        <w:endnoteRef/>
      </w:r>
      <w:r w:rsidRPr="006B3A88">
        <w:rPr>
          <w:rFonts w:ascii="Avenir Book" w:hAnsi="Avenir Book" w:cstheme="minorHAnsi"/>
        </w:rPr>
        <w:t xml:space="preserve"> In this submission, discussion on forced sterilisation is contained in section 4, </w:t>
      </w:r>
      <w:r w:rsidRPr="006B3A88">
        <w:rPr>
          <w:rFonts w:ascii="Avenir Book" w:eastAsia="Arial" w:hAnsi="Avenir Book" w:cstheme="minorHAnsi"/>
          <w:i/>
          <w:iCs/>
        </w:rPr>
        <w:t>Ensure people with disability, particularly women and girls, enjoy their sexual and reproductive rights on an equal basis with others</w:t>
      </w:r>
      <w:r w:rsidRPr="006B3A88">
        <w:rPr>
          <w:rFonts w:ascii="Avenir Book" w:eastAsia="Arial" w:hAnsi="Avenir Book" w:cstheme="minorHAnsi"/>
        </w:rPr>
        <w:t>.</w:t>
      </w:r>
    </w:p>
  </w:endnote>
  <w:endnote w:id="108">
    <w:p w14:paraId="1BFEE5D6" w14:textId="77777777" w:rsidR="00EB0C66" w:rsidRPr="006B3A88" w:rsidRDefault="00EB0C66" w:rsidP="00EB0C66">
      <w:pPr>
        <w:pStyle w:val="EndnoteText"/>
        <w:rPr>
          <w:rFonts w:ascii="Avenir Book" w:hAnsi="Avenir Book" w:cstheme="minorHAnsi"/>
        </w:rPr>
      </w:pPr>
      <w:r w:rsidRPr="006B3A88">
        <w:rPr>
          <w:rStyle w:val="EndnoteReference"/>
          <w:rFonts w:ascii="Avenir Book" w:hAnsi="Avenir Book" w:cstheme="minorHAnsi"/>
        </w:rPr>
        <w:endnoteRef/>
      </w:r>
      <w:r w:rsidRPr="006B3A88">
        <w:rPr>
          <w:rFonts w:ascii="Avenir Book" w:hAnsi="Avenir Book" w:cstheme="minorHAnsi"/>
        </w:rPr>
        <w:t xml:space="preserve"> See e.g., Committee on the Elimination of Discrimination against Women, Concluding observations on Costa Rica (CEDAW/C/CRI/CO/5-6), 29 July 2011, at [40]. See Also: Committee on the Elimination of Discrimination against Women, Concluding observations on Germany (CEDAW/C/DEU/CO/7-8), 3 March 2017, at [23] and [24]; Committee on the Elimination of Discrimination against Women, Concluding observations on Germany (CEDAW/DEU/CO/6), 10 February 2009, at [61] and [62]; Committee on the Elimination of Discrimination against Women, Concluding observations on Ireland (CEDAW/C/IRL/CO/6-7), 3 March 2017, at [24] and [25]; Committee on the Elimination of Discrimination against Women, Concluding observations on France (CEDAW/C/FRA/CO/7-8), 22 July 2016, at [17], [18]; Committee on the Elimination of Discrimination against Women, Concluding observations on Switzerland (CEDAW/C/CHE/CO/4-5), 18 November 2016, at [24] and [25]; Committee on the Elimination of Discrimination against Women, Concluding observations on the Netherlands (CEDAW/C/NLD/CO/6), 18 November 2016, at [21] and [22]; Committee on the Elimination of Discrimination against Women, Concluding observations on Costa Rica (CEDAW/C/CRI/CO/5-6), 29 July 2011, at [40]; Committee on the Rights of the Child, Concluding observations on Switzerland (CRC/C/CHE/CO/2-4), 26 February 2015, at [42]; Committee on the Rights of the Child, Concluding observations on Chile (CRC/C/CHL/CO/4-5), 30 October 2015, at [48]; Committee on the Rights of the Child, Concluding observations on Ireland (CRC/C/IRL/CO/3-4), 1 March 2016, at [39], [40]; Committee on the Rights of the Child, Concluding observations on France (CRC/C/FRA/CO/5), 29 January 2016, at [47] and [48]; Committee on the Rights of the Child, Concluding observations on Great Britain and Northern Ireland (CRC/C/GBR/CO/5), 3 June 2016, at [45], [46]; Committee on the Rights of the Child, Concluding observations on New Zealand (CRC/C/NZL/CO/5), 30 September 2016, at [24], [25]; Committee on the Rights of the Child, Concluding observations on South Africa (CRC/C/ZAF/CO/2), 30 September 2016, at [37], [38].</w:t>
      </w:r>
    </w:p>
  </w:endnote>
  <w:endnote w:id="109">
    <w:p w14:paraId="1CC40B93" w14:textId="77777777" w:rsidR="00EB0C66" w:rsidRPr="006B3A88" w:rsidRDefault="00EB0C66" w:rsidP="00EB0C66">
      <w:pPr>
        <w:pStyle w:val="EndnoteText"/>
        <w:rPr>
          <w:rFonts w:ascii="Avenir Book" w:hAnsi="Avenir Book" w:cstheme="minorHAnsi"/>
        </w:rPr>
      </w:pPr>
      <w:r w:rsidRPr="006B3A88">
        <w:rPr>
          <w:rStyle w:val="EndnoteReference"/>
          <w:rFonts w:ascii="Avenir Book" w:hAnsi="Avenir Book" w:cstheme="minorHAnsi"/>
        </w:rPr>
        <w:endnoteRef/>
      </w:r>
      <w:r w:rsidRPr="006B3A88">
        <w:rPr>
          <w:rFonts w:ascii="Avenir Book" w:hAnsi="Avenir Book" w:cstheme="minorHAnsi"/>
        </w:rPr>
        <w:t xml:space="preserve"> Committee on the Elimination of Discrimination against Women (2018) Concluding Observations on the Eighth Periodic Report of Australia, UN Doc, CEDAW/C/AUS/CO/8, para 26. See also, Committee on the Rights of the Child, ‘Concluding observations on the combined fifth and sixth periodic report of Australia’, 1 November 2019, UN Doc: CRC/C/AUS/CO/5-6, para 31(b); Committee on the Rights of Persons with Disabilities, ‘Concluding observations on the combined second and third periodic reports of Australia’, 15 October 2019, UN Doc CRPD/C/AUS/CO/2-3, paras. 34(b).</w:t>
      </w:r>
    </w:p>
  </w:endnote>
  <w:endnote w:id="110">
    <w:p w14:paraId="27FCCF29" w14:textId="77777777" w:rsidR="00EB0C66" w:rsidRPr="006B3A88" w:rsidRDefault="00EB0C66" w:rsidP="00EB0C66">
      <w:pPr>
        <w:pStyle w:val="EndnoteText"/>
        <w:rPr>
          <w:rFonts w:ascii="Avenir Book" w:hAnsi="Avenir Book" w:cstheme="minorHAnsi"/>
        </w:rPr>
      </w:pPr>
      <w:r w:rsidRPr="006B3A88">
        <w:rPr>
          <w:rStyle w:val="EndnoteReference"/>
          <w:rFonts w:ascii="Avenir Book" w:hAnsi="Avenir Book" w:cstheme="minorHAnsi"/>
        </w:rPr>
        <w:endnoteRef/>
      </w:r>
      <w:r w:rsidRPr="006B3A88">
        <w:rPr>
          <w:rFonts w:ascii="Avenir Book" w:hAnsi="Avenir Book" w:cstheme="minorHAnsi"/>
        </w:rPr>
        <w:t xml:space="preserve"> </w:t>
      </w:r>
      <w:r w:rsidRPr="006B3A88">
        <w:rPr>
          <w:rFonts w:ascii="Avenir Book" w:hAnsi="Avenir Book" w:cstheme="minorHAnsi"/>
          <w:i/>
          <w:iCs/>
        </w:rPr>
        <w:t>Variation in Sex Characteristics (Restricted Medical Treatment) Bill 2023</w:t>
      </w:r>
      <w:r w:rsidRPr="006B3A88">
        <w:rPr>
          <w:rFonts w:ascii="Avenir Book" w:hAnsi="Avenir Book" w:cstheme="minorHAnsi"/>
        </w:rPr>
        <w:t xml:space="preserve"> (ACT).</w:t>
      </w:r>
    </w:p>
  </w:endnote>
  <w:endnote w:id="111">
    <w:p w14:paraId="66AB13A5" w14:textId="77777777" w:rsidR="009F0A98" w:rsidRPr="006B3A88" w:rsidRDefault="009F0A98" w:rsidP="009F0A98">
      <w:pPr>
        <w:pStyle w:val="EndnoteText"/>
        <w:rPr>
          <w:rFonts w:ascii="Avenir Book" w:hAnsi="Avenir Book" w:cstheme="minorHAnsi"/>
        </w:rPr>
      </w:pPr>
      <w:r w:rsidRPr="006B3A88">
        <w:rPr>
          <w:rStyle w:val="EndnoteReference"/>
          <w:rFonts w:ascii="Avenir Book" w:hAnsi="Avenir Book" w:cstheme="minorHAnsi"/>
        </w:rPr>
        <w:endnoteRef/>
      </w:r>
      <w:r w:rsidRPr="006B3A88">
        <w:rPr>
          <w:rFonts w:ascii="Avenir Book" w:hAnsi="Avenir Book" w:cstheme="minorHAnsi"/>
        </w:rPr>
        <w:t xml:space="preserve"> Dr Claire Spivakovsky (The University of Melbourne), Associate Professor Linda Steele (University of Technology Sydney), Associate Professor Dinesh Wadiwel (The University of Sydney), op. cit. See also: Cortis, N., Smyth, C. and Katz, I. (2023). Reducing restrictive practices: A review of evidence based alternatives. Report for the Royal Commission into Violence, Abuse, Neglect and Exploitation of People with Disability. Sydney: UNSW Social Policy Research Centre.</w:t>
      </w:r>
    </w:p>
  </w:endnote>
  <w:endnote w:id="112">
    <w:p w14:paraId="4AC9A5BF" w14:textId="40AB3D50" w:rsidR="007F47EF" w:rsidRPr="006B3A88" w:rsidRDefault="007F47EF">
      <w:pPr>
        <w:pStyle w:val="EndnoteText"/>
        <w:rPr>
          <w:rFonts w:ascii="Avenir Book" w:hAnsi="Avenir Book"/>
          <w:lang w:val="en-AU"/>
        </w:rPr>
      </w:pPr>
      <w:r w:rsidRPr="006B3A88">
        <w:rPr>
          <w:rStyle w:val="EndnoteReference"/>
          <w:rFonts w:ascii="Avenir Book" w:hAnsi="Avenir Book"/>
        </w:rPr>
        <w:endnoteRef/>
      </w:r>
      <w:r w:rsidRPr="006B3A88">
        <w:rPr>
          <w:rFonts w:ascii="Avenir Book" w:hAnsi="Avenir Book"/>
        </w:rPr>
        <w:t xml:space="preserve"> </w:t>
      </w:r>
      <w:r w:rsidRPr="006B3A88">
        <w:rPr>
          <w:rFonts w:ascii="Avenir Book" w:hAnsi="Avenir Book"/>
          <w:lang w:val="en-AU"/>
        </w:rPr>
        <w:t xml:space="preserve">For guidance in repealing or amending mental health legislation, policy and practice, see </w:t>
      </w:r>
      <w:r w:rsidRPr="006B3A88">
        <w:rPr>
          <w:rFonts w:ascii="Avenir Book" w:hAnsi="Avenir Book" w:cstheme="minorHAnsi"/>
        </w:rPr>
        <w:t>World Health Organisation, ‘</w:t>
      </w:r>
      <w:hyperlink r:id="rId51" w:history="1">
        <w:r w:rsidRPr="006B3A88">
          <w:rPr>
            <w:rStyle w:val="Hyperlink"/>
            <w:rFonts w:ascii="Avenir Book" w:hAnsi="Avenir Book" w:cstheme="minorHAnsi"/>
          </w:rPr>
          <w:t>Mental health, human rights and legislation: guidance and practice</w:t>
        </w:r>
      </w:hyperlink>
      <w:r w:rsidRPr="006B3A88">
        <w:rPr>
          <w:rFonts w:ascii="Avenir Book" w:hAnsi="Avenir Book" w:cstheme="minorHAnsi"/>
        </w:rPr>
        <w:t>’, Geneva 2023, World Health Organisation and United Nations (represented by the Office of the United Nations High Commissioner for Human Rights).</w:t>
      </w:r>
    </w:p>
  </w:endnote>
  <w:endnote w:id="113">
    <w:p w14:paraId="33562F1E" w14:textId="7DC1DE3C" w:rsidR="009872F8" w:rsidRPr="006B3A88" w:rsidRDefault="009872F8">
      <w:pPr>
        <w:pStyle w:val="EndnoteText"/>
        <w:rPr>
          <w:rFonts w:ascii="Avenir Book" w:hAnsi="Avenir Book"/>
          <w:lang w:val="en-AU"/>
        </w:rPr>
      </w:pPr>
      <w:r w:rsidRPr="006B3A88">
        <w:rPr>
          <w:rStyle w:val="EndnoteReference"/>
          <w:rFonts w:ascii="Avenir Book" w:hAnsi="Avenir Book"/>
        </w:rPr>
        <w:endnoteRef/>
      </w:r>
      <w:r w:rsidRPr="006B3A88">
        <w:rPr>
          <w:rFonts w:ascii="Avenir Book" w:hAnsi="Avenir Book"/>
        </w:rPr>
        <w:t xml:space="preserve"> For actions and measures to recognise and respect the right to bodily integrity of intersex people, see, the Joint statement by the Australian and Aotearoa/New Zealand intersex community organisations and independent advocates, ‘</w:t>
      </w:r>
      <w:hyperlink r:id="rId52" w:history="1">
        <w:r w:rsidRPr="006B3A88">
          <w:rPr>
            <w:rStyle w:val="Hyperlink"/>
            <w:rFonts w:ascii="Avenir Book" w:hAnsi="Avenir Book"/>
          </w:rPr>
          <w:t>Darlington Statement</w:t>
        </w:r>
      </w:hyperlink>
      <w:r w:rsidRPr="006B3A88">
        <w:rPr>
          <w:rFonts w:ascii="Avenir Book" w:hAnsi="Avenir Book"/>
        </w:rPr>
        <w:t>’ (March 2017).</w:t>
      </w:r>
      <w:r w:rsidR="00E06A75" w:rsidRPr="006B3A88">
        <w:rPr>
          <w:rFonts w:ascii="Avenir Book" w:hAnsi="Avenir Book"/>
        </w:rPr>
        <w:t xml:space="preserve"> Also see</w:t>
      </w:r>
      <w:r w:rsidR="000D7251" w:rsidRPr="006B3A88">
        <w:rPr>
          <w:rFonts w:ascii="Avenir Book" w:hAnsi="Avenir Book"/>
        </w:rPr>
        <w:t xml:space="preserve">, </w:t>
      </w:r>
      <w:hyperlink r:id="rId53" w:history="1">
        <w:r w:rsidR="000D7251" w:rsidRPr="006B3A88">
          <w:rPr>
            <w:rStyle w:val="Hyperlink"/>
            <w:rFonts w:ascii="Avenir Book" w:hAnsi="Avenir Book"/>
          </w:rPr>
          <w:t>Intersex Human Rights Australia</w:t>
        </w:r>
      </w:hyperlink>
      <w:r w:rsidR="000D7251" w:rsidRPr="006B3A88">
        <w:rPr>
          <w:rFonts w:ascii="Avenir Book" w:hAnsi="Avenir Book"/>
        </w:rPr>
        <w:t>.</w:t>
      </w:r>
    </w:p>
  </w:endnote>
  <w:endnote w:id="114">
    <w:p w14:paraId="63F52F39" w14:textId="5B3876A6" w:rsidR="00E06A75" w:rsidRPr="006B3A88" w:rsidRDefault="00E06A75">
      <w:pPr>
        <w:pStyle w:val="EndnoteText"/>
        <w:rPr>
          <w:rFonts w:ascii="Avenir Book" w:hAnsi="Avenir Book"/>
          <w:lang w:val="en-AU"/>
        </w:rPr>
      </w:pPr>
      <w:r w:rsidRPr="006B3A88">
        <w:rPr>
          <w:rStyle w:val="EndnoteReference"/>
          <w:rFonts w:ascii="Avenir Book" w:hAnsi="Avenir Book"/>
        </w:rPr>
        <w:endnoteRef/>
      </w:r>
      <w:r w:rsidRPr="006B3A88">
        <w:rPr>
          <w:rFonts w:ascii="Avenir Book" w:hAnsi="Avenir Book"/>
        </w:rPr>
        <w:t xml:space="preserve"> </w:t>
      </w:r>
      <w:r w:rsidRPr="006B3A88">
        <w:rPr>
          <w:rFonts w:ascii="Avenir Book" w:hAnsi="Avenir Book"/>
          <w:lang w:val="en-AU"/>
        </w:rPr>
        <w:t>Australian Human Rights Commission (AHRC), ‘</w:t>
      </w:r>
      <w:hyperlink r:id="rId54" w:history="1">
        <w:r w:rsidRPr="006B3A88">
          <w:rPr>
            <w:rStyle w:val="Hyperlink"/>
            <w:rFonts w:ascii="Avenir Book" w:hAnsi="Avenir Book"/>
            <w:lang w:val="en-AU"/>
          </w:rPr>
          <w:t>Ensuring health and bodily integrity: towards a human rights approach for people born with variations in sex characteristics</w:t>
        </w:r>
      </w:hyperlink>
      <w:r w:rsidRPr="006B3A88">
        <w:rPr>
          <w:rFonts w:ascii="Avenir Book" w:hAnsi="Avenir Book"/>
          <w:lang w:val="en-AU"/>
        </w:rPr>
        <w:t>’ (October 2021) AHRC 2021.</w:t>
      </w:r>
    </w:p>
  </w:endnote>
  <w:endnote w:id="115">
    <w:p w14:paraId="4A577898" w14:textId="77777777" w:rsidR="000224CA" w:rsidRPr="006B3A88" w:rsidRDefault="000224CA" w:rsidP="00F251AD">
      <w:pPr>
        <w:pStyle w:val="EndnoteText"/>
        <w:rPr>
          <w:rFonts w:ascii="Avenir Book" w:hAnsi="Avenir Book" w:cstheme="minorHAnsi"/>
        </w:rPr>
      </w:pPr>
      <w:r w:rsidRPr="006B3A88">
        <w:rPr>
          <w:rStyle w:val="EndnoteReference"/>
          <w:rFonts w:ascii="Avenir Book" w:hAnsi="Avenir Book" w:cstheme="minorHAnsi"/>
        </w:rPr>
        <w:endnoteRef/>
      </w:r>
      <w:r w:rsidRPr="006B3A88">
        <w:rPr>
          <w:rFonts w:ascii="Avenir Book" w:hAnsi="Avenir Book" w:cstheme="minorHAnsi"/>
        </w:rPr>
        <w:t xml:space="preserve"> Sexuality is a central aspect of being human. It encompasses many dimensions that may or may not be experienced or expressed. Sexuality is an evolving concept that encompasses sexual activity, gender identities, sexual orientation, pleasure, eroticism, intimacy and reproduction. Sexuality is experienced and expressed in many ways, including through relationships, attitudes, values, behaviours, practices, beliefs, thoughts, fantasies, and desires. Although sexual and reproductive rights are often inter-related, many expressions of sexuality are non-reproductive and therefore the specificity of sexual rights needs to be understood in its own right, and not automatically subsumed under reproductive rights and reproductive health. See: Women With Disabilities Australia (WWDA) ‘WWDA Position Statement 4: Sexual and Reproductive Rights’. WWDA, September 2016, Hobart, Tasmania. ISBN: 978-0-9585269-6-8.</w:t>
      </w:r>
    </w:p>
  </w:endnote>
  <w:endnote w:id="116">
    <w:p w14:paraId="18BA353D" w14:textId="77777777" w:rsidR="000224CA" w:rsidRPr="006B3A88" w:rsidRDefault="000224CA" w:rsidP="000224CA">
      <w:pPr>
        <w:pStyle w:val="EndnoteText"/>
        <w:rPr>
          <w:rFonts w:ascii="Avenir Book" w:hAnsi="Avenir Book" w:cstheme="minorHAnsi"/>
        </w:rPr>
      </w:pPr>
      <w:r w:rsidRPr="006B3A88">
        <w:rPr>
          <w:rStyle w:val="EndnoteReference"/>
          <w:rFonts w:ascii="Avenir Book" w:hAnsi="Avenir Book" w:cstheme="minorHAnsi"/>
        </w:rPr>
        <w:endnoteRef/>
      </w:r>
      <w:r w:rsidRPr="006B3A88">
        <w:rPr>
          <w:rFonts w:ascii="Avenir Book" w:hAnsi="Avenir Book" w:cstheme="minorHAnsi"/>
        </w:rPr>
        <w:t xml:space="preserve"> This includes the right of everyone to enjoy and express their sexuality, be free from interference in making personal and private decisions about sexuality and reproductive matters, and to access sexual and reproductive health information, education, services and support. See: Women With Disabilities Australia (WWDA) ‘WWDA Position Statement 4: Sexual and Reproductive Rights’. WWDA, September 2016, Hobart, Tasmania. ISBN: 978-0-9585269-6-8</w:t>
      </w:r>
    </w:p>
  </w:endnote>
  <w:endnote w:id="117">
    <w:p w14:paraId="3A992CB8" w14:textId="77777777" w:rsidR="000224CA" w:rsidRPr="006B3A88" w:rsidRDefault="000224CA" w:rsidP="00F251AD">
      <w:pPr>
        <w:pStyle w:val="EndnoteText"/>
        <w:rPr>
          <w:rFonts w:ascii="Avenir Book" w:hAnsi="Avenir Book" w:cstheme="minorHAnsi"/>
        </w:rPr>
      </w:pPr>
      <w:r w:rsidRPr="006B3A88">
        <w:rPr>
          <w:rStyle w:val="EndnoteReference"/>
          <w:rFonts w:ascii="Avenir Book" w:hAnsi="Avenir Book" w:cstheme="minorHAnsi"/>
        </w:rPr>
        <w:endnoteRef/>
      </w:r>
      <w:r w:rsidRPr="006B3A88">
        <w:rPr>
          <w:rFonts w:ascii="Avenir Book" w:hAnsi="Avenir Book" w:cstheme="minorHAnsi"/>
        </w:rPr>
        <w:t xml:space="preserve"> Manjoo, R. (2012) Report of the Special Rapporteur on violence against women, its causes and consequences. United Nations General Assembly, UN Doc No. A/67/227. See also: Committee on the Rights of Persons with Disabilities and the Committee on the Elimination of All Forms of Discrimination Against Women, ‘</w:t>
      </w:r>
      <w:hyperlink r:id="rId55" w:history="1">
        <w:r w:rsidRPr="006B3A88">
          <w:rPr>
            <w:rStyle w:val="Hyperlink"/>
            <w:rFonts w:ascii="Avenir Book" w:hAnsi="Avenir Book" w:cstheme="minorHAnsi"/>
          </w:rPr>
          <w:t>Guaranteeing sexual and reproductive health and rights for all women, in particular women with disabilities</w:t>
        </w:r>
      </w:hyperlink>
      <w:r w:rsidRPr="006B3A88">
        <w:rPr>
          <w:rFonts w:ascii="Avenir Book" w:hAnsi="Avenir Book" w:cstheme="minorHAnsi"/>
        </w:rPr>
        <w:t>’ (Joint statement, 29 August 2018); Women With Disabilities Australia (WWDA) (2022), ‘Submission on Sexual and Reproductive Rights of Women and Girls with Disability to the Royal Commission into Violence, Abuse, Neglect and Exploitation of People with Disability’, WWDA, Hobart.</w:t>
      </w:r>
    </w:p>
  </w:endnote>
  <w:endnote w:id="118">
    <w:p w14:paraId="2155543B" w14:textId="77777777" w:rsidR="000224CA" w:rsidRPr="006B3A88" w:rsidRDefault="000224CA" w:rsidP="000224CA">
      <w:pPr>
        <w:pStyle w:val="EndnoteText"/>
        <w:rPr>
          <w:rFonts w:ascii="Avenir Book" w:hAnsi="Avenir Book" w:cstheme="minorHAnsi"/>
        </w:rPr>
      </w:pPr>
      <w:r w:rsidRPr="006B3A88">
        <w:rPr>
          <w:rStyle w:val="EndnoteReference"/>
          <w:rFonts w:ascii="Avenir Book" w:hAnsi="Avenir Book" w:cstheme="minorHAnsi"/>
        </w:rPr>
        <w:endnoteRef/>
      </w:r>
      <w:r w:rsidRPr="006B3A88">
        <w:rPr>
          <w:rFonts w:ascii="Avenir Book" w:hAnsi="Avenir Book" w:cstheme="minorHAnsi"/>
        </w:rPr>
        <w:t xml:space="preserve"> Royal Commission into Violence, Abuse, Neglect and Exploitation of People with Disability, ‘Nature and extent of violence, abuse, neglect and exploitation’ (Final Report, Volume 3), September 2023, Commonwealth of Australia, Chapter 4.</w:t>
      </w:r>
    </w:p>
  </w:endnote>
  <w:endnote w:id="119">
    <w:p w14:paraId="618D168D" w14:textId="77777777" w:rsidR="000224CA" w:rsidRPr="006B3A88" w:rsidRDefault="000224CA" w:rsidP="000224CA">
      <w:pPr>
        <w:pStyle w:val="EndnoteText"/>
        <w:rPr>
          <w:rFonts w:ascii="Avenir Book" w:hAnsi="Avenir Book" w:cstheme="minorHAnsi"/>
        </w:rPr>
      </w:pPr>
      <w:r w:rsidRPr="006B3A88">
        <w:rPr>
          <w:rStyle w:val="EndnoteReference"/>
          <w:rFonts w:ascii="Avenir Book" w:hAnsi="Avenir Book" w:cstheme="minorHAnsi"/>
        </w:rPr>
        <w:endnoteRef/>
      </w:r>
      <w:r w:rsidRPr="006B3A88">
        <w:rPr>
          <w:rFonts w:ascii="Avenir Book" w:hAnsi="Avenir Book" w:cstheme="minorHAnsi"/>
        </w:rPr>
        <w:t xml:space="preserve"> Ibid, Chapter 4, section 4.7, pp. 122-124.</w:t>
      </w:r>
    </w:p>
  </w:endnote>
  <w:endnote w:id="120">
    <w:p w14:paraId="5FCC0BB6" w14:textId="77777777" w:rsidR="00D34CDD" w:rsidRPr="006B3A88" w:rsidRDefault="00D34CDD" w:rsidP="00D34CDD">
      <w:pPr>
        <w:pStyle w:val="EndnoteText"/>
        <w:rPr>
          <w:rFonts w:ascii="Avenir Book" w:hAnsi="Avenir Book" w:cstheme="minorHAnsi"/>
        </w:rPr>
      </w:pPr>
      <w:r w:rsidRPr="006B3A88">
        <w:rPr>
          <w:rStyle w:val="EndnoteReference"/>
          <w:rFonts w:ascii="Avenir Book" w:hAnsi="Avenir Book" w:cstheme="minorHAnsi"/>
        </w:rPr>
        <w:endnoteRef/>
      </w:r>
      <w:r w:rsidRPr="006B3A88">
        <w:rPr>
          <w:rFonts w:ascii="Avenir Book" w:hAnsi="Avenir Book" w:cstheme="minorHAnsi"/>
        </w:rPr>
        <w:t xml:space="preserve"> Forced contraception is commonly used on women and girls with disability to suppress menstruation or sexual expression for various purposes, including eugenics-based practices of population control, menstrual management and personal care, and pregnancy prevention, including pregnancy that results from sexual abuse. It is a practice widely used in group homes and other forms of institutional settings and is often justified as a way of reducing the ‘burden’ on staff/carers who have to ‘deal with’ managing menstruation of disabled women and girls. In the case of persons with intellectual disability, the decision about type of contraception is almost exclusively made by someone else, such as a doctor and/or guardian, parent, or carer. See for e.g., </w:t>
      </w:r>
      <w:bookmarkStart w:id="99" w:name="OLE_LINK1"/>
      <w:bookmarkStart w:id="100" w:name="OLE_LINK2"/>
      <w:r w:rsidRPr="006B3A88">
        <w:rPr>
          <w:rFonts w:ascii="Avenir Book" w:hAnsi="Avenir Book" w:cstheme="minorHAnsi"/>
        </w:rPr>
        <w:t>Women With Disabilities Australia (WWDA</w:t>
      </w:r>
      <w:bookmarkEnd w:id="99"/>
      <w:bookmarkEnd w:id="100"/>
      <w:r w:rsidRPr="006B3A88">
        <w:rPr>
          <w:rFonts w:ascii="Avenir Book" w:hAnsi="Avenir Book" w:cstheme="minorHAnsi"/>
        </w:rPr>
        <w:t>) (2022), ‘Submission on Sexual and Reproductive Rights of Women and Girls with Disability to the Royal Commission into Violence, Abuse, Neglect and Exploitation of People with Disability’, WWDA, Hobart; Women With Disabilities Australia (WWDA), ‘</w:t>
      </w:r>
      <w:hyperlink r:id="rId56" w:history="1">
        <w:r w:rsidRPr="006B3A88">
          <w:rPr>
            <w:rStyle w:val="Hyperlink"/>
            <w:rFonts w:ascii="Avenir Book" w:hAnsi="Avenir Book" w:cstheme="minorHAnsi"/>
          </w:rPr>
          <w:t>WWDA Position Statement 4: Sexual and Reproductive Rights</w:t>
        </w:r>
      </w:hyperlink>
      <w:r w:rsidRPr="006B3A88">
        <w:rPr>
          <w:rFonts w:ascii="Avenir Book" w:hAnsi="Avenir Book" w:cstheme="minorHAnsi"/>
        </w:rPr>
        <w:t xml:space="preserve">’, September 2016, WWDA, Hobart. See also: Joi Committee on the Rights of Persons with Disabilities (CRPD) and the Committee on the Elimination of All Forms of Discrimination against Women (CEDAW), </w:t>
      </w:r>
      <w:hyperlink r:id="rId57" w:history="1">
        <w:r w:rsidRPr="006B3A88">
          <w:rPr>
            <w:rStyle w:val="Hyperlink"/>
            <w:rFonts w:ascii="Avenir Book" w:hAnsi="Avenir Book" w:cstheme="minorHAnsi"/>
          </w:rPr>
          <w:t>Guaranteeing sexual and reproductive health and rights for all women, in particular women with disabilities.</w:t>
        </w:r>
      </w:hyperlink>
      <w:r w:rsidRPr="006B3A88">
        <w:rPr>
          <w:rFonts w:ascii="Avenir Book" w:hAnsi="Avenir Book" w:cstheme="minorHAnsi"/>
        </w:rPr>
        <w:t>’, (Joint Statement, 29 August 2018).</w:t>
      </w:r>
    </w:p>
  </w:endnote>
  <w:endnote w:id="121">
    <w:p w14:paraId="31EA263A" w14:textId="77777777" w:rsidR="00D34CDD" w:rsidRPr="006B3A88" w:rsidRDefault="00D34CDD" w:rsidP="00D34CDD">
      <w:pPr>
        <w:pStyle w:val="EndnoteText"/>
        <w:rPr>
          <w:rFonts w:ascii="Avenir Book" w:hAnsi="Avenir Book" w:cstheme="minorHAnsi"/>
        </w:rPr>
      </w:pPr>
      <w:r w:rsidRPr="006B3A88">
        <w:rPr>
          <w:rStyle w:val="EndnoteReference"/>
          <w:rFonts w:ascii="Avenir Book" w:hAnsi="Avenir Book" w:cstheme="minorHAnsi"/>
        </w:rPr>
        <w:endnoteRef/>
      </w:r>
      <w:r w:rsidRPr="006B3A88">
        <w:rPr>
          <w:rFonts w:ascii="Avenir Book" w:hAnsi="Avenir Book" w:cstheme="minorHAnsi"/>
        </w:rPr>
        <w:t xml:space="preserve"> Medication to control sexual desire and suppress menstruation is classified as a chemical restraint and regulated for NDIS participants.  See: NDIS Quality and Safeguards Commission, ‘Regulated Restrictive Practices Guide’, October 2020, pp. 10-11. </w:t>
      </w:r>
    </w:p>
  </w:endnote>
  <w:endnote w:id="122">
    <w:p w14:paraId="7EC94221" w14:textId="77777777" w:rsidR="00D34CDD" w:rsidRPr="006B3A88" w:rsidRDefault="00D34CDD" w:rsidP="00D34CDD">
      <w:pPr>
        <w:pStyle w:val="EndnoteText"/>
        <w:rPr>
          <w:rFonts w:ascii="Avenir Book" w:hAnsi="Avenir Book" w:cstheme="minorHAnsi"/>
        </w:rPr>
      </w:pPr>
      <w:r w:rsidRPr="006B3A88">
        <w:rPr>
          <w:rStyle w:val="EndnoteReference"/>
          <w:rFonts w:ascii="Avenir Book" w:hAnsi="Avenir Book" w:cstheme="minorHAnsi"/>
        </w:rPr>
        <w:endnoteRef/>
      </w:r>
      <w:r w:rsidRPr="006B3A88">
        <w:rPr>
          <w:rFonts w:ascii="Avenir Book" w:hAnsi="Avenir Book" w:cstheme="minorHAnsi"/>
        </w:rPr>
        <w:t xml:space="preserve"> In 2019, t</w:t>
      </w:r>
      <w:r w:rsidRPr="006B3A88">
        <w:rPr>
          <w:rFonts w:ascii="Avenir Book" w:eastAsia="Times New Roman" w:hAnsi="Avenir Book" w:cstheme="minorHAnsi"/>
          <w:color w:val="000000"/>
          <w:kern w:val="28"/>
          <w:lang w:eastAsia="en-AU"/>
        </w:rPr>
        <w:t>he CRPD Committee recommended to Australia to adopt uniform legislation prohibiting, in the absence of free and informed consent, sterilisation procedures, administration of contraception and abortion procedures. See: Committee on the Rights of Persons with Disabilities, ‘</w:t>
      </w:r>
      <w:r w:rsidRPr="006B3A88">
        <w:rPr>
          <w:rFonts w:ascii="Avenir Book" w:hAnsi="Avenir Book" w:cstheme="minorHAnsi"/>
        </w:rPr>
        <w:t>Concluding observations on the combined second and third periodic reports of Australia’, 15 October 2019, UN Doc CRPD/C/AUS/CO/2-3, paras. 34(a).</w:t>
      </w:r>
    </w:p>
  </w:endnote>
  <w:endnote w:id="123">
    <w:p w14:paraId="7B397BC3" w14:textId="5F5BA92E" w:rsidR="00CF6F03" w:rsidRPr="006B3A88" w:rsidRDefault="00CF6F03">
      <w:pPr>
        <w:pStyle w:val="EndnoteText"/>
        <w:rPr>
          <w:rFonts w:ascii="Avenir Book" w:hAnsi="Avenir Book"/>
          <w:lang w:val="en-AU"/>
        </w:rPr>
      </w:pPr>
      <w:r w:rsidRPr="006B3A88">
        <w:rPr>
          <w:rStyle w:val="EndnoteReference"/>
          <w:rFonts w:ascii="Avenir Book" w:hAnsi="Avenir Book"/>
        </w:rPr>
        <w:endnoteRef/>
      </w:r>
      <w:r w:rsidRPr="006B3A88">
        <w:rPr>
          <w:rFonts w:ascii="Avenir Book" w:hAnsi="Avenir Book"/>
        </w:rPr>
        <w:t xml:space="preserve"> See </w:t>
      </w:r>
      <w:r w:rsidR="009F677A" w:rsidRPr="006B3A88">
        <w:rPr>
          <w:rFonts w:ascii="Avenir Book" w:hAnsi="Avenir Book"/>
        </w:rPr>
        <w:t>in particular</w:t>
      </w:r>
      <w:r w:rsidRPr="006B3A88">
        <w:rPr>
          <w:rFonts w:ascii="Avenir Book" w:hAnsi="Avenir Book"/>
        </w:rPr>
        <w:t>, recommendations</w:t>
      </w:r>
      <w:r w:rsidRPr="006B3A88">
        <w:rPr>
          <w:rFonts w:ascii="Avenir Book" w:hAnsi="Avenir Book"/>
          <w:lang w:val="en-AU"/>
        </w:rPr>
        <w:t xml:space="preserve"> 12.7 and 12.8 in the Final Report. </w:t>
      </w:r>
    </w:p>
  </w:endnote>
  <w:endnote w:id="124">
    <w:p w14:paraId="67DCCD05" w14:textId="032FDCDE" w:rsidR="009F677A" w:rsidRPr="006B3A88" w:rsidRDefault="009F677A">
      <w:pPr>
        <w:pStyle w:val="EndnoteText"/>
        <w:rPr>
          <w:rFonts w:ascii="Avenir Book" w:hAnsi="Avenir Book"/>
          <w:lang w:val="en-AU"/>
        </w:rPr>
      </w:pPr>
      <w:r w:rsidRPr="006B3A88">
        <w:rPr>
          <w:rStyle w:val="EndnoteReference"/>
          <w:rFonts w:ascii="Avenir Book" w:hAnsi="Avenir Book"/>
        </w:rPr>
        <w:endnoteRef/>
      </w:r>
      <w:r w:rsidRPr="006B3A88">
        <w:rPr>
          <w:rFonts w:ascii="Avenir Book" w:hAnsi="Avenir Book"/>
        </w:rPr>
        <w:t xml:space="preserve"> </w:t>
      </w:r>
      <w:r w:rsidRPr="006B3A88">
        <w:rPr>
          <w:rFonts w:ascii="Avenir Book" w:hAnsi="Avenir Book"/>
          <w:lang w:val="en-AU"/>
        </w:rPr>
        <w:t>Recommendation 8.24 in the Final Report.</w:t>
      </w:r>
    </w:p>
  </w:endnote>
  <w:endnote w:id="125">
    <w:p w14:paraId="42AFBC67" w14:textId="20584B97" w:rsidR="009F677A" w:rsidRPr="006B3A88" w:rsidRDefault="009F677A">
      <w:pPr>
        <w:pStyle w:val="EndnoteText"/>
        <w:rPr>
          <w:rFonts w:ascii="Avenir Book" w:hAnsi="Avenir Book"/>
          <w:lang w:val="en-AU"/>
        </w:rPr>
      </w:pPr>
      <w:r w:rsidRPr="006B3A88">
        <w:rPr>
          <w:rStyle w:val="EndnoteReference"/>
          <w:rFonts w:ascii="Avenir Book" w:hAnsi="Avenir Book"/>
        </w:rPr>
        <w:endnoteRef/>
      </w:r>
      <w:r w:rsidRPr="006B3A88">
        <w:rPr>
          <w:rFonts w:ascii="Avenir Book" w:hAnsi="Avenir Book"/>
        </w:rPr>
        <w:t xml:space="preserve"> </w:t>
      </w:r>
      <w:r w:rsidRPr="006B3A88">
        <w:rPr>
          <w:rFonts w:ascii="Avenir Book" w:hAnsi="Avenir Book"/>
          <w:lang w:val="en-AU"/>
        </w:rPr>
        <w:t>Recommendation 8.23 in the Final Report.</w:t>
      </w:r>
    </w:p>
  </w:endnote>
  <w:endnote w:id="126">
    <w:p w14:paraId="03310349" w14:textId="6DF392FB" w:rsidR="00D34CDD" w:rsidRPr="006B3A88" w:rsidRDefault="00D34CDD">
      <w:pPr>
        <w:pStyle w:val="EndnoteText"/>
        <w:rPr>
          <w:rFonts w:ascii="Avenir Book" w:hAnsi="Avenir Book"/>
          <w:lang w:val="en-AU"/>
        </w:rPr>
      </w:pPr>
      <w:r w:rsidRPr="006B3A88">
        <w:rPr>
          <w:rStyle w:val="EndnoteReference"/>
          <w:rFonts w:ascii="Avenir Book" w:hAnsi="Avenir Book"/>
        </w:rPr>
        <w:endnoteRef/>
      </w:r>
      <w:r w:rsidRPr="006B3A88">
        <w:rPr>
          <w:rFonts w:ascii="Avenir Book" w:hAnsi="Avenir Book"/>
        </w:rPr>
        <w:t xml:space="preserve"> </w:t>
      </w:r>
      <w:r w:rsidRPr="006B3A88">
        <w:rPr>
          <w:rFonts w:ascii="Avenir Book" w:hAnsi="Avenir Book"/>
          <w:lang w:val="en-AU"/>
        </w:rPr>
        <w:t>A joint Australian, state and territory government initiative, ‘National Plan to End Violence against Women and Chi</w:t>
      </w:r>
      <w:r w:rsidR="00C422B6" w:rsidRPr="006B3A88">
        <w:rPr>
          <w:rFonts w:ascii="Avenir Book" w:hAnsi="Avenir Book"/>
          <w:lang w:val="en-AU"/>
        </w:rPr>
        <w:t>l</w:t>
      </w:r>
      <w:r w:rsidRPr="006B3A88">
        <w:rPr>
          <w:rFonts w:ascii="Avenir Book" w:hAnsi="Avenir Book"/>
          <w:lang w:val="en-AU"/>
        </w:rPr>
        <w:t>dren 2022-2023 – Ending gender-based violence in one generation’ (2022) Commonwealth of Australia.</w:t>
      </w:r>
    </w:p>
  </w:endnote>
  <w:endnote w:id="127">
    <w:p w14:paraId="5335E96E" w14:textId="77777777" w:rsidR="000224CA" w:rsidRPr="006B3A88" w:rsidRDefault="000224CA" w:rsidP="000224CA">
      <w:pPr>
        <w:pStyle w:val="EndnoteText"/>
        <w:rPr>
          <w:rFonts w:ascii="Avenir Book" w:hAnsi="Avenir Book" w:cstheme="minorHAnsi"/>
        </w:rPr>
      </w:pPr>
      <w:r w:rsidRPr="006B3A88">
        <w:rPr>
          <w:rStyle w:val="EndnoteReference"/>
          <w:rFonts w:ascii="Avenir Book" w:hAnsi="Avenir Book" w:cstheme="minorHAnsi"/>
        </w:rPr>
        <w:endnoteRef/>
      </w:r>
      <w:r w:rsidRPr="006B3A88">
        <w:rPr>
          <w:rFonts w:ascii="Avenir Book" w:hAnsi="Avenir Book" w:cstheme="minorHAnsi"/>
        </w:rPr>
        <w:t xml:space="preserve"> Anti-libidinal medications to reduce sexual arousal are classified as a chemical restraint and regulated for NDIS Participants. See: NDIS Quality and Safeguards Commission, ‘Regulated Restrictive Practices Guide’, October 2020, pp. 10-11.</w:t>
      </w:r>
    </w:p>
  </w:endnote>
  <w:endnote w:id="128">
    <w:p w14:paraId="5648F10F" w14:textId="77777777" w:rsidR="000224CA" w:rsidRPr="006B3A88" w:rsidRDefault="000224CA" w:rsidP="000224CA">
      <w:pPr>
        <w:pStyle w:val="EndnoteText"/>
        <w:rPr>
          <w:rFonts w:ascii="Avenir Book" w:hAnsi="Avenir Book" w:cstheme="minorHAnsi"/>
        </w:rPr>
      </w:pPr>
      <w:r w:rsidRPr="006B3A88">
        <w:rPr>
          <w:rStyle w:val="EndnoteReference"/>
          <w:rFonts w:ascii="Avenir Book" w:hAnsi="Avenir Book" w:cstheme="minorHAnsi"/>
        </w:rPr>
        <w:endnoteRef/>
      </w:r>
      <w:r w:rsidRPr="006B3A88">
        <w:rPr>
          <w:rFonts w:ascii="Avenir Book" w:hAnsi="Avenir Book" w:cstheme="minorHAnsi"/>
        </w:rPr>
        <w:t xml:space="preserve"> People with Disability Australia (PWDA), ‘Submission to the Senate Standing Committee on Community Affairs: Inquiry into the involuntary or coerced sterilisation of people with disabilities in Australia’ (Submission, March 2023), PWDA, Submission No. 50, paras. 18-21.</w:t>
      </w:r>
    </w:p>
  </w:endnote>
  <w:endnote w:id="129">
    <w:p w14:paraId="4754ACF5" w14:textId="77777777" w:rsidR="000224CA" w:rsidRPr="006B3A88" w:rsidRDefault="000224CA" w:rsidP="000224CA">
      <w:pPr>
        <w:pStyle w:val="EndnoteText"/>
        <w:rPr>
          <w:rFonts w:ascii="Avenir Book" w:hAnsi="Avenir Book"/>
          <w:i/>
          <w:iCs/>
        </w:rPr>
      </w:pPr>
      <w:r w:rsidRPr="006B3A88">
        <w:rPr>
          <w:rStyle w:val="EndnoteReference"/>
          <w:rFonts w:ascii="Avenir Book" w:hAnsi="Avenir Book" w:cstheme="minorHAnsi"/>
        </w:rPr>
        <w:endnoteRef/>
      </w:r>
      <w:r w:rsidRPr="006B3A88">
        <w:rPr>
          <w:rFonts w:ascii="Avenir Book" w:hAnsi="Avenir Book" w:cstheme="minorHAnsi"/>
        </w:rPr>
        <w:t xml:space="preserve"> </w:t>
      </w:r>
      <w:r w:rsidRPr="006B3A88">
        <w:rPr>
          <w:rFonts w:ascii="Avenir Book" w:hAnsi="Avenir Book" w:cstheme="minorHAnsi"/>
          <w:lang w:val="en-US"/>
        </w:rPr>
        <w:t xml:space="preserve">Glenys Carlson, Miriam Taylor, Jill Wilson, ‘Sterilisation, drugs which suppress sexual drive, and young men who have intellectual disability’ (2000) 25(2) </w:t>
      </w:r>
      <w:r w:rsidRPr="006B3A88">
        <w:rPr>
          <w:rFonts w:ascii="Avenir Book" w:hAnsi="Avenir Book" w:cstheme="minorHAnsi"/>
          <w:i/>
          <w:lang w:val="en-US"/>
        </w:rPr>
        <w:t>Journal of Intellectual &amp; Developmental Disability</w:t>
      </w:r>
      <w:r w:rsidRPr="006B3A88">
        <w:rPr>
          <w:rFonts w:ascii="Avenir Book" w:hAnsi="Avenir Book" w:cstheme="minorHAnsi"/>
          <w:lang w:val="en-US"/>
        </w:rPr>
        <w:t xml:space="preserve"> 91, 91. </w:t>
      </w:r>
    </w:p>
  </w:endnote>
  <w:endnote w:id="130">
    <w:p w14:paraId="167C0B0C" w14:textId="77777777" w:rsidR="000224CA" w:rsidRPr="006B3A88" w:rsidRDefault="000224CA" w:rsidP="000224CA">
      <w:pPr>
        <w:pStyle w:val="EndnoteText"/>
        <w:rPr>
          <w:rFonts w:ascii="Avenir Book" w:hAnsi="Avenir Book" w:cstheme="minorHAnsi"/>
        </w:rPr>
      </w:pPr>
      <w:r w:rsidRPr="006B3A88">
        <w:rPr>
          <w:rStyle w:val="EndnoteReference"/>
          <w:rFonts w:ascii="Avenir Book" w:hAnsi="Avenir Book" w:cstheme="minorHAnsi"/>
        </w:rPr>
        <w:endnoteRef/>
      </w:r>
      <w:r w:rsidRPr="006B3A88">
        <w:rPr>
          <w:rFonts w:ascii="Avenir Book" w:hAnsi="Avenir Book" w:cstheme="minorHAnsi"/>
        </w:rPr>
        <w:t xml:space="preserve"> Women With Disabilities Australia (WWDA) (2022), ‘Submission on Sexual and Reproductive Rights of Women and Girls with Disability to the Royal Commission into Violence, Abuse, Neglect and Exploitation of People with Disability’, WWDA, Hobart, para. 6.62.</w:t>
      </w:r>
    </w:p>
  </w:endnote>
  <w:endnote w:id="131">
    <w:p w14:paraId="2FC08F3F" w14:textId="77777777" w:rsidR="000224CA" w:rsidRPr="006B3A88" w:rsidRDefault="000224CA" w:rsidP="000224CA">
      <w:pPr>
        <w:pStyle w:val="EndnoteText"/>
        <w:rPr>
          <w:rFonts w:ascii="Avenir Book" w:hAnsi="Avenir Book" w:cstheme="minorHAnsi"/>
        </w:rPr>
      </w:pPr>
      <w:r w:rsidRPr="006B3A88">
        <w:rPr>
          <w:rStyle w:val="EndnoteReference"/>
          <w:rFonts w:ascii="Avenir Book" w:hAnsi="Avenir Book" w:cstheme="minorHAnsi"/>
        </w:rPr>
        <w:endnoteRef/>
      </w:r>
      <w:r w:rsidRPr="006B3A88">
        <w:rPr>
          <w:rFonts w:ascii="Avenir Book" w:hAnsi="Avenir Book" w:cstheme="minorHAnsi"/>
        </w:rPr>
        <w:t xml:space="preserve"> Ibid, para. 6.63.</w:t>
      </w:r>
    </w:p>
  </w:endnote>
  <w:endnote w:id="132">
    <w:p w14:paraId="09442D18" w14:textId="77777777" w:rsidR="000224CA" w:rsidRPr="006B3A88" w:rsidRDefault="000224CA" w:rsidP="000224CA">
      <w:pPr>
        <w:pStyle w:val="EndnoteText"/>
        <w:rPr>
          <w:rFonts w:ascii="Avenir Book" w:hAnsi="Avenir Book" w:cstheme="minorHAnsi"/>
        </w:rPr>
      </w:pPr>
      <w:r w:rsidRPr="006B3A88">
        <w:rPr>
          <w:rStyle w:val="EndnoteReference"/>
          <w:rFonts w:ascii="Avenir Book" w:hAnsi="Avenir Book" w:cstheme="minorHAnsi"/>
        </w:rPr>
        <w:endnoteRef/>
      </w:r>
      <w:r w:rsidRPr="006B3A88">
        <w:rPr>
          <w:rFonts w:ascii="Avenir Book" w:hAnsi="Avenir Book" w:cstheme="minorHAnsi"/>
        </w:rPr>
        <w:t xml:space="preserve"> Royal Commission into Violence, Abuse, Neglect and Exploitation of People with Disability, op. cit. (Final Report, Volume 6), September 2023, Commonwealth of Australia, p. 582.</w:t>
      </w:r>
    </w:p>
  </w:endnote>
  <w:endnote w:id="133">
    <w:p w14:paraId="1782B6F5" w14:textId="77777777" w:rsidR="000224CA" w:rsidRPr="006B3A88" w:rsidRDefault="000224CA" w:rsidP="000224CA">
      <w:pPr>
        <w:pStyle w:val="EndnoteText"/>
        <w:rPr>
          <w:rFonts w:ascii="Avenir Book" w:hAnsi="Avenir Book" w:cstheme="minorHAnsi"/>
        </w:rPr>
      </w:pPr>
      <w:r w:rsidRPr="006B3A88">
        <w:rPr>
          <w:rStyle w:val="EndnoteReference"/>
          <w:rFonts w:ascii="Avenir Book" w:hAnsi="Avenir Book" w:cstheme="minorHAnsi"/>
        </w:rPr>
        <w:endnoteRef/>
      </w:r>
      <w:r w:rsidRPr="006B3A88">
        <w:rPr>
          <w:rFonts w:ascii="Avenir Book" w:hAnsi="Avenir Book" w:cstheme="minorHAnsi"/>
        </w:rPr>
        <w:t xml:space="preserve"> Ibid, p. 581.</w:t>
      </w:r>
    </w:p>
  </w:endnote>
  <w:endnote w:id="134">
    <w:p w14:paraId="0CB18230" w14:textId="77777777" w:rsidR="000224CA" w:rsidRPr="006B3A88" w:rsidRDefault="000224CA" w:rsidP="000224CA">
      <w:pPr>
        <w:pStyle w:val="EndnoteText"/>
        <w:rPr>
          <w:rFonts w:ascii="Avenir Book" w:hAnsi="Avenir Book" w:cstheme="minorHAnsi"/>
        </w:rPr>
      </w:pPr>
      <w:r w:rsidRPr="006B3A88">
        <w:rPr>
          <w:rStyle w:val="EndnoteReference"/>
          <w:rFonts w:ascii="Avenir Book" w:hAnsi="Avenir Book" w:cstheme="minorHAnsi"/>
        </w:rPr>
        <w:endnoteRef/>
      </w:r>
      <w:r w:rsidRPr="006B3A88">
        <w:rPr>
          <w:rFonts w:ascii="Avenir Book" w:hAnsi="Avenir Book" w:cstheme="minorHAnsi"/>
        </w:rPr>
        <w:t xml:space="preserve"> ‘Forced sterilisation’ refers to the performance of a procedure which results in sterilization in the absence of the prior, free and informed consent of the individual who undergoes the procedure, including instances in which sterilization has been authorized by a third party, without that individual’s consent. This is considered to have occurred if the procedure is carried out in circumstances other than where there is a serious threat to life. Coerced sterilization occurs when financial or other incentives, misinformation, misrepresentation, undue influences, pressure, and/or intimidation tactics are used to compel an individual to undergo the procedure. Coercion includes conditions of duress such as fatigue or stress. Undue influences includes situations in which the person concerned perceives there may be an unpleasant consequence associated with refusal of consent. Any sterilisation of a child, unless performed as a life-saving measure, is considered forced sterilization. See e.g., Center for Reproductive Rights (2010), ‘Reproductive Rights Violations as Torture and Cruel, Inhuman, or Degrading Treatment or Punishment: A Critical Human Rights Analysis’ Center for Reproductive Rights, New York. See also: Juan E. Mendez, ‘Report of the Special Rapporteur on torture and other cruel, inhuman or degrading treatment or punishment’, 22nd session, UN Doc A/HRC/22/53.  See also: Manjoo, R. (2012) ‘Report of the Special Rapporteur on violence against women, its causes and consequences’, United Nations General Assembly, UN Doc No. A/67/227.  See also: Nair, P. (2011) ‘Litigating Against Forced Sterilization of HIV-Positive Women: Recent Developments in Chile and Namibia’, </w:t>
      </w:r>
      <w:r w:rsidRPr="006B3A88">
        <w:rPr>
          <w:rFonts w:ascii="Avenir Book" w:hAnsi="Avenir Book" w:cstheme="minorHAnsi"/>
          <w:i/>
          <w:iCs/>
        </w:rPr>
        <w:t>Harvard Human Rights Journal</w:t>
      </w:r>
      <w:r w:rsidRPr="006B3A88">
        <w:rPr>
          <w:rFonts w:ascii="Avenir Book" w:hAnsi="Avenir Book" w:cstheme="minorHAnsi"/>
        </w:rPr>
        <w:t>, Vol.23, pp.223-231. See also: Frohmader, C. (2013) ‘Dehumanised: The Forced Sterilisation of Women and Girls with Disabilities in Australia’ (WWDA Submission to the Senate Inquiry into the involuntary or coerced sterilisation of people with disabilities in Australia), Prepared for Women with Disabilities Australia (WWDA), Tasmania. ISBN: 978-0-9876035-0-0.</w:t>
      </w:r>
    </w:p>
  </w:endnote>
  <w:endnote w:id="135">
    <w:p w14:paraId="10DC3339" w14:textId="77777777" w:rsidR="000224CA" w:rsidRPr="006B3A88" w:rsidRDefault="000224CA" w:rsidP="000224CA">
      <w:pPr>
        <w:pStyle w:val="EndnoteText"/>
        <w:rPr>
          <w:rFonts w:ascii="Avenir Book" w:hAnsi="Avenir Book" w:cstheme="minorHAnsi"/>
        </w:rPr>
      </w:pPr>
      <w:r w:rsidRPr="006B3A88">
        <w:rPr>
          <w:rStyle w:val="EndnoteReference"/>
          <w:rFonts w:ascii="Avenir Book" w:hAnsi="Avenir Book" w:cstheme="minorHAnsi"/>
        </w:rPr>
        <w:endnoteRef/>
      </w:r>
      <w:r w:rsidRPr="006B3A88">
        <w:rPr>
          <w:rFonts w:ascii="Avenir Book" w:hAnsi="Avenir Book" w:cstheme="minorHAnsi"/>
        </w:rPr>
        <w:t xml:space="preserve"> Commonwealth of Australia, ‘National Plan to End Violence against Women and Children 2022-2032: Ending gender-based violence in one generation’ (2022) Commonwealth of Australia, pp. 36, 39, 43. See also: Committee on the Elimination of Discrimination against Women, ‘General Recommendation No. 35 on gender-based violence against women, updating general recommendation No. 19’, (26 July 2017) UN Doc: CEDAW/C/GC/35, para. 18. </w:t>
      </w:r>
    </w:p>
  </w:endnote>
  <w:endnote w:id="136">
    <w:p w14:paraId="6AA5C5A1" w14:textId="77777777" w:rsidR="000224CA" w:rsidRPr="006B3A88" w:rsidRDefault="000224CA" w:rsidP="000224CA">
      <w:pPr>
        <w:pStyle w:val="EndnoteText"/>
        <w:rPr>
          <w:rFonts w:ascii="Avenir Book" w:hAnsi="Avenir Book" w:cstheme="minorHAnsi"/>
        </w:rPr>
      </w:pPr>
      <w:r w:rsidRPr="006B3A88">
        <w:rPr>
          <w:rStyle w:val="EndnoteReference"/>
          <w:rFonts w:ascii="Avenir Book" w:hAnsi="Avenir Book" w:cstheme="minorHAnsi"/>
        </w:rPr>
        <w:endnoteRef/>
      </w:r>
      <w:r w:rsidRPr="006B3A88">
        <w:rPr>
          <w:rFonts w:ascii="Avenir Book" w:hAnsi="Avenir Book" w:cstheme="minorHAnsi"/>
        </w:rPr>
        <w:t xml:space="preserve"> Women With Disabilities Australia (WWDA) </w:t>
      </w:r>
      <w:hyperlink r:id="rId58" w:history="1">
        <w:r w:rsidRPr="006B3A88">
          <w:rPr>
            <w:rStyle w:val="Hyperlink"/>
            <w:rFonts w:ascii="Avenir Book" w:hAnsi="Avenir Book" w:cstheme="minorHAnsi"/>
            <w:iCs/>
          </w:rPr>
          <w:t>‘WWDA Position Statement 4: Sexual and Reproductive Rights’.</w:t>
        </w:r>
      </w:hyperlink>
      <w:r w:rsidRPr="006B3A88">
        <w:rPr>
          <w:rFonts w:ascii="Avenir Book" w:hAnsi="Avenir Book" w:cstheme="minorHAnsi"/>
        </w:rPr>
        <w:t xml:space="preserve"> WWDA, September 2016, Hobart, Tasmania. ISBN: 978-0-9585269-6-8. See also: Juan E. Mendez, Special Rapporteur on torture and other cruel, inhuman or degrading treatment or punishment, 22</w:t>
      </w:r>
      <w:r w:rsidRPr="006B3A88">
        <w:rPr>
          <w:rFonts w:ascii="Avenir Book" w:hAnsi="Avenir Book" w:cstheme="minorHAnsi"/>
          <w:vertAlign w:val="superscript"/>
        </w:rPr>
        <w:t>nd</w:t>
      </w:r>
      <w:r w:rsidRPr="006B3A88">
        <w:rPr>
          <w:rFonts w:ascii="Avenir Book" w:hAnsi="Avenir Book" w:cstheme="minorHAnsi"/>
        </w:rPr>
        <w:t xml:space="preserve"> sess, Agenda Item 3, UN Doc A/HRC/22/53 (1 February 2013) para 48. Paragraph 64 of this report also clarifies that: </w:t>
      </w:r>
      <w:r w:rsidRPr="006B3A88">
        <w:rPr>
          <w:rFonts w:ascii="Avenir Book" w:hAnsi="Avenir Book" w:cstheme="minorHAnsi"/>
          <w:i/>
        </w:rPr>
        <w:t xml:space="preserve">“Forced interventions often wrongfully justified by theories of incapacity and therapeutic necessity inconsistent with the Convention on the Rights of Persons with Disabilities, are legitimised under national laws, and may enjoy wide public support as being in the alleged “best interest” of the person concerned. Nevertheless, to the extent that they inflict severe pain and suffering, they violate the absolute prohibition of torture and cruel, inhuman and degrading treatment.” </w:t>
      </w:r>
      <w:r w:rsidRPr="006B3A88">
        <w:rPr>
          <w:rFonts w:ascii="Avenir Book" w:hAnsi="Avenir Book" w:cstheme="minorHAnsi"/>
        </w:rPr>
        <w:t xml:space="preserve"> See also: Committee on the Rights of the Child, ‘</w:t>
      </w:r>
      <w:r w:rsidRPr="006B3A88">
        <w:rPr>
          <w:rFonts w:ascii="Avenir Book" w:hAnsi="Avenir Book" w:cstheme="minorHAnsi"/>
          <w:iCs/>
        </w:rPr>
        <w:t>General Comment No 13: The Right of the Child to Freedom from All Forms of Violence’</w:t>
      </w:r>
      <w:r w:rsidRPr="006B3A88">
        <w:rPr>
          <w:rFonts w:ascii="Avenir Book" w:hAnsi="Avenir Book" w:cstheme="minorHAnsi"/>
        </w:rPr>
        <w:t xml:space="preserve">, (18 April 2011) UN Doc CRC/C/GC/13. </w:t>
      </w:r>
    </w:p>
  </w:endnote>
  <w:endnote w:id="137">
    <w:p w14:paraId="749BACF8" w14:textId="77777777" w:rsidR="000224CA" w:rsidRPr="006B3A88" w:rsidRDefault="000224CA" w:rsidP="000224CA">
      <w:pPr>
        <w:pStyle w:val="EndnoteText"/>
        <w:rPr>
          <w:rFonts w:ascii="Avenir Book" w:eastAsia="SimSun" w:hAnsi="Avenir Book" w:cstheme="minorHAnsi"/>
          <w:lang w:eastAsia="zh-CN"/>
        </w:rPr>
      </w:pPr>
      <w:r w:rsidRPr="006B3A88">
        <w:rPr>
          <w:rStyle w:val="EndnoteReference"/>
          <w:rFonts w:ascii="Avenir Book" w:hAnsi="Avenir Book" w:cstheme="minorHAnsi"/>
        </w:rPr>
        <w:endnoteRef/>
      </w:r>
      <w:r w:rsidRPr="006B3A88">
        <w:rPr>
          <w:rFonts w:ascii="Avenir Book" w:hAnsi="Avenir Book" w:cstheme="minorHAnsi"/>
        </w:rPr>
        <w:t xml:space="preserve"> </w:t>
      </w:r>
      <w:r w:rsidRPr="006B3A88">
        <w:rPr>
          <w:rFonts w:ascii="Avenir Book" w:eastAsia="Times New Roman" w:hAnsi="Avenir Book" w:cstheme="minorHAnsi"/>
          <w:color w:val="000000"/>
          <w:kern w:val="28"/>
          <w:lang w:eastAsia="en-AU"/>
        </w:rPr>
        <w:t>Committee on the Rights of Persons with Disabilities, ‘</w:t>
      </w:r>
      <w:r w:rsidRPr="006B3A88">
        <w:rPr>
          <w:rFonts w:ascii="Avenir Book" w:hAnsi="Avenir Book" w:cstheme="minorHAnsi"/>
        </w:rPr>
        <w:t>Concluding observations on the combined second and third periodic reports of Australia’, 15 October 2019, UN Doc CRPD/C/AUS/CO/2-3, paras. 34(a); Committee on the Rights of Persons with Disabilities, ‘Concluding observations on the initial report of Australia, adopted by the Committee at its tenth session (2-23 September 2013), 21 October 2013, UN Doc CRPD/C/AUS/CO/1, para. 40; Committee on the Rights of the Child, ‘Concluding observations on the combined fifth and sixth periodic report of Australia’, 1 November 2019, UN Doc: CRC/C/AUS/CO/5-6, para 3(g); Committee on the Rights of the Child, ‘Concluding observations: Australia’, 28 August 2012, UN Doc: CRC/C/AUS/CO/4, para. 47(b); Committee on the Rights of the Child, ‘Concluding observations: Australia’, 20 October 2005, UN Doc: CRC/C/15/Add.268, para. 46(e)</w:t>
      </w:r>
      <w:r w:rsidRPr="006B3A88">
        <w:rPr>
          <w:rFonts w:ascii="Avenir Book" w:hAnsi="Avenir Book" w:cstheme="minorHAnsi"/>
          <w:color w:val="000000" w:themeColor="text1"/>
        </w:rPr>
        <w:t xml:space="preserve">; </w:t>
      </w:r>
      <w:r w:rsidRPr="006B3A88">
        <w:rPr>
          <w:rFonts w:ascii="Avenir Book" w:eastAsia="SimSun" w:hAnsi="Avenir Book" w:cstheme="minorHAnsi"/>
          <w:lang w:eastAsia="zh-CN"/>
        </w:rPr>
        <w:t>Human Rights Council, ‘Report of</w:t>
      </w:r>
      <w:r w:rsidRPr="00437C78">
        <w:rPr>
          <w:rFonts w:ascii="Avenir Book" w:eastAsia="SimSun" w:hAnsi="Avenir Book" w:cstheme="minorHAnsi"/>
          <w:lang w:eastAsia="zh-CN"/>
        </w:rPr>
        <w:t xml:space="preserve"> </w:t>
      </w:r>
      <w:r w:rsidRPr="006B3A88">
        <w:rPr>
          <w:rFonts w:ascii="Avenir Book" w:eastAsia="SimSun" w:hAnsi="Avenir Book" w:cstheme="minorHAnsi"/>
          <w:lang w:eastAsia="zh-CN"/>
        </w:rPr>
        <w:t>the Working Group on the Universal Periodic Review – Australia’, 47</w:t>
      </w:r>
      <w:r w:rsidRPr="006B3A88">
        <w:rPr>
          <w:rFonts w:ascii="Avenir Book" w:eastAsia="SimSun" w:hAnsi="Avenir Book" w:cstheme="minorHAnsi"/>
          <w:vertAlign w:val="superscript"/>
          <w:lang w:eastAsia="zh-CN"/>
        </w:rPr>
        <w:t>th</w:t>
      </w:r>
      <w:r w:rsidRPr="006B3A88">
        <w:rPr>
          <w:rFonts w:ascii="Avenir Book" w:eastAsia="SimSun" w:hAnsi="Avenir Book" w:cstheme="minorHAnsi"/>
          <w:lang w:eastAsia="zh-CN"/>
        </w:rPr>
        <w:t xml:space="preserve"> sess (24 March 2021) UN Doc A/HRC/47/8, paras. 146.245-146.246, 146.248; Human Rights Council, ‘Report of the Working Group on the Universal Periodic Review – Australia’, 31st sess (13 January 2016) UN Doc A/HRC/31/14, paras 136.180-184; Human Rights Council, ‘Report of the Working Group on the Universal Periodic Review – Australia’, 17th sess (24 March 2011) UN Doc A/HRC/17/10, paras 86.39; </w:t>
      </w:r>
      <w:r w:rsidRPr="006B3A88">
        <w:rPr>
          <w:rFonts w:ascii="Avenir Book" w:hAnsi="Avenir Book" w:cstheme="minorHAnsi"/>
        </w:rPr>
        <w:t xml:space="preserve">Committee on the Elimination of Discrimination against Women </w:t>
      </w:r>
      <w:hyperlink r:id="rId59" w:history="1">
        <w:r w:rsidRPr="006B3A88">
          <w:rPr>
            <w:rStyle w:val="Hyperlink"/>
            <w:rFonts w:ascii="Avenir Book" w:hAnsi="Avenir Book" w:cstheme="minorHAnsi"/>
          </w:rPr>
          <w:t>Concluding observations on the eighth periodic report of Australia</w:t>
        </w:r>
      </w:hyperlink>
      <w:r w:rsidRPr="006B3A88">
        <w:rPr>
          <w:rFonts w:ascii="Avenir Book" w:hAnsi="Avenir Book" w:cstheme="minorHAnsi"/>
        </w:rPr>
        <w:t>, 25 July 2018, UN Doc. CEDAW/C/AUS/CO/8, paras. 26(c)-(d); Committee on the Elimination of Discrimination against Women, ‘Concluding observations of the Committee on the Elimination of Discrimination against Women – Australia’, 30 July 2010, UN Doc: CEDAW/C/AUS/CO/7, para. 43; Committee against Torture, ‘Concluding observations on the sixth periodic report of Australia’, 5 December 2022, UN Doc CAT/C/AUS/CO/6, paras. 40(a); Committee against Torture, ‘Concluding observations on the combined fourth and fifth periodic reports of Australia’, 23 December 2014, UN Doc CAT/C/AUS/CO/4-5, para. 20; Human Rights Committee, ‘Concluding observations on the sixth periodic report of Australia’ 1 December 2017, UN Doc: CCPR/C/AUS/CO/6, para. 24; Committee on Economic, Social and Cultural Rights, ‘concluding observations on the fifth periodic report of Australia’, 11 July 2017, UN Doc: E/C.12/AUS/CO/5, para. 46(d).</w:t>
      </w:r>
      <w:r w:rsidRPr="006B3A88">
        <w:rPr>
          <w:rFonts w:ascii="Avenir Book" w:eastAsia="SimSun" w:hAnsi="Avenir Book" w:cstheme="minorHAnsi"/>
          <w:lang w:eastAsia="zh-CN"/>
        </w:rPr>
        <w:t xml:space="preserve"> </w:t>
      </w:r>
      <w:r w:rsidRPr="006B3A88">
        <w:rPr>
          <w:rFonts w:ascii="Avenir Book" w:hAnsi="Avenir Book" w:cstheme="minorHAnsi"/>
          <w:color w:val="000000" w:themeColor="text1"/>
        </w:rPr>
        <w:t xml:space="preserve">See also: FIGO (International Federation of Gynaecology and Obstetrics), </w:t>
      </w:r>
      <w:hyperlink r:id="rId60" w:history="1">
        <w:r w:rsidRPr="006B3A88">
          <w:rPr>
            <w:rStyle w:val="Hyperlink"/>
            <w:rFonts w:ascii="Avenir Book" w:hAnsi="Avenir Book" w:cstheme="minorHAnsi"/>
          </w:rPr>
          <w:t>Female Contraceptive Sterilization</w:t>
        </w:r>
      </w:hyperlink>
      <w:r w:rsidRPr="006B3A88">
        <w:rPr>
          <w:rFonts w:ascii="Avenir Book" w:hAnsi="Avenir Book" w:cstheme="minorHAnsi"/>
          <w:color w:val="000000" w:themeColor="text1"/>
        </w:rPr>
        <w:t xml:space="preserve">; World Medical Association (WMA) in conjunction with the International Federation of Health and Human Rights Organizations (IFHHRO) (2011) </w:t>
      </w:r>
      <w:hyperlink r:id="rId61" w:history="1">
        <w:r w:rsidRPr="006B3A88">
          <w:rPr>
            <w:rStyle w:val="Hyperlink"/>
            <w:rFonts w:ascii="Avenir Book" w:hAnsi="Avenir Book" w:cstheme="minorHAnsi"/>
          </w:rPr>
          <w:t>Global Bodies call for end to Forced Sterilization: Press Release</w:t>
        </w:r>
      </w:hyperlink>
      <w:r w:rsidRPr="006B3A88">
        <w:rPr>
          <w:rFonts w:ascii="Avenir Book" w:hAnsi="Avenir Book" w:cstheme="minorHAnsi"/>
          <w:color w:val="000000" w:themeColor="text1"/>
        </w:rPr>
        <w:t>, 5 September 2011.</w:t>
      </w:r>
    </w:p>
  </w:endnote>
  <w:endnote w:id="138">
    <w:p w14:paraId="13478D20" w14:textId="77777777" w:rsidR="000224CA" w:rsidRPr="006B3A88" w:rsidRDefault="000224CA" w:rsidP="000224CA">
      <w:pPr>
        <w:pStyle w:val="EndnoteText"/>
        <w:rPr>
          <w:rFonts w:ascii="Avenir Book" w:hAnsi="Avenir Book" w:cstheme="minorHAnsi"/>
        </w:rPr>
      </w:pPr>
      <w:r w:rsidRPr="006B3A88">
        <w:rPr>
          <w:rStyle w:val="EndnoteReference"/>
          <w:rFonts w:ascii="Avenir Book" w:hAnsi="Avenir Book" w:cstheme="minorHAnsi"/>
        </w:rPr>
        <w:endnoteRef/>
      </w:r>
      <w:r w:rsidRPr="006B3A88">
        <w:rPr>
          <w:rFonts w:ascii="Avenir Book" w:hAnsi="Avenir Book" w:cstheme="minorHAnsi"/>
        </w:rPr>
        <w:t xml:space="preserve"> See e.g., Committee on the Elimination of Discrimination against Women, ‘General recommendation No. 28 on the core obligations of States parties under article 2 of the Convention on the Elimination of All Forms of Discrimination against Women’ (16 December 2010) UN Doc: CEDAW/C/GC/28, para. 39.</w:t>
      </w:r>
    </w:p>
  </w:endnote>
  <w:endnote w:id="139">
    <w:p w14:paraId="3AFDAECF" w14:textId="77777777" w:rsidR="000224CA" w:rsidRPr="006B3A88" w:rsidRDefault="000224CA" w:rsidP="000224CA">
      <w:pPr>
        <w:pStyle w:val="EndnoteText"/>
        <w:rPr>
          <w:rFonts w:ascii="Avenir Book" w:hAnsi="Avenir Book" w:cstheme="minorHAnsi"/>
        </w:rPr>
      </w:pPr>
      <w:r w:rsidRPr="006B3A88">
        <w:rPr>
          <w:rStyle w:val="EndnoteReference"/>
          <w:rFonts w:ascii="Avenir Book" w:hAnsi="Avenir Book" w:cstheme="minorHAnsi"/>
        </w:rPr>
        <w:endnoteRef/>
      </w:r>
      <w:r w:rsidRPr="006B3A88">
        <w:rPr>
          <w:rFonts w:ascii="Avenir Book" w:hAnsi="Avenir Book" w:cstheme="minorHAnsi"/>
        </w:rPr>
        <w:t xml:space="preserve"> This happens in two main ways: a) the child is removed by child protection authorities and placed in foster or kinship care; and b) a Court, under the Family Law Act, may order that a child be raised by the other parent who does not have a disability or by members of the child’s extended family. See: Victorian Office of the Public Advocate (OPA) (2012) </w:t>
      </w:r>
      <w:r w:rsidRPr="006B3A88">
        <w:rPr>
          <w:rFonts w:ascii="Avenir Book" w:hAnsi="Avenir Book" w:cstheme="minorHAnsi"/>
          <w:i/>
          <w:iCs/>
        </w:rPr>
        <w:t>OPA Position Statement: The removal of children from their parent with a disability</w:t>
      </w:r>
      <w:r w:rsidRPr="006B3A88">
        <w:rPr>
          <w:rFonts w:ascii="Avenir Book" w:hAnsi="Avenir Book" w:cstheme="minorHAnsi"/>
        </w:rPr>
        <w:t xml:space="preserve">. In 2013, the Australian Council of Human Rights Agencies (ACHRA) identified discrimination against ‘potential and actual parents with disability’ as one of three of the most urgent human rights matters in Australia. ACHRA called on the Australian Governments to take national leadership and action on the issue, including better support for parents with disability as “an immediate priority given the discriminatory impact of negative presumptions”. See: Australian Council of Human Rights (ACHRA) Communiqué from Australian Council of Human Rights Agencies meeting, 18-19 March 2013. Wednesday, 20 March 2013.  See also: Women With Disabilities Australia (WWDA), ‘Parenting Issues for Women with Disabilities in Australia’ (Policy Paper, May 2009), WWDA, Hobart; Women With Disabilities Australia (WWDA) </w:t>
      </w:r>
      <w:hyperlink r:id="rId62" w:history="1">
        <w:r w:rsidRPr="006B3A88">
          <w:rPr>
            <w:rStyle w:val="Hyperlink"/>
            <w:rFonts w:ascii="Avenir Book" w:hAnsi="Avenir Book" w:cstheme="minorHAnsi"/>
            <w:iCs/>
          </w:rPr>
          <w:t>‘WWDA Position Statement 4: Sexual and Reproductive Rights’.</w:t>
        </w:r>
      </w:hyperlink>
      <w:r w:rsidRPr="006B3A88">
        <w:rPr>
          <w:rStyle w:val="Hyperlink"/>
          <w:rFonts w:ascii="Avenir Book" w:hAnsi="Avenir Book" w:cstheme="minorHAnsi"/>
          <w:iCs/>
        </w:rPr>
        <w:t xml:space="preserve"> </w:t>
      </w:r>
      <w:r w:rsidRPr="006B3A88">
        <w:rPr>
          <w:rFonts w:ascii="Avenir Book" w:hAnsi="Avenir Book" w:cstheme="minorHAnsi"/>
        </w:rPr>
        <w:t xml:space="preserve">WWDA, September 2016, Hobart, Tasmania. ISBN: 978-0-9585269-6-8. Women With Disabilities Australia (WWDA) (2022), ‘Submission on Sexual and Reproductive Rights of Women and Girls with Disability to the Royal Commission into Violence, Abuse, Neglect and Exploitation of People with Disability’, WWDA, Hobart; Australian Disabled People’s Organisations (DPOs), Disability Representative Organisations (DROs) and Disability Advocacy Organisations, ‘Disability Rights Now 2019 - Australian Civil Society Shadow Report to the United nations Committee on the Rights of Persons with Disabilities: UN CRPD Review 2019’, July 2019, p. 34.  </w:t>
      </w:r>
    </w:p>
  </w:endnote>
  <w:endnote w:id="140">
    <w:p w14:paraId="31281F28" w14:textId="77777777" w:rsidR="000224CA" w:rsidRPr="006B3A88" w:rsidRDefault="000224CA" w:rsidP="000224CA">
      <w:pPr>
        <w:pStyle w:val="EndnoteText"/>
        <w:rPr>
          <w:rFonts w:ascii="Avenir Book" w:hAnsi="Avenir Book" w:cstheme="minorHAnsi"/>
        </w:rPr>
      </w:pPr>
      <w:r w:rsidRPr="006B3A88">
        <w:rPr>
          <w:rStyle w:val="EndnoteReference"/>
          <w:rFonts w:ascii="Avenir Book" w:hAnsi="Avenir Book" w:cstheme="minorHAnsi"/>
        </w:rPr>
        <w:endnoteRef/>
      </w:r>
      <w:r w:rsidRPr="006B3A88">
        <w:rPr>
          <w:rFonts w:ascii="Avenir Book" w:hAnsi="Avenir Book" w:cstheme="minorHAnsi"/>
        </w:rPr>
        <w:t xml:space="preserve"> Chapter 5, ‘Child protection’ in Royal Commission into Violence, Abuse, Neglect and Exploitation of People with Disability, ‘First Nations people with disability’ (Final Report, Volume 9, September 2023), Commonwealth of Australia.</w:t>
      </w:r>
    </w:p>
  </w:endnote>
  <w:endnote w:id="141">
    <w:p w14:paraId="6B4000D8" w14:textId="77777777" w:rsidR="000224CA" w:rsidRPr="006B3A88" w:rsidRDefault="000224CA" w:rsidP="000224CA">
      <w:pPr>
        <w:pStyle w:val="EndnoteText"/>
        <w:rPr>
          <w:rFonts w:ascii="Avenir Book" w:hAnsi="Avenir Book" w:cstheme="minorHAnsi"/>
        </w:rPr>
      </w:pPr>
      <w:r w:rsidRPr="006B3A88">
        <w:rPr>
          <w:rStyle w:val="EndnoteReference"/>
          <w:rFonts w:ascii="Avenir Book" w:hAnsi="Avenir Book" w:cstheme="minorHAnsi"/>
        </w:rPr>
        <w:endnoteRef/>
      </w:r>
      <w:r w:rsidRPr="006B3A88">
        <w:rPr>
          <w:rFonts w:ascii="Avenir Book" w:hAnsi="Avenir Book" w:cstheme="minorHAnsi"/>
        </w:rPr>
        <w:t xml:space="preserve"> Terri Libesman, Paul Gray, Eloise Chandler, Linda Briskman, Aminath Didi and Scott Avery, ‘Parents with Disability and their Experiences of child Protection Systems’ (Research report, July 2023) Royal Commission into Violence, Abuse, Neglect and Exploitation of People with Disability. See also: Royal Commission into Violence, Abuse, Neglect and Exploitation of People with Disability, ‘</w:t>
      </w:r>
      <w:hyperlink r:id="rId63" w:history="1">
        <w:r w:rsidRPr="006B3A88">
          <w:rPr>
            <w:rStyle w:val="Hyperlink"/>
            <w:rFonts w:ascii="Avenir Book" w:hAnsi="Avenir Book" w:cstheme="minorHAnsi"/>
          </w:rPr>
          <w:t>Transcript of Proceedings</w:t>
        </w:r>
      </w:hyperlink>
      <w:r w:rsidRPr="006B3A88">
        <w:rPr>
          <w:rFonts w:ascii="Avenir Book" w:hAnsi="Avenir Book" w:cstheme="minorHAnsi"/>
        </w:rPr>
        <w:t>’, Day 1-Day 5,  Public hearing 8, Brisbane; Nas Campanella &amp; Celina Edmonds, ‘</w:t>
      </w:r>
      <w:hyperlink r:id="rId64" w:history="1">
        <w:r w:rsidRPr="006B3A88">
          <w:rPr>
            <w:rStyle w:val="Hyperlink"/>
            <w:rFonts w:ascii="Avenir Book" w:hAnsi="Avenir Book" w:cstheme="minorHAnsi"/>
          </w:rPr>
          <w:t>Disability, domestic violence a ‘catch. 22’ as Indigenous children removed from mothers, royal commission hears</w:t>
        </w:r>
      </w:hyperlink>
      <w:r w:rsidRPr="006B3A88">
        <w:rPr>
          <w:rFonts w:ascii="Avenir Book" w:hAnsi="Avenir Book" w:cstheme="minorHAnsi"/>
        </w:rPr>
        <w:t xml:space="preserve">’ (ABC article, 25 November 2020).  </w:t>
      </w:r>
    </w:p>
  </w:endnote>
  <w:endnote w:id="142">
    <w:p w14:paraId="116D4AF8" w14:textId="77777777" w:rsidR="000224CA" w:rsidRPr="006B3A88" w:rsidRDefault="000224CA" w:rsidP="000224CA">
      <w:pPr>
        <w:pStyle w:val="EndnoteText"/>
        <w:rPr>
          <w:rFonts w:ascii="Avenir Book" w:hAnsi="Avenir Book" w:cstheme="minorHAnsi"/>
        </w:rPr>
      </w:pPr>
      <w:r w:rsidRPr="006B3A88">
        <w:rPr>
          <w:rStyle w:val="EndnoteReference"/>
          <w:rFonts w:ascii="Avenir Book" w:hAnsi="Avenir Book" w:cstheme="minorHAnsi"/>
        </w:rPr>
        <w:endnoteRef/>
      </w:r>
      <w:r w:rsidRPr="006B3A88">
        <w:rPr>
          <w:rFonts w:ascii="Avenir Book" w:hAnsi="Avenir Book" w:cstheme="minorHAnsi"/>
        </w:rPr>
        <w:t xml:space="preserve"> Committee on the Rights of Persons with Disabilities, ‘Concluding observations on the combined second and third periodic reports of Australia’, 15 October 2019, UN Doc CRPD/C/AUS/CO/2-3, paras. 43(a), 44(a)-(b).</w:t>
      </w:r>
    </w:p>
  </w:endnote>
  <w:endnote w:id="143">
    <w:p w14:paraId="28E1C02C" w14:textId="77777777" w:rsidR="000224CA" w:rsidRPr="006B3A88" w:rsidRDefault="000224CA" w:rsidP="000224CA">
      <w:pPr>
        <w:pStyle w:val="EndnoteText"/>
        <w:rPr>
          <w:rFonts w:ascii="Avenir Book" w:hAnsi="Avenir Book" w:cstheme="minorHAnsi"/>
        </w:rPr>
      </w:pPr>
      <w:r w:rsidRPr="006B3A88">
        <w:rPr>
          <w:rStyle w:val="EndnoteReference"/>
          <w:rFonts w:ascii="Avenir Book" w:hAnsi="Avenir Book" w:cstheme="minorHAnsi"/>
        </w:rPr>
        <w:endnoteRef/>
      </w:r>
      <w:r w:rsidRPr="006B3A88">
        <w:rPr>
          <w:rFonts w:ascii="Avenir Book" w:hAnsi="Avenir Book" w:cstheme="minorHAnsi"/>
        </w:rPr>
        <w:t xml:space="preserve"> Women with disability experience significant discrimination in accessing assisted reproductive technologies (such as in-vitro fertilisation (IVF) and assisted insemination). Many women with disability - particularly single women with disability and women with disability in same-sex relationships - report being deemed by fertility consultants/clinics as ineligible for assisted reproductive services. Australia’s universal health system (Medicare) covers the treatment of assisted reproduction for women who are deemed ‘medically infertile’, but for women who are deemed not to be ‘medically infertile’ (such as single women and lesbian couples), then no Medicare rebate is available. See: Women With Disabilities Australia (WWDA), ‘Parenting Issues for Women with Disabilities in Australia’ (Policy Paper, May 2009), WWDA, Hobart; Women With Disabilities Australia (WWDA) </w:t>
      </w:r>
      <w:hyperlink r:id="rId65" w:history="1">
        <w:r w:rsidRPr="006B3A88">
          <w:rPr>
            <w:rStyle w:val="Hyperlink"/>
            <w:rFonts w:ascii="Avenir Book" w:hAnsi="Avenir Book" w:cstheme="minorHAnsi"/>
            <w:iCs/>
          </w:rPr>
          <w:t>‘WWDA Position Statement 4: Sexual and Reproductive Rights’.</w:t>
        </w:r>
      </w:hyperlink>
      <w:r w:rsidRPr="006B3A88">
        <w:rPr>
          <w:rStyle w:val="Hyperlink"/>
          <w:rFonts w:ascii="Avenir Book" w:hAnsi="Avenir Book" w:cstheme="minorHAnsi"/>
          <w:iCs/>
        </w:rPr>
        <w:t xml:space="preserve"> </w:t>
      </w:r>
      <w:r w:rsidRPr="006B3A88">
        <w:rPr>
          <w:rFonts w:ascii="Avenir Book" w:hAnsi="Avenir Book" w:cstheme="minorHAnsi"/>
        </w:rPr>
        <w:t xml:space="preserve">WWDA, September 2016, Hobart, Tasmania. See also: </w:t>
      </w:r>
      <w:r w:rsidRPr="006B3A88">
        <w:rPr>
          <w:rFonts w:ascii="Avenir Book" w:eastAsia="Times New Roman" w:hAnsi="Avenir Book" w:cstheme="minorHAnsi"/>
          <w:color w:val="000000"/>
          <w:kern w:val="28"/>
          <w:lang w:eastAsia="en-AU"/>
        </w:rPr>
        <w:t>Committee on the Rights of Persons with Disabilities, ‘</w:t>
      </w:r>
      <w:r w:rsidRPr="006B3A88">
        <w:rPr>
          <w:rFonts w:ascii="Avenir Book" w:hAnsi="Avenir Book" w:cstheme="minorHAnsi"/>
        </w:rPr>
        <w:t>Concluding observations on the combined second and third periodic reports of Australia’, 15 October 2019, UN Doc CRPD/C/AUS/CO/2-3, paras. 44(c).</w:t>
      </w:r>
    </w:p>
  </w:endnote>
  <w:endnote w:id="144">
    <w:p w14:paraId="216DE0B3" w14:textId="1D6B302C" w:rsidR="00675A95" w:rsidRPr="006B3A88" w:rsidRDefault="00675A95">
      <w:pPr>
        <w:pStyle w:val="EndnoteText"/>
        <w:rPr>
          <w:rFonts w:ascii="Avenir Book" w:hAnsi="Avenir Book"/>
          <w:lang w:val="en-AU"/>
        </w:rPr>
      </w:pPr>
      <w:r w:rsidRPr="006B3A88">
        <w:rPr>
          <w:rStyle w:val="EndnoteReference"/>
          <w:rFonts w:ascii="Avenir Book" w:hAnsi="Avenir Book"/>
        </w:rPr>
        <w:endnoteRef/>
      </w:r>
      <w:r w:rsidRPr="006B3A88">
        <w:rPr>
          <w:rFonts w:ascii="Avenir Book" w:hAnsi="Avenir Book"/>
        </w:rPr>
        <w:t xml:space="preserve"> </w:t>
      </w:r>
      <w:r w:rsidRPr="006B3A88">
        <w:rPr>
          <w:rFonts w:ascii="Avenir Book" w:hAnsi="Avenir Book" w:cstheme="minorHAnsi"/>
        </w:rPr>
        <w:t>Women With Disabilities Australia (WWDA) (2022), ‘Submission on Sexual and Reproductive Rights of Women and Girls with Disability to the Royal Commission into Violence, Abuse, Neglect and Exploitation of People with Disability’, WWDA, Hobart</w:t>
      </w:r>
    </w:p>
  </w:endnote>
  <w:endnote w:id="145">
    <w:p w14:paraId="03A3C070" w14:textId="7B0E6CBD" w:rsidR="00DB3396" w:rsidRPr="006B3A88" w:rsidRDefault="00DB3396">
      <w:pPr>
        <w:pStyle w:val="EndnoteText"/>
        <w:rPr>
          <w:rFonts w:ascii="Avenir Book" w:hAnsi="Avenir Book"/>
          <w:lang w:val="en-AU"/>
        </w:rPr>
      </w:pPr>
      <w:r w:rsidRPr="006B3A88">
        <w:rPr>
          <w:rStyle w:val="EndnoteReference"/>
          <w:rFonts w:ascii="Avenir Book" w:hAnsi="Avenir Book"/>
        </w:rPr>
        <w:endnoteRef/>
      </w:r>
      <w:r w:rsidRPr="006B3A88">
        <w:rPr>
          <w:rFonts w:ascii="Avenir Book" w:hAnsi="Avenir Book"/>
        </w:rPr>
        <w:t xml:space="preserve"> </w:t>
      </w:r>
      <w:r w:rsidRPr="006B3A88">
        <w:rPr>
          <w:rFonts w:ascii="Avenir Book" w:hAnsi="Avenir Book"/>
          <w:lang w:val="en-AU"/>
        </w:rPr>
        <w:t>Terri Libesman, Paul Gray, Eloise Chandler, Linda Briskman, Aminath Didi and Scott Avery, ‘</w:t>
      </w:r>
      <w:hyperlink r:id="rId66" w:history="1">
        <w:r w:rsidRPr="006B3A88">
          <w:rPr>
            <w:rStyle w:val="Hyperlink"/>
            <w:rFonts w:ascii="Avenir Book" w:hAnsi="Avenir Book"/>
            <w:lang w:val="en-AU"/>
          </w:rPr>
          <w:t>Parents with Disability and their Experiences of Child Protection Systems</w:t>
        </w:r>
      </w:hyperlink>
      <w:r w:rsidRPr="006B3A88">
        <w:rPr>
          <w:rFonts w:ascii="Avenir Book" w:hAnsi="Avenir Book"/>
          <w:lang w:val="en-AU"/>
        </w:rPr>
        <w:t xml:space="preserve">’ (July 2023) Royal Commission into Violence, Abuse, Neglect and Exploitation </w:t>
      </w:r>
      <w:r w:rsidR="008F744C" w:rsidRPr="006B3A88">
        <w:rPr>
          <w:rFonts w:ascii="Avenir Book" w:hAnsi="Avenir Book"/>
          <w:lang w:val="en-AU"/>
        </w:rPr>
        <w:t>of</w:t>
      </w:r>
      <w:r w:rsidRPr="006B3A88">
        <w:rPr>
          <w:rFonts w:ascii="Avenir Book" w:hAnsi="Avenir Book"/>
          <w:lang w:val="en-AU"/>
        </w:rPr>
        <w:t xml:space="preserve"> People with Disability</w:t>
      </w:r>
      <w:r w:rsidR="008F744C" w:rsidRPr="006B3A88">
        <w:rPr>
          <w:rFonts w:ascii="Avenir Book" w:hAnsi="Avenir Book"/>
          <w:lang w:val="en-AU"/>
        </w:rPr>
        <w:t xml:space="preserve">. </w:t>
      </w:r>
    </w:p>
  </w:endnote>
  <w:endnote w:id="146">
    <w:p w14:paraId="779614AC" w14:textId="77777777" w:rsidR="000224CA" w:rsidRPr="006B3A88" w:rsidRDefault="000224CA" w:rsidP="000224CA">
      <w:pPr>
        <w:pStyle w:val="EndnoteText"/>
        <w:rPr>
          <w:rFonts w:ascii="Avenir Book" w:hAnsi="Avenir Book" w:cstheme="minorHAnsi"/>
        </w:rPr>
      </w:pPr>
      <w:r w:rsidRPr="006B3A88">
        <w:rPr>
          <w:rStyle w:val="EndnoteReference"/>
          <w:rFonts w:ascii="Avenir Book" w:hAnsi="Avenir Book" w:cstheme="minorHAnsi"/>
        </w:rPr>
        <w:endnoteRef/>
      </w:r>
      <w:r w:rsidRPr="006B3A88">
        <w:rPr>
          <w:rFonts w:ascii="Avenir Book" w:hAnsi="Avenir Book" w:cstheme="minorHAnsi"/>
        </w:rPr>
        <w:t xml:space="preserve"> See </w:t>
      </w:r>
      <w:hyperlink r:id="rId67" w:history="1">
        <w:r w:rsidRPr="006B3A88">
          <w:rPr>
            <w:rStyle w:val="Hyperlink"/>
            <w:rFonts w:ascii="Avenir Book" w:hAnsi="Avenir Book" w:cstheme="minorHAnsi"/>
            <w:i/>
            <w:iCs/>
          </w:rPr>
          <w:t>National Disability Insurance Agency v WRMF</w:t>
        </w:r>
      </w:hyperlink>
      <w:r w:rsidRPr="006B3A88">
        <w:rPr>
          <w:rFonts w:ascii="Avenir Book" w:hAnsi="Avenir Book" w:cstheme="minorHAnsi"/>
        </w:rPr>
        <w:t xml:space="preserve"> [2020] FCAFC 79. Also see: People with Disability Australia, ‘</w:t>
      </w:r>
      <w:hyperlink r:id="rId68" w:history="1">
        <w:r w:rsidRPr="006B3A88">
          <w:rPr>
            <w:rStyle w:val="Hyperlink"/>
            <w:rFonts w:ascii="Avenir Book" w:hAnsi="Avenir Book" w:cstheme="minorHAnsi"/>
          </w:rPr>
          <w:t>Landmark decision for the right of people with disability to have sex</w:t>
        </w:r>
      </w:hyperlink>
      <w:r w:rsidRPr="006B3A88">
        <w:rPr>
          <w:rFonts w:ascii="Avenir Book" w:hAnsi="Avenir Book" w:cstheme="minorHAnsi"/>
        </w:rPr>
        <w:t xml:space="preserve">’ (Media release, 12 May 2020); Sara Gingold, ‘Sex and the NDIS: the Case That Has Everyone Talking’ (Website article, 20 May 2020), </w:t>
      </w:r>
      <w:r w:rsidRPr="006B3A88">
        <w:rPr>
          <w:rFonts w:ascii="Avenir Book" w:hAnsi="Avenir Book" w:cstheme="minorHAnsi"/>
          <w:i/>
          <w:iCs/>
        </w:rPr>
        <w:t>DSC</w:t>
      </w:r>
      <w:r w:rsidRPr="006B3A88">
        <w:rPr>
          <w:rFonts w:ascii="Avenir Book" w:hAnsi="Avenir Book" w:cstheme="minorHAnsi"/>
        </w:rPr>
        <w:t xml:space="preserve">. </w:t>
      </w:r>
    </w:p>
  </w:endnote>
  <w:endnote w:id="147">
    <w:p w14:paraId="2506C93D" w14:textId="77777777" w:rsidR="00434136" w:rsidRPr="006B3A88" w:rsidRDefault="00434136" w:rsidP="00434136">
      <w:pPr>
        <w:pStyle w:val="EndnoteText"/>
        <w:rPr>
          <w:rFonts w:ascii="Avenir Book" w:hAnsi="Avenir Book" w:cstheme="minorHAnsi"/>
        </w:rPr>
      </w:pPr>
      <w:r w:rsidRPr="006B3A88">
        <w:rPr>
          <w:rStyle w:val="EndnoteReference"/>
          <w:rFonts w:ascii="Avenir Book" w:hAnsi="Avenir Book" w:cstheme="minorHAnsi"/>
        </w:rPr>
        <w:endnoteRef/>
      </w:r>
      <w:r w:rsidRPr="006B3A88">
        <w:rPr>
          <w:rFonts w:ascii="Avenir Book" w:hAnsi="Avenir Book" w:cstheme="minorHAnsi"/>
        </w:rPr>
        <w:t xml:space="preserve"> Committee on the Rights of Persons with Disabilities, ‘Guidelines on article 14 of the Convention on the Rights of Persons with Disabilities – The right to liberty and security of persons with disabilities’ (2015) annex to the Report of the Committee on the Rights of Persons with Disabilities to the</w:t>
      </w:r>
      <w:r w:rsidRPr="006B3A88">
        <w:rPr>
          <w:rFonts w:ascii="Avenir Book" w:hAnsi="Avenir Book" w:cstheme="minorHAnsi"/>
        </w:rPr>
        <w:t xml:space="preserve"> General Assembly, 2017, UN Doc: A/72/55, para. 3. </w:t>
      </w:r>
    </w:p>
  </w:endnote>
  <w:endnote w:id="148">
    <w:p w14:paraId="1062F37E" w14:textId="77777777" w:rsidR="00434136" w:rsidRPr="006B3A88" w:rsidRDefault="00434136" w:rsidP="00434136">
      <w:pPr>
        <w:pStyle w:val="EndnoteText"/>
        <w:rPr>
          <w:rFonts w:ascii="Avenir Book" w:hAnsi="Avenir Book" w:cstheme="minorHAnsi"/>
        </w:rPr>
      </w:pPr>
      <w:r w:rsidRPr="006B3A88">
        <w:rPr>
          <w:rStyle w:val="EndnoteReference"/>
          <w:rFonts w:ascii="Avenir Book" w:hAnsi="Avenir Book" w:cstheme="minorHAnsi"/>
        </w:rPr>
        <w:endnoteRef/>
      </w:r>
      <w:r w:rsidRPr="006B3A88">
        <w:rPr>
          <w:rFonts w:ascii="Avenir Book" w:hAnsi="Avenir Book" w:cstheme="minorHAnsi"/>
        </w:rPr>
        <w:t xml:space="preserve"> Ibid. Section III, paras. 6-9.  Article 14 of the CRPD is derived from article 9 of ICCPR: ‘Everyone has the right to liberty and security of person’.  Specifically in relation to First Nations people, article 7 of the Declaration on the Rights of Indigenous Peoples (DRIP) provides that: ‘Indigenous individuals have the rights to life, physical and mental integrity, liberty and security of person’. </w:t>
      </w:r>
    </w:p>
  </w:endnote>
  <w:endnote w:id="149">
    <w:p w14:paraId="3F23E371" w14:textId="77777777" w:rsidR="00434136" w:rsidRPr="006B3A88" w:rsidRDefault="00434136" w:rsidP="00434136">
      <w:pPr>
        <w:pStyle w:val="EndnoteText"/>
        <w:rPr>
          <w:rFonts w:ascii="Avenir Book" w:hAnsi="Avenir Book" w:cstheme="minorHAnsi"/>
        </w:rPr>
      </w:pPr>
      <w:r w:rsidRPr="006B3A88">
        <w:rPr>
          <w:rStyle w:val="EndnoteReference"/>
          <w:rFonts w:ascii="Avenir Book" w:hAnsi="Avenir Book" w:cstheme="minorHAnsi"/>
        </w:rPr>
        <w:endnoteRef/>
      </w:r>
      <w:r w:rsidRPr="006B3A88">
        <w:rPr>
          <w:rFonts w:ascii="Avenir Book" w:hAnsi="Avenir Book" w:cstheme="minorHAnsi"/>
        </w:rPr>
        <w:t xml:space="preserve"> </w:t>
      </w:r>
      <w:r w:rsidRPr="006B3A88">
        <w:rPr>
          <w:rFonts w:ascii="Avenir Book" w:eastAsia="Cambria" w:hAnsi="Avenir Book" w:cstheme="minorHAnsi"/>
          <w:lang w:eastAsia="en-GB"/>
        </w:rPr>
        <w:t xml:space="preserve">A lack of </w:t>
      </w:r>
      <w:r w:rsidRPr="006B3A88">
        <w:rPr>
          <w:rFonts w:ascii="Avenir Book" w:hAnsi="Avenir Book" w:cstheme="minorHAnsi"/>
        </w:rPr>
        <w:t xml:space="preserve">nationally consistent and </w:t>
      </w:r>
      <w:r w:rsidRPr="006B3A88">
        <w:rPr>
          <w:rFonts w:ascii="Avenir Book" w:eastAsia="Cambria" w:hAnsi="Avenir Book" w:cstheme="minorHAnsi"/>
          <w:lang w:eastAsia="en-GB"/>
        </w:rPr>
        <w:t>transparen</w:t>
      </w:r>
      <w:r w:rsidRPr="006B3A88">
        <w:rPr>
          <w:rFonts w:ascii="Avenir Book" w:hAnsi="Avenir Book" w:cstheme="minorHAnsi"/>
        </w:rPr>
        <w:t>t</w:t>
      </w:r>
      <w:r w:rsidRPr="006B3A88">
        <w:rPr>
          <w:rFonts w:ascii="Avenir Book" w:eastAsia="Cambria" w:hAnsi="Avenir Book" w:cstheme="minorHAnsi"/>
          <w:lang w:eastAsia="en-GB"/>
        </w:rPr>
        <w:t xml:space="preserve"> data makes it difficult to quantify the number of people </w:t>
      </w:r>
      <w:r w:rsidRPr="006B3A88">
        <w:rPr>
          <w:rFonts w:ascii="Avenir Book" w:hAnsi="Avenir Book" w:cstheme="minorHAnsi"/>
        </w:rPr>
        <w:t xml:space="preserve">with disability </w:t>
      </w:r>
      <w:r w:rsidRPr="006B3A88">
        <w:rPr>
          <w:rFonts w:ascii="Avenir Book" w:eastAsia="Cambria" w:hAnsi="Avenir Book" w:cstheme="minorHAnsi"/>
          <w:lang w:eastAsia="en-GB"/>
        </w:rPr>
        <w:t>indefinitely detained</w:t>
      </w:r>
      <w:r w:rsidRPr="006B3A88">
        <w:rPr>
          <w:rFonts w:ascii="Avenir Book" w:hAnsi="Avenir Book" w:cstheme="minorHAnsi"/>
        </w:rPr>
        <w:t xml:space="preserve">. Evidence </w:t>
      </w:r>
      <w:r w:rsidRPr="006B3A88">
        <w:rPr>
          <w:rFonts w:ascii="Avenir Book" w:eastAsia="Cambria" w:hAnsi="Avenir Book" w:cstheme="minorHAnsi"/>
          <w:lang w:eastAsia="en-GB"/>
        </w:rPr>
        <w:t xml:space="preserve">provided to </w:t>
      </w:r>
      <w:r w:rsidRPr="006B3A88">
        <w:rPr>
          <w:rFonts w:ascii="Avenir Book" w:hAnsi="Avenir Book" w:cstheme="minorHAnsi"/>
        </w:rPr>
        <w:t xml:space="preserve">the </w:t>
      </w:r>
      <w:hyperlink r:id="rId69" w:history="1">
        <w:r w:rsidRPr="006B3A88">
          <w:rPr>
            <w:rStyle w:val="Hyperlink"/>
            <w:rFonts w:ascii="Avenir Book" w:hAnsi="Avenir Book" w:cstheme="minorHAnsi"/>
            <w:lang w:eastAsia="en-GB"/>
          </w:rPr>
          <w:t xml:space="preserve">Senate Inquiry </w:t>
        </w:r>
        <w:r w:rsidRPr="006B3A88">
          <w:rPr>
            <w:rStyle w:val="Hyperlink"/>
            <w:rFonts w:ascii="Avenir Book" w:hAnsi="Avenir Book" w:cstheme="minorHAnsi"/>
          </w:rPr>
          <w:t>into</w:t>
        </w:r>
        <w:r w:rsidRPr="006B3A88">
          <w:rPr>
            <w:rStyle w:val="Hyperlink"/>
            <w:rFonts w:ascii="Avenir Book" w:hAnsi="Avenir Book" w:cstheme="minorHAnsi"/>
            <w:lang w:eastAsia="en-GB"/>
          </w:rPr>
          <w:t xml:space="preserve"> </w:t>
        </w:r>
        <w:r w:rsidRPr="006B3A88">
          <w:rPr>
            <w:rStyle w:val="Hyperlink"/>
            <w:rFonts w:ascii="Avenir Book" w:hAnsi="Avenir Book" w:cstheme="minorHAnsi"/>
          </w:rPr>
          <w:t>I</w:t>
        </w:r>
        <w:r w:rsidRPr="006B3A88">
          <w:rPr>
            <w:rStyle w:val="Hyperlink"/>
            <w:rFonts w:ascii="Avenir Book" w:hAnsi="Avenir Book" w:cstheme="minorHAnsi"/>
            <w:lang w:eastAsia="en-GB"/>
          </w:rPr>
          <w:t xml:space="preserve">ndefinite detention </w:t>
        </w:r>
        <w:r w:rsidRPr="006B3A88">
          <w:rPr>
            <w:rStyle w:val="Hyperlink"/>
            <w:rFonts w:ascii="Avenir Book" w:hAnsi="Avenir Book" w:cstheme="minorHAnsi"/>
          </w:rPr>
          <w:t>of people with cognitive and psychiatric impairment in Australia</w:t>
        </w:r>
      </w:hyperlink>
      <w:r w:rsidRPr="006B3A88">
        <w:rPr>
          <w:rFonts w:ascii="Avenir Book" w:hAnsi="Avenir Book" w:cstheme="minorHAnsi"/>
        </w:rPr>
        <w:t xml:space="preserve"> </w:t>
      </w:r>
      <w:r w:rsidRPr="006B3A88">
        <w:rPr>
          <w:rFonts w:ascii="Avenir Book" w:eastAsia="Cambria" w:hAnsi="Avenir Book" w:cstheme="minorHAnsi"/>
          <w:lang w:eastAsia="en-GB"/>
        </w:rPr>
        <w:t>estimate</w:t>
      </w:r>
      <w:r w:rsidRPr="006B3A88">
        <w:rPr>
          <w:rFonts w:ascii="Avenir Book" w:hAnsi="Avenir Book" w:cstheme="minorHAnsi"/>
        </w:rPr>
        <w:t>d</w:t>
      </w:r>
      <w:r w:rsidRPr="006B3A88">
        <w:rPr>
          <w:rFonts w:ascii="Avenir Book" w:eastAsia="Cambria" w:hAnsi="Avenir Book" w:cstheme="minorHAnsi"/>
          <w:lang w:eastAsia="en-GB"/>
        </w:rPr>
        <w:t xml:space="preserve"> that there </w:t>
      </w:r>
      <w:r w:rsidRPr="006B3A88">
        <w:rPr>
          <w:rFonts w:ascii="Avenir Book" w:hAnsi="Avenir Book" w:cstheme="minorHAnsi"/>
        </w:rPr>
        <w:t>were</w:t>
      </w:r>
      <w:r w:rsidRPr="006B3A88">
        <w:rPr>
          <w:rFonts w:ascii="Avenir Book" w:eastAsia="Cambria" w:hAnsi="Avenir Book" w:cstheme="minorHAnsi"/>
          <w:lang w:eastAsia="en-GB"/>
        </w:rPr>
        <w:t xml:space="preserve"> at least 100 people detained across Australia without conviction in prisons, psychiatric units and forensic detention services under </w:t>
      </w:r>
      <w:r w:rsidRPr="006B3A88">
        <w:rPr>
          <w:rFonts w:ascii="Avenir Book" w:hAnsi="Avenir Book" w:cstheme="minorHAnsi"/>
        </w:rPr>
        <w:t>justice diversion</w:t>
      </w:r>
      <w:r w:rsidRPr="006B3A88">
        <w:rPr>
          <w:rFonts w:ascii="Avenir Book" w:eastAsia="Cambria" w:hAnsi="Avenir Book" w:cstheme="minorHAnsi"/>
          <w:lang w:eastAsia="en-GB"/>
        </w:rPr>
        <w:t xml:space="preserve"> legislation. These people are predominately Indigenous, have cognitive and/or psychosocial impairment, cultural communication barriers and/or hearing loss. This issue intersects with the high rates of incarceration of </w:t>
      </w:r>
      <w:r w:rsidRPr="006B3A88">
        <w:rPr>
          <w:rFonts w:ascii="Avenir Book" w:hAnsi="Avenir Book" w:cstheme="minorHAnsi"/>
        </w:rPr>
        <w:t>First Nations people</w:t>
      </w:r>
      <w:r w:rsidRPr="006B3A88">
        <w:rPr>
          <w:rFonts w:ascii="Avenir Book" w:eastAsia="Cambria" w:hAnsi="Avenir Book" w:cstheme="minorHAnsi"/>
          <w:lang w:eastAsia="en-GB"/>
        </w:rPr>
        <w:t xml:space="preserve">, who whilst making up 2.5% of the Australian population, comprise at least 50% or one-half of the people detained without conviction. See: First Peoples Disability Justice Consortium, </w:t>
      </w:r>
      <w:hyperlink r:id="rId70" w:history="1">
        <w:r w:rsidRPr="006B3A88">
          <w:rPr>
            <w:rStyle w:val="Hyperlink"/>
            <w:rFonts w:ascii="Avenir Book" w:hAnsi="Avenir Book" w:cstheme="minorHAnsi"/>
            <w:lang w:eastAsia="en-GB"/>
          </w:rPr>
          <w:t>Aboriginal and Torres Strait Islander Perspectives on the Recurrent and Indefinite Detention of People with Cognitive and Psychiatric Impairment</w:t>
        </w:r>
      </w:hyperlink>
      <w:r w:rsidRPr="006B3A88">
        <w:rPr>
          <w:rFonts w:ascii="Avenir Book" w:eastAsia="Cambria" w:hAnsi="Avenir Book" w:cstheme="minorHAnsi"/>
          <w:lang w:eastAsia="en-GB"/>
        </w:rPr>
        <w:t xml:space="preserve">, April 2016, First Peoples Disability Network. See also: Australian Human Rights Commission, </w:t>
      </w:r>
      <w:hyperlink r:id="rId71" w:history="1">
        <w:r w:rsidRPr="006B3A88">
          <w:rPr>
            <w:rStyle w:val="Hyperlink"/>
            <w:rFonts w:ascii="Avenir Book" w:hAnsi="Avenir Book" w:cstheme="minorHAnsi"/>
            <w:lang w:eastAsia="en-GB"/>
          </w:rPr>
          <w:t>Indefinite detention of people with cognitive and psychiatric impairment in Australia</w:t>
        </w:r>
      </w:hyperlink>
      <w:r w:rsidRPr="006B3A88">
        <w:rPr>
          <w:rFonts w:ascii="Avenir Book" w:eastAsia="Cambria" w:hAnsi="Avenir Book" w:cstheme="minorHAnsi"/>
          <w:lang w:eastAsia="en-GB"/>
        </w:rPr>
        <w:t>, Submission to the Senate Community</w:t>
      </w:r>
      <w:r w:rsidRPr="006B3A88">
        <w:rPr>
          <w:rFonts w:ascii="Avenir Book" w:eastAsia="Cambria" w:hAnsi="Avenir Book" w:cs="Cambria"/>
          <w:lang w:eastAsia="en-GB"/>
        </w:rPr>
        <w:t xml:space="preserve"> </w:t>
      </w:r>
      <w:r w:rsidRPr="006B3A88">
        <w:rPr>
          <w:rFonts w:ascii="Avenir Book" w:eastAsia="Cambria" w:hAnsi="Avenir Book" w:cstheme="minorHAnsi"/>
          <w:lang w:eastAsia="en-GB"/>
        </w:rPr>
        <w:t>Affairs</w:t>
      </w:r>
      <w:r w:rsidRPr="006B3A88">
        <w:rPr>
          <w:rFonts w:ascii="Avenir Book" w:hAnsi="Avenir Book" w:cstheme="minorHAnsi"/>
        </w:rPr>
        <w:t xml:space="preserve"> References Committee</w:t>
      </w:r>
      <w:r w:rsidRPr="006B3A88">
        <w:rPr>
          <w:rFonts w:ascii="Avenir Book" w:eastAsia="Cambria" w:hAnsi="Avenir Book" w:cstheme="minorHAnsi"/>
          <w:lang w:eastAsia="en-GB"/>
        </w:rPr>
        <w:t>, March 2016, p.4. See also: Commonwealth of Australia (2016) Senate Community Affairs</w:t>
      </w:r>
      <w:r w:rsidRPr="006B3A88">
        <w:rPr>
          <w:rFonts w:ascii="Avenir Book" w:hAnsi="Avenir Book" w:cstheme="minorHAnsi"/>
        </w:rPr>
        <w:t xml:space="preserve"> References Committee</w:t>
      </w:r>
      <w:r w:rsidRPr="006B3A88">
        <w:rPr>
          <w:rFonts w:ascii="Avenir Book" w:eastAsia="Cambria" w:hAnsi="Avenir Book" w:cstheme="minorHAnsi"/>
          <w:lang w:eastAsia="en-GB"/>
        </w:rPr>
        <w:t xml:space="preserve">, </w:t>
      </w:r>
      <w:hyperlink r:id="rId72" w:history="1">
        <w:r w:rsidRPr="006B3A88">
          <w:rPr>
            <w:rStyle w:val="Hyperlink"/>
            <w:rFonts w:ascii="Avenir Book" w:hAnsi="Avenir Book" w:cstheme="minorHAnsi"/>
            <w:lang w:eastAsia="en-GB"/>
          </w:rPr>
          <w:t>Indefinite detention of people with cognitive and psychiatric impairment in Australia</w:t>
        </w:r>
      </w:hyperlink>
      <w:r w:rsidRPr="006B3A88">
        <w:rPr>
          <w:rFonts w:ascii="Avenir Book" w:hAnsi="Avenir Book" w:cstheme="minorHAnsi"/>
        </w:rPr>
        <w:t xml:space="preserve">, 2016. </w:t>
      </w:r>
      <w:r w:rsidRPr="006B3A88">
        <w:rPr>
          <w:rFonts w:ascii="Avenir Book" w:eastAsia="Cambria" w:hAnsi="Avenir Book" w:cstheme="minorHAnsi"/>
          <w:lang w:eastAsia="en-GB"/>
        </w:rPr>
        <w:t xml:space="preserve">See also: Sotiri, M, McGee, P, &amp; Baldry, E (2012) </w:t>
      </w:r>
      <w:hyperlink r:id="rId73" w:history="1">
        <w:r w:rsidRPr="006B3A88">
          <w:rPr>
            <w:rStyle w:val="Hyperlink"/>
            <w:rFonts w:ascii="Avenir Book" w:hAnsi="Avenir Book" w:cstheme="minorHAnsi"/>
            <w:lang w:eastAsia="en-GB"/>
          </w:rPr>
          <w:t>No End in Sight. The Imprisonment and Indefinite Detention of Indigenous Australians with a Cognitive Impairment.</w:t>
        </w:r>
      </w:hyperlink>
      <w:r w:rsidRPr="006B3A88">
        <w:rPr>
          <w:rFonts w:ascii="Avenir Book" w:eastAsia="Cambria" w:hAnsi="Avenir Book" w:cstheme="minorHAnsi"/>
          <w:lang w:eastAsia="en-GB"/>
        </w:rPr>
        <w:t xml:space="preserve"> Sydney: University of NSW. See also Eileen Baldry, Ruth McCausland, Leanne Dowse, Elizabeth McEntyre, </w:t>
      </w:r>
      <w:hyperlink r:id="rId74" w:history="1">
        <w:r w:rsidRPr="006B3A88">
          <w:rPr>
            <w:rStyle w:val="Hyperlink"/>
            <w:rFonts w:ascii="Avenir Book" w:hAnsi="Avenir Book" w:cstheme="minorHAnsi"/>
            <w:lang w:eastAsia="en-GB"/>
          </w:rPr>
          <w:t>A predictable and preventable path: Aboriginal people with mental and cognitive disabilities in the criminal justice system</w:t>
        </w:r>
      </w:hyperlink>
      <w:r w:rsidRPr="006B3A88">
        <w:rPr>
          <w:rFonts w:ascii="Avenir Book" w:eastAsia="Cambria" w:hAnsi="Avenir Book" w:cstheme="minorHAnsi"/>
          <w:lang w:eastAsia="en-GB"/>
        </w:rPr>
        <w:t>, UNSW, October 2015.</w:t>
      </w:r>
    </w:p>
  </w:endnote>
  <w:endnote w:id="150">
    <w:p w14:paraId="5ED94881" w14:textId="77777777" w:rsidR="00434136" w:rsidRPr="006B3A88" w:rsidRDefault="00434136" w:rsidP="00434136">
      <w:pPr>
        <w:pStyle w:val="EndnoteText"/>
        <w:rPr>
          <w:rFonts w:ascii="Avenir Book" w:hAnsi="Avenir Book" w:cstheme="minorHAnsi"/>
        </w:rPr>
      </w:pPr>
      <w:r w:rsidRPr="006B3A88">
        <w:rPr>
          <w:rStyle w:val="EndnoteReference"/>
          <w:rFonts w:ascii="Avenir Book" w:hAnsi="Avenir Book" w:cstheme="minorHAnsi"/>
        </w:rPr>
        <w:endnoteRef/>
      </w:r>
      <w:r w:rsidRPr="006B3A88">
        <w:rPr>
          <w:rFonts w:ascii="Avenir Book" w:hAnsi="Avenir Book" w:cstheme="minorHAnsi"/>
        </w:rPr>
        <w:t xml:space="preserve"> Royal Commission into Violence, Abuse, Neglect and Exploitation of People with Disability, ‘Criminal Justice and people with disability’ (Final Report, Volume 8, September 2023), Commonwealth of Australia,</w:t>
      </w:r>
      <w:r w:rsidRPr="00437C78">
        <w:rPr>
          <w:rFonts w:ascii="Avenir Book" w:hAnsi="Avenir Book" w:cstheme="minorHAnsi"/>
        </w:rPr>
        <w:t xml:space="preserve"> </w:t>
      </w:r>
      <w:r w:rsidRPr="006B3A88">
        <w:rPr>
          <w:rFonts w:ascii="Avenir Book" w:hAnsi="Avenir Book" w:cstheme="minorHAnsi"/>
        </w:rPr>
        <w:t>p. 130. See also: Disabled People’s Organisations Australia, ‘</w:t>
      </w:r>
      <w:hyperlink r:id="rId75" w:history="1">
        <w:r w:rsidRPr="006B3A88">
          <w:rPr>
            <w:rStyle w:val="Hyperlink"/>
            <w:rFonts w:ascii="Avenir Book" w:hAnsi="Avenir Book" w:cstheme="minorHAnsi"/>
          </w:rPr>
          <w:t>Indefinite Detention of People with Disability</w:t>
        </w:r>
      </w:hyperlink>
      <w:r w:rsidRPr="006B3A88">
        <w:rPr>
          <w:rFonts w:ascii="Avenir Book" w:hAnsi="Avenir Book" w:cstheme="minorHAnsi"/>
        </w:rPr>
        <w:t>’ (CRPD Factsheet, 2019).</w:t>
      </w:r>
    </w:p>
  </w:endnote>
  <w:endnote w:id="151">
    <w:p w14:paraId="50BF70A0" w14:textId="77777777" w:rsidR="00434136" w:rsidRPr="006B3A88" w:rsidRDefault="00434136" w:rsidP="00434136">
      <w:pPr>
        <w:pStyle w:val="EndnoteText"/>
        <w:rPr>
          <w:rFonts w:ascii="Avenir Book" w:hAnsi="Avenir Book" w:cstheme="minorHAnsi"/>
        </w:rPr>
      </w:pPr>
      <w:r w:rsidRPr="006B3A88">
        <w:rPr>
          <w:rStyle w:val="EndnoteReference"/>
          <w:rFonts w:ascii="Avenir Book" w:hAnsi="Avenir Book" w:cstheme="minorHAnsi"/>
        </w:rPr>
        <w:endnoteRef/>
      </w:r>
      <w:r w:rsidRPr="006B3A88">
        <w:rPr>
          <w:rFonts w:ascii="Avenir Book" w:hAnsi="Avenir Book" w:cstheme="minorHAnsi"/>
        </w:rPr>
        <w:t xml:space="preserve"> Royal Commission into Violence, Abuse, Neglect and Exploitation of People with Disability, op. cit. (Final Report, Volume 8, September 2023), Commonwealth of Australia, pp. 134-143.  See also:  </w:t>
      </w:r>
      <w:hyperlink r:id="rId76" w:history="1">
        <w:r w:rsidRPr="006B3A88">
          <w:rPr>
            <w:rStyle w:val="Hyperlink"/>
            <w:rFonts w:ascii="Avenir Book" w:hAnsi="Avenir Book" w:cstheme="minorHAnsi"/>
          </w:rPr>
          <w:t>KA, KB, KC and KD v Commonwealth</w:t>
        </w:r>
      </w:hyperlink>
      <w:r w:rsidRPr="006B3A88">
        <w:rPr>
          <w:rFonts w:ascii="Avenir Book" w:hAnsi="Avenir Book" w:cstheme="minorHAnsi"/>
        </w:rPr>
        <w:t xml:space="preserve"> (Department of Prime Minister and Cabinet, Department of Social Services, Attorney-General’s Department) [2014] AusHRC 80.  See also: Leo v Australia, communication no. 17/2013, views adopted 30 August 2019, released 18 October 2019, UN Doc: CRPD/C/22/D/17/2013; Doolan v Australia, communication no. 18/2013, views adopted 30 August 2019, released 17 October 2019, UN Doc: CRPD/C/22/D/18/2013; Noble v Australia, communication no. 7/2012, views adopted 2 September 2016, released 10 October 2012, UN Doc: CRPD/C/16/D/7/2012; Corey Brough v Australia, communication no. 1184/2003, views adopted 17 March 2006, released 27 April 2006, UN Doc: CCPR/C/86/D/1184/2003.</w:t>
      </w:r>
    </w:p>
  </w:endnote>
  <w:endnote w:id="152">
    <w:p w14:paraId="5B509C50" w14:textId="77777777" w:rsidR="00434136" w:rsidRPr="006B3A88" w:rsidRDefault="00434136" w:rsidP="00434136">
      <w:pPr>
        <w:pStyle w:val="EndnoteText"/>
        <w:rPr>
          <w:rFonts w:ascii="Avenir Book" w:hAnsi="Avenir Book" w:cstheme="minorHAnsi"/>
        </w:rPr>
      </w:pPr>
      <w:r w:rsidRPr="006B3A88">
        <w:rPr>
          <w:rStyle w:val="EndnoteReference"/>
          <w:rFonts w:ascii="Avenir Book" w:hAnsi="Avenir Book" w:cstheme="minorHAnsi"/>
        </w:rPr>
        <w:endnoteRef/>
      </w:r>
      <w:r w:rsidRPr="006B3A88">
        <w:rPr>
          <w:rFonts w:ascii="Avenir Book" w:hAnsi="Avenir Book" w:cstheme="minorHAnsi"/>
        </w:rPr>
        <w:t xml:space="preserve"> For an overview of these criticisms, see Royal Commission into Violence, Abuse, Neglect and Exploitation of People with Disability, op. cit. (Final Report, Volume 8, September 2023), Commonwealth of Australia, pp. 131-134. </w:t>
      </w:r>
    </w:p>
  </w:endnote>
  <w:endnote w:id="153">
    <w:p w14:paraId="3E89A25F" w14:textId="77777777" w:rsidR="00434136" w:rsidRPr="006B3A88" w:rsidRDefault="00434136" w:rsidP="00434136">
      <w:pPr>
        <w:pStyle w:val="EndnoteText"/>
        <w:rPr>
          <w:rFonts w:ascii="Avenir Book" w:hAnsi="Avenir Book" w:cstheme="minorHAnsi"/>
        </w:rPr>
      </w:pPr>
      <w:r w:rsidRPr="006B3A88">
        <w:rPr>
          <w:rStyle w:val="EndnoteReference"/>
          <w:rFonts w:ascii="Avenir Book" w:hAnsi="Avenir Book" w:cstheme="minorHAnsi"/>
        </w:rPr>
        <w:endnoteRef/>
      </w:r>
      <w:r w:rsidRPr="006B3A88">
        <w:rPr>
          <w:rFonts w:ascii="Avenir Book" w:hAnsi="Avenir Book" w:cstheme="minorHAnsi"/>
        </w:rPr>
        <w:t xml:space="preserve"> See: Human Rights Law Centre, Australia’s 2nd Universal Periodic Review: </w:t>
      </w:r>
      <w:hyperlink r:id="rId77" w:history="1">
        <w:r w:rsidRPr="006B3A88">
          <w:rPr>
            <w:rStyle w:val="Hyperlink"/>
            <w:rFonts w:ascii="Avenir Book" w:hAnsi="Avenir Book" w:cstheme="minorHAnsi"/>
          </w:rPr>
          <w:t>Voluntary Commitments</w:t>
        </w:r>
      </w:hyperlink>
      <w:r w:rsidRPr="006B3A88">
        <w:rPr>
          <w:rFonts w:ascii="Avenir Book" w:hAnsi="Avenir Book" w:cstheme="minorHAnsi"/>
        </w:rPr>
        <w:t xml:space="preserve">. See also: Law Council of Australia, </w:t>
      </w:r>
      <w:hyperlink r:id="rId78" w:history="1">
        <w:r w:rsidRPr="006B3A88">
          <w:rPr>
            <w:rStyle w:val="Hyperlink"/>
            <w:rFonts w:ascii="Avenir Book" w:hAnsi="Avenir Book" w:cstheme="minorHAnsi"/>
          </w:rPr>
          <w:t>Australia’s International Human Rights Obligations</w:t>
        </w:r>
      </w:hyperlink>
      <w:r w:rsidRPr="006B3A88">
        <w:rPr>
          <w:rFonts w:ascii="Avenir Book" w:hAnsi="Avenir Book" w:cstheme="minorHAnsi"/>
        </w:rPr>
        <w:t>.</w:t>
      </w:r>
    </w:p>
  </w:endnote>
  <w:endnote w:id="154">
    <w:p w14:paraId="4126F346" w14:textId="77777777" w:rsidR="00434136" w:rsidRPr="006B3A88" w:rsidRDefault="00434136" w:rsidP="00434136">
      <w:pPr>
        <w:pStyle w:val="EndnoteText"/>
        <w:rPr>
          <w:rFonts w:ascii="Avenir Book" w:hAnsi="Avenir Book" w:cstheme="minorHAnsi"/>
        </w:rPr>
      </w:pPr>
      <w:r w:rsidRPr="006B3A88">
        <w:rPr>
          <w:rStyle w:val="EndnoteReference"/>
          <w:rFonts w:ascii="Avenir Book" w:hAnsi="Avenir Book" w:cstheme="minorHAnsi"/>
        </w:rPr>
        <w:endnoteRef/>
      </w:r>
      <w:r w:rsidRPr="006B3A88">
        <w:rPr>
          <w:rFonts w:ascii="Avenir Book" w:hAnsi="Avenir Book" w:cstheme="minorHAnsi"/>
        </w:rPr>
        <w:t xml:space="preserve"> The UPR is a peer review process conducted by the UN Human Rights Council, see: Attorney-General’s Department, ‘</w:t>
      </w:r>
      <w:hyperlink r:id="rId79" w:history="1">
        <w:r w:rsidRPr="006B3A88">
          <w:rPr>
            <w:rStyle w:val="Hyperlink"/>
            <w:rFonts w:ascii="Avenir Book" w:hAnsi="Avenir Book" w:cstheme="minorHAnsi"/>
          </w:rPr>
          <w:t>Australia’s Universal Periodic Review</w:t>
        </w:r>
      </w:hyperlink>
      <w:r w:rsidRPr="006B3A88">
        <w:rPr>
          <w:rFonts w:ascii="Avenir Book" w:hAnsi="Avenir Book" w:cstheme="minorHAnsi"/>
        </w:rPr>
        <w:t>’ (Website information).</w:t>
      </w:r>
    </w:p>
  </w:endnote>
  <w:endnote w:id="155">
    <w:p w14:paraId="0E4F9954" w14:textId="77777777" w:rsidR="00434136" w:rsidRPr="006B3A88" w:rsidRDefault="00434136" w:rsidP="00434136">
      <w:pPr>
        <w:pStyle w:val="EndnoteText"/>
        <w:rPr>
          <w:rFonts w:ascii="Avenir Book" w:hAnsi="Avenir Book" w:cstheme="minorHAnsi"/>
        </w:rPr>
      </w:pPr>
      <w:r w:rsidRPr="006B3A88">
        <w:rPr>
          <w:rStyle w:val="EndnoteReference"/>
          <w:rFonts w:ascii="Avenir Book" w:hAnsi="Avenir Book" w:cstheme="minorHAnsi"/>
        </w:rPr>
        <w:endnoteRef/>
      </w:r>
      <w:r w:rsidRPr="006B3A88">
        <w:rPr>
          <w:rFonts w:ascii="Avenir Book" w:hAnsi="Avenir Book" w:cstheme="minorHAnsi"/>
        </w:rPr>
        <w:t xml:space="preserve"> The former Law, Crime and Community Safety Council (LCCSC) consisted of ministers with responsibilities for law and justice, police and emergency management. As a result of a Council of Australian Governments (COAG) review conducted in 2016-17, COAG decided to replace the LCCSC with a separate Councils for </w:t>
      </w:r>
      <w:hyperlink r:id="rId80" w:history="1">
        <w:r w:rsidRPr="006B3A88">
          <w:rPr>
            <w:rStyle w:val="Hyperlink"/>
            <w:rFonts w:ascii="Avenir Book" w:hAnsi="Avenir Book" w:cstheme="minorHAnsi"/>
          </w:rPr>
          <w:t>Attorneys-General</w:t>
        </w:r>
      </w:hyperlink>
      <w:r w:rsidRPr="006B3A88">
        <w:rPr>
          <w:rFonts w:ascii="Avenir Book" w:hAnsi="Avenir Book" w:cstheme="minorHAnsi"/>
        </w:rPr>
        <w:t xml:space="preserve">, and a separate Council for </w:t>
      </w:r>
      <w:hyperlink r:id="rId81" w:history="1">
        <w:r w:rsidRPr="006B3A88">
          <w:rPr>
            <w:rStyle w:val="Hyperlink"/>
            <w:rFonts w:ascii="Avenir Book" w:hAnsi="Avenir Book" w:cstheme="minorHAnsi"/>
          </w:rPr>
          <w:t>Police and Emergency Management</w:t>
        </w:r>
      </w:hyperlink>
      <w:r w:rsidRPr="006B3A88">
        <w:rPr>
          <w:rFonts w:ascii="Avenir Book" w:hAnsi="Avenir Book" w:cstheme="minorHAnsi"/>
        </w:rPr>
        <w:t>.</w:t>
      </w:r>
    </w:p>
  </w:endnote>
  <w:endnote w:id="156">
    <w:p w14:paraId="1EB9D747" w14:textId="77777777" w:rsidR="00434136" w:rsidRPr="006B3A88" w:rsidRDefault="00434136" w:rsidP="00434136">
      <w:pPr>
        <w:pStyle w:val="EndnoteText"/>
        <w:rPr>
          <w:rFonts w:ascii="Avenir Book" w:hAnsi="Avenir Book" w:cstheme="minorHAnsi"/>
        </w:rPr>
      </w:pPr>
      <w:r w:rsidRPr="006B3A88">
        <w:rPr>
          <w:rStyle w:val="EndnoteReference"/>
          <w:rFonts w:ascii="Avenir Book" w:hAnsi="Avenir Book" w:cstheme="minorHAnsi"/>
        </w:rPr>
        <w:endnoteRef/>
      </w:r>
      <w:r w:rsidRPr="006B3A88">
        <w:rPr>
          <w:rFonts w:ascii="Avenir Book" w:hAnsi="Avenir Book" w:cstheme="minorHAnsi"/>
        </w:rPr>
        <w:t xml:space="preserve"> Attorney-General’s Department, ‘</w:t>
      </w:r>
      <w:hyperlink r:id="rId82" w:history="1">
        <w:r w:rsidRPr="006B3A88">
          <w:rPr>
            <w:rStyle w:val="Hyperlink"/>
            <w:rFonts w:ascii="Avenir Book" w:hAnsi="Avenir Book" w:cstheme="minorHAnsi"/>
          </w:rPr>
          <w:t>National Statement of Principles relating to Persons Unfit to Plead or Not Guilty by Reason of Cognitive or Mental Health Impairment</w:t>
        </w:r>
      </w:hyperlink>
      <w:r w:rsidRPr="006B3A88">
        <w:rPr>
          <w:rFonts w:ascii="Avenir Book" w:hAnsi="Avenir Book" w:cstheme="minorHAnsi"/>
        </w:rPr>
        <w:t>’ (Website Information).</w:t>
      </w:r>
    </w:p>
  </w:endnote>
  <w:endnote w:id="157">
    <w:p w14:paraId="5A847544" w14:textId="77777777" w:rsidR="00434136" w:rsidRPr="006B3A88" w:rsidRDefault="00434136" w:rsidP="00434136">
      <w:pPr>
        <w:pStyle w:val="EndnoteText"/>
        <w:rPr>
          <w:rFonts w:ascii="Avenir Book" w:hAnsi="Avenir Book" w:cstheme="minorHAnsi"/>
        </w:rPr>
      </w:pPr>
      <w:r w:rsidRPr="006B3A88">
        <w:rPr>
          <w:rStyle w:val="EndnoteReference"/>
          <w:rFonts w:ascii="Avenir Book" w:hAnsi="Avenir Book" w:cstheme="minorHAnsi"/>
        </w:rPr>
        <w:endnoteRef/>
      </w:r>
      <w:r w:rsidRPr="006B3A88">
        <w:rPr>
          <w:rFonts w:ascii="Avenir Book" w:hAnsi="Avenir Book" w:cstheme="minorHAnsi"/>
        </w:rPr>
        <w:t xml:space="preserve"> Ibid.</w:t>
      </w:r>
    </w:p>
  </w:endnote>
  <w:endnote w:id="158">
    <w:p w14:paraId="26938D91" w14:textId="77777777" w:rsidR="00434136" w:rsidRPr="006B3A88" w:rsidRDefault="00434136" w:rsidP="00434136">
      <w:pPr>
        <w:pStyle w:val="EndnoteText"/>
        <w:rPr>
          <w:rFonts w:ascii="Avenir Book" w:hAnsi="Avenir Book" w:cstheme="minorHAnsi"/>
        </w:rPr>
      </w:pPr>
      <w:r w:rsidRPr="006B3A88">
        <w:rPr>
          <w:rStyle w:val="EndnoteReference"/>
          <w:rFonts w:ascii="Avenir Book" w:hAnsi="Avenir Book" w:cstheme="minorHAnsi"/>
        </w:rPr>
        <w:endnoteRef/>
      </w:r>
      <w:r w:rsidRPr="006B3A88">
        <w:rPr>
          <w:rFonts w:ascii="Avenir Book" w:hAnsi="Avenir Book" w:cstheme="minorHAnsi"/>
        </w:rPr>
        <w:t xml:space="preserve"> Ibid.</w:t>
      </w:r>
    </w:p>
  </w:endnote>
  <w:endnote w:id="159">
    <w:p w14:paraId="05AAC1AE" w14:textId="77777777" w:rsidR="00434136" w:rsidRPr="006B3A88" w:rsidRDefault="00434136" w:rsidP="00434136">
      <w:pPr>
        <w:pStyle w:val="EndnoteText"/>
        <w:rPr>
          <w:rFonts w:ascii="Avenir Book" w:hAnsi="Avenir Book" w:cstheme="minorHAnsi"/>
        </w:rPr>
      </w:pPr>
      <w:r w:rsidRPr="006B3A88">
        <w:rPr>
          <w:rStyle w:val="EndnoteReference"/>
          <w:rFonts w:ascii="Avenir Book" w:hAnsi="Avenir Book" w:cstheme="minorHAnsi"/>
        </w:rPr>
        <w:endnoteRef/>
      </w:r>
      <w:r w:rsidRPr="006B3A88">
        <w:rPr>
          <w:rFonts w:ascii="Avenir Book" w:hAnsi="Avenir Book" w:cstheme="minorHAnsi"/>
        </w:rPr>
        <w:t xml:space="preserve"> Royal Commission into Violence, Abuse, Neglect and Exploitation of People with Disability, ‘op. cit. (Final Report, Volume 8, September 2023), Commonwealth of Australia, p. 154.</w:t>
      </w:r>
    </w:p>
  </w:endnote>
  <w:endnote w:id="160">
    <w:p w14:paraId="02D4E710" w14:textId="77777777" w:rsidR="00434136" w:rsidRPr="006B3A88" w:rsidRDefault="00434136" w:rsidP="00434136">
      <w:pPr>
        <w:pStyle w:val="EndnoteText"/>
        <w:rPr>
          <w:rFonts w:ascii="Avenir Book" w:hAnsi="Avenir Book" w:cstheme="minorHAnsi"/>
        </w:rPr>
      </w:pPr>
      <w:r w:rsidRPr="006B3A88">
        <w:rPr>
          <w:rStyle w:val="EndnoteReference"/>
          <w:rFonts w:ascii="Avenir Book" w:hAnsi="Avenir Book" w:cstheme="minorHAnsi"/>
        </w:rPr>
        <w:endnoteRef/>
      </w:r>
      <w:r w:rsidRPr="006B3A88">
        <w:rPr>
          <w:rFonts w:ascii="Avenir Book" w:hAnsi="Avenir Book" w:cstheme="minorHAnsi"/>
        </w:rPr>
        <w:t xml:space="preserve"> Ibid. pp. 31-43.</w:t>
      </w:r>
    </w:p>
  </w:endnote>
  <w:endnote w:id="161">
    <w:p w14:paraId="3CB102CA" w14:textId="77777777" w:rsidR="00434136" w:rsidRPr="006B3A88" w:rsidRDefault="00434136" w:rsidP="00434136">
      <w:pPr>
        <w:pStyle w:val="EndnoteText"/>
        <w:rPr>
          <w:rFonts w:ascii="Avenir Book" w:hAnsi="Avenir Book" w:cstheme="minorHAnsi"/>
        </w:rPr>
      </w:pPr>
      <w:r w:rsidRPr="006B3A88">
        <w:rPr>
          <w:rStyle w:val="EndnoteReference"/>
          <w:rFonts w:ascii="Avenir Book" w:hAnsi="Avenir Book" w:cstheme="minorHAnsi"/>
        </w:rPr>
        <w:endnoteRef/>
      </w:r>
      <w:r w:rsidRPr="006B3A88">
        <w:rPr>
          <w:rFonts w:ascii="Avenir Book" w:hAnsi="Avenir Book" w:cstheme="minorHAnsi"/>
        </w:rPr>
        <w:t xml:space="preserve"> Ibid, pp. 36-39; Royal Commission into Violence, Abuse, Neglect and Exploitation of People with Disability, op. cit. (Final Report, Volume 9, September 2023), Commonwealth of Australia, Chapter 6, pp. 139-148.</w:t>
      </w:r>
    </w:p>
  </w:endnote>
  <w:endnote w:id="162">
    <w:p w14:paraId="6DC4DF24" w14:textId="77777777" w:rsidR="00434136" w:rsidRPr="006B3A88" w:rsidRDefault="00434136" w:rsidP="00434136">
      <w:pPr>
        <w:pStyle w:val="EndnoteText"/>
        <w:rPr>
          <w:rFonts w:ascii="Avenir Book" w:hAnsi="Avenir Book" w:cstheme="minorHAnsi"/>
        </w:rPr>
      </w:pPr>
      <w:r w:rsidRPr="006B3A88">
        <w:rPr>
          <w:rStyle w:val="EndnoteReference"/>
          <w:rFonts w:ascii="Avenir Book" w:hAnsi="Avenir Book" w:cstheme="minorHAnsi"/>
        </w:rPr>
        <w:endnoteRef/>
      </w:r>
      <w:r w:rsidRPr="006B3A88">
        <w:rPr>
          <w:rFonts w:ascii="Avenir Book" w:hAnsi="Avenir Book" w:cstheme="minorHAnsi"/>
        </w:rPr>
        <w:t xml:space="preserve"> Royal Commission into Violence, Abuse, Neglect and Exploitation of People with Disability, op. cit. (Final Report, Volume 8, September 2023), Commonwealth of Australia, pp. 39-43.</w:t>
      </w:r>
    </w:p>
  </w:endnote>
  <w:endnote w:id="163">
    <w:p w14:paraId="34B15E2B" w14:textId="77777777" w:rsidR="00434136" w:rsidRPr="006B3A88" w:rsidRDefault="00434136" w:rsidP="00434136">
      <w:pPr>
        <w:pStyle w:val="EndnoteText"/>
        <w:rPr>
          <w:rFonts w:ascii="Avenir Book" w:hAnsi="Avenir Book" w:cstheme="minorHAnsi"/>
        </w:rPr>
      </w:pPr>
      <w:r w:rsidRPr="006B3A88">
        <w:rPr>
          <w:rStyle w:val="EndnoteReference"/>
          <w:rFonts w:ascii="Avenir Book" w:hAnsi="Avenir Book" w:cstheme="minorHAnsi"/>
        </w:rPr>
        <w:endnoteRef/>
      </w:r>
      <w:r w:rsidRPr="006B3A88">
        <w:rPr>
          <w:rFonts w:ascii="Avenir Book" w:hAnsi="Avenir Book" w:cstheme="minorHAnsi"/>
        </w:rPr>
        <w:t xml:space="preserve"> Ibid, p. 41. </w:t>
      </w:r>
    </w:p>
  </w:endnote>
  <w:endnote w:id="164">
    <w:p w14:paraId="1376554A" w14:textId="77777777" w:rsidR="00434136" w:rsidRPr="006B3A88" w:rsidRDefault="00434136" w:rsidP="00434136">
      <w:pPr>
        <w:pStyle w:val="EndnoteText"/>
        <w:rPr>
          <w:rFonts w:ascii="Avenir Book" w:hAnsi="Avenir Book" w:cstheme="minorHAnsi"/>
        </w:rPr>
      </w:pPr>
      <w:r w:rsidRPr="006B3A88">
        <w:rPr>
          <w:rStyle w:val="EndnoteReference"/>
          <w:rFonts w:ascii="Avenir Book" w:hAnsi="Avenir Book" w:cstheme="minorHAnsi"/>
        </w:rPr>
        <w:endnoteRef/>
      </w:r>
      <w:r w:rsidRPr="006B3A88">
        <w:rPr>
          <w:rFonts w:ascii="Avenir Book" w:hAnsi="Avenir Book" w:cstheme="minorHAnsi"/>
        </w:rPr>
        <w:t xml:space="preserve"> Ibid.</w:t>
      </w:r>
    </w:p>
  </w:endnote>
  <w:endnote w:id="165">
    <w:p w14:paraId="3DB2BE2B" w14:textId="77777777" w:rsidR="00434136" w:rsidRPr="006B3A88" w:rsidRDefault="00434136" w:rsidP="00434136">
      <w:pPr>
        <w:pStyle w:val="EndnoteText"/>
        <w:rPr>
          <w:rFonts w:ascii="Avenir Book" w:hAnsi="Avenir Book" w:cstheme="minorHAnsi"/>
        </w:rPr>
      </w:pPr>
      <w:r w:rsidRPr="006B3A88">
        <w:rPr>
          <w:rStyle w:val="EndnoteReference"/>
          <w:rFonts w:ascii="Avenir Book" w:hAnsi="Avenir Book" w:cstheme="minorHAnsi"/>
        </w:rPr>
        <w:endnoteRef/>
      </w:r>
      <w:r w:rsidRPr="006B3A88">
        <w:rPr>
          <w:rFonts w:ascii="Avenir Book" w:hAnsi="Avenir Book" w:cstheme="minorHAnsi"/>
        </w:rPr>
        <w:t xml:space="preserve"> See: Australian Law Reform Commission, ‘Pathways to Justice – Inquiry into the Incarceration Rate of Aboriginal and Torres Strait Islander Peoples’ (ALRC Report 133, 2017) Commonwealth of Australia. </w:t>
      </w:r>
    </w:p>
  </w:endnote>
  <w:endnote w:id="166">
    <w:p w14:paraId="0D3639A3" w14:textId="77777777" w:rsidR="00434136" w:rsidRPr="006B3A88" w:rsidRDefault="00434136" w:rsidP="00434136">
      <w:pPr>
        <w:pStyle w:val="EndnoteText"/>
        <w:rPr>
          <w:rFonts w:ascii="Avenir Book" w:hAnsi="Avenir Book" w:cstheme="minorHAnsi"/>
        </w:rPr>
      </w:pPr>
      <w:r w:rsidRPr="006B3A88">
        <w:rPr>
          <w:rStyle w:val="EndnoteReference"/>
          <w:rFonts w:ascii="Avenir Book" w:hAnsi="Avenir Book" w:cstheme="minorHAnsi"/>
        </w:rPr>
        <w:endnoteRef/>
      </w:r>
      <w:r w:rsidRPr="006B3A88">
        <w:rPr>
          <w:rFonts w:ascii="Avenir Book" w:hAnsi="Avenir Book" w:cstheme="minorHAnsi"/>
        </w:rPr>
        <w:t xml:space="preserve"> Human Rights Law Centre and Change the Record, ‘</w:t>
      </w:r>
      <w:hyperlink r:id="rId83" w:history="1">
        <w:r w:rsidRPr="006B3A88">
          <w:rPr>
            <w:rStyle w:val="Hyperlink"/>
            <w:rFonts w:ascii="Avenir Book" w:hAnsi="Avenir Book" w:cstheme="minorHAnsi"/>
          </w:rPr>
          <w:t>Over-represented and overlooked: the crisis of Aboriginal and Torres Strait Islander women’s growing over-imprisonment</w:t>
        </w:r>
      </w:hyperlink>
      <w:r w:rsidRPr="006B3A88">
        <w:rPr>
          <w:rFonts w:ascii="Avenir Book" w:hAnsi="Avenir Book" w:cstheme="minorHAnsi"/>
        </w:rPr>
        <w:t>’ (Report, May 2017) p. 5. See also, Sisters Inside Inc., ‘</w:t>
      </w:r>
      <w:hyperlink r:id="rId84" w:history="1">
        <w:r w:rsidRPr="006B3A88">
          <w:rPr>
            <w:rStyle w:val="Hyperlink"/>
            <w:rFonts w:ascii="Avenir Book" w:hAnsi="Avenir Book" w:cstheme="minorHAnsi"/>
          </w:rPr>
          <w:t>Inquiry into incarceration rates of Aboriginal and Torres Strait Islander peoples</w:t>
        </w:r>
      </w:hyperlink>
      <w:r w:rsidRPr="006B3A88">
        <w:rPr>
          <w:rFonts w:ascii="Avenir Book" w:hAnsi="Avenir Book" w:cstheme="minorHAnsi"/>
        </w:rPr>
        <w:t xml:space="preserve">’ (8 November 2017) Submission No. 119, Australian Law Reform Commission inquiry into Incarceration rates of Aboriginal and Torres Strait Islander peoples. </w:t>
      </w:r>
    </w:p>
  </w:endnote>
  <w:endnote w:id="167">
    <w:p w14:paraId="744DD6A9" w14:textId="77777777" w:rsidR="00434136" w:rsidRPr="006B3A88" w:rsidRDefault="00434136" w:rsidP="00434136">
      <w:pPr>
        <w:pStyle w:val="EndnoteText"/>
        <w:rPr>
          <w:rFonts w:ascii="Avenir Book" w:hAnsi="Avenir Book"/>
        </w:rPr>
      </w:pPr>
      <w:r w:rsidRPr="006B3A88">
        <w:rPr>
          <w:rStyle w:val="EndnoteReference"/>
          <w:rFonts w:ascii="Avenir Book" w:hAnsi="Avenir Book" w:cstheme="minorHAnsi"/>
        </w:rPr>
        <w:endnoteRef/>
      </w:r>
      <w:r w:rsidRPr="006B3A88">
        <w:rPr>
          <w:rFonts w:ascii="Avenir Book" w:hAnsi="Avenir Book" w:cstheme="minorHAnsi"/>
        </w:rPr>
        <w:t xml:space="preserve"> Ibid.</w:t>
      </w:r>
    </w:p>
  </w:endnote>
  <w:endnote w:id="168">
    <w:p w14:paraId="6931174A" w14:textId="77777777" w:rsidR="00434136" w:rsidRPr="006B3A88" w:rsidRDefault="00434136" w:rsidP="00434136">
      <w:pPr>
        <w:pStyle w:val="EndnoteText"/>
        <w:rPr>
          <w:rFonts w:ascii="Avenir Book" w:hAnsi="Avenir Book" w:cstheme="minorHAnsi"/>
        </w:rPr>
      </w:pPr>
      <w:r w:rsidRPr="006B3A88">
        <w:rPr>
          <w:rStyle w:val="EndnoteReference"/>
          <w:rFonts w:ascii="Avenir Book" w:hAnsi="Avenir Book" w:cstheme="minorHAnsi"/>
        </w:rPr>
        <w:endnoteRef/>
      </w:r>
      <w:r w:rsidRPr="006B3A88">
        <w:rPr>
          <w:rFonts w:ascii="Avenir Book" w:hAnsi="Avenir Book" w:cstheme="minorHAnsi"/>
        </w:rPr>
        <w:t xml:space="preserve"> Royal Commission into Violence, Abuse, Neglect and Exploitation of People with Disability, op. cit. (Final Report, Volume 9, September 2023), Commonwealth of Australia, Chapter 6, pp. 139.</w:t>
      </w:r>
    </w:p>
  </w:endnote>
  <w:endnote w:id="169">
    <w:p w14:paraId="1B576281" w14:textId="77777777" w:rsidR="00434136" w:rsidRPr="006B3A88" w:rsidRDefault="00434136" w:rsidP="00434136">
      <w:pPr>
        <w:pStyle w:val="EndnoteText"/>
        <w:rPr>
          <w:rFonts w:ascii="Avenir Book" w:hAnsi="Avenir Book" w:cstheme="minorHAnsi"/>
        </w:rPr>
      </w:pPr>
      <w:r w:rsidRPr="006B3A88">
        <w:rPr>
          <w:rStyle w:val="EndnoteReference"/>
          <w:rFonts w:ascii="Avenir Book" w:hAnsi="Avenir Book" w:cstheme="minorHAnsi"/>
        </w:rPr>
        <w:endnoteRef/>
      </w:r>
      <w:r w:rsidRPr="006B3A88">
        <w:rPr>
          <w:rFonts w:ascii="Avenir Book" w:hAnsi="Avenir Book" w:cstheme="minorHAnsi"/>
        </w:rPr>
        <w:t xml:space="preserve"> Australian Human Rights Commission, ‘People with Disability and the Criminal Justice System’ (Submission to the Royal Commission into Violence, Abuse, Neglect and Exploitation of People with Disability, 20 March 2020), para. 121, p. 24.</w:t>
      </w:r>
    </w:p>
  </w:endnote>
  <w:endnote w:id="170">
    <w:p w14:paraId="026AA291" w14:textId="77777777" w:rsidR="00434136" w:rsidRPr="00C422B6" w:rsidRDefault="00434136" w:rsidP="00434136">
      <w:pPr>
        <w:pStyle w:val="EndnoteText"/>
        <w:rPr>
          <w:rFonts w:ascii="Avenir Book" w:hAnsi="Avenir Book" w:cstheme="minorHAnsi"/>
        </w:rPr>
      </w:pPr>
      <w:r w:rsidRPr="006B3A88">
        <w:rPr>
          <w:rStyle w:val="EndnoteReference"/>
          <w:rFonts w:ascii="Avenir Book" w:hAnsi="Avenir Book" w:cstheme="minorHAnsi"/>
        </w:rPr>
        <w:endnoteRef/>
      </w:r>
      <w:r w:rsidRPr="006B3A88">
        <w:rPr>
          <w:rFonts w:ascii="Avenir Book" w:hAnsi="Avenir Book" w:cstheme="minorHAnsi"/>
        </w:rPr>
        <w:t xml:space="preserve"> Royal Commission into Violence, Abuse, Neglect and Exploitation of People with Disability, op. cit. (Final Report, Volume 8, September 2023), Commonwealth of Australia, pp. 64-72, 81-84, 87-110; Royal Commission into Violence, Abuse, Neglect and Exploitation of People with Disability, op. cit. (Final Report, Volum</w:t>
      </w:r>
      <w:r w:rsidRPr="00437C78">
        <w:rPr>
          <w:rFonts w:ascii="Avenir Book" w:hAnsi="Avenir Book" w:cstheme="minorHAnsi"/>
        </w:rPr>
        <w:t>e 9, September 2023), Commonwealth of Australia, Chapter 6, pp. 142-143.</w:t>
      </w:r>
    </w:p>
  </w:endnote>
  <w:endnote w:id="171">
    <w:p w14:paraId="4FEB54E4" w14:textId="620340A1" w:rsidR="00434136" w:rsidRPr="006B3A88" w:rsidRDefault="00434136" w:rsidP="00434136">
      <w:pPr>
        <w:pStyle w:val="EndnoteText"/>
        <w:rPr>
          <w:rFonts w:ascii="Avenir Book" w:hAnsi="Avenir Book" w:cstheme="minorHAnsi"/>
        </w:rPr>
      </w:pPr>
      <w:r w:rsidRPr="006B3A88">
        <w:rPr>
          <w:rStyle w:val="EndnoteReference"/>
          <w:rFonts w:ascii="Avenir Book" w:hAnsi="Avenir Book" w:cstheme="minorHAnsi"/>
        </w:rPr>
        <w:endnoteRef/>
      </w:r>
      <w:r w:rsidRPr="006B3A88">
        <w:rPr>
          <w:rFonts w:ascii="Avenir Book" w:hAnsi="Avenir Book" w:cstheme="minorHAnsi"/>
        </w:rPr>
        <w:t xml:space="preserve"> Inspector of Custodial Services, ‘</w:t>
      </w:r>
      <w:hyperlink r:id="rId85" w:history="1">
        <w:r w:rsidRPr="006B3A88">
          <w:rPr>
            <w:rStyle w:val="Hyperlink"/>
            <w:rFonts w:ascii="Avenir Book" w:hAnsi="Avenir Book" w:cstheme="minorHAnsi"/>
          </w:rPr>
          <w:t>Inspection of Silverwater Women’s and Dillwynia Correctional Centres 2022</w:t>
        </w:r>
      </w:hyperlink>
      <w:r w:rsidRPr="006B3A88">
        <w:rPr>
          <w:rFonts w:ascii="Avenir Book" w:hAnsi="Avenir Book" w:cstheme="minorHAnsi"/>
        </w:rPr>
        <w:t xml:space="preserve">’ (November 2023) State of New South Wales through the Inspector of Custodial Services. </w:t>
      </w:r>
      <w:r w:rsidR="00D564B9" w:rsidRPr="006B3A88">
        <w:rPr>
          <w:rFonts w:ascii="Avenir Book" w:hAnsi="Avenir Book" w:cstheme="minorHAnsi"/>
        </w:rPr>
        <w:t xml:space="preserve">See also, </w:t>
      </w:r>
      <w:r w:rsidR="00D564B9" w:rsidRPr="006B3A88">
        <w:rPr>
          <w:rFonts w:ascii="Avenir Book" w:eastAsia="Cambria" w:hAnsi="Avenir Book" w:cstheme="minorHAnsi"/>
          <w:lang w:eastAsia="en-GB"/>
        </w:rPr>
        <w:t>Sisters Inside Inc, ‘</w:t>
      </w:r>
      <w:hyperlink r:id="rId86" w:history="1">
        <w:r w:rsidR="00D564B9" w:rsidRPr="006B3A88">
          <w:rPr>
            <w:rStyle w:val="Hyperlink"/>
            <w:rFonts w:ascii="Avenir Book" w:eastAsia="Cambria" w:hAnsi="Avenir Book" w:cstheme="minorHAnsi"/>
            <w:lang w:eastAsia="en-GB"/>
          </w:rPr>
          <w:t>Response to the Criminal Justice System Issues Paper</w:t>
        </w:r>
      </w:hyperlink>
      <w:r w:rsidR="00D564B9" w:rsidRPr="006B3A88">
        <w:rPr>
          <w:rFonts w:ascii="Avenir Book" w:eastAsia="Cambria" w:hAnsi="Avenir Book" w:cstheme="minorHAnsi"/>
          <w:lang w:eastAsia="en-GB"/>
        </w:rPr>
        <w:t>’ (Submission to the Royal Commission into Violence, Abuse, Neglect and Exploitation of People with Disability, January 2020) Sisters Inside.</w:t>
      </w:r>
    </w:p>
  </w:endnote>
  <w:endnote w:id="172">
    <w:p w14:paraId="12247BDC" w14:textId="77777777" w:rsidR="00434136" w:rsidRPr="006B3A88" w:rsidRDefault="00434136" w:rsidP="00434136">
      <w:pPr>
        <w:pStyle w:val="EndnoteText"/>
        <w:rPr>
          <w:rFonts w:ascii="Avenir Book" w:hAnsi="Avenir Book" w:cstheme="minorHAnsi"/>
        </w:rPr>
      </w:pPr>
      <w:r w:rsidRPr="006B3A88">
        <w:rPr>
          <w:rStyle w:val="EndnoteReference"/>
          <w:rFonts w:ascii="Avenir Book" w:hAnsi="Avenir Book" w:cstheme="minorHAnsi"/>
        </w:rPr>
        <w:endnoteRef/>
      </w:r>
      <w:r w:rsidRPr="006B3A88">
        <w:rPr>
          <w:rFonts w:ascii="Avenir Book" w:hAnsi="Avenir Book" w:cstheme="minorHAnsi"/>
        </w:rPr>
        <w:t xml:space="preserve"> See e.g., Royal Commission into the Protection and Detention of Children in the Northern Territory, ‘</w:t>
      </w:r>
      <w:hyperlink r:id="rId87" w:history="1">
        <w:r w:rsidRPr="006B3A88">
          <w:rPr>
            <w:rStyle w:val="Hyperlink"/>
            <w:rFonts w:ascii="Avenir Book" w:hAnsi="Avenir Book" w:cstheme="minorHAnsi"/>
          </w:rPr>
          <w:t>Final Report’</w:t>
        </w:r>
      </w:hyperlink>
      <w:r w:rsidRPr="006B3A88">
        <w:rPr>
          <w:rFonts w:ascii="Avenir Book" w:hAnsi="Avenir Book" w:cstheme="minorHAnsi"/>
        </w:rPr>
        <w:t xml:space="preserve"> (17 November 2017); Commission of Inquiry into the Tasmanian Government’s Responses to Child Sexual Abuse in Institutional Settings, </w:t>
      </w:r>
      <w:r w:rsidRPr="006B3A88">
        <w:rPr>
          <w:rFonts w:ascii="Avenir Book" w:hAnsi="Avenir Book" w:cstheme="minorHAnsi"/>
        </w:rPr>
        <w:t>‘</w:t>
      </w:r>
      <w:bookmarkStart w:id="104" w:name="OLE_LINK5"/>
      <w:bookmarkStart w:id="105" w:name="OLE_LINK6"/>
      <w:r w:rsidRPr="006B3A88">
        <w:rPr>
          <w:rFonts w:ascii="Avenir Book" w:hAnsi="Avenir Book" w:cstheme="minorHAnsi"/>
        </w:rPr>
        <w:fldChar w:fldCharType="begin"/>
      </w:r>
      <w:r w:rsidRPr="006B3A88">
        <w:rPr>
          <w:rFonts w:ascii="Avenir Book" w:hAnsi="Avenir Book" w:cstheme="minorHAnsi"/>
        </w:rPr>
        <w:instrText>HYPERLINK "Who%20was%20looking%20after%20me%3F%20Prioritising%20the%20safety%20of%20Tasmanian%20children"</w:instrText>
      </w:r>
      <w:r w:rsidRPr="006B3A88">
        <w:rPr>
          <w:rFonts w:ascii="Avenir Book" w:hAnsi="Avenir Book" w:cstheme="minorHAnsi"/>
        </w:rPr>
      </w:r>
      <w:r w:rsidRPr="006B3A88">
        <w:rPr>
          <w:rFonts w:ascii="Avenir Book" w:hAnsi="Avenir Book" w:cstheme="minorHAnsi"/>
        </w:rPr>
        <w:fldChar w:fldCharType="separate"/>
      </w:r>
      <w:r w:rsidRPr="006B3A88">
        <w:rPr>
          <w:rStyle w:val="Hyperlink"/>
          <w:rFonts w:ascii="Avenir Book" w:hAnsi="Avenir Book" w:cstheme="minorHAnsi"/>
        </w:rPr>
        <w:t>Who was looking after me? Prioritising the safety of Tasmanian children</w:t>
      </w:r>
      <w:bookmarkEnd w:id="104"/>
      <w:bookmarkEnd w:id="105"/>
      <w:r w:rsidRPr="006B3A88">
        <w:rPr>
          <w:rFonts w:ascii="Avenir Book" w:hAnsi="Avenir Book" w:cstheme="minorHAnsi"/>
        </w:rPr>
        <w:fldChar w:fldCharType="end"/>
      </w:r>
      <w:r w:rsidRPr="006B3A88">
        <w:rPr>
          <w:rFonts w:ascii="Avenir Book" w:hAnsi="Avenir Book" w:cstheme="minorHAnsi"/>
        </w:rPr>
        <w:t>’ (August 2023) Volume 5; Will Murray, ‘</w:t>
      </w:r>
      <w:hyperlink r:id="rId88" w:history="1">
        <w:r w:rsidRPr="006B3A88">
          <w:rPr>
            <w:rStyle w:val="Hyperlink"/>
            <w:rFonts w:ascii="Avenir Book" w:hAnsi="Avenir Book" w:cstheme="minorHAnsi"/>
          </w:rPr>
          <w:t>Ashley Youth Detention Centre guards forced child to perform sexual acts to get his medication, inquiry hears</w:t>
        </w:r>
      </w:hyperlink>
      <w:r w:rsidRPr="006B3A88">
        <w:rPr>
          <w:rFonts w:ascii="Avenir Book" w:hAnsi="Avenir Book" w:cstheme="minorHAnsi"/>
        </w:rPr>
        <w:t>’ (ABC News, 18 August 2022); Australian Associated Press, ‘</w:t>
      </w:r>
      <w:hyperlink r:id="rId89" w:history="1">
        <w:r w:rsidRPr="006B3A88">
          <w:rPr>
            <w:rStyle w:val="Hyperlink"/>
            <w:rFonts w:ascii="Avenir Book" w:hAnsi="Avenir Book" w:cstheme="minorHAnsi"/>
          </w:rPr>
          <w:t>Staff at Tasmanian youth detention centre provoked fights ‘for sport’, former detainee says</w:t>
        </w:r>
      </w:hyperlink>
      <w:r w:rsidRPr="006B3A88">
        <w:rPr>
          <w:rFonts w:ascii="Avenir Book" w:hAnsi="Avenir Book" w:cstheme="minorHAnsi"/>
        </w:rPr>
        <w:t>’ (The Guardian, 25 August 2022); Grace Tobin and Patrick Begley, ‘</w:t>
      </w:r>
      <w:hyperlink r:id="rId90" w:history="1">
        <w:r w:rsidRPr="006B3A88">
          <w:rPr>
            <w:rStyle w:val="Hyperlink"/>
            <w:rFonts w:ascii="Avenir Book" w:hAnsi="Avenir Book" w:cstheme="minorHAnsi"/>
          </w:rPr>
          <w:t>The hidden report that spells out the dismal failures of youth detention policy in Australia</w:t>
        </w:r>
      </w:hyperlink>
      <w:r w:rsidRPr="006B3A88">
        <w:rPr>
          <w:rFonts w:ascii="Avenir Book" w:hAnsi="Avenir Book" w:cstheme="minorHAnsi"/>
        </w:rPr>
        <w:t>’ (ABC News, 25 November 2022); Sarah Collard, ‘</w:t>
      </w:r>
      <w:hyperlink r:id="rId91" w:history="1">
        <w:r w:rsidRPr="006B3A88">
          <w:rPr>
            <w:rStyle w:val="Hyperlink"/>
            <w:rFonts w:ascii="Avenir Book" w:hAnsi="Avenir Book" w:cstheme="minorHAnsi"/>
          </w:rPr>
          <w:t>Banksia hill: autistic teenage girl ‘treated like a dog’ at detention centre, class action alleges</w:t>
        </w:r>
      </w:hyperlink>
      <w:r w:rsidRPr="006B3A88">
        <w:rPr>
          <w:rFonts w:ascii="Avenir Book" w:hAnsi="Avenir Book" w:cstheme="minorHAnsi"/>
        </w:rPr>
        <w:t>’ (13 January 2023) The Guardian.</w:t>
      </w:r>
    </w:p>
  </w:endnote>
  <w:endnote w:id="173">
    <w:p w14:paraId="1CB066EA" w14:textId="77777777" w:rsidR="00434136" w:rsidRPr="006B3A88" w:rsidRDefault="00434136" w:rsidP="00434136">
      <w:pPr>
        <w:spacing w:line="276" w:lineRule="auto"/>
        <w:rPr>
          <w:rFonts w:ascii="Avenir Book" w:hAnsi="Avenir Book" w:cstheme="minorHAnsi"/>
          <w:bCs/>
          <w:sz w:val="20"/>
          <w:szCs w:val="20"/>
        </w:rPr>
      </w:pPr>
      <w:r w:rsidRPr="006B3A88">
        <w:rPr>
          <w:rStyle w:val="EndnoteReference"/>
          <w:rFonts w:ascii="Avenir Book" w:hAnsi="Avenir Book" w:cstheme="minorHAnsi"/>
          <w:sz w:val="20"/>
          <w:szCs w:val="20"/>
        </w:rPr>
        <w:endnoteRef/>
      </w:r>
      <w:r w:rsidRPr="006B3A88">
        <w:rPr>
          <w:rFonts w:ascii="Avenir Book" w:hAnsi="Avenir Book" w:cstheme="minorHAnsi"/>
          <w:sz w:val="20"/>
          <w:szCs w:val="20"/>
        </w:rPr>
        <w:t xml:space="preserve"> See e.g., Ben Smee, ‘</w:t>
      </w:r>
      <w:hyperlink r:id="rId92" w:history="1">
        <w:r w:rsidRPr="006B3A88">
          <w:rPr>
            <w:rStyle w:val="Hyperlink"/>
            <w:rFonts w:ascii="Avenir Book" w:hAnsi="Avenir Book" w:cstheme="minorHAnsi"/>
            <w:sz w:val="20"/>
            <w:szCs w:val="20"/>
          </w:rPr>
          <w:t>Psychologist treating children in Cairns watch house warns of ‘horrendous’ and ‘inhumane’ conditions</w:t>
        </w:r>
      </w:hyperlink>
      <w:r w:rsidRPr="006B3A88">
        <w:rPr>
          <w:rFonts w:ascii="Avenir Book" w:hAnsi="Avenir Book" w:cstheme="minorHAnsi"/>
          <w:sz w:val="20"/>
          <w:szCs w:val="20"/>
        </w:rPr>
        <w:t>’ (16 January 2024) The Guardian; Grace Burmas, ‘</w:t>
      </w:r>
      <w:hyperlink r:id="rId93" w:history="1">
        <w:r w:rsidRPr="006B3A88">
          <w:rPr>
            <w:rStyle w:val="Hyperlink"/>
            <w:rFonts w:ascii="Avenir Book" w:hAnsi="Avenir Book" w:cstheme="minorHAnsi"/>
            <w:sz w:val="20"/>
            <w:szCs w:val="20"/>
          </w:rPr>
          <w:t>Seventeen Banksia Hill juvenile inmates moved to Casuarina Prison</w:t>
        </w:r>
      </w:hyperlink>
      <w:r w:rsidRPr="006B3A88">
        <w:rPr>
          <w:rFonts w:ascii="Avenir Book" w:hAnsi="Avenir Book" w:cstheme="minorHAnsi"/>
          <w:sz w:val="20"/>
          <w:szCs w:val="20"/>
        </w:rPr>
        <w:t>’ (21 July 2022) ABC News; Piero Moraro, ‘</w:t>
      </w:r>
      <w:hyperlink r:id="rId94" w:history="1">
        <w:r w:rsidRPr="006B3A88">
          <w:rPr>
            <w:rStyle w:val="Hyperlink"/>
            <w:rFonts w:ascii="Avenir Book" w:hAnsi="Avenir Book" w:cstheme="minorHAnsi"/>
            <w:sz w:val="20"/>
            <w:szCs w:val="20"/>
          </w:rPr>
          <w:t>Sending teens to maximum security prisons shows Australia needs to raise the age of criminal responsibility</w:t>
        </w:r>
      </w:hyperlink>
      <w:r w:rsidRPr="006B3A88">
        <w:rPr>
          <w:rFonts w:ascii="Avenir Book" w:hAnsi="Avenir Book" w:cstheme="minorHAnsi"/>
          <w:sz w:val="20"/>
          <w:szCs w:val="20"/>
        </w:rPr>
        <w:t xml:space="preserve">’ (11 August 2022) The Conversation; Willacy, M. &amp; and Blucher, A. (18 Jun 2019) </w:t>
      </w:r>
      <w:hyperlink r:id="rId95" w:history="1">
        <w:r w:rsidRPr="006B3A88">
          <w:rPr>
            <w:rStyle w:val="Hyperlink"/>
            <w:rFonts w:ascii="Avenir Book" w:hAnsi="Avenir Book" w:cstheme="minorHAnsi"/>
            <w:sz w:val="20"/>
            <w:szCs w:val="20"/>
          </w:rPr>
          <w:t>Boy kept 'completely naked' in Brisbane watch house for days</w:t>
        </w:r>
      </w:hyperlink>
      <w:r w:rsidRPr="006B3A88">
        <w:rPr>
          <w:rFonts w:ascii="Avenir Book" w:hAnsi="Avenir Book" w:cstheme="minorHAnsi"/>
          <w:sz w:val="20"/>
          <w:szCs w:val="20"/>
        </w:rPr>
        <w:t xml:space="preserve">. ABC Investigations. </w:t>
      </w:r>
    </w:p>
  </w:endnote>
  <w:endnote w:id="174">
    <w:p w14:paraId="3668D721" w14:textId="77777777" w:rsidR="00434136" w:rsidRPr="006B3A88" w:rsidRDefault="00434136" w:rsidP="00434136">
      <w:pPr>
        <w:pStyle w:val="EndnoteText"/>
        <w:rPr>
          <w:rFonts w:ascii="Avenir Book" w:hAnsi="Avenir Book" w:cstheme="minorHAnsi"/>
        </w:rPr>
      </w:pPr>
      <w:r w:rsidRPr="006B3A88">
        <w:rPr>
          <w:rStyle w:val="EndnoteReference"/>
          <w:rFonts w:ascii="Avenir Book" w:hAnsi="Avenir Book" w:cstheme="minorHAnsi"/>
        </w:rPr>
        <w:endnoteRef/>
      </w:r>
      <w:r w:rsidRPr="006B3A88">
        <w:rPr>
          <w:rFonts w:ascii="Avenir Book" w:hAnsi="Avenir Book" w:cstheme="minorHAnsi"/>
        </w:rPr>
        <w:t xml:space="preserve"> Andrew Messenger and Eden Gillespie, ‘</w:t>
      </w:r>
      <w:hyperlink r:id="rId96" w:history="1">
        <w:r w:rsidRPr="006B3A88">
          <w:rPr>
            <w:rStyle w:val="Hyperlink"/>
            <w:rFonts w:ascii="Avenir Book" w:hAnsi="Avenir Book" w:cstheme="minorHAnsi"/>
          </w:rPr>
          <w:t>Absolute dog act: Queensland Labor criticised for shock move to override state’s Human Rights Act</w:t>
        </w:r>
      </w:hyperlink>
      <w:r w:rsidRPr="006B3A88">
        <w:rPr>
          <w:rFonts w:ascii="Avenir Book" w:hAnsi="Avenir Book" w:cstheme="minorHAnsi"/>
        </w:rPr>
        <w:t>’ (23 August 2023) The Guardian; Tobias Jurss-Lewis and Kate McKenna, ‘</w:t>
      </w:r>
      <w:hyperlink r:id="rId97" w:history="1">
        <w:r w:rsidRPr="006B3A88">
          <w:rPr>
            <w:rStyle w:val="Hyperlink"/>
            <w:rFonts w:ascii="Avenir Book" w:hAnsi="Avenir Book" w:cstheme="minorHAnsi"/>
          </w:rPr>
          <w:t>Queensland to allow police watch houses to be used as youth detention centres, overriding Human Rights Act, in proposed law change</w:t>
        </w:r>
      </w:hyperlink>
      <w:r w:rsidRPr="006B3A88">
        <w:rPr>
          <w:rFonts w:ascii="Avenir Book" w:hAnsi="Avenir Book" w:cstheme="minorHAnsi"/>
        </w:rPr>
        <w:t>’ (23 August 2023) ABC News.</w:t>
      </w:r>
    </w:p>
  </w:endnote>
  <w:endnote w:id="175">
    <w:p w14:paraId="6F11E8B3" w14:textId="77777777" w:rsidR="00434136" w:rsidRPr="006B3A88" w:rsidRDefault="00434136" w:rsidP="00434136">
      <w:pPr>
        <w:pStyle w:val="EndnoteText"/>
        <w:rPr>
          <w:rFonts w:ascii="Avenir Book" w:hAnsi="Avenir Book" w:cstheme="minorHAnsi"/>
        </w:rPr>
      </w:pPr>
      <w:r w:rsidRPr="006B3A88">
        <w:rPr>
          <w:rStyle w:val="EndnoteReference"/>
          <w:rFonts w:ascii="Avenir Book" w:hAnsi="Avenir Book" w:cstheme="minorHAnsi"/>
        </w:rPr>
        <w:endnoteRef/>
      </w:r>
      <w:r w:rsidRPr="006B3A88">
        <w:rPr>
          <w:rFonts w:ascii="Avenir Book" w:hAnsi="Avenir Book" w:cstheme="minorHAnsi"/>
        </w:rPr>
        <w:t xml:space="preserve"> Royal Commission into Violence, Abuse, Neglect and Exploitation of People with Disability, op. cit. (Final Report, Volume 8, September 2023), Commonwealth of Australia, pp. 52-63.</w:t>
      </w:r>
    </w:p>
  </w:endnote>
  <w:endnote w:id="176">
    <w:p w14:paraId="1D190175" w14:textId="77777777" w:rsidR="00434136" w:rsidRPr="006B3A88" w:rsidRDefault="00434136" w:rsidP="00434136">
      <w:pPr>
        <w:pStyle w:val="EndnoteText"/>
        <w:rPr>
          <w:rFonts w:ascii="Avenir Book" w:hAnsi="Avenir Book" w:cstheme="minorHAnsi"/>
        </w:rPr>
      </w:pPr>
      <w:r w:rsidRPr="006B3A88">
        <w:rPr>
          <w:rStyle w:val="EndnoteReference"/>
          <w:rFonts w:ascii="Avenir Book" w:hAnsi="Avenir Book" w:cstheme="minorHAnsi"/>
        </w:rPr>
        <w:endnoteRef/>
      </w:r>
      <w:r w:rsidRPr="006B3A88">
        <w:rPr>
          <w:rFonts w:ascii="Avenir Book" w:hAnsi="Avenir Book" w:cstheme="minorHAnsi"/>
        </w:rPr>
        <w:t xml:space="preserve"> See e.g., </w:t>
      </w:r>
      <w:hyperlink r:id="rId98" w:anchor=":~:text=The%20Royal%20Commission%20was%20established,General%20on%2016%20October%201987." w:history="1">
        <w:r w:rsidRPr="006B3A88">
          <w:rPr>
            <w:rStyle w:val="Hyperlink"/>
            <w:rFonts w:ascii="Avenir Book" w:hAnsi="Avenir Book" w:cstheme="minorHAnsi"/>
          </w:rPr>
          <w:t>Royal Commission into Aboriginal Deaths in Custody</w:t>
        </w:r>
      </w:hyperlink>
      <w:r w:rsidRPr="006B3A88">
        <w:rPr>
          <w:rFonts w:ascii="Avenir Book" w:hAnsi="Avenir Book" w:cstheme="minorHAnsi"/>
        </w:rPr>
        <w:t xml:space="preserve"> (1987-1991); </w:t>
      </w:r>
      <w:hyperlink r:id="rId99" w:history="1">
        <w:r w:rsidRPr="006B3A88">
          <w:rPr>
            <w:rStyle w:val="Hyperlink"/>
            <w:rFonts w:ascii="Avenir Book" w:hAnsi="Avenir Book" w:cstheme="minorHAnsi"/>
          </w:rPr>
          <w:t>Royal Commission into the Protection and Detention of Children in the Northern Territory</w:t>
        </w:r>
      </w:hyperlink>
      <w:r w:rsidRPr="006B3A88">
        <w:rPr>
          <w:rFonts w:ascii="Avenir Book" w:hAnsi="Avenir Book" w:cstheme="minorHAnsi"/>
        </w:rPr>
        <w:t xml:space="preserve"> (2016-2017); </w:t>
      </w:r>
      <w:hyperlink r:id="rId100" w:history="1">
        <w:r w:rsidRPr="006B3A88">
          <w:rPr>
            <w:rStyle w:val="Hyperlink"/>
            <w:rFonts w:ascii="Avenir Book" w:hAnsi="Avenir Book" w:cstheme="minorHAnsi"/>
          </w:rPr>
          <w:t>Commission of Inquiry into the Tasmanian Government’s Responses to Child Sexual Abuse in Institutional Settings</w:t>
        </w:r>
      </w:hyperlink>
      <w:r w:rsidRPr="006B3A88">
        <w:rPr>
          <w:rFonts w:ascii="Avenir Book" w:hAnsi="Avenir Book" w:cstheme="minorHAnsi"/>
        </w:rPr>
        <w:t xml:space="preserve"> (2021-2023); </w:t>
      </w:r>
      <w:hyperlink r:id="rId101" w:history="1">
        <w:r w:rsidRPr="006B3A88">
          <w:rPr>
            <w:rStyle w:val="Hyperlink"/>
            <w:rFonts w:ascii="Avenir Book" w:hAnsi="Avenir Book" w:cstheme="minorHAnsi"/>
          </w:rPr>
          <w:t>Inquiry into Incarceration rates of Aboriginal and Torres Strait Islander peoples</w:t>
        </w:r>
      </w:hyperlink>
      <w:r w:rsidRPr="006B3A88">
        <w:rPr>
          <w:rFonts w:ascii="Avenir Book" w:hAnsi="Avenir Book" w:cstheme="minorHAnsi"/>
        </w:rPr>
        <w:t xml:space="preserve"> (Australian Law Reform Commission, 2017); </w:t>
      </w:r>
      <w:hyperlink r:id="rId102" w:history="1">
        <w:r w:rsidRPr="006B3A88">
          <w:rPr>
            <w:rStyle w:val="Hyperlink"/>
            <w:rFonts w:ascii="Avenir Book" w:hAnsi="Avenir Book" w:cstheme="minorHAnsi"/>
          </w:rPr>
          <w:t>Inquiry into Indefinite detention of people with cognitive and psychiatric impairment in Australia</w:t>
        </w:r>
      </w:hyperlink>
      <w:r w:rsidRPr="006B3A88">
        <w:rPr>
          <w:rFonts w:ascii="Avenir Book" w:hAnsi="Avenir Book" w:cstheme="minorHAnsi"/>
        </w:rPr>
        <w:t xml:space="preserve"> (Senate Community Affairs References Committee, 2016).</w:t>
      </w:r>
    </w:p>
  </w:endnote>
  <w:endnote w:id="177">
    <w:p w14:paraId="6359A4AB" w14:textId="77777777" w:rsidR="00434136" w:rsidRPr="006B3A88" w:rsidRDefault="00434136" w:rsidP="00434136">
      <w:pPr>
        <w:pStyle w:val="EndnoteText"/>
        <w:rPr>
          <w:rFonts w:ascii="Avenir Book" w:hAnsi="Avenir Book" w:cstheme="minorHAnsi"/>
        </w:rPr>
      </w:pPr>
      <w:r w:rsidRPr="006B3A88">
        <w:rPr>
          <w:rStyle w:val="EndnoteReference"/>
          <w:rFonts w:ascii="Avenir Book" w:hAnsi="Avenir Book" w:cstheme="minorHAnsi"/>
        </w:rPr>
        <w:endnoteRef/>
      </w:r>
      <w:r w:rsidRPr="006B3A88">
        <w:rPr>
          <w:rFonts w:ascii="Avenir Book" w:hAnsi="Avenir Book" w:cstheme="minorHAnsi"/>
        </w:rPr>
        <w:t xml:space="preserve"> Senior Counsel Assisting the Commission Peter Callaghan SC quoted in Royal Commission into the Protection and Detention of Children in the Northern Territory, ‘</w:t>
      </w:r>
      <w:hyperlink r:id="rId103" w:history="1">
        <w:r w:rsidRPr="006B3A88">
          <w:rPr>
            <w:rStyle w:val="Hyperlink"/>
            <w:rFonts w:ascii="Avenir Book" w:hAnsi="Avenir Book" w:cstheme="minorHAnsi"/>
          </w:rPr>
          <w:t>Interim Report</w:t>
        </w:r>
      </w:hyperlink>
      <w:r w:rsidRPr="006B3A88">
        <w:rPr>
          <w:rFonts w:ascii="Avenir Book" w:hAnsi="Avenir Book" w:cstheme="minorHAnsi"/>
        </w:rPr>
        <w:t>’ (31 March 2017) Commonwealth of Australia, p. 7.</w:t>
      </w:r>
    </w:p>
  </w:endnote>
  <w:endnote w:id="178">
    <w:p w14:paraId="010F12AF" w14:textId="77777777" w:rsidR="00434136" w:rsidRPr="006B3A88" w:rsidRDefault="00434136" w:rsidP="00434136">
      <w:pPr>
        <w:pStyle w:val="EndnoteText"/>
        <w:rPr>
          <w:rFonts w:ascii="Avenir Book" w:hAnsi="Avenir Book" w:cstheme="minorHAnsi"/>
        </w:rPr>
      </w:pPr>
      <w:r w:rsidRPr="006B3A88">
        <w:rPr>
          <w:rStyle w:val="EndnoteReference"/>
          <w:rFonts w:ascii="Avenir Book" w:hAnsi="Avenir Book" w:cstheme="minorHAnsi"/>
        </w:rPr>
        <w:endnoteRef/>
      </w:r>
      <w:r w:rsidRPr="006B3A88">
        <w:rPr>
          <w:rFonts w:ascii="Avenir Book" w:hAnsi="Avenir Book" w:cstheme="minorHAnsi"/>
        </w:rPr>
        <w:t xml:space="preserve"> Recommendations 8.1-8.24, 9.3, 11.6–11.11 in Royal Commission into Violence, Abuse, Neglect and Exploitation of People with Disability, ‘Final Report – Executive Summary, Our vision for an inclusive Australia and Recommendations’, (September 2023), Commonwealth of Australia, pp. 270-279, 280, 303-305.</w:t>
      </w:r>
    </w:p>
  </w:endnote>
  <w:endnote w:id="179">
    <w:p w14:paraId="3A4C7FE4" w14:textId="77777777" w:rsidR="00434136" w:rsidRPr="006B3A88" w:rsidRDefault="00434136" w:rsidP="00434136">
      <w:pPr>
        <w:pStyle w:val="EndnoteText"/>
        <w:rPr>
          <w:rFonts w:ascii="Avenir Book" w:hAnsi="Avenir Book"/>
        </w:rPr>
      </w:pPr>
      <w:r w:rsidRPr="006B3A88">
        <w:rPr>
          <w:rStyle w:val="EndnoteReference"/>
          <w:rFonts w:ascii="Avenir Book" w:hAnsi="Avenir Book"/>
        </w:rPr>
        <w:endnoteRef/>
      </w:r>
      <w:r w:rsidRPr="006B3A88">
        <w:rPr>
          <w:rFonts w:ascii="Avenir Book" w:hAnsi="Avenir Book"/>
        </w:rPr>
        <w:t xml:space="preserve"> </w:t>
      </w:r>
      <w:r w:rsidRPr="006B3A88">
        <w:rPr>
          <w:rFonts w:ascii="Avenir Book" w:hAnsi="Avenir Book" w:cstheme="minorHAnsi"/>
          <w:bCs/>
          <w:i/>
          <w:iCs/>
        </w:rPr>
        <w:t>Optional Protocol to the Convention against Torture and Other Cruel, Inhuman or Degrading Treatment or Punishment</w:t>
      </w:r>
      <w:r w:rsidRPr="006B3A88">
        <w:rPr>
          <w:rFonts w:ascii="Avenir Book" w:hAnsi="Avenir Book" w:cstheme="minorHAnsi"/>
          <w:bCs/>
        </w:rPr>
        <w:t>, opened for signature 18 December 2002, 2375 UNTS 237 (entered into force 22 June 2006).</w:t>
      </w:r>
    </w:p>
  </w:endnote>
  <w:endnote w:id="180">
    <w:p w14:paraId="5EB34653" w14:textId="7EC9DE9A" w:rsidR="00C209E1" w:rsidRPr="00C209E1" w:rsidRDefault="00C209E1">
      <w:pPr>
        <w:pStyle w:val="EndnoteText"/>
        <w:rPr>
          <w:rFonts w:ascii="Avenir Book" w:hAnsi="Avenir Book" w:cstheme="minorHAnsi"/>
        </w:rPr>
      </w:pPr>
      <w:r>
        <w:rPr>
          <w:rStyle w:val="EndnoteReference"/>
        </w:rPr>
        <w:endnoteRef/>
      </w:r>
      <w:r>
        <w:t xml:space="preserve"> </w:t>
      </w:r>
      <w:r w:rsidRPr="006B3A88">
        <w:rPr>
          <w:rFonts w:ascii="Avenir Book" w:hAnsi="Avenir Book" w:cstheme="minorHAnsi"/>
        </w:rPr>
        <w:t xml:space="preserve">Royal Commission into Violence, Abuse, Neglect and Exploitation of People with Disability, op. cit. (Final Report, Volume 8, September 2023), Commonwealth of Australia, </w:t>
      </w:r>
      <w:r w:rsidR="009C0241">
        <w:rPr>
          <w:rFonts w:ascii="Avenir Book" w:hAnsi="Avenir Book" w:cstheme="minorHAnsi"/>
        </w:rPr>
        <w:t xml:space="preserve">recommendation 8.3a, </w:t>
      </w:r>
      <w:r w:rsidRPr="006B3A88">
        <w:rPr>
          <w:rFonts w:ascii="Avenir Book" w:hAnsi="Avenir Book" w:cstheme="minorHAnsi"/>
        </w:rPr>
        <w:t>p</w:t>
      </w:r>
      <w:r>
        <w:rPr>
          <w:rFonts w:ascii="Avenir Book" w:hAnsi="Avenir Book" w:cstheme="minorHAnsi"/>
        </w:rPr>
        <w:t>.</w:t>
      </w:r>
      <w:r w:rsidR="009C0241">
        <w:rPr>
          <w:rFonts w:ascii="Avenir Book" w:hAnsi="Avenir Book" w:cstheme="minorHAnsi"/>
        </w:rPr>
        <w:t xml:space="preserve"> 18.</w:t>
      </w:r>
    </w:p>
  </w:endnote>
  <w:endnote w:id="181">
    <w:p w14:paraId="23D33023" w14:textId="77777777" w:rsidR="00434136" w:rsidRPr="006B3A88" w:rsidRDefault="00434136" w:rsidP="00434136">
      <w:pPr>
        <w:pStyle w:val="EndnoteText"/>
        <w:rPr>
          <w:rFonts w:ascii="Avenir Book" w:hAnsi="Avenir Book" w:cstheme="minorHAnsi"/>
        </w:rPr>
      </w:pPr>
      <w:r w:rsidRPr="006B3A88">
        <w:rPr>
          <w:rStyle w:val="EndnoteReference"/>
          <w:rFonts w:ascii="Avenir Book" w:hAnsi="Avenir Book" w:cstheme="minorHAnsi"/>
        </w:rPr>
        <w:endnoteRef/>
      </w:r>
      <w:r w:rsidRPr="006B3A88">
        <w:rPr>
          <w:rFonts w:ascii="Avenir Book" w:hAnsi="Avenir Book" w:cstheme="minorHAnsi"/>
        </w:rPr>
        <w:t xml:space="preserve"> Australian Institute of Health and Welfare, ‘</w:t>
      </w:r>
      <w:hyperlink r:id="rId104" w:anchor="how-many-10-13" w:history="1">
        <w:r w:rsidRPr="006B3A88">
          <w:rPr>
            <w:rStyle w:val="Hyperlink"/>
            <w:rFonts w:ascii="Avenir Book" w:hAnsi="Avenir Book" w:cstheme="minorHAnsi"/>
          </w:rPr>
          <w:t>Youth detention population in Australia 2023</w:t>
        </w:r>
      </w:hyperlink>
      <w:r w:rsidRPr="006B3A88">
        <w:rPr>
          <w:rFonts w:ascii="Avenir Book" w:hAnsi="Avenir Book" w:cstheme="minorHAnsi"/>
        </w:rPr>
        <w:t xml:space="preserve">’ (Website information, 13 December 2023). </w:t>
      </w:r>
    </w:p>
  </w:endnote>
  <w:endnote w:id="182">
    <w:p w14:paraId="77EA79A4" w14:textId="77777777" w:rsidR="00434136" w:rsidRPr="006B3A88" w:rsidRDefault="00434136" w:rsidP="00434136">
      <w:pPr>
        <w:pStyle w:val="EndnoteText"/>
        <w:rPr>
          <w:rFonts w:ascii="Avenir Book" w:hAnsi="Avenir Book" w:cstheme="minorHAnsi"/>
        </w:rPr>
      </w:pPr>
      <w:r w:rsidRPr="006B3A88">
        <w:rPr>
          <w:rStyle w:val="EndnoteReference"/>
          <w:rFonts w:ascii="Avenir Book" w:hAnsi="Avenir Book" w:cstheme="minorHAnsi"/>
        </w:rPr>
        <w:endnoteRef/>
      </w:r>
      <w:r w:rsidRPr="006B3A88">
        <w:rPr>
          <w:rFonts w:ascii="Avenir Book" w:hAnsi="Avenir Book" w:cstheme="minorHAnsi"/>
        </w:rPr>
        <w:t xml:space="preserve"> </w:t>
      </w:r>
      <w:hyperlink r:id="rId105" w:history="1">
        <w:r w:rsidRPr="006B3A88">
          <w:rPr>
            <w:rStyle w:val="Hyperlink"/>
            <w:rFonts w:ascii="Avenir Book" w:hAnsi="Avenir Book" w:cstheme="minorHAnsi"/>
            <w:i/>
            <w:iCs/>
          </w:rPr>
          <w:t>United Nations Standard Minimum Rules for the Treatment of Prisoners (the Nelson Mandela Rules)</w:t>
        </w:r>
      </w:hyperlink>
      <w:r w:rsidRPr="006B3A88">
        <w:rPr>
          <w:rFonts w:ascii="Avenir Book" w:hAnsi="Avenir Book" w:cstheme="minorHAnsi"/>
        </w:rPr>
        <w:t>, GA Res 70/175, UNODC, adopted 17 December 2015.</w:t>
      </w:r>
    </w:p>
  </w:endnote>
  <w:endnote w:id="183">
    <w:p w14:paraId="79497AFE" w14:textId="77777777" w:rsidR="00434136" w:rsidRPr="006B3A88" w:rsidRDefault="00434136" w:rsidP="00434136">
      <w:pPr>
        <w:pStyle w:val="EndnoteText"/>
        <w:rPr>
          <w:rFonts w:ascii="Avenir Book" w:hAnsi="Avenir Book" w:cstheme="minorHAnsi"/>
        </w:rPr>
      </w:pPr>
      <w:r w:rsidRPr="006B3A88">
        <w:rPr>
          <w:rStyle w:val="EndnoteReference"/>
          <w:rFonts w:ascii="Avenir Book" w:hAnsi="Avenir Book" w:cstheme="minorHAnsi"/>
        </w:rPr>
        <w:endnoteRef/>
      </w:r>
      <w:r w:rsidRPr="006B3A88">
        <w:rPr>
          <w:rFonts w:ascii="Avenir Book" w:hAnsi="Avenir Book" w:cstheme="minorHAnsi"/>
        </w:rPr>
        <w:t xml:space="preserve"> Human Rights Law Centre, ‘</w:t>
      </w:r>
      <w:hyperlink r:id="rId106" w:history="1">
        <w:r w:rsidRPr="006B3A88">
          <w:rPr>
            <w:rStyle w:val="Hyperlink"/>
            <w:rFonts w:ascii="Avenir Book" w:hAnsi="Avenir Book" w:cstheme="minorHAnsi"/>
          </w:rPr>
          <w:t>Explainer: Solitary confinement</w:t>
        </w:r>
      </w:hyperlink>
      <w:r w:rsidRPr="006B3A88">
        <w:rPr>
          <w:rFonts w:ascii="Avenir Book" w:hAnsi="Avenir Book" w:cstheme="minorHAnsi"/>
        </w:rPr>
        <w:t>’ (website information)</w:t>
      </w:r>
    </w:p>
  </w:endnote>
  <w:endnote w:id="184">
    <w:p w14:paraId="13004A34" w14:textId="0098E6DC" w:rsidR="00434136" w:rsidRPr="006B3A88" w:rsidRDefault="00434136" w:rsidP="00434136">
      <w:pPr>
        <w:pStyle w:val="EndnoteText"/>
        <w:rPr>
          <w:rFonts w:ascii="Avenir Book" w:hAnsi="Avenir Book" w:cstheme="minorHAnsi"/>
        </w:rPr>
      </w:pPr>
      <w:r w:rsidRPr="006B3A88">
        <w:rPr>
          <w:rStyle w:val="EndnoteReference"/>
          <w:rFonts w:ascii="Avenir Book" w:hAnsi="Avenir Book" w:cstheme="minorHAnsi"/>
        </w:rPr>
        <w:endnoteRef/>
      </w:r>
      <w:r w:rsidRPr="006B3A88">
        <w:rPr>
          <w:rFonts w:ascii="Avenir Book" w:hAnsi="Avenir Book" w:cstheme="minorHAnsi"/>
        </w:rPr>
        <w:t xml:space="preserve"> Royal Commission into Violence, Abuse, Neglect and Exploitation of People with Disability, op. cit. (Final Report, Volume 8, September 2023), Commonwealth of Australia, p. 4.</w:t>
      </w:r>
    </w:p>
  </w:endnote>
  <w:endnote w:id="185">
    <w:p w14:paraId="0D2B5DF9" w14:textId="77777777" w:rsidR="00434136" w:rsidRPr="006B3A88" w:rsidRDefault="00434136" w:rsidP="00434136">
      <w:pPr>
        <w:pStyle w:val="EndnoteText"/>
        <w:rPr>
          <w:rFonts w:ascii="Avenir Book" w:hAnsi="Avenir Book" w:cstheme="minorHAnsi"/>
        </w:rPr>
      </w:pPr>
      <w:r w:rsidRPr="006B3A88">
        <w:rPr>
          <w:rStyle w:val="EndnoteReference"/>
          <w:rFonts w:ascii="Avenir Book" w:hAnsi="Avenir Book" w:cstheme="minorHAnsi"/>
        </w:rPr>
        <w:endnoteRef/>
      </w:r>
      <w:r w:rsidRPr="006B3A88">
        <w:rPr>
          <w:rFonts w:ascii="Avenir Book" w:hAnsi="Avenir Book" w:cstheme="minorHAnsi"/>
        </w:rPr>
        <w:t xml:space="preserve"> See e.g., Australian Human Rights Commission, ‘People with Disability and the Criminal Justice System’ (Submission to the Royal Commission into Violence, Abuse, Neglect and Exploitation of People with Disability, 20 March 2020), para. 121, p. 24; Royal Commission into Violence, Abuse, Neglect and</w:t>
      </w:r>
      <w:r w:rsidRPr="00437C78">
        <w:rPr>
          <w:rFonts w:ascii="Avenir Book" w:hAnsi="Avenir Book" w:cstheme="minorHAnsi"/>
        </w:rPr>
        <w:t xml:space="preserve"> </w:t>
      </w:r>
      <w:r w:rsidRPr="006B3A88">
        <w:rPr>
          <w:rFonts w:ascii="Avenir Book" w:hAnsi="Avenir Book" w:cstheme="minorHAnsi"/>
        </w:rPr>
        <w:t>Exploitation of People with Disability, op. cit. (Final Report, Volume 8, September 2023), Commonwealth of Australia, pp. 41; Office of the Inspector of Custodial Services, ‘People in custody with a hearing impairment’ (October 2023), p.10.</w:t>
      </w:r>
    </w:p>
  </w:endnote>
  <w:endnote w:id="186">
    <w:p w14:paraId="265D602E" w14:textId="4B1B44CF" w:rsidR="00434136" w:rsidRPr="006B3A88" w:rsidRDefault="00434136" w:rsidP="00434136">
      <w:pPr>
        <w:pStyle w:val="EndnoteText"/>
        <w:rPr>
          <w:rFonts w:ascii="Avenir Book" w:hAnsi="Avenir Book" w:cstheme="minorHAnsi"/>
        </w:rPr>
      </w:pPr>
      <w:r w:rsidRPr="006B3A88">
        <w:rPr>
          <w:rStyle w:val="EndnoteReference"/>
          <w:rFonts w:ascii="Avenir Book" w:hAnsi="Avenir Book"/>
        </w:rPr>
        <w:endnoteRef/>
      </w:r>
      <w:r w:rsidRPr="006B3A88">
        <w:rPr>
          <w:rFonts w:ascii="Avenir Book" w:hAnsi="Avenir Book"/>
        </w:rPr>
        <w:t xml:space="preserve"> </w:t>
      </w:r>
      <w:r w:rsidRPr="006B3A88">
        <w:rPr>
          <w:rFonts w:ascii="Avenir Book" w:eastAsia="Times New Roman" w:hAnsi="Avenir Book" w:cstheme="minorHAnsi"/>
          <w:color w:val="000000"/>
          <w:kern w:val="28"/>
          <w:lang w:eastAsia="en-AU"/>
        </w:rPr>
        <w:t>Committee on the Rights of Persons with Disabilities, ‘</w:t>
      </w:r>
      <w:r w:rsidRPr="006B3A88">
        <w:rPr>
          <w:rFonts w:ascii="Avenir Book" w:hAnsi="Avenir Book" w:cstheme="minorHAnsi"/>
        </w:rPr>
        <w:t>Concluding observations on the combined second and third periodic reports of Australia’, 15 October 2019, UN Doc CRPD/C/AUS/CO/2-3, para. 28(g); Committee on the Rights of the Child, ‘Concluding observations on the combined fifth and sixth periodic report of Australia’, 1 November 2019, UN Doc: CRC/C/AUS/CO/5-6, para 48(g).</w:t>
      </w:r>
    </w:p>
  </w:endnote>
  <w:endnote w:id="187">
    <w:p w14:paraId="7A83F08F" w14:textId="3AA6CB42" w:rsidR="00C604F2" w:rsidRPr="006B3A88" w:rsidRDefault="00C604F2">
      <w:pPr>
        <w:pStyle w:val="EndnoteText"/>
        <w:rPr>
          <w:rFonts w:ascii="Avenir Book" w:hAnsi="Avenir Book"/>
          <w:lang w:val="en-AU"/>
        </w:rPr>
      </w:pPr>
      <w:r w:rsidRPr="006B3A88">
        <w:rPr>
          <w:rStyle w:val="EndnoteReference"/>
          <w:rFonts w:ascii="Avenir Book" w:hAnsi="Avenir Book"/>
        </w:rPr>
        <w:endnoteRef/>
      </w:r>
      <w:r w:rsidRPr="006B3A88">
        <w:rPr>
          <w:rFonts w:ascii="Avenir Book" w:hAnsi="Avenir Book"/>
        </w:rPr>
        <w:t xml:space="preserve"> </w:t>
      </w:r>
      <w:r w:rsidRPr="006B3A88">
        <w:rPr>
          <w:rFonts w:ascii="Avenir Book" w:hAnsi="Avenir Book" w:cstheme="minorHAnsi"/>
        </w:rPr>
        <w:t>Committee on the Rights of Persons with Disabilities, ‘Guidelines on article 14 of the Convention on the Rights of Persons with Disabilities – The right to liberty and security of persons with disabilities’ (2015) annex to the Report of the Committee on the Rights of Persons with Disabilities to the General Assembly, 2017, UN Doc: A/72/55, paras. 8, 16.</w:t>
      </w:r>
    </w:p>
  </w:endnote>
  <w:endnote w:id="188">
    <w:p w14:paraId="372B7732" w14:textId="6F3E12B4" w:rsidR="00C604F2" w:rsidRPr="006B3A88" w:rsidRDefault="00C604F2">
      <w:pPr>
        <w:pStyle w:val="EndnoteText"/>
        <w:rPr>
          <w:rFonts w:ascii="Avenir Book" w:hAnsi="Avenir Book"/>
          <w:lang w:val="en-AU"/>
        </w:rPr>
      </w:pPr>
      <w:r w:rsidRPr="006B3A88">
        <w:rPr>
          <w:rStyle w:val="EndnoteReference"/>
          <w:rFonts w:ascii="Avenir Book" w:hAnsi="Avenir Book"/>
        </w:rPr>
        <w:endnoteRef/>
      </w:r>
      <w:r w:rsidRPr="006B3A88">
        <w:rPr>
          <w:rFonts w:ascii="Avenir Book" w:hAnsi="Avenir Book"/>
        </w:rPr>
        <w:t xml:space="preserve"> </w:t>
      </w:r>
      <w:r w:rsidRPr="006B3A88">
        <w:rPr>
          <w:rFonts w:ascii="Avenir Book" w:hAnsi="Avenir Book"/>
          <w:lang w:val="en-AU"/>
        </w:rPr>
        <w:t>Ibid, para. 16.</w:t>
      </w:r>
    </w:p>
  </w:endnote>
  <w:endnote w:id="189">
    <w:p w14:paraId="12C62249" w14:textId="4380999E" w:rsidR="00C604F2" w:rsidRPr="006B3A88" w:rsidRDefault="00C604F2">
      <w:pPr>
        <w:pStyle w:val="EndnoteText"/>
        <w:rPr>
          <w:rFonts w:ascii="Avenir Book" w:hAnsi="Avenir Book"/>
          <w:lang w:val="en-AU"/>
        </w:rPr>
      </w:pPr>
      <w:r w:rsidRPr="006B3A88">
        <w:rPr>
          <w:rStyle w:val="EndnoteReference"/>
          <w:rFonts w:ascii="Avenir Book" w:hAnsi="Avenir Book"/>
        </w:rPr>
        <w:endnoteRef/>
      </w:r>
      <w:r w:rsidRPr="006B3A88">
        <w:rPr>
          <w:rFonts w:ascii="Avenir Book" w:hAnsi="Avenir Book"/>
        </w:rPr>
        <w:t xml:space="preserve"> </w:t>
      </w:r>
      <w:r w:rsidRPr="006B3A88">
        <w:rPr>
          <w:rFonts w:ascii="Avenir Book" w:hAnsi="Avenir Book"/>
          <w:lang w:val="en-AU"/>
        </w:rPr>
        <w:t xml:space="preserve">For a human rights analysis of current unfitness to plead laws, see McSherry B, Baldry E, Arstein-Kerslake A, Gooding P, McCausland R and Arabena K, ‘Unfitness to Plead and Indefinite Detention of Persons with Cognitive Disabilities’ (2017) Melbourne Social Equity Institute, University of Melbourne. </w:t>
      </w:r>
    </w:p>
  </w:endnote>
  <w:endnote w:id="190">
    <w:p w14:paraId="4BD24F97" w14:textId="5CF67088" w:rsidR="00C604F2" w:rsidRPr="006B3A88" w:rsidRDefault="00C604F2">
      <w:pPr>
        <w:pStyle w:val="EndnoteText"/>
        <w:rPr>
          <w:rFonts w:ascii="Avenir Book" w:hAnsi="Avenir Book"/>
          <w:lang w:val="en-AU"/>
        </w:rPr>
      </w:pPr>
      <w:r w:rsidRPr="006B3A88">
        <w:rPr>
          <w:rStyle w:val="EndnoteReference"/>
          <w:rFonts w:ascii="Avenir Book" w:hAnsi="Avenir Book"/>
        </w:rPr>
        <w:endnoteRef/>
      </w:r>
      <w:r w:rsidRPr="006B3A88">
        <w:rPr>
          <w:rFonts w:ascii="Avenir Book" w:hAnsi="Avenir Book"/>
        </w:rPr>
        <w:t xml:space="preserve"> </w:t>
      </w:r>
      <w:r w:rsidR="001726C9" w:rsidRPr="006B3A88">
        <w:rPr>
          <w:rFonts w:ascii="Avenir Book" w:hAnsi="Avenir Book" w:cstheme="minorHAnsi"/>
        </w:rPr>
        <w:t>Royal Commission into Violence, Abuse, Neglect and Exploitation of People with Disability, op. cit., (Final Report, Volume 8, September 2023), Commonwealth of Australia, pp. 147-150.</w:t>
      </w:r>
    </w:p>
  </w:endnote>
  <w:endnote w:id="191">
    <w:p w14:paraId="5480FF28" w14:textId="61D79E92" w:rsidR="001726C9" w:rsidRPr="006B3A88" w:rsidRDefault="001726C9">
      <w:pPr>
        <w:pStyle w:val="EndnoteText"/>
        <w:rPr>
          <w:rFonts w:ascii="Avenir Book" w:hAnsi="Avenir Book"/>
          <w:lang w:val="en-AU"/>
        </w:rPr>
      </w:pPr>
      <w:r w:rsidRPr="006B3A88">
        <w:rPr>
          <w:rStyle w:val="EndnoteReference"/>
          <w:rFonts w:ascii="Avenir Book" w:hAnsi="Avenir Book"/>
        </w:rPr>
        <w:endnoteRef/>
      </w:r>
      <w:r w:rsidRPr="006B3A88">
        <w:rPr>
          <w:rFonts w:ascii="Avenir Book" w:hAnsi="Avenir Book"/>
        </w:rPr>
        <w:t xml:space="preserve"> </w:t>
      </w:r>
      <w:r w:rsidRPr="006B3A88">
        <w:rPr>
          <w:rFonts w:ascii="Avenir Book" w:hAnsi="Avenir Book"/>
          <w:lang w:val="en-AU"/>
        </w:rPr>
        <w:t xml:space="preserve">Ibid, pp. 147-148. </w:t>
      </w:r>
      <w:r w:rsidR="006C424B" w:rsidRPr="006B3A88">
        <w:rPr>
          <w:rFonts w:ascii="Avenir Book" w:hAnsi="Avenir Book"/>
          <w:lang w:val="en-AU"/>
        </w:rPr>
        <w:t xml:space="preserve"> For a </w:t>
      </w:r>
      <w:r w:rsidRPr="006B3A88">
        <w:rPr>
          <w:rFonts w:ascii="Avenir Book" w:hAnsi="Avenir Book"/>
          <w:lang w:val="en-AU"/>
        </w:rPr>
        <w:t>full analysis of the Disability Justice Support Program, see McSherry B, Baldry E, Arstein-Kerslake A, Gooding P, McCausland R and Arabena K, ‘Unfitness to Plead and Indefinite Detention of Persons with Cognitive Disabilities’ (2017) Melbourne Social Equity Institute, University of Melbourne.</w:t>
      </w:r>
    </w:p>
  </w:endnote>
  <w:endnote w:id="192">
    <w:p w14:paraId="3FA8264C" w14:textId="585D9261" w:rsidR="009C2F92" w:rsidRPr="006B3A88" w:rsidRDefault="009C2F92">
      <w:pPr>
        <w:pStyle w:val="EndnoteText"/>
        <w:rPr>
          <w:rFonts w:ascii="Avenir Book" w:hAnsi="Avenir Book"/>
          <w:lang w:val="en-AU"/>
        </w:rPr>
      </w:pPr>
      <w:r w:rsidRPr="006B3A88">
        <w:rPr>
          <w:rStyle w:val="EndnoteReference"/>
          <w:rFonts w:ascii="Avenir Book" w:hAnsi="Avenir Book"/>
        </w:rPr>
        <w:endnoteRef/>
      </w:r>
      <w:r w:rsidRPr="006B3A88">
        <w:rPr>
          <w:rFonts w:ascii="Avenir Book" w:hAnsi="Avenir Book"/>
        </w:rPr>
        <w:t xml:space="preserve"> </w:t>
      </w:r>
      <w:r w:rsidRPr="006B3A88">
        <w:rPr>
          <w:rFonts w:ascii="Avenir Book" w:hAnsi="Avenir Book" w:cstheme="minorHAnsi"/>
        </w:rPr>
        <w:t>Royal Commission into Violence, Abuse, Neglect and Exploitation of People with Disability, op. cit., (Final Report, Volume 8, September 2023), Commonwealth of Australia, pp. 39-43.</w:t>
      </w:r>
    </w:p>
  </w:endnote>
  <w:endnote w:id="193">
    <w:p w14:paraId="69878F2F" w14:textId="71259584" w:rsidR="009C2F92" w:rsidRPr="006B3A88" w:rsidRDefault="009C2F92">
      <w:pPr>
        <w:pStyle w:val="EndnoteText"/>
        <w:rPr>
          <w:rFonts w:ascii="Avenir Book" w:hAnsi="Avenir Book" w:cstheme="minorHAnsi"/>
        </w:rPr>
      </w:pPr>
      <w:r w:rsidRPr="006B3A88">
        <w:rPr>
          <w:rStyle w:val="EndnoteReference"/>
          <w:rFonts w:ascii="Avenir Book" w:hAnsi="Avenir Book"/>
        </w:rPr>
        <w:endnoteRef/>
      </w:r>
      <w:r w:rsidRPr="006B3A88">
        <w:rPr>
          <w:rFonts w:ascii="Avenir Book" w:hAnsi="Avenir Book"/>
        </w:rPr>
        <w:t xml:space="preserve"> </w:t>
      </w:r>
      <w:r w:rsidRPr="006B3A88">
        <w:rPr>
          <w:rFonts w:ascii="Avenir Book" w:hAnsi="Avenir Book"/>
          <w:lang w:val="en-AU"/>
        </w:rPr>
        <w:t xml:space="preserve">See e.g. </w:t>
      </w:r>
      <w:r w:rsidR="00D564B9" w:rsidRPr="006B3A88">
        <w:rPr>
          <w:rFonts w:ascii="Avenir Book" w:hAnsi="Avenir Book" w:cstheme="minorHAnsi"/>
        </w:rPr>
        <w:t>Change the Record, ‘</w:t>
      </w:r>
      <w:hyperlink r:id="rId107" w:history="1">
        <w:r w:rsidR="00D564B9" w:rsidRPr="006B3A88">
          <w:rPr>
            <w:rStyle w:val="Hyperlink"/>
            <w:rFonts w:ascii="Avenir Book" w:hAnsi="Avenir Book" w:cstheme="minorHAnsi"/>
          </w:rPr>
          <w:t>Blueprint for Change</w:t>
        </w:r>
      </w:hyperlink>
      <w:r w:rsidR="00D564B9" w:rsidRPr="006B3A88">
        <w:rPr>
          <w:rFonts w:ascii="Avenir Book" w:hAnsi="Avenir Book" w:cstheme="minorHAnsi"/>
        </w:rPr>
        <w:t xml:space="preserve">’ (2022) Change the Record; </w:t>
      </w:r>
      <w:r w:rsidR="00D564B9" w:rsidRPr="006B3A88">
        <w:rPr>
          <w:rFonts w:ascii="Avenir Book" w:eastAsia="Cambria" w:hAnsi="Avenir Book" w:cstheme="minorHAnsi"/>
          <w:lang w:eastAsia="en-GB"/>
        </w:rPr>
        <w:t xml:space="preserve">Eileen Baldry, Ruth McCausland, Leanne Dowse, Elizabeth McEntyre, </w:t>
      </w:r>
      <w:hyperlink r:id="rId108" w:history="1">
        <w:r w:rsidR="00D564B9" w:rsidRPr="006B3A88">
          <w:rPr>
            <w:rStyle w:val="Hyperlink"/>
            <w:rFonts w:ascii="Avenir Book" w:hAnsi="Avenir Book" w:cstheme="minorHAnsi"/>
            <w:lang w:eastAsia="en-GB"/>
          </w:rPr>
          <w:t>A predictable and preventable path: Aboriginal people with mental and cognitive disabilities in the criminal justice system</w:t>
        </w:r>
      </w:hyperlink>
      <w:r w:rsidR="00D564B9" w:rsidRPr="006B3A88">
        <w:rPr>
          <w:rFonts w:ascii="Avenir Book" w:eastAsia="Cambria" w:hAnsi="Avenir Book" w:cstheme="minorHAnsi"/>
          <w:lang w:eastAsia="en-GB"/>
        </w:rPr>
        <w:t>, UNSW, October 2015; Sisters Inside Inc, ‘</w:t>
      </w:r>
      <w:hyperlink r:id="rId109" w:history="1">
        <w:r w:rsidR="00D564B9" w:rsidRPr="006B3A88">
          <w:rPr>
            <w:rStyle w:val="Hyperlink"/>
            <w:rFonts w:ascii="Avenir Book" w:eastAsia="Cambria" w:hAnsi="Avenir Book" w:cstheme="minorHAnsi"/>
            <w:lang w:eastAsia="en-GB"/>
          </w:rPr>
          <w:t>Response to the Criminal Justice System Issues Paper</w:t>
        </w:r>
      </w:hyperlink>
      <w:r w:rsidR="00D564B9" w:rsidRPr="006B3A88">
        <w:rPr>
          <w:rFonts w:ascii="Avenir Book" w:eastAsia="Cambria" w:hAnsi="Avenir Book" w:cstheme="minorHAnsi"/>
          <w:lang w:eastAsia="en-GB"/>
        </w:rPr>
        <w:t xml:space="preserve">’ (Submission to the Royal Commission into Violence, Abuse, Neglect and Exploitation of People with Disability, January 2020) Sisters Inside; Corinne Walsh, Stefanie Puszka, Francis Markham, Jody Barney, Mandy Yap, </w:t>
      </w:r>
      <w:r w:rsidR="00D75B26" w:rsidRPr="006B3A88">
        <w:rPr>
          <w:rFonts w:ascii="Avenir Book" w:eastAsia="Cambria" w:hAnsi="Avenir Book" w:cstheme="minorHAnsi"/>
          <w:lang w:eastAsia="en-GB"/>
        </w:rPr>
        <w:t>and Tony Dreise, ‘</w:t>
      </w:r>
      <w:hyperlink r:id="rId110" w:history="1">
        <w:r w:rsidR="00D75B26" w:rsidRPr="006B3A88">
          <w:rPr>
            <w:rStyle w:val="Hyperlink"/>
            <w:rFonts w:ascii="Avenir Book" w:eastAsia="Cambria" w:hAnsi="Avenir Book" w:cstheme="minorHAnsi"/>
            <w:lang w:eastAsia="en-GB"/>
          </w:rPr>
          <w:t>Supporting Indigenous people with disability in contact with the justice system: a systematic scoping review</w:t>
        </w:r>
      </w:hyperlink>
      <w:r w:rsidR="00D75B26" w:rsidRPr="006B3A88">
        <w:rPr>
          <w:rFonts w:ascii="Avenir Book" w:eastAsia="Cambria" w:hAnsi="Avenir Book" w:cstheme="minorHAnsi"/>
          <w:lang w:eastAsia="en-GB"/>
        </w:rPr>
        <w:t xml:space="preserve">’ in </w:t>
      </w:r>
      <w:r w:rsidR="00D75B26" w:rsidRPr="006B3A88">
        <w:rPr>
          <w:rFonts w:ascii="Avenir Book" w:eastAsia="Cambria" w:hAnsi="Avenir Book" w:cstheme="minorHAnsi"/>
          <w:i/>
          <w:iCs/>
          <w:lang w:eastAsia="en-GB"/>
        </w:rPr>
        <w:t>Disability &amp; Society</w:t>
      </w:r>
      <w:r w:rsidR="00D75B26" w:rsidRPr="006B3A88">
        <w:rPr>
          <w:rFonts w:ascii="Avenir Book" w:eastAsia="Cambria" w:hAnsi="Avenir Book" w:cstheme="minorHAnsi"/>
          <w:lang w:eastAsia="en-GB"/>
        </w:rPr>
        <w:t xml:space="preserve"> (2023).</w:t>
      </w:r>
    </w:p>
  </w:endnote>
  <w:endnote w:id="194">
    <w:p w14:paraId="673F86F2" w14:textId="6F281E76" w:rsidR="00434136" w:rsidRPr="006B3A88" w:rsidRDefault="00434136" w:rsidP="00434136">
      <w:pPr>
        <w:pStyle w:val="EndnoteText"/>
        <w:rPr>
          <w:rFonts w:ascii="Avenir Book" w:hAnsi="Avenir Book" w:cstheme="minorHAnsi"/>
        </w:rPr>
      </w:pPr>
      <w:r w:rsidRPr="006B3A88">
        <w:rPr>
          <w:rStyle w:val="EndnoteReference"/>
          <w:rFonts w:ascii="Avenir Book" w:hAnsi="Avenir Book" w:cstheme="minorHAnsi"/>
        </w:rPr>
        <w:endnoteRef/>
      </w:r>
      <w:r w:rsidRPr="006B3A88">
        <w:rPr>
          <w:rFonts w:ascii="Avenir Book" w:hAnsi="Avenir Book" w:cstheme="minorHAnsi"/>
        </w:rPr>
        <w:t xml:space="preserve"> </w:t>
      </w:r>
      <w:r w:rsidR="00D75B26" w:rsidRPr="006B3A88">
        <w:rPr>
          <w:rFonts w:ascii="Avenir Book" w:hAnsi="Avenir Book" w:cstheme="minorHAnsi"/>
        </w:rPr>
        <w:t xml:space="preserve">See e.g., </w:t>
      </w:r>
      <w:hyperlink r:id="rId111" w:anchor=":~:text=The%20Royal%20Commission%20was%20established,General%20on%2016%20October%201987." w:history="1">
        <w:r w:rsidR="00D75B26" w:rsidRPr="006B3A88">
          <w:rPr>
            <w:rStyle w:val="Hyperlink"/>
            <w:rFonts w:ascii="Avenir Book" w:hAnsi="Avenir Book" w:cstheme="minorHAnsi"/>
          </w:rPr>
          <w:t>Royal Commission into Aboriginal Deaths in Custody</w:t>
        </w:r>
      </w:hyperlink>
      <w:r w:rsidR="00D75B26" w:rsidRPr="006B3A88">
        <w:rPr>
          <w:rFonts w:ascii="Avenir Book" w:hAnsi="Avenir Book" w:cstheme="minorHAnsi"/>
        </w:rPr>
        <w:t xml:space="preserve"> (1987-1991); </w:t>
      </w:r>
      <w:hyperlink r:id="rId112" w:history="1">
        <w:r w:rsidR="00D75B26" w:rsidRPr="006B3A88">
          <w:rPr>
            <w:rStyle w:val="Hyperlink"/>
            <w:rFonts w:ascii="Avenir Book" w:hAnsi="Avenir Book" w:cstheme="minorHAnsi"/>
          </w:rPr>
          <w:t>Royal Commission into the Protection and Detention of Children in the Northern Territory</w:t>
        </w:r>
      </w:hyperlink>
      <w:r w:rsidR="00D75B26" w:rsidRPr="006B3A88">
        <w:rPr>
          <w:rFonts w:ascii="Avenir Book" w:hAnsi="Avenir Book" w:cstheme="minorHAnsi"/>
        </w:rPr>
        <w:t xml:space="preserve"> (2016-2017); </w:t>
      </w:r>
      <w:hyperlink r:id="rId113" w:history="1">
        <w:r w:rsidR="00D75B26" w:rsidRPr="006B3A88">
          <w:rPr>
            <w:rStyle w:val="Hyperlink"/>
            <w:rFonts w:ascii="Avenir Book" w:hAnsi="Avenir Book" w:cstheme="minorHAnsi"/>
          </w:rPr>
          <w:t>Commission of Inquiry into the Tasmanian Government’s Responses to Child Sexual Abuse in Institutional Settings</w:t>
        </w:r>
      </w:hyperlink>
      <w:r w:rsidR="00D75B26" w:rsidRPr="006B3A88">
        <w:rPr>
          <w:rFonts w:ascii="Avenir Book" w:hAnsi="Avenir Book" w:cstheme="minorHAnsi"/>
        </w:rPr>
        <w:t xml:space="preserve"> (2021-2023); </w:t>
      </w:r>
      <w:hyperlink r:id="rId114" w:history="1">
        <w:r w:rsidR="00D75B26" w:rsidRPr="006B3A88">
          <w:rPr>
            <w:rStyle w:val="Hyperlink"/>
            <w:rFonts w:ascii="Avenir Book" w:hAnsi="Avenir Book" w:cstheme="minorHAnsi"/>
          </w:rPr>
          <w:t>Inquiry into Incarceration rates of Aboriginal and Torres Strait Islander peoples</w:t>
        </w:r>
      </w:hyperlink>
      <w:r w:rsidR="00D75B26" w:rsidRPr="006B3A88">
        <w:rPr>
          <w:rFonts w:ascii="Avenir Book" w:hAnsi="Avenir Book" w:cstheme="minorHAnsi"/>
        </w:rPr>
        <w:t xml:space="preserve"> (Australian Law Reform Commission, 2017); </w:t>
      </w:r>
      <w:hyperlink r:id="rId115" w:history="1">
        <w:r w:rsidR="00D75B26" w:rsidRPr="006B3A88">
          <w:rPr>
            <w:rStyle w:val="Hyperlink"/>
            <w:rFonts w:ascii="Avenir Book" w:hAnsi="Avenir Book" w:cstheme="minorHAnsi"/>
          </w:rPr>
          <w:t>Inquiry into Indefinite detention of people with cognitive and psychiatric impairment in Australia</w:t>
        </w:r>
      </w:hyperlink>
      <w:r w:rsidR="00D75B26" w:rsidRPr="006B3A88">
        <w:rPr>
          <w:rFonts w:ascii="Avenir Book" w:hAnsi="Avenir Book" w:cstheme="minorHAnsi"/>
        </w:rPr>
        <w:t xml:space="preserve"> (Senate Community Affairs References Committee, 2016).</w:t>
      </w:r>
      <w:r w:rsidRPr="006B3A88">
        <w:rPr>
          <w:rFonts w:ascii="Avenir Book" w:hAnsi="Avenir Book" w:cstheme="minorHAnsi"/>
        </w:rPr>
        <w:t xml:space="preserve"> </w:t>
      </w:r>
    </w:p>
  </w:endnote>
  <w:endnote w:id="195">
    <w:p w14:paraId="4CAF453C" w14:textId="1F1B4198" w:rsidR="00951311" w:rsidRPr="006B3A88" w:rsidRDefault="00951311">
      <w:pPr>
        <w:pStyle w:val="EndnoteText"/>
        <w:rPr>
          <w:rFonts w:ascii="Avenir Book" w:hAnsi="Avenir Book"/>
          <w:lang w:val="en-AU"/>
        </w:rPr>
      </w:pPr>
      <w:r w:rsidRPr="006B3A88">
        <w:rPr>
          <w:rStyle w:val="EndnoteReference"/>
          <w:rFonts w:ascii="Avenir Book" w:hAnsi="Avenir Book"/>
        </w:rPr>
        <w:endnoteRef/>
      </w:r>
      <w:r w:rsidRPr="006B3A88">
        <w:rPr>
          <w:rFonts w:ascii="Avenir Book" w:hAnsi="Avenir Book"/>
        </w:rPr>
        <w:t xml:space="preserve"> Australian Human Rights Commission, ‘</w:t>
      </w:r>
      <w:hyperlink r:id="rId116" w:history="1">
        <w:r w:rsidRPr="006B3A88">
          <w:rPr>
            <w:rStyle w:val="Hyperlink"/>
            <w:rFonts w:ascii="Avenir Book" w:hAnsi="Avenir Book"/>
          </w:rPr>
          <w:t>Youth Justice and Child Wellbeing Reform across Australia</w:t>
        </w:r>
      </w:hyperlink>
      <w:r w:rsidRPr="006B3A88">
        <w:rPr>
          <w:rFonts w:ascii="Avenir Book" w:hAnsi="Avenir Book"/>
        </w:rPr>
        <w:t>’ (Website information, July 2023).</w:t>
      </w:r>
    </w:p>
  </w:endnote>
  <w:endnote w:id="196">
    <w:p w14:paraId="60027C50" w14:textId="6FFD2B15" w:rsidR="006C2DDB" w:rsidRPr="006B3A88" w:rsidRDefault="006C2DDB">
      <w:pPr>
        <w:pStyle w:val="EndnoteText"/>
        <w:rPr>
          <w:rFonts w:ascii="Avenir Book" w:hAnsi="Avenir Book"/>
          <w:lang w:val="en-AU"/>
        </w:rPr>
      </w:pPr>
      <w:r w:rsidRPr="006B3A88">
        <w:rPr>
          <w:rStyle w:val="EndnoteReference"/>
          <w:rFonts w:ascii="Avenir Book" w:hAnsi="Avenir Book"/>
        </w:rPr>
        <w:endnoteRef/>
      </w:r>
      <w:r w:rsidRPr="006B3A88">
        <w:rPr>
          <w:rFonts w:ascii="Avenir Book" w:hAnsi="Avenir Book"/>
        </w:rPr>
        <w:t xml:space="preserve"> </w:t>
      </w:r>
      <w:r w:rsidRPr="006B3A88">
        <w:rPr>
          <w:rFonts w:ascii="Avenir Book" w:hAnsi="Avenir Book"/>
          <w:lang w:val="en-AU"/>
        </w:rPr>
        <w:t>See e.g., Change the Record, ‘</w:t>
      </w:r>
      <w:hyperlink r:id="rId117" w:history="1">
        <w:r w:rsidRPr="006B3A88">
          <w:rPr>
            <w:rStyle w:val="Hyperlink"/>
            <w:rFonts w:ascii="Avenir Book" w:hAnsi="Avenir Book"/>
            <w:lang w:val="en-AU"/>
          </w:rPr>
          <w:t>Justice Reinvestment</w:t>
        </w:r>
      </w:hyperlink>
      <w:r w:rsidRPr="006B3A88">
        <w:rPr>
          <w:rFonts w:ascii="Avenir Book" w:hAnsi="Avenir Book"/>
          <w:lang w:val="en-AU"/>
        </w:rPr>
        <w:t xml:space="preserve">’ (Website information). </w:t>
      </w:r>
    </w:p>
  </w:endnote>
  <w:endnote w:id="197">
    <w:p w14:paraId="790C49E4" w14:textId="77777777" w:rsidR="00E21E77" w:rsidRPr="006B3A88" w:rsidRDefault="00E21E77" w:rsidP="00E21E77">
      <w:pPr>
        <w:pStyle w:val="EndnoteText"/>
        <w:rPr>
          <w:rFonts w:ascii="Avenir Book" w:hAnsi="Avenir Book" w:cstheme="minorHAnsi"/>
        </w:rPr>
      </w:pPr>
      <w:r w:rsidRPr="006B3A88">
        <w:rPr>
          <w:rStyle w:val="EndnoteReference"/>
          <w:rFonts w:ascii="Avenir Book" w:hAnsi="Avenir Book" w:cstheme="minorHAnsi"/>
        </w:rPr>
        <w:endnoteRef/>
      </w:r>
      <w:r w:rsidRPr="006B3A88">
        <w:rPr>
          <w:rFonts w:ascii="Avenir Book" w:hAnsi="Avenir Book" w:cstheme="minorHAnsi"/>
        </w:rPr>
        <w:t xml:space="preserve"> See e.g., </w:t>
      </w:r>
      <w:hyperlink r:id="rId118" w:anchor=":~:text=The%20Royal%20Commission%20was%20established,General%20on%2016%20October%201987." w:history="1">
        <w:r w:rsidRPr="006B3A88">
          <w:rPr>
            <w:rStyle w:val="Hyperlink"/>
            <w:rFonts w:ascii="Avenir Book" w:hAnsi="Avenir Book" w:cstheme="minorHAnsi"/>
          </w:rPr>
          <w:t>Royal Commission into Aboriginal Deaths in Custody</w:t>
        </w:r>
      </w:hyperlink>
      <w:r w:rsidRPr="006B3A88">
        <w:rPr>
          <w:rFonts w:ascii="Avenir Book" w:hAnsi="Avenir Book" w:cstheme="minorHAnsi"/>
        </w:rPr>
        <w:t xml:space="preserve"> (1987-1991); </w:t>
      </w:r>
      <w:hyperlink r:id="rId119" w:history="1">
        <w:r w:rsidRPr="006B3A88">
          <w:rPr>
            <w:rStyle w:val="Hyperlink"/>
            <w:rFonts w:ascii="Avenir Book" w:hAnsi="Avenir Book" w:cstheme="minorHAnsi"/>
          </w:rPr>
          <w:t>Royal Commission into the Protection and Detention of Children in the Northern Territory</w:t>
        </w:r>
      </w:hyperlink>
      <w:r w:rsidRPr="006B3A88">
        <w:rPr>
          <w:rFonts w:ascii="Avenir Book" w:hAnsi="Avenir Book" w:cstheme="minorHAnsi"/>
        </w:rPr>
        <w:t xml:space="preserve"> (2016-2017); </w:t>
      </w:r>
      <w:hyperlink r:id="rId120" w:history="1">
        <w:r w:rsidRPr="006B3A88">
          <w:rPr>
            <w:rStyle w:val="Hyperlink"/>
            <w:rFonts w:ascii="Avenir Book" w:hAnsi="Avenir Book" w:cstheme="minorHAnsi"/>
          </w:rPr>
          <w:t>Commission of Inquiry into the Tasmanian Government’s Responses to Child Sexual Abuse in Institutional Settings</w:t>
        </w:r>
      </w:hyperlink>
      <w:r w:rsidRPr="006B3A88">
        <w:rPr>
          <w:rFonts w:ascii="Avenir Book" w:hAnsi="Avenir Book" w:cstheme="minorHAnsi"/>
        </w:rPr>
        <w:t xml:space="preserve"> (2021-2023); </w:t>
      </w:r>
      <w:hyperlink r:id="rId121" w:history="1">
        <w:r w:rsidRPr="006B3A88">
          <w:rPr>
            <w:rStyle w:val="Hyperlink"/>
            <w:rFonts w:ascii="Avenir Book" w:hAnsi="Avenir Book" w:cstheme="minorHAnsi"/>
          </w:rPr>
          <w:t>Inquiry into Incarceration rates of Aboriginal and Torres Strait Islander peoples</w:t>
        </w:r>
      </w:hyperlink>
      <w:r w:rsidRPr="006B3A88">
        <w:rPr>
          <w:rFonts w:ascii="Avenir Book" w:hAnsi="Avenir Book" w:cstheme="minorHAnsi"/>
        </w:rPr>
        <w:t xml:space="preserve"> (Australian Law Reform Commission, 2017); </w:t>
      </w:r>
      <w:hyperlink r:id="rId122" w:history="1">
        <w:r w:rsidRPr="006B3A88">
          <w:rPr>
            <w:rStyle w:val="Hyperlink"/>
            <w:rFonts w:ascii="Avenir Book" w:hAnsi="Avenir Book" w:cstheme="minorHAnsi"/>
          </w:rPr>
          <w:t>Inquiry into Indefinite detention of people with cognitive and psychiatric impairment in Australia</w:t>
        </w:r>
      </w:hyperlink>
      <w:r w:rsidRPr="006B3A88">
        <w:rPr>
          <w:rFonts w:ascii="Avenir Book" w:hAnsi="Avenir Book" w:cstheme="minorHAnsi"/>
        </w:rPr>
        <w:t xml:space="preserve"> (Senate Community Affairs References Committee, 2016). </w:t>
      </w:r>
    </w:p>
  </w:endnote>
  <w:endnote w:id="198">
    <w:p w14:paraId="5F005D7F" w14:textId="77777777" w:rsidR="001E40CB" w:rsidRPr="006B3A88" w:rsidRDefault="001E40CB" w:rsidP="001E40CB">
      <w:pPr>
        <w:pStyle w:val="EndnoteText"/>
        <w:rPr>
          <w:rFonts w:ascii="Avenir Book" w:hAnsi="Avenir Book" w:cstheme="minorHAnsi"/>
        </w:rPr>
      </w:pPr>
      <w:r w:rsidRPr="006B3A88">
        <w:rPr>
          <w:rStyle w:val="EndnoteReference"/>
          <w:rFonts w:ascii="Avenir Book" w:hAnsi="Avenir Book" w:cstheme="minorHAnsi"/>
        </w:rPr>
        <w:endnoteRef/>
      </w:r>
      <w:r w:rsidRPr="006B3A88">
        <w:rPr>
          <w:rFonts w:ascii="Avenir Book" w:hAnsi="Avenir Book" w:cstheme="minorHAnsi"/>
        </w:rPr>
        <w:t xml:space="preserve"> Welcoming Australia, ‘The Facts’, https://www.welcomingdisability.com</w:t>
      </w:r>
    </w:p>
  </w:endnote>
  <w:endnote w:id="199">
    <w:p w14:paraId="2C0FBE29" w14:textId="77777777" w:rsidR="001E40CB" w:rsidRPr="006B3A88" w:rsidRDefault="001E40CB" w:rsidP="001E40CB">
      <w:pPr>
        <w:pStyle w:val="EndnoteText"/>
        <w:rPr>
          <w:rFonts w:ascii="Avenir Book" w:hAnsi="Avenir Book" w:cstheme="minorHAnsi"/>
        </w:rPr>
      </w:pPr>
      <w:r w:rsidRPr="006B3A88">
        <w:rPr>
          <w:rStyle w:val="EndnoteReference"/>
          <w:rFonts w:ascii="Avenir Book" w:hAnsi="Avenir Book" w:cstheme="minorHAnsi"/>
        </w:rPr>
        <w:endnoteRef/>
      </w:r>
      <w:r w:rsidRPr="006B3A88">
        <w:rPr>
          <w:rFonts w:ascii="Avenir Book" w:hAnsi="Avenir Book" w:cstheme="minorHAnsi"/>
        </w:rPr>
        <w:t xml:space="preserve"> The health criterion applies to all visas for permanent entry into Australia.</w:t>
      </w:r>
    </w:p>
  </w:endnote>
  <w:endnote w:id="200">
    <w:p w14:paraId="72FEE962" w14:textId="77777777" w:rsidR="001E40CB" w:rsidRPr="006B3A88" w:rsidRDefault="001E40CB" w:rsidP="001E40CB">
      <w:pPr>
        <w:pStyle w:val="EndnoteText"/>
        <w:tabs>
          <w:tab w:val="right" w:pos="0"/>
        </w:tabs>
        <w:rPr>
          <w:rFonts w:ascii="Avenir Book" w:hAnsi="Avenir Book" w:cstheme="minorHAnsi"/>
        </w:rPr>
      </w:pPr>
      <w:r w:rsidRPr="006B3A88">
        <w:rPr>
          <w:rStyle w:val="EndnoteReference"/>
          <w:rFonts w:ascii="Avenir Book" w:hAnsi="Avenir Book" w:cstheme="minorHAnsi"/>
        </w:rPr>
        <w:endnoteRef/>
      </w:r>
      <w:r w:rsidRPr="006B3A88">
        <w:rPr>
          <w:rFonts w:ascii="Avenir Book" w:hAnsi="Avenir Book" w:cstheme="minorHAnsi"/>
        </w:rPr>
        <w:t xml:space="preserve"> See for eg: McIver, D. (2019) </w:t>
      </w:r>
      <w:hyperlink r:id="rId123" w:history="1">
        <w:r w:rsidRPr="006B3A88">
          <w:rPr>
            <w:rStyle w:val="Hyperlink"/>
            <w:rFonts w:ascii="Avenir Book" w:hAnsi="Avenir Book" w:cstheme="minorHAnsi"/>
          </w:rPr>
          <w:t>Two-year-old boy faces 'painful and premature death' as deportation looms</w:t>
        </w:r>
      </w:hyperlink>
      <w:r w:rsidRPr="006B3A88">
        <w:rPr>
          <w:rFonts w:ascii="Avenir Book" w:hAnsi="Avenir Book" w:cstheme="minorHAnsi"/>
        </w:rPr>
        <w:t xml:space="preserve">. ABC News, 21 Apr 2019. See also: Fernades, A. (2019) </w:t>
      </w:r>
      <w:hyperlink r:id="rId124" w:history="1">
        <w:r w:rsidRPr="006B3A88">
          <w:rPr>
            <w:rStyle w:val="Hyperlink"/>
            <w:rFonts w:ascii="Avenir Book" w:hAnsi="Avenir Book" w:cstheme="minorHAnsi"/>
          </w:rPr>
          <w:t>Family facing deportation from Australia due to son's disability fear he could die if they leave</w:t>
        </w:r>
      </w:hyperlink>
      <w:r w:rsidRPr="006B3A88">
        <w:rPr>
          <w:rFonts w:ascii="Avenir Book" w:hAnsi="Avenir Book" w:cstheme="minorHAnsi"/>
        </w:rPr>
        <w:t xml:space="preserve">. SBS News, 8 August 2019: McIver, D. (2019) </w:t>
      </w:r>
      <w:hyperlink r:id="rId125" w:history="1">
        <w:r w:rsidRPr="006B3A88">
          <w:rPr>
            <w:rStyle w:val="Hyperlink"/>
            <w:rFonts w:ascii="Avenir Book" w:hAnsi="Avenir Book" w:cstheme="minorHAnsi"/>
          </w:rPr>
          <w:t>Boy with Down syndrome, leukaemia likely to go into foster care if Chinese mum is deported</w:t>
        </w:r>
      </w:hyperlink>
      <w:r w:rsidRPr="006B3A88">
        <w:rPr>
          <w:rFonts w:ascii="Avenir Book" w:hAnsi="Avenir Book" w:cstheme="minorHAnsi"/>
        </w:rPr>
        <w:t xml:space="preserve">. ABC News, 4 Jun 2019; Rajan, S. (2016), </w:t>
      </w:r>
      <w:hyperlink r:id="rId126" w:anchor=".XVNZhpMzZBw" w:history="1">
        <w:r w:rsidRPr="006B3A88">
          <w:rPr>
            <w:rStyle w:val="Hyperlink"/>
            <w:rFonts w:ascii="Avenir Book" w:hAnsi="Avenir Book" w:cstheme="minorHAnsi"/>
          </w:rPr>
          <w:t>‘Yet another example of disability discrimination in Australian Immigration’</w:t>
        </w:r>
      </w:hyperlink>
      <w:r w:rsidRPr="006B3A88">
        <w:rPr>
          <w:rFonts w:ascii="Avenir Book" w:hAnsi="Avenir Book" w:cstheme="minorHAnsi"/>
        </w:rPr>
        <w:t xml:space="preserve">, </w:t>
      </w:r>
      <w:r w:rsidRPr="006B3A88">
        <w:rPr>
          <w:rFonts w:ascii="Avenir Book" w:hAnsi="Avenir Book" w:cstheme="minorHAnsi"/>
          <w:i/>
        </w:rPr>
        <w:t>The Stringer</w:t>
      </w:r>
      <w:r w:rsidRPr="006B3A88">
        <w:rPr>
          <w:rFonts w:ascii="Avenir Book" w:hAnsi="Avenir Book" w:cstheme="minorHAnsi"/>
        </w:rPr>
        <w:t xml:space="preserve">, July 27th, 2016; Ellery, D. (2016), </w:t>
      </w:r>
      <w:hyperlink r:id="rId127" w:history="1">
        <w:r w:rsidRPr="006B3A88">
          <w:rPr>
            <w:rStyle w:val="Hyperlink"/>
            <w:rFonts w:ascii="Avenir Book" w:hAnsi="Avenir Book" w:cstheme="minorHAnsi"/>
          </w:rPr>
          <w:t>‘Canberra family split as right to live Australia revoked’</w:t>
        </w:r>
      </w:hyperlink>
      <w:r w:rsidRPr="006B3A88">
        <w:rPr>
          <w:rFonts w:ascii="Avenir Book" w:hAnsi="Avenir Book" w:cstheme="minorHAnsi"/>
        </w:rPr>
        <w:t xml:space="preserve">, </w:t>
      </w:r>
      <w:r w:rsidRPr="006B3A88">
        <w:rPr>
          <w:rFonts w:ascii="Avenir Book" w:hAnsi="Avenir Book" w:cstheme="minorHAnsi"/>
          <w:i/>
        </w:rPr>
        <w:t>The</w:t>
      </w:r>
      <w:r w:rsidRPr="00437C78">
        <w:rPr>
          <w:rFonts w:ascii="Avenir Book" w:hAnsi="Avenir Book" w:cstheme="minorHAnsi"/>
          <w:i/>
        </w:rPr>
        <w:t xml:space="preserve"> </w:t>
      </w:r>
      <w:r w:rsidRPr="006B3A88">
        <w:rPr>
          <w:rFonts w:ascii="Avenir Book" w:hAnsi="Avenir Book" w:cstheme="minorHAnsi"/>
          <w:i/>
        </w:rPr>
        <w:t xml:space="preserve">Canberra Times, </w:t>
      </w:r>
      <w:r w:rsidRPr="006B3A88">
        <w:rPr>
          <w:rFonts w:ascii="Avenir Book" w:hAnsi="Avenir Book" w:cstheme="minorHAnsi"/>
        </w:rPr>
        <w:t xml:space="preserve">19 April 2016; Emery, R. (2016) </w:t>
      </w:r>
      <w:hyperlink r:id="rId128" w:history="1">
        <w:r w:rsidRPr="006B3A88">
          <w:rPr>
            <w:rStyle w:val="Hyperlink"/>
            <w:rFonts w:ascii="Avenir Book" w:hAnsi="Avenir Book" w:cstheme="minorHAnsi"/>
          </w:rPr>
          <w:t>‘Blind Kenyan Father ordered to Leave Australia’</w:t>
        </w:r>
      </w:hyperlink>
      <w:r w:rsidRPr="006B3A88">
        <w:rPr>
          <w:rFonts w:ascii="Avenir Book" w:hAnsi="Avenir Book" w:cstheme="minorHAnsi"/>
        </w:rPr>
        <w:t>, SBS News, 19 August 2016.</w:t>
      </w:r>
    </w:p>
  </w:endnote>
  <w:endnote w:id="201">
    <w:p w14:paraId="384C412C" w14:textId="77777777" w:rsidR="001E40CB" w:rsidRPr="006B3A88" w:rsidRDefault="001E40CB" w:rsidP="001E40CB">
      <w:pPr>
        <w:pStyle w:val="EndnoteText"/>
        <w:rPr>
          <w:rFonts w:ascii="Avenir Book" w:hAnsi="Avenir Book" w:cstheme="minorHAnsi"/>
        </w:rPr>
      </w:pPr>
      <w:r w:rsidRPr="006B3A88">
        <w:rPr>
          <w:rStyle w:val="EndnoteReference"/>
          <w:rFonts w:ascii="Avenir Book" w:hAnsi="Avenir Book" w:cstheme="minorHAnsi"/>
        </w:rPr>
        <w:endnoteRef/>
      </w:r>
      <w:r w:rsidRPr="006B3A88">
        <w:rPr>
          <w:rFonts w:ascii="Avenir Book" w:hAnsi="Avenir Book" w:cstheme="minorHAnsi"/>
        </w:rPr>
        <w:t xml:space="preserve"> Royal Commission into Violence, Abuse, Neglect and Exploitation of People with Disability, ‘Realising the human rights of people with disability’ (Final Report, Volume 4), September 2023, Commonwealth of Australia, p. 332.</w:t>
      </w:r>
    </w:p>
  </w:endnote>
  <w:endnote w:id="202">
    <w:p w14:paraId="606D1677" w14:textId="77777777" w:rsidR="001E40CB" w:rsidRPr="006B3A88" w:rsidRDefault="001E40CB" w:rsidP="001E40CB">
      <w:pPr>
        <w:pStyle w:val="EndnoteText"/>
        <w:rPr>
          <w:rFonts w:ascii="Avenir Book" w:hAnsi="Avenir Book" w:cstheme="minorHAnsi"/>
        </w:rPr>
      </w:pPr>
      <w:r w:rsidRPr="006B3A88">
        <w:rPr>
          <w:rStyle w:val="EndnoteReference"/>
          <w:rFonts w:ascii="Avenir Book" w:hAnsi="Avenir Book" w:cstheme="minorHAnsi"/>
        </w:rPr>
        <w:endnoteRef/>
      </w:r>
      <w:r w:rsidRPr="006B3A88">
        <w:rPr>
          <w:rFonts w:ascii="Avenir Book" w:hAnsi="Avenir Book" w:cstheme="minorHAnsi"/>
        </w:rPr>
        <w:t xml:space="preserve"> Productivity Commission, ‘Review of the Disability Discrimination Act 1992’ (Final inquiry report) Report No. 30, vol. 1, April 2004.</w:t>
      </w:r>
    </w:p>
  </w:endnote>
  <w:endnote w:id="203">
    <w:p w14:paraId="5403B922" w14:textId="77777777" w:rsidR="001E40CB" w:rsidRPr="006B3A88" w:rsidRDefault="001E40CB" w:rsidP="001E40CB">
      <w:pPr>
        <w:pStyle w:val="EndnoteText"/>
        <w:rPr>
          <w:rFonts w:ascii="Avenir Book" w:hAnsi="Avenir Book" w:cstheme="minorHAnsi"/>
        </w:rPr>
      </w:pPr>
      <w:r w:rsidRPr="006B3A88">
        <w:rPr>
          <w:rStyle w:val="EndnoteReference"/>
          <w:rFonts w:ascii="Avenir Book" w:hAnsi="Avenir Book" w:cstheme="minorHAnsi"/>
        </w:rPr>
        <w:endnoteRef/>
      </w:r>
      <w:r w:rsidRPr="006B3A88">
        <w:rPr>
          <w:rFonts w:ascii="Avenir Book" w:hAnsi="Avenir Book" w:cstheme="minorHAnsi"/>
        </w:rPr>
        <w:t xml:space="preserve"> Joint Standing Committee on Migration, ‘Enabling Australia: Inquiry into the Migration Treatment of Disability’, Parliament of Australia report, June 2010.</w:t>
      </w:r>
    </w:p>
  </w:endnote>
  <w:endnote w:id="204">
    <w:p w14:paraId="2DE22864" w14:textId="77777777" w:rsidR="001E40CB" w:rsidRPr="006B3A88" w:rsidRDefault="001E40CB" w:rsidP="001E40CB">
      <w:pPr>
        <w:pStyle w:val="EndnoteText"/>
        <w:rPr>
          <w:rFonts w:ascii="Avenir Book" w:hAnsi="Avenir Book" w:cstheme="minorHAnsi"/>
        </w:rPr>
      </w:pPr>
      <w:r w:rsidRPr="006B3A88">
        <w:rPr>
          <w:rStyle w:val="EndnoteReference"/>
          <w:rFonts w:ascii="Avenir Book" w:hAnsi="Avenir Book" w:cstheme="minorHAnsi"/>
        </w:rPr>
        <w:endnoteRef/>
      </w:r>
      <w:r w:rsidRPr="006B3A88">
        <w:rPr>
          <w:rFonts w:ascii="Avenir Book" w:hAnsi="Avenir Book" w:cstheme="minorHAnsi"/>
        </w:rPr>
        <w:t xml:space="preserve"> Special Rapporteur on the human rights of migrants, ‘</w:t>
      </w:r>
      <w:hyperlink r:id="rId129" w:history="1">
        <w:r w:rsidRPr="006B3A88">
          <w:rPr>
            <w:rStyle w:val="Hyperlink"/>
            <w:rFonts w:ascii="Avenir Book" w:hAnsi="Avenir Book" w:cstheme="minorHAnsi"/>
          </w:rPr>
          <w:t>Report of the Special Rapporteur on the human rights of migrants on his mission to Australia and the regional processing centres in Nauru</w:t>
        </w:r>
      </w:hyperlink>
      <w:r w:rsidRPr="006B3A88">
        <w:rPr>
          <w:rFonts w:ascii="Avenir Book" w:hAnsi="Avenir Book" w:cstheme="minorHAnsi"/>
        </w:rPr>
        <w:t xml:space="preserve">’ (24 April 2017)  UN Doc: A/HRC/35/25/Add.3, paras. 49, 54, 92. </w:t>
      </w:r>
    </w:p>
  </w:endnote>
  <w:endnote w:id="205">
    <w:p w14:paraId="58345267" w14:textId="77777777" w:rsidR="001E40CB" w:rsidRPr="006B3A88" w:rsidRDefault="001E40CB" w:rsidP="001E40CB">
      <w:pPr>
        <w:pStyle w:val="EndnoteText"/>
        <w:rPr>
          <w:rFonts w:ascii="Avenir Book" w:hAnsi="Avenir Book" w:cstheme="minorHAnsi"/>
        </w:rPr>
      </w:pPr>
      <w:r w:rsidRPr="006B3A88">
        <w:rPr>
          <w:rStyle w:val="EndnoteReference"/>
          <w:rFonts w:ascii="Avenir Book" w:hAnsi="Avenir Book" w:cstheme="minorHAnsi"/>
        </w:rPr>
        <w:endnoteRef/>
      </w:r>
      <w:r w:rsidRPr="006B3A88">
        <w:rPr>
          <w:rFonts w:ascii="Avenir Book" w:hAnsi="Avenir Book" w:cstheme="minorHAnsi"/>
        </w:rPr>
        <w:t xml:space="preserve"> </w:t>
      </w:r>
      <w:r w:rsidRPr="006B3A88">
        <w:rPr>
          <w:rFonts w:ascii="Avenir Book" w:eastAsia="Times New Roman" w:hAnsi="Avenir Book" w:cstheme="minorHAnsi"/>
          <w:color w:val="000000"/>
          <w:kern w:val="28"/>
          <w:lang w:eastAsia="en-AU"/>
        </w:rPr>
        <w:t>Committee on the Rights of Persons with Disabilities, ‘</w:t>
      </w:r>
      <w:r w:rsidRPr="006B3A88">
        <w:rPr>
          <w:rFonts w:ascii="Avenir Book" w:hAnsi="Avenir Book" w:cstheme="minorHAnsi"/>
        </w:rPr>
        <w:t>Concluding observations on the combined second and third periodic reports of Australia’, 15 October 2019, UN Doc CRPD/C/AUS/CO/2-3, para. 36(a).</w:t>
      </w:r>
    </w:p>
  </w:endnote>
  <w:endnote w:id="206">
    <w:p w14:paraId="6A4A1D98" w14:textId="77777777" w:rsidR="001E40CB" w:rsidRPr="006B3A88" w:rsidRDefault="001E40CB" w:rsidP="001E40CB">
      <w:pPr>
        <w:pStyle w:val="EndnoteText"/>
        <w:rPr>
          <w:rFonts w:ascii="Avenir Book" w:hAnsi="Avenir Book" w:cstheme="minorHAnsi"/>
        </w:rPr>
      </w:pPr>
      <w:r w:rsidRPr="006B3A88">
        <w:rPr>
          <w:rStyle w:val="EndnoteReference"/>
          <w:rFonts w:ascii="Avenir Book" w:hAnsi="Avenir Book" w:cstheme="minorHAnsi"/>
        </w:rPr>
        <w:endnoteRef/>
      </w:r>
      <w:r w:rsidRPr="006B3A88">
        <w:rPr>
          <w:rFonts w:ascii="Avenir Book" w:hAnsi="Avenir Book" w:cstheme="minorHAnsi"/>
        </w:rPr>
        <w:t xml:space="preserve"> Sherlock v Australia, communication no. 20/2014, views adopted 19 March 2021, released 30 April 2021, UN Doc: CRPD/C/24/D/20/2014. </w:t>
      </w:r>
    </w:p>
  </w:endnote>
  <w:endnote w:id="207">
    <w:p w14:paraId="385E4ACD" w14:textId="77777777" w:rsidR="001E40CB" w:rsidRPr="006B3A88" w:rsidRDefault="001E40CB" w:rsidP="001E40CB">
      <w:pPr>
        <w:pStyle w:val="EndnoteText"/>
        <w:rPr>
          <w:rFonts w:ascii="Avenir Book" w:hAnsi="Avenir Book" w:cstheme="minorHAnsi"/>
        </w:rPr>
      </w:pPr>
      <w:r w:rsidRPr="006B3A88">
        <w:rPr>
          <w:rStyle w:val="EndnoteReference"/>
          <w:rFonts w:ascii="Avenir Book" w:hAnsi="Avenir Book" w:cstheme="minorHAnsi"/>
        </w:rPr>
        <w:endnoteRef/>
      </w:r>
      <w:r w:rsidRPr="006B3A88">
        <w:rPr>
          <w:rFonts w:ascii="Avenir Book" w:hAnsi="Avenir Book" w:cstheme="minorHAnsi"/>
        </w:rPr>
        <w:t xml:space="preserve"> Royal Commission into Violence, Abuse, Neglect and Exploitation of People with Disability, ‘Realising the human rights of people with disability’ (Final Report, Volume 4), September 2023, Commonwealth of Australia, p. 335.</w:t>
      </w:r>
    </w:p>
  </w:endnote>
  <w:endnote w:id="208">
    <w:p w14:paraId="14687A9C" w14:textId="77777777" w:rsidR="001E40CB" w:rsidRPr="006B3A88" w:rsidRDefault="001E40CB" w:rsidP="001E40CB">
      <w:pPr>
        <w:pStyle w:val="EndnoteText"/>
        <w:rPr>
          <w:rFonts w:ascii="Avenir Book" w:hAnsi="Avenir Book" w:cstheme="minorHAnsi"/>
        </w:rPr>
      </w:pPr>
      <w:r w:rsidRPr="006B3A88">
        <w:rPr>
          <w:rStyle w:val="EndnoteReference"/>
          <w:rFonts w:ascii="Avenir Book" w:hAnsi="Avenir Book" w:cstheme="minorHAnsi"/>
        </w:rPr>
        <w:endnoteRef/>
      </w:r>
      <w:r w:rsidRPr="006B3A88">
        <w:rPr>
          <w:rFonts w:ascii="Avenir Book" w:hAnsi="Avenir Book" w:cstheme="minorHAnsi"/>
        </w:rPr>
        <w:t xml:space="preserve"> The failure to recognise the health requirement as constituting discrimination against migrants and refugees on the basis of disability violates their human rights and undermines the values of fairness and equality to which Australia has committed and which is essential to build a more inclusive society that does not marginalise and exclude people on the basis of disability. Australia’s interpretative declaration to CRPD Article 18: "Australia recognises the rights of persons with disability to liberty of movement, to freedom to choose their residence and to a nationality, on an equal basis with others.  Australia further declares its understanding that the Convention does not create a right for a person to enter or remain in a country of which he or she is not a national, nor impact on Australia’s health requirements for non-nationals seeking to enter or remain in Australia, where these requirements are based on legitimate, objective and reasonable criteria.”</w:t>
      </w:r>
    </w:p>
  </w:endnote>
  <w:endnote w:id="209">
    <w:p w14:paraId="073467E0" w14:textId="77777777" w:rsidR="001E40CB" w:rsidRPr="006B3A88" w:rsidRDefault="001E40CB" w:rsidP="001E40CB">
      <w:pPr>
        <w:pStyle w:val="EndnoteText"/>
        <w:rPr>
          <w:rFonts w:ascii="Avenir Book" w:hAnsi="Avenir Book" w:cstheme="minorHAnsi"/>
        </w:rPr>
      </w:pPr>
      <w:r w:rsidRPr="006B3A88">
        <w:rPr>
          <w:rStyle w:val="EndnoteReference"/>
          <w:rFonts w:ascii="Avenir Book" w:hAnsi="Avenir Book" w:cstheme="minorHAnsi"/>
        </w:rPr>
        <w:endnoteRef/>
      </w:r>
      <w:r w:rsidRPr="006B3A88">
        <w:rPr>
          <w:rFonts w:ascii="Avenir Book" w:hAnsi="Avenir Book" w:cstheme="minorHAnsi"/>
        </w:rPr>
        <w:t xml:space="preserve"> </w:t>
      </w:r>
      <w:r w:rsidRPr="006B3A88">
        <w:rPr>
          <w:rFonts w:ascii="Avenir Book" w:eastAsia="Times New Roman" w:hAnsi="Avenir Book" w:cstheme="minorHAnsi"/>
          <w:color w:val="000000"/>
          <w:kern w:val="28"/>
          <w:lang w:eastAsia="en-AU"/>
        </w:rPr>
        <w:t>Committee on the Rights of Persons with Disabilities, ‘</w:t>
      </w:r>
      <w:r w:rsidRPr="006B3A88">
        <w:rPr>
          <w:rFonts w:ascii="Avenir Book" w:hAnsi="Avenir Book" w:cstheme="minorHAnsi"/>
        </w:rPr>
        <w:t>Concluding observations on the combined second and third periodic reports of Australia’, 15 October 2019, UN Doc CRPD/C/AUS/CO/2-3, para. 6(b); Committee on the Rights of Persons with Disabilities, ‘Concluding observations on the initial report of Australia, adopted by the Committee at its tenth session (2-23 September 2013), 21 October 2013, UN Doc CRPD/C/AUS/CO/1, para. 9.</w:t>
      </w:r>
    </w:p>
  </w:endnote>
  <w:endnote w:id="210">
    <w:p w14:paraId="0081AE82" w14:textId="77777777" w:rsidR="001E40CB" w:rsidRPr="006B3A88" w:rsidRDefault="001E40CB" w:rsidP="001E40CB">
      <w:pPr>
        <w:pStyle w:val="EndnoteText"/>
        <w:rPr>
          <w:rFonts w:ascii="Avenir Book" w:hAnsi="Avenir Book" w:cstheme="minorHAnsi"/>
        </w:rPr>
      </w:pPr>
      <w:r w:rsidRPr="006B3A88">
        <w:rPr>
          <w:rStyle w:val="EndnoteReference"/>
          <w:rFonts w:ascii="Avenir Book" w:hAnsi="Avenir Book" w:cstheme="minorHAnsi"/>
        </w:rPr>
        <w:endnoteRef/>
      </w:r>
      <w:r w:rsidRPr="006B3A88">
        <w:rPr>
          <w:rFonts w:ascii="Avenir Book" w:hAnsi="Avenir Book" w:cstheme="minorHAnsi"/>
        </w:rPr>
        <w:t xml:space="preserve"> National Ethnic Disability Alliance (NEDA), Federation of Ethnic Communities’ Councils of Australia (FECCA), Refugee Council of Australia, Settlement Council of Australia, ‘</w:t>
      </w:r>
      <w:hyperlink r:id="rId130" w:history="1">
        <w:r w:rsidRPr="006B3A88">
          <w:rPr>
            <w:rStyle w:val="Hyperlink"/>
            <w:rFonts w:ascii="Avenir Book" w:hAnsi="Avenir Book" w:cstheme="minorHAnsi"/>
          </w:rPr>
          <w:t>Barriers and exclusions: The support needs of newly arrived refugees with a disability</w:t>
        </w:r>
      </w:hyperlink>
      <w:r w:rsidRPr="006B3A88">
        <w:rPr>
          <w:rFonts w:ascii="Avenir Book" w:hAnsi="Avenir Book" w:cstheme="minorHAnsi"/>
        </w:rPr>
        <w:t xml:space="preserve">’ (Report, 19 February 2019), pp. 18-24. </w:t>
      </w:r>
    </w:p>
  </w:endnote>
  <w:endnote w:id="211">
    <w:p w14:paraId="0A105233" w14:textId="77777777" w:rsidR="001E40CB" w:rsidRPr="006B3A88" w:rsidRDefault="001E40CB" w:rsidP="001E40CB">
      <w:pPr>
        <w:pStyle w:val="EndnoteText"/>
        <w:rPr>
          <w:rFonts w:ascii="Avenir Book" w:hAnsi="Avenir Book" w:cstheme="minorHAnsi"/>
        </w:rPr>
      </w:pPr>
      <w:r w:rsidRPr="006B3A88">
        <w:rPr>
          <w:rStyle w:val="EndnoteReference"/>
          <w:rFonts w:ascii="Avenir Book" w:hAnsi="Avenir Book" w:cstheme="minorHAnsi"/>
        </w:rPr>
        <w:endnoteRef/>
      </w:r>
      <w:r w:rsidRPr="006B3A88">
        <w:rPr>
          <w:rFonts w:ascii="Avenir Book" w:hAnsi="Avenir Book" w:cstheme="minorHAnsi"/>
        </w:rPr>
        <w:t xml:space="preserve"> Beginning from the date the person starts residing in Australia as a permanent visa holder.</w:t>
      </w:r>
    </w:p>
  </w:endnote>
  <w:endnote w:id="212">
    <w:p w14:paraId="2F2E1F02" w14:textId="77777777" w:rsidR="001E40CB" w:rsidRPr="006B3A88" w:rsidRDefault="001E40CB" w:rsidP="001E40CB">
      <w:pPr>
        <w:pStyle w:val="EndnoteText"/>
        <w:rPr>
          <w:rFonts w:ascii="Avenir Book" w:hAnsi="Avenir Book" w:cstheme="minorHAnsi"/>
        </w:rPr>
      </w:pPr>
      <w:r w:rsidRPr="006B3A88">
        <w:rPr>
          <w:rStyle w:val="EndnoteReference"/>
          <w:rFonts w:ascii="Avenir Book" w:hAnsi="Avenir Book" w:cstheme="minorHAnsi"/>
        </w:rPr>
        <w:endnoteRef/>
      </w:r>
      <w:r w:rsidRPr="006B3A88">
        <w:rPr>
          <w:rFonts w:ascii="Avenir Book" w:hAnsi="Avenir Book" w:cstheme="minorHAnsi"/>
        </w:rPr>
        <w:t xml:space="preserve"> National Ethnic Disability Alliance (NEDA), ‘Migrants with Disability and the 10 Year Qualifying Residence Period for the Disability Support Pension’ (Revised May 2009), NEDA, pp. 11-14.</w:t>
      </w:r>
    </w:p>
  </w:endnote>
  <w:endnote w:id="213">
    <w:p w14:paraId="176862B6" w14:textId="77777777" w:rsidR="001E40CB" w:rsidRPr="006B3A88" w:rsidRDefault="001E40CB" w:rsidP="001E40CB">
      <w:pPr>
        <w:pStyle w:val="EndnoteText"/>
        <w:rPr>
          <w:rFonts w:ascii="Avenir Book" w:hAnsi="Avenir Book" w:cstheme="minorHAnsi"/>
        </w:rPr>
      </w:pPr>
      <w:r w:rsidRPr="006B3A88">
        <w:rPr>
          <w:rStyle w:val="EndnoteReference"/>
          <w:rFonts w:ascii="Avenir Book" w:hAnsi="Avenir Book" w:cstheme="minorHAnsi"/>
        </w:rPr>
        <w:endnoteRef/>
      </w:r>
      <w:r w:rsidRPr="006B3A88">
        <w:rPr>
          <w:rFonts w:ascii="Avenir Book" w:hAnsi="Avenir Book" w:cstheme="minorHAnsi"/>
        </w:rPr>
        <w:t xml:space="preserve"> The Department of Home Affairs has reported that there are no children in closed detention as of 30 June 2023, however, detention has had detrimental impacts. See e.g., Special Rapporteur on the human rights of migrants, ‘</w:t>
      </w:r>
      <w:hyperlink r:id="rId131" w:history="1">
        <w:r w:rsidRPr="006B3A88">
          <w:rPr>
            <w:rStyle w:val="Hyperlink"/>
            <w:rFonts w:ascii="Avenir Book" w:hAnsi="Avenir Book" w:cstheme="minorHAnsi"/>
          </w:rPr>
          <w:t>Report of the Special Rapporteur on the human rights of migrants on his mission to Australia and the regional processing centres in Nauru</w:t>
        </w:r>
      </w:hyperlink>
      <w:r w:rsidRPr="006B3A88">
        <w:rPr>
          <w:rFonts w:ascii="Avenir Book" w:hAnsi="Avenir Book" w:cstheme="minorHAnsi"/>
        </w:rPr>
        <w:t>’ (24 April 2017) UN Doc: A/HRC/35/25/Add.3, paras. 66-71; Ben Doherty, ‘</w:t>
      </w:r>
      <w:hyperlink r:id="rId132" w:anchor=":~:text=Some%20were%20released%20into%20the,to%20Australia%20on%20temporary%20visas." w:history="1">
        <w:r w:rsidRPr="006B3A88">
          <w:rPr>
            <w:rStyle w:val="Hyperlink"/>
            <w:rFonts w:ascii="Avenir Book" w:hAnsi="Avenir Book" w:cstheme="minorHAnsi"/>
          </w:rPr>
          <w:t>Almost 90% of children brought from Nauru suffered physical health problems</w:t>
        </w:r>
      </w:hyperlink>
      <w:r w:rsidRPr="006B3A88">
        <w:rPr>
          <w:rFonts w:ascii="Avenir Book" w:hAnsi="Avenir Book" w:cstheme="minorHAnsi"/>
        </w:rPr>
        <w:t>’ (23 March 2023) The Guardian. Many people held in detention have been diagnosed with psychosocial disability, which is directly attributed to the harsh conditions, the protracted periods of closed detention, sexual and other forms of violence, overcrowding, inadequate health care, and fear for and about the future. See: Refugee Council of Australia (RCOA), ‘</w:t>
      </w:r>
      <w:hyperlink r:id="rId133" w:history="1">
        <w:r w:rsidRPr="006B3A88">
          <w:rPr>
            <w:rStyle w:val="Hyperlink"/>
            <w:rFonts w:ascii="Avenir Book" w:hAnsi="Avenir Book" w:cstheme="minorHAnsi"/>
          </w:rPr>
          <w:t>People with Disability in Immigration Detention’</w:t>
        </w:r>
      </w:hyperlink>
      <w:r w:rsidRPr="006B3A88">
        <w:rPr>
          <w:rFonts w:ascii="Avenir Book" w:hAnsi="Avenir Book" w:cstheme="minorHAnsi"/>
        </w:rPr>
        <w:t xml:space="preserve"> (Submission to the Royal Commission into Violence, Abuse, Neglect and Exploitation of People with Disability, May 2022) RCOA. Female asylum seekers/refugees experience rape and sexual abuse, yet there is no independent investigation mechanism in place, and even when incidents are reported, investigation or</w:t>
      </w:r>
      <w:r w:rsidRPr="00437C78">
        <w:rPr>
          <w:rFonts w:ascii="Avenir Book" w:hAnsi="Avenir Book" w:cstheme="minorHAnsi"/>
        </w:rPr>
        <w:t xml:space="preserve"> </w:t>
      </w:r>
      <w:r w:rsidRPr="006B3A88">
        <w:rPr>
          <w:rFonts w:ascii="Avenir Book" w:hAnsi="Avenir Book" w:cstheme="minorHAnsi"/>
        </w:rPr>
        <w:t xml:space="preserve">appropriate sanctions rarely ensue. See: Special Rapporteur on the human rights of migrants, </w:t>
      </w:r>
      <w:hyperlink r:id="rId134" w:history="1">
        <w:r w:rsidRPr="006B3A88">
          <w:rPr>
            <w:rStyle w:val="Hyperlink"/>
            <w:rFonts w:ascii="Avenir Book" w:hAnsi="Avenir Book" w:cstheme="minorHAnsi"/>
          </w:rPr>
          <w:t>Report of the Special Rapporteur on the human rights of migrants on his mission to Australia and the regional processing centres in Nauru</w:t>
        </w:r>
      </w:hyperlink>
      <w:r w:rsidRPr="006B3A88">
        <w:rPr>
          <w:rStyle w:val="Hyperlink"/>
          <w:rFonts w:ascii="Avenir Book" w:hAnsi="Avenir Book" w:cstheme="minorHAnsi"/>
        </w:rPr>
        <w:t xml:space="preserve"> </w:t>
      </w:r>
      <w:r w:rsidRPr="006B3A88">
        <w:rPr>
          <w:rFonts w:ascii="Avenir Book" w:hAnsi="Avenir Book" w:cstheme="minorHAnsi"/>
        </w:rPr>
        <w:t xml:space="preserve"> (24 April 2017) UN Doc. No. A/HRC/35/25/Add.3, para. 78. </w:t>
      </w:r>
    </w:p>
  </w:endnote>
  <w:endnote w:id="214">
    <w:p w14:paraId="1A9FAD2F" w14:textId="77777777" w:rsidR="001E40CB" w:rsidRPr="006B3A88" w:rsidRDefault="001E40CB" w:rsidP="001E40CB">
      <w:pPr>
        <w:pStyle w:val="EndnoteText"/>
        <w:rPr>
          <w:rFonts w:ascii="Avenir Book" w:hAnsi="Avenir Book" w:cstheme="minorHAnsi"/>
        </w:rPr>
      </w:pPr>
      <w:r w:rsidRPr="006B3A88">
        <w:rPr>
          <w:rStyle w:val="EndnoteReference"/>
          <w:rFonts w:ascii="Avenir Book" w:hAnsi="Avenir Book" w:cstheme="minorHAnsi"/>
        </w:rPr>
        <w:endnoteRef/>
      </w:r>
      <w:r w:rsidRPr="006B3A88">
        <w:rPr>
          <w:rFonts w:ascii="Avenir Book" w:hAnsi="Avenir Book" w:cstheme="minorHAnsi"/>
        </w:rPr>
        <w:t xml:space="preserve"> The Welcoming Disability campaign is coordinated by Australian Lawyers for Human Rights and Down Syndrome Australia. </w:t>
      </w:r>
    </w:p>
  </w:endnote>
  <w:endnote w:id="215">
    <w:p w14:paraId="7AC3A3B9" w14:textId="77777777" w:rsidR="001E40CB" w:rsidRPr="006B3A88" w:rsidRDefault="001E40CB" w:rsidP="001E40CB">
      <w:pPr>
        <w:pStyle w:val="EndnoteText"/>
        <w:rPr>
          <w:rFonts w:ascii="Avenir Book" w:hAnsi="Avenir Book" w:cstheme="minorHAnsi"/>
          <w:lang w:val="en-US"/>
        </w:rPr>
      </w:pPr>
      <w:r w:rsidRPr="006B3A88">
        <w:rPr>
          <w:rStyle w:val="EndnoteReference"/>
          <w:rFonts w:ascii="Avenir Book" w:hAnsi="Avenir Book" w:cstheme="minorHAnsi"/>
        </w:rPr>
        <w:endnoteRef/>
      </w:r>
      <w:r w:rsidRPr="006B3A88">
        <w:rPr>
          <w:rFonts w:ascii="Avenir Book" w:hAnsi="Avenir Book" w:cstheme="minorHAnsi"/>
        </w:rPr>
        <w:t xml:space="preserve"> Welcoming Disability, ‘</w:t>
      </w:r>
      <w:hyperlink r:id="rId135" w:history="1">
        <w:r w:rsidRPr="006B3A88">
          <w:rPr>
            <w:rStyle w:val="Hyperlink"/>
            <w:rFonts w:ascii="Avenir Book" w:hAnsi="Avenir Book" w:cstheme="minorHAnsi"/>
          </w:rPr>
          <w:t>Position Statement on Migration and Disability</w:t>
        </w:r>
      </w:hyperlink>
      <w:r w:rsidRPr="006B3A88">
        <w:rPr>
          <w:rFonts w:ascii="Avenir Book" w:hAnsi="Avenir Book" w:cstheme="minorHAnsi"/>
        </w:rPr>
        <w:t>’ (2 November 2022), Welcoming Disability campaign.</w:t>
      </w:r>
    </w:p>
  </w:endnote>
  <w:endnote w:id="216">
    <w:p w14:paraId="16DA7053" w14:textId="77777777" w:rsidR="000B4717" w:rsidRPr="006B3A88" w:rsidRDefault="000B4717" w:rsidP="000B4717">
      <w:pPr>
        <w:pStyle w:val="EndnoteText"/>
        <w:rPr>
          <w:rFonts w:ascii="Avenir Book" w:hAnsi="Avenir Book" w:cstheme="minorHAnsi"/>
        </w:rPr>
      </w:pPr>
      <w:r w:rsidRPr="006B3A88">
        <w:rPr>
          <w:rStyle w:val="EndnoteReference"/>
          <w:rFonts w:ascii="Avenir Book" w:hAnsi="Avenir Book" w:cstheme="minorHAnsi"/>
        </w:rPr>
        <w:endnoteRef/>
      </w:r>
      <w:r w:rsidRPr="006B3A88">
        <w:rPr>
          <w:rFonts w:ascii="Avenir Book" w:hAnsi="Avenir Book" w:cstheme="minorHAnsi"/>
        </w:rPr>
        <w:t xml:space="preserve"> Welcoming Disability, ‘</w:t>
      </w:r>
      <w:hyperlink r:id="rId136" w:history="1">
        <w:r w:rsidRPr="006B3A88">
          <w:rPr>
            <w:rStyle w:val="Hyperlink"/>
            <w:rFonts w:ascii="Avenir Book" w:hAnsi="Avenir Book" w:cstheme="minorHAnsi"/>
          </w:rPr>
          <w:t>Review of Australia’s visa Significant Cost Threshold (SCT)</w:t>
        </w:r>
      </w:hyperlink>
      <w:r w:rsidRPr="006B3A88">
        <w:rPr>
          <w:rFonts w:ascii="Avenir Book" w:hAnsi="Avenir Book" w:cstheme="minorHAnsi"/>
        </w:rPr>
        <w:t>’ (November 2023), Welcoming Disability campaign.</w:t>
      </w:r>
    </w:p>
  </w:endnote>
  <w:endnote w:id="217">
    <w:p w14:paraId="7417FFC1" w14:textId="6D4F3F52" w:rsidR="000B4717" w:rsidRPr="006B3A88" w:rsidRDefault="000B4717">
      <w:pPr>
        <w:pStyle w:val="EndnoteText"/>
        <w:rPr>
          <w:rFonts w:ascii="Avenir Book" w:hAnsi="Avenir Book"/>
          <w:lang w:val="en-AU"/>
        </w:rPr>
      </w:pPr>
      <w:r w:rsidRPr="006B3A88">
        <w:rPr>
          <w:rStyle w:val="EndnoteReference"/>
          <w:rFonts w:ascii="Avenir Book" w:hAnsi="Avenir Book"/>
        </w:rPr>
        <w:endnoteRef/>
      </w:r>
      <w:r w:rsidRPr="006B3A88">
        <w:rPr>
          <w:rFonts w:ascii="Avenir Book" w:hAnsi="Avenir Book"/>
        </w:rPr>
        <w:t xml:space="preserve"> </w:t>
      </w:r>
      <w:r w:rsidRPr="006B3A88">
        <w:rPr>
          <w:rFonts w:ascii="Avenir Book" w:hAnsi="Avenir Book"/>
          <w:lang w:val="en-AU"/>
        </w:rPr>
        <w:t>Department of Home Affairs, ‘</w:t>
      </w:r>
      <w:r w:rsidRPr="006B3A88">
        <w:rPr>
          <w:rFonts w:ascii="Avenir Book" w:hAnsi="Avenir Book"/>
          <w:i/>
          <w:iCs/>
          <w:lang w:val="en-AU"/>
        </w:rPr>
        <w:t>Review of Australia’s visa Significant Cost Threshold (SCT</w:t>
      </w:r>
      <w:r w:rsidRPr="006B3A88">
        <w:rPr>
          <w:rFonts w:ascii="Avenir Book" w:hAnsi="Avenir Book"/>
          <w:lang w:val="en-AU"/>
        </w:rPr>
        <w:t>)’ (Website information).</w:t>
      </w:r>
    </w:p>
  </w:endnote>
  <w:endnote w:id="218">
    <w:p w14:paraId="5DCC4A39" w14:textId="77777777" w:rsidR="00A301A7" w:rsidRPr="006B3A88" w:rsidRDefault="00A301A7" w:rsidP="00A301A7">
      <w:pPr>
        <w:pStyle w:val="EndnoteText"/>
        <w:rPr>
          <w:rFonts w:ascii="Avenir Book" w:hAnsi="Avenir Book" w:cstheme="minorHAnsi"/>
        </w:rPr>
      </w:pPr>
      <w:r w:rsidRPr="006B3A88">
        <w:rPr>
          <w:rStyle w:val="EndnoteReference"/>
          <w:rFonts w:ascii="Avenir Book" w:hAnsi="Avenir Book" w:cstheme="minorHAnsi"/>
        </w:rPr>
        <w:endnoteRef/>
      </w:r>
      <w:r w:rsidRPr="006B3A88">
        <w:rPr>
          <w:rFonts w:ascii="Avenir Book" w:hAnsi="Avenir Book" w:cstheme="minorHAnsi"/>
        </w:rPr>
        <w:t xml:space="preserve"> See e.g., Working Group on Children and Violence, ‘</w:t>
      </w:r>
      <w:hyperlink r:id="rId137" w:history="1">
        <w:r w:rsidRPr="006B3A88">
          <w:rPr>
            <w:rStyle w:val="Hyperlink"/>
            <w:rFonts w:ascii="Avenir Book" w:hAnsi="Avenir Book" w:cstheme="minorHAnsi"/>
          </w:rPr>
          <w:t>Extreme poverty constitutes a severe form of violence</w:t>
        </w:r>
      </w:hyperlink>
      <w:r w:rsidRPr="006B3A88">
        <w:rPr>
          <w:rFonts w:ascii="Avenir Book" w:hAnsi="Avenir Book" w:cstheme="minorHAnsi"/>
        </w:rPr>
        <w:t>’ (Blog post, 27 February 2023) Child Rights Connect; Office of the High Commissioner for Human Rights (OHCHR), ‘</w:t>
      </w:r>
      <w:hyperlink r:id="rId138" w:history="1">
        <w:r w:rsidRPr="006B3A88">
          <w:rPr>
            <w:rStyle w:val="Hyperlink"/>
            <w:rFonts w:ascii="Avenir Book" w:hAnsi="Avenir Book" w:cstheme="minorHAnsi"/>
          </w:rPr>
          <w:t>Guiding principles on extreme poverty and human rights’</w:t>
        </w:r>
      </w:hyperlink>
      <w:r w:rsidRPr="006B3A88">
        <w:rPr>
          <w:rFonts w:ascii="Avenir Book" w:hAnsi="Avenir Book" w:cstheme="minorHAnsi"/>
        </w:rPr>
        <w:t xml:space="preserve"> (2012) OHCHR, Geneva; Chelsea Gupta and Quinn Sullivan, ‘</w:t>
      </w:r>
      <w:hyperlink r:id="rId139" w:history="1">
        <w:r w:rsidRPr="006B3A88">
          <w:rPr>
            <w:rStyle w:val="Hyperlink"/>
            <w:rFonts w:ascii="Avenir Book" w:hAnsi="Avenir Book" w:cstheme="minorHAnsi"/>
          </w:rPr>
          <w:t>UN Sustainability Goal 16.1 – Violence Reduction</w:t>
        </w:r>
      </w:hyperlink>
      <w:r w:rsidRPr="006B3A88">
        <w:rPr>
          <w:rFonts w:ascii="Avenir Book" w:hAnsi="Avenir Book" w:cstheme="minorHAnsi"/>
        </w:rPr>
        <w:t xml:space="preserve">’ (2021) Cure Violence Global; Muderedzi JT, Eide AH, Braathen SH, Stray-Pedersen, B., ‘Exploring structural violence in the context of disability in Zimbabwe’, </w:t>
      </w:r>
      <w:r w:rsidRPr="006B3A88">
        <w:rPr>
          <w:rFonts w:ascii="Avenir Book" w:hAnsi="Avenir Book" w:cstheme="minorHAnsi"/>
          <w:i/>
          <w:iCs/>
        </w:rPr>
        <w:t>Afr J Disabil</w:t>
      </w:r>
      <w:r w:rsidRPr="006B3A88">
        <w:rPr>
          <w:rFonts w:ascii="Avenir Book" w:hAnsi="Avenir Book" w:cstheme="minorHAnsi"/>
        </w:rPr>
        <w:t>. 2017, Apr 18:6:274, doi: 10.4102/ajod.v6i0.274. PMID: 28730065; PMCID: PMC5502468.</w:t>
      </w:r>
    </w:p>
  </w:endnote>
  <w:endnote w:id="219">
    <w:p w14:paraId="0148535D" w14:textId="77777777" w:rsidR="00A301A7" w:rsidRPr="006B3A88" w:rsidRDefault="00A301A7" w:rsidP="00A301A7">
      <w:pPr>
        <w:pStyle w:val="EndnoteText"/>
        <w:rPr>
          <w:rFonts w:ascii="Avenir Book" w:hAnsi="Avenir Book" w:cstheme="minorHAnsi"/>
        </w:rPr>
      </w:pPr>
      <w:r w:rsidRPr="006B3A88">
        <w:rPr>
          <w:rStyle w:val="EndnoteReference"/>
          <w:rFonts w:ascii="Avenir Book" w:hAnsi="Avenir Book" w:cstheme="minorHAnsi"/>
        </w:rPr>
        <w:endnoteRef/>
      </w:r>
      <w:r w:rsidRPr="006B3A88">
        <w:rPr>
          <w:rFonts w:ascii="Avenir Book" w:hAnsi="Avenir Book" w:cstheme="minorHAnsi"/>
        </w:rPr>
        <w:t xml:space="preserve"> UN Women (2015) </w:t>
      </w:r>
      <w:hyperlink r:id="rId140" w:history="1">
        <w:r w:rsidRPr="006B3A88">
          <w:rPr>
            <w:rStyle w:val="Hyperlink"/>
            <w:rFonts w:ascii="Avenir Book" w:hAnsi="Avenir Book" w:cstheme="minorHAnsi"/>
          </w:rPr>
          <w:t>Summary Report: The Beijing Declaration and Platform for Action turns 20</w:t>
        </w:r>
      </w:hyperlink>
      <w:r w:rsidRPr="006B3A88">
        <w:rPr>
          <w:rFonts w:ascii="Avenir Book" w:hAnsi="Avenir Book" w:cstheme="minorHAnsi"/>
        </w:rPr>
        <w:t>. UN Women, New York, p. 10.</w:t>
      </w:r>
    </w:p>
  </w:endnote>
  <w:endnote w:id="220">
    <w:p w14:paraId="4EB2C46A" w14:textId="77777777" w:rsidR="00A301A7" w:rsidRPr="006B3A88" w:rsidRDefault="00A301A7" w:rsidP="00A301A7">
      <w:pPr>
        <w:pStyle w:val="EndnoteText"/>
        <w:rPr>
          <w:rFonts w:ascii="Avenir Book" w:hAnsi="Avenir Book" w:cstheme="minorHAnsi"/>
        </w:rPr>
      </w:pPr>
      <w:r w:rsidRPr="006B3A88">
        <w:rPr>
          <w:rStyle w:val="EndnoteReference"/>
          <w:rFonts w:ascii="Avenir Book" w:hAnsi="Avenir Book" w:cstheme="minorHAnsi"/>
        </w:rPr>
        <w:endnoteRef/>
      </w:r>
      <w:r w:rsidRPr="006B3A88">
        <w:rPr>
          <w:rFonts w:ascii="Avenir Book" w:hAnsi="Avenir Book" w:cstheme="minorHAnsi"/>
        </w:rPr>
        <w:t xml:space="preserve"> Social protection is understood as </w:t>
      </w:r>
      <w:bookmarkStart w:id="152" w:name="OLE_LINK7"/>
      <w:bookmarkStart w:id="153" w:name="OLE_LINK8"/>
      <w:r w:rsidRPr="006B3A88">
        <w:rPr>
          <w:rFonts w:ascii="Avenir Book" w:hAnsi="Avenir Book" w:cstheme="minorHAnsi"/>
        </w:rPr>
        <w:t>a set of policies and programmes aimed at preventing or protecting all people against poverty, vulnerability and social exclusion throughout their life-course, with a particular emphasis on vulnerable groups</w:t>
      </w:r>
      <w:bookmarkEnd w:id="152"/>
      <w:bookmarkEnd w:id="153"/>
      <w:r w:rsidRPr="006B3A88">
        <w:rPr>
          <w:rFonts w:ascii="Avenir Book" w:hAnsi="Avenir Book" w:cstheme="minorHAnsi"/>
        </w:rPr>
        <w:t>. See e.g., United Nations Economist Network (UNEN), ‘</w:t>
      </w:r>
      <w:hyperlink r:id="rId141" w:history="1">
        <w:r w:rsidRPr="006B3A88">
          <w:rPr>
            <w:rStyle w:val="Hyperlink"/>
            <w:rFonts w:ascii="Avenir Book" w:hAnsi="Avenir Book" w:cstheme="minorHAnsi"/>
          </w:rPr>
          <w:t>Thematic Brief – Social Protection</w:t>
        </w:r>
      </w:hyperlink>
      <w:r w:rsidRPr="006B3A88">
        <w:rPr>
          <w:rFonts w:ascii="Avenir Book" w:hAnsi="Avenir Book" w:cstheme="minorHAnsi"/>
        </w:rPr>
        <w:t xml:space="preserve">’, UNEN, p. 1; UN High Commissioner for Refugees (UNHCR), ‘UNHCR – An introduction to Social Protection’ UNHCR; socialprotection.org, ‘What is Social Protection?’ (Online glossary) </w:t>
      </w:r>
      <w:hyperlink r:id="rId142" w:history="1">
        <w:r w:rsidRPr="006B3A88">
          <w:rPr>
            <w:rStyle w:val="Hyperlink"/>
            <w:rFonts w:ascii="Avenir Book" w:hAnsi="Avenir Book" w:cstheme="minorHAnsi"/>
          </w:rPr>
          <w:t>https://socialprotection.org/learn/glossary/what-is-social-protection</w:t>
        </w:r>
      </w:hyperlink>
      <w:r w:rsidRPr="006B3A88">
        <w:rPr>
          <w:rFonts w:ascii="Avenir Book" w:hAnsi="Avenir Book" w:cstheme="minorHAnsi"/>
        </w:rPr>
        <w:t>.</w:t>
      </w:r>
    </w:p>
  </w:endnote>
  <w:endnote w:id="221">
    <w:p w14:paraId="3B26081A" w14:textId="77777777" w:rsidR="00A301A7" w:rsidRPr="006B3A88" w:rsidRDefault="00A301A7" w:rsidP="00A301A7">
      <w:pPr>
        <w:pStyle w:val="EndnoteText"/>
        <w:rPr>
          <w:rFonts w:ascii="Avenir Book" w:hAnsi="Avenir Book" w:cstheme="minorHAnsi"/>
        </w:rPr>
      </w:pPr>
      <w:r w:rsidRPr="006B3A88">
        <w:rPr>
          <w:rStyle w:val="EndnoteReference"/>
          <w:rFonts w:ascii="Avenir Book" w:hAnsi="Avenir Book" w:cstheme="minorHAnsi"/>
        </w:rPr>
        <w:endnoteRef/>
      </w:r>
      <w:r w:rsidRPr="006B3A88">
        <w:rPr>
          <w:rFonts w:ascii="Avenir Book" w:hAnsi="Avenir Book" w:cstheme="minorHAnsi"/>
        </w:rPr>
        <w:t xml:space="preserve"> Australia does not currently have an official national poverty line, despite Australia’s obligation under the Sustainable Development Goals (SDGs) to </w:t>
      </w:r>
      <w:r w:rsidRPr="006B3A88">
        <w:rPr>
          <w:rFonts w:ascii="Avenir Book" w:hAnsi="Avenir Book" w:cstheme="minorHAnsi"/>
          <w:i/>
          <w:iCs/>
        </w:rPr>
        <w:t xml:space="preserve">‘by 2030, reduce at least by half the proportion of men, women and children of all ages living in poverty in all its dimensions according to national definitions’ </w:t>
      </w:r>
      <w:r w:rsidRPr="006B3A88">
        <w:rPr>
          <w:rFonts w:ascii="Avenir Book" w:hAnsi="Avenir Book" w:cstheme="minorHAnsi"/>
        </w:rPr>
        <w:t>(</w:t>
      </w:r>
      <w:hyperlink r:id="rId143" w:history="1">
        <w:r w:rsidRPr="006B3A88">
          <w:rPr>
            <w:rStyle w:val="Hyperlink"/>
            <w:rFonts w:ascii="Avenir Book" w:hAnsi="Avenir Book" w:cstheme="minorHAnsi"/>
          </w:rPr>
          <w:t>SDG Goal 1: No Poverty</w:t>
        </w:r>
      </w:hyperlink>
      <w:r w:rsidRPr="006B3A88">
        <w:rPr>
          <w:rFonts w:ascii="Avenir Book" w:hAnsi="Avenir Book" w:cstheme="minorHAnsi"/>
        </w:rPr>
        <w:t>)</w:t>
      </w:r>
      <w:r w:rsidRPr="006B3A88">
        <w:rPr>
          <w:rFonts w:ascii="Avenir Book" w:hAnsi="Avenir Book" w:cstheme="minorHAnsi"/>
          <w:i/>
          <w:iCs/>
        </w:rPr>
        <w:t>.</w:t>
      </w:r>
      <w:r w:rsidRPr="006B3A88">
        <w:rPr>
          <w:rFonts w:ascii="Avenir Book" w:hAnsi="Avenir Book" w:cstheme="minorHAnsi"/>
        </w:rPr>
        <w:t xml:space="preserve"> In the absence of an official definition, common measures or poverty lines used by stakeholders and researchers in Australia include: the Henderson Poverty Line; the 50 per cent of median income poverty rate; the 60 per cent of median income poverty rate; and the before- and after- housing poverty rate. However, people are in poverty when their household’s disposable income falls below a level considered adequate to achieve an acceptable standard of living. See for eg: The Senate Community Affairs References Committee, ‘The extent and nature of poverty in Australia: Interim report’ (May 2023) Commonwealth of Australia, Chapter 2; Australian Council of Social Service (ACOSS) and University of New South Wales (UNSW), ‘</w:t>
      </w:r>
      <w:hyperlink r:id="rId144" w:history="1">
        <w:r w:rsidRPr="006B3A88">
          <w:rPr>
            <w:rStyle w:val="Hyperlink"/>
            <w:rFonts w:ascii="Avenir Book" w:hAnsi="Avenir Book" w:cstheme="minorHAnsi"/>
          </w:rPr>
          <w:t>Poverty in Australia 2023 – Who is Affected?</w:t>
        </w:r>
      </w:hyperlink>
      <w:r w:rsidRPr="006B3A88">
        <w:rPr>
          <w:rFonts w:ascii="Avenir Book" w:hAnsi="Avenir Book" w:cstheme="minorHAnsi"/>
        </w:rPr>
        <w:t>’ (March 2023) ACOSS and UNSW. See: See also: Gareth Hutchens, ‘</w:t>
      </w:r>
      <w:hyperlink r:id="rId145" w:history="1">
        <w:r w:rsidRPr="006B3A88">
          <w:rPr>
            <w:rStyle w:val="Hyperlink"/>
            <w:rFonts w:ascii="Avenir Book" w:hAnsi="Avenir Book" w:cstheme="minorHAnsi"/>
          </w:rPr>
          <w:t>Why are millions of Australians still living in poverty? Experts say it’s solvable</w:t>
        </w:r>
      </w:hyperlink>
      <w:r w:rsidRPr="006B3A88">
        <w:rPr>
          <w:rFonts w:ascii="Avenir Book" w:hAnsi="Avenir Book" w:cstheme="minorHAnsi"/>
        </w:rPr>
        <w:t>’ (20 October 2022) ABC News.</w:t>
      </w:r>
    </w:p>
  </w:endnote>
  <w:endnote w:id="222">
    <w:p w14:paraId="3D119A79" w14:textId="77777777" w:rsidR="00A301A7" w:rsidRPr="006B3A88" w:rsidRDefault="00A301A7" w:rsidP="00A301A7">
      <w:pPr>
        <w:pStyle w:val="EndnoteText"/>
        <w:rPr>
          <w:rFonts w:ascii="Avenir Book" w:hAnsi="Avenir Book" w:cstheme="minorHAnsi"/>
        </w:rPr>
      </w:pPr>
      <w:r w:rsidRPr="006B3A88">
        <w:rPr>
          <w:rStyle w:val="EndnoteReference"/>
          <w:rFonts w:ascii="Avenir Book" w:hAnsi="Avenir Book" w:cstheme="minorHAnsi"/>
        </w:rPr>
        <w:endnoteRef/>
      </w:r>
      <w:r w:rsidRPr="006B3A88">
        <w:rPr>
          <w:rFonts w:ascii="Avenir Book" w:hAnsi="Avenir Book" w:cstheme="minorHAnsi"/>
        </w:rPr>
        <w:t xml:space="preserve"> See e.g., Australian Council of Social Service (ACOSS) and University of New South Wales (UNSW), ‘</w:t>
      </w:r>
      <w:hyperlink r:id="rId146" w:history="1">
        <w:r w:rsidRPr="006B3A88">
          <w:rPr>
            <w:rStyle w:val="Hyperlink"/>
            <w:rFonts w:ascii="Avenir Book" w:hAnsi="Avenir Book" w:cstheme="minorHAnsi"/>
          </w:rPr>
          <w:t>Poverty in Australia 2023 – Who is Affected?</w:t>
        </w:r>
      </w:hyperlink>
      <w:r w:rsidRPr="006B3A88">
        <w:rPr>
          <w:rFonts w:ascii="Avenir Book" w:hAnsi="Avenir Book" w:cstheme="minorHAnsi"/>
        </w:rPr>
        <w:t>’ (March 2023) ACOSS and UNSW. See also: Disabled People’s Organisations Australia &amp; National Women’s Alliances, ‘</w:t>
      </w:r>
      <w:hyperlink r:id="rId147" w:history="1">
        <w:r w:rsidRPr="006B3A88">
          <w:rPr>
            <w:rStyle w:val="Hyperlink"/>
            <w:rFonts w:ascii="Avenir Book" w:hAnsi="Avenir Book" w:cstheme="minorHAnsi"/>
          </w:rPr>
          <w:t>The Status of Women and Girls with Disability in Australia’</w:t>
        </w:r>
      </w:hyperlink>
      <w:r w:rsidRPr="006B3A88">
        <w:rPr>
          <w:rFonts w:ascii="Avenir Book" w:hAnsi="Avenir Book" w:cstheme="minorHAnsi"/>
        </w:rPr>
        <w:t xml:space="preserve"> (November 2019, Position Paper to the Commission on the Status of Women (CSW) 25</w:t>
      </w:r>
      <w:r w:rsidRPr="006B3A88">
        <w:rPr>
          <w:rFonts w:ascii="Avenir Book" w:hAnsi="Avenir Book" w:cstheme="minorHAnsi"/>
          <w:vertAlign w:val="superscript"/>
        </w:rPr>
        <w:t>th</w:t>
      </w:r>
      <w:r w:rsidRPr="006B3A88">
        <w:rPr>
          <w:rFonts w:ascii="Avenir Book" w:hAnsi="Avenir Book" w:cstheme="minorHAnsi"/>
        </w:rPr>
        <w:t xml:space="preserve"> Anniversary of the 4</w:t>
      </w:r>
      <w:r w:rsidRPr="006B3A88">
        <w:rPr>
          <w:rFonts w:ascii="Avenir Book" w:hAnsi="Avenir Book" w:cstheme="minorHAnsi"/>
          <w:vertAlign w:val="superscript"/>
        </w:rPr>
        <w:t>th</w:t>
      </w:r>
      <w:r w:rsidRPr="006B3A88">
        <w:rPr>
          <w:rFonts w:ascii="Avenir Book" w:hAnsi="Avenir Book" w:cstheme="minorHAnsi"/>
        </w:rPr>
        <w:t xml:space="preserve"> World Conference on Women and The Beijing Declaration and Platform for Action (1995)) Women With Disabilities Australia, p. 7. See also: Department of Economic and Social Affairs, ‘Disability and Development Report – Realizing the Sustainable Development Goals by, bor and with persons with disabiities’ (2018) United Nations p. 34. </w:t>
      </w:r>
    </w:p>
  </w:endnote>
  <w:endnote w:id="223">
    <w:p w14:paraId="675FE34E" w14:textId="77777777" w:rsidR="00A301A7" w:rsidRPr="006B3A88" w:rsidRDefault="00A301A7" w:rsidP="00A301A7">
      <w:pPr>
        <w:pStyle w:val="EndnoteText"/>
        <w:rPr>
          <w:rFonts w:ascii="Avenir Book" w:hAnsi="Avenir Book" w:cstheme="minorHAnsi"/>
        </w:rPr>
      </w:pPr>
      <w:r w:rsidRPr="006B3A88">
        <w:rPr>
          <w:rStyle w:val="EndnoteReference"/>
          <w:rFonts w:ascii="Avenir Book" w:hAnsi="Avenir Book" w:cstheme="minorHAnsi"/>
        </w:rPr>
        <w:endnoteRef/>
      </w:r>
      <w:r w:rsidRPr="006B3A88">
        <w:rPr>
          <w:rFonts w:ascii="Avenir Book" w:hAnsi="Avenir Book" w:cstheme="minorHAnsi"/>
        </w:rPr>
        <w:t xml:space="preserve"> Australian Council of Social Service (ACOSS) and University of New South Wales (UNSW), op. cit., p. 55.</w:t>
      </w:r>
    </w:p>
  </w:endnote>
  <w:endnote w:id="224">
    <w:p w14:paraId="64A00EE3" w14:textId="77777777" w:rsidR="00A301A7" w:rsidRPr="006B3A88" w:rsidRDefault="00A301A7" w:rsidP="00A301A7">
      <w:pPr>
        <w:pStyle w:val="EndnoteText"/>
        <w:rPr>
          <w:rFonts w:ascii="Avenir Book" w:hAnsi="Avenir Book" w:cstheme="minorHAnsi"/>
          <w:color w:val="000000" w:themeColor="text1"/>
        </w:rPr>
      </w:pPr>
      <w:r w:rsidRPr="006B3A88">
        <w:rPr>
          <w:rStyle w:val="EndnoteReference"/>
          <w:rFonts w:ascii="Avenir Book" w:hAnsi="Avenir Book" w:cstheme="minorHAnsi"/>
        </w:rPr>
        <w:endnoteRef/>
      </w:r>
      <w:r w:rsidRPr="006B3A88">
        <w:rPr>
          <w:rFonts w:ascii="Avenir Book" w:hAnsi="Avenir Book" w:cstheme="minorHAnsi"/>
        </w:rPr>
        <w:t xml:space="preserve"> </w:t>
      </w:r>
      <w:r w:rsidRPr="006B3A88">
        <w:rPr>
          <w:rFonts w:ascii="Avenir Book" w:hAnsi="Avenir Book" w:cstheme="minorHAnsi"/>
          <w:color w:val="000000" w:themeColor="text1"/>
          <w:lang w:val="en-US"/>
        </w:rPr>
        <w:t>PricewaterhouseCoopers (PwC), ‘</w:t>
      </w:r>
      <w:hyperlink r:id="rId148" w:history="1">
        <w:r w:rsidRPr="006B3A88">
          <w:rPr>
            <w:rStyle w:val="Hyperlink"/>
            <w:rFonts w:ascii="Avenir Book" w:hAnsi="Avenir Book" w:cstheme="minorHAnsi"/>
            <w:lang w:val="en-US"/>
          </w:rPr>
          <w:t>Disability expectations: Investing in a better life, a stronger Australia</w:t>
        </w:r>
      </w:hyperlink>
      <w:r w:rsidRPr="006B3A88">
        <w:rPr>
          <w:rFonts w:ascii="Avenir Book" w:hAnsi="Avenir Book" w:cstheme="minorHAnsi"/>
          <w:color w:val="000000" w:themeColor="text1"/>
          <w:lang w:val="en-US"/>
        </w:rPr>
        <w:t>’ (November 2011) PwC.</w:t>
      </w:r>
    </w:p>
  </w:endnote>
  <w:endnote w:id="225">
    <w:p w14:paraId="6B67F55A" w14:textId="77777777" w:rsidR="00A301A7" w:rsidRPr="006B3A88" w:rsidRDefault="00A301A7" w:rsidP="00A301A7">
      <w:pPr>
        <w:pStyle w:val="EndnoteText"/>
        <w:rPr>
          <w:rFonts w:ascii="Avenir Book" w:hAnsi="Avenir Book" w:cstheme="minorHAnsi"/>
        </w:rPr>
      </w:pPr>
      <w:r w:rsidRPr="006B3A88">
        <w:rPr>
          <w:rStyle w:val="EndnoteReference"/>
          <w:rFonts w:ascii="Avenir Book" w:hAnsi="Avenir Book" w:cstheme="minorHAnsi"/>
        </w:rPr>
        <w:endnoteRef/>
      </w:r>
      <w:r w:rsidRPr="006B3A88">
        <w:rPr>
          <w:rFonts w:ascii="Avenir Book" w:hAnsi="Avenir Book" w:cstheme="minorHAnsi"/>
        </w:rPr>
        <w:t xml:space="preserve"> Australian Council of Social Service (ACOSS) and University of New South Wales (UNSW), op. cit., p. 55.</w:t>
      </w:r>
    </w:p>
  </w:endnote>
  <w:endnote w:id="226">
    <w:p w14:paraId="0E3C6433" w14:textId="77777777" w:rsidR="00A301A7" w:rsidRPr="006B3A88" w:rsidRDefault="00A301A7" w:rsidP="00A301A7">
      <w:pPr>
        <w:pStyle w:val="EndnoteText"/>
        <w:rPr>
          <w:rFonts w:ascii="Avenir Book" w:hAnsi="Avenir Book" w:cstheme="minorHAnsi"/>
        </w:rPr>
      </w:pPr>
      <w:r w:rsidRPr="006B3A88">
        <w:rPr>
          <w:rStyle w:val="EndnoteReference"/>
          <w:rFonts w:ascii="Avenir Book" w:hAnsi="Avenir Book" w:cstheme="minorHAnsi"/>
        </w:rPr>
        <w:endnoteRef/>
      </w:r>
      <w:r w:rsidRPr="006B3A88">
        <w:rPr>
          <w:rFonts w:ascii="Avenir Book" w:hAnsi="Avenir Book" w:cstheme="minorHAnsi"/>
        </w:rPr>
        <w:t xml:space="preserve"> Ibid.</w:t>
      </w:r>
    </w:p>
  </w:endnote>
  <w:endnote w:id="227">
    <w:p w14:paraId="3DDCBE96" w14:textId="77777777" w:rsidR="00A301A7" w:rsidRPr="006B3A88" w:rsidRDefault="00A301A7" w:rsidP="00A301A7">
      <w:pPr>
        <w:pStyle w:val="EndnoteText"/>
        <w:rPr>
          <w:rFonts w:ascii="Avenir Book" w:hAnsi="Avenir Book" w:cstheme="minorHAnsi"/>
        </w:rPr>
      </w:pPr>
      <w:r w:rsidRPr="006B3A88">
        <w:rPr>
          <w:rStyle w:val="EndnoteReference"/>
          <w:rFonts w:ascii="Avenir Book" w:hAnsi="Avenir Book" w:cstheme="minorHAnsi"/>
        </w:rPr>
        <w:endnoteRef/>
      </w:r>
      <w:r w:rsidRPr="006B3A88">
        <w:rPr>
          <w:rFonts w:ascii="Avenir Book" w:hAnsi="Avenir Book" w:cstheme="minorHAnsi"/>
        </w:rPr>
        <w:t xml:space="preserve"> Ibid.</w:t>
      </w:r>
    </w:p>
  </w:endnote>
  <w:endnote w:id="228">
    <w:p w14:paraId="588853F6" w14:textId="77777777" w:rsidR="00A301A7" w:rsidRPr="006B3A88" w:rsidRDefault="00A301A7" w:rsidP="00A301A7">
      <w:pPr>
        <w:pStyle w:val="EndnoteText"/>
        <w:rPr>
          <w:rFonts w:ascii="Avenir Book" w:hAnsi="Avenir Book" w:cstheme="minorHAnsi"/>
        </w:rPr>
      </w:pPr>
      <w:r w:rsidRPr="006B3A88">
        <w:rPr>
          <w:rStyle w:val="EndnoteReference"/>
          <w:rFonts w:ascii="Avenir Book" w:hAnsi="Avenir Book" w:cstheme="minorHAnsi"/>
        </w:rPr>
        <w:endnoteRef/>
      </w:r>
      <w:r w:rsidRPr="006B3A88">
        <w:rPr>
          <w:rFonts w:ascii="Avenir Book" w:hAnsi="Avenir Book" w:cstheme="minorHAnsi"/>
        </w:rPr>
        <w:t xml:space="preserve"> Australian Institute of Health and Welfare, ‘</w:t>
      </w:r>
      <w:hyperlink r:id="rId149" w:history="1">
        <w:r w:rsidRPr="006B3A88">
          <w:rPr>
            <w:rStyle w:val="Hyperlink"/>
            <w:rFonts w:ascii="Avenir Book" w:hAnsi="Avenir Book" w:cstheme="minorHAnsi"/>
          </w:rPr>
          <w:t>Australia’s welfare 2017</w:t>
        </w:r>
      </w:hyperlink>
      <w:r w:rsidRPr="006B3A88">
        <w:rPr>
          <w:rFonts w:ascii="Avenir Book" w:hAnsi="Avenir Book" w:cstheme="minorHAnsi"/>
        </w:rPr>
        <w:t>’ (2017) Australia’s welfare series no. 13. AUS 214. Canberra: AIHW.</w:t>
      </w:r>
    </w:p>
  </w:endnote>
  <w:endnote w:id="229">
    <w:p w14:paraId="0109EB8C" w14:textId="77777777" w:rsidR="00A301A7" w:rsidRPr="006B3A88" w:rsidRDefault="00A301A7" w:rsidP="00A301A7">
      <w:pPr>
        <w:pStyle w:val="EndnoteText"/>
        <w:rPr>
          <w:rFonts w:ascii="Avenir Book" w:hAnsi="Avenir Book" w:cstheme="minorHAnsi"/>
        </w:rPr>
      </w:pPr>
      <w:r w:rsidRPr="006B3A88">
        <w:rPr>
          <w:rStyle w:val="EndnoteReference"/>
          <w:rFonts w:ascii="Avenir Book" w:hAnsi="Avenir Book" w:cstheme="minorHAnsi"/>
        </w:rPr>
        <w:endnoteRef/>
      </w:r>
      <w:r w:rsidRPr="006B3A88">
        <w:rPr>
          <w:rFonts w:ascii="Avenir Book" w:hAnsi="Avenir Book" w:cstheme="minorHAnsi"/>
        </w:rPr>
        <w:t xml:space="preserve"> The Senate Community Affairs References Committee, ‘The extent and nature of poverty in Australia: Interim report’ (May 2023) Commonwealth of Australia, paras. 2.14-2.15. </w:t>
      </w:r>
    </w:p>
  </w:endnote>
  <w:endnote w:id="230">
    <w:p w14:paraId="4F0EFDE4" w14:textId="4284EC01" w:rsidR="004B1314" w:rsidRPr="006B3A88" w:rsidRDefault="004B1314">
      <w:pPr>
        <w:pStyle w:val="EndnoteText"/>
        <w:rPr>
          <w:rFonts w:ascii="Avenir Book" w:hAnsi="Avenir Book"/>
          <w:lang w:val="en-AU"/>
        </w:rPr>
      </w:pPr>
      <w:r w:rsidRPr="006B3A88">
        <w:rPr>
          <w:rStyle w:val="EndnoteReference"/>
          <w:rFonts w:ascii="Avenir Book" w:hAnsi="Avenir Book"/>
        </w:rPr>
        <w:endnoteRef/>
      </w:r>
      <w:r w:rsidRPr="006B3A88">
        <w:rPr>
          <w:rFonts w:ascii="Avenir Book" w:hAnsi="Avenir Book"/>
        </w:rPr>
        <w:t xml:space="preserve"> </w:t>
      </w:r>
      <w:r w:rsidRPr="006B3A88">
        <w:rPr>
          <w:rFonts w:ascii="Avenir Book" w:hAnsi="Avenir Book"/>
          <w:lang w:val="en-AU"/>
        </w:rPr>
        <w:t xml:space="preserve">Senate Community Affairs References Committee </w:t>
      </w:r>
      <w:hyperlink r:id="rId150" w:history="1">
        <w:r w:rsidRPr="006B3A88">
          <w:rPr>
            <w:rStyle w:val="Hyperlink"/>
            <w:rFonts w:ascii="Avenir Book" w:hAnsi="Avenir Book"/>
            <w:lang w:val="en-AU"/>
          </w:rPr>
          <w:t>inquiry into the extent and nature of poverty in Australia</w:t>
        </w:r>
      </w:hyperlink>
      <w:r w:rsidRPr="006B3A88">
        <w:rPr>
          <w:rFonts w:ascii="Avenir Book" w:hAnsi="Avenir Book"/>
          <w:lang w:val="en-AU"/>
        </w:rPr>
        <w:t xml:space="preserve"> is due to report on 6 February 2024.</w:t>
      </w:r>
    </w:p>
  </w:endnote>
  <w:endnote w:id="231">
    <w:p w14:paraId="749E11E7" w14:textId="77777777" w:rsidR="00A301A7" w:rsidRPr="006B3A88" w:rsidRDefault="00A301A7" w:rsidP="00A301A7">
      <w:pPr>
        <w:pStyle w:val="EndnoteText"/>
        <w:rPr>
          <w:rFonts w:ascii="Avenir Book" w:hAnsi="Avenir Book" w:cstheme="minorHAnsi"/>
        </w:rPr>
      </w:pPr>
      <w:r w:rsidRPr="006B3A88">
        <w:rPr>
          <w:rStyle w:val="EndnoteReference"/>
          <w:rFonts w:ascii="Avenir Book" w:hAnsi="Avenir Book" w:cstheme="minorHAnsi"/>
        </w:rPr>
        <w:endnoteRef/>
      </w:r>
      <w:r w:rsidRPr="006B3A88">
        <w:rPr>
          <w:rFonts w:ascii="Avenir Book" w:hAnsi="Avenir Book" w:cstheme="minorHAnsi"/>
        </w:rPr>
        <w:t xml:space="preserve"> Ibid. para 2.14.</w:t>
      </w:r>
    </w:p>
  </w:endnote>
  <w:endnote w:id="232">
    <w:p w14:paraId="6F21C606" w14:textId="77777777" w:rsidR="00A301A7" w:rsidRPr="006B3A88" w:rsidRDefault="00A301A7" w:rsidP="00A301A7">
      <w:pPr>
        <w:pStyle w:val="EndnoteText"/>
        <w:rPr>
          <w:rFonts w:ascii="Avenir Book" w:hAnsi="Avenir Book" w:cstheme="minorHAnsi"/>
        </w:rPr>
      </w:pPr>
      <w:r w:rsidRPr="006B3A88">
        <w:rPr>
          <w:rStyle w:val="EndnoteReference"/>
          <w:rFonts w:ascii="Avenir Book" w:hAnsi="Avenir Book" w:cstheme="minorHAnsi"/>
        </w:rPr>
        <w:endnoteRef/>
      </w:r>
      <w:r w:rsidRPr="006B3A88">
        <w:rPr>
          <w:rFonts w:ascii="Avenir Book" w:hAnsi="Avenir Book" w:cstheme="minorHAnsi"/>
        </w:rPr>
        <w:t xml:space="preserve"> National Aboriginal Community Controlled Health Organisation (NACCHO) quoted in The Senate Community Affairs References Committee, ‘The extent and nature of poverty in Australia: Interim report’ (May 2023) Commonwealth of Australia, para. 2.15.</w:t>
      </w:r>
    </w:p>
  </w:endnote>
  <w:endnote w:id="233">
    <w:p w14:paraId="7DB6CA30" w14:textId="77777777" w:rsidR="00A301A7" w:rsidRPr="006B3A88" w:rsidRDefault="00A301A7" w:rsidP="00A301A7">
      <w:pPr>
        <w:pStyle w:val="EndnoteText"/>
        <w:rPr>
          <w:rFonts w:ascii="Avenir Book" w:hAnsi="Avenir Book" w:cstheme="minorHAnsi"/>
        </w:rPr>
      </w:pPr>
      <w:r w:rsidRPr="006B3A88">
        <w:rPr>
          <w:rStyle w:val="EndnoteReference"/>
          <w:rFonts w:ascii="Avenir Book" w:hAnsi="Avenir Book" w:cstheme="minorHAnsi"/>
        </w:rPr>
        <w:endnoteRef/>
      </w:r>
      <w:r w:rsidRPr="006B3A88">
        <w:rPr>
          <w:rFonts w:ascii="Avenir Book" w:hAnsi="Avenir Book" w:cstheme="minorHAnsi"/>
        </w:rPr>
        <w:t xml:space="preserve"> Australian Institute of Health and Welfare, ‘People with disability in Australia 2022: In brief,’ (2022) catalogue number DIS 81, AIHW, Australian Government.</w:t>
      </w:r>
    </w:p>
  </w:endnote>
  <w:endnote w:id="234">
    <w:p w14:paraId="687796EF" w14:textId="77777777" w:rsidR="00A301A7" w:rsidRPr="006B3A88" w:rsidRDefault="00A301A7" w:rsidP="00A301A7">
      <w:pPr>
        <w:pStyle w:val="EndnoteText"/>
        <w:rPr>
          <w:rFonts w:ascii="Avenir Book" w:hAnsi="Avenir Book" w:cstheme="minorHAnsi"/>
        </w:rPr>
      </w:pPr>
      <w:r w:rsidRPr="006B3A88">
        <w:rPr>
          <w:rStyle w:val="EndnoteReference"/>
          <w:rFonts w:ascii="Avenir Book" w:hAnsi="Avenir Book" w:cstheme="minorHAnsi"/>
        </w:rPr>
        <w:endnoteRef/>
      </w:r>
      <w:r w:rsidRPr="006B3A88">
        <w:rPr>
          <w:rFonts w:ascii="Avenir Book" w:hAnsi="Avenir Book" w:cstheme="minorHAnsi"/>
        </w:rPr>
        <w:t xml:space="preserve"> Wages or salary is the main source of personal income for 68% of people of working age without disability. See: Australian Institute of Health and Welfare, ‘People with disability in Australia 2022: In brief,’ (2022) catalogue number DIS 81, AIHW, Australian Government.</w:t>
      </w:r>
    </w:p>
  </w:endnote>
  <w:endnote w:id="235">
    <w:p w14:paraId="4EE646A2" w14:textId="77777777" w:rsidR="00A301A7" w:rsidRPr="006B3A88" w:rsidRDefault="00A301A7" w:rsidP="00A301A7">
      <w:pPr>
        <w:pStyle w:val="EndnoteText"/>
        <w:rPr>
          <w:rFonts w:ascii="Avenir Book" w:hAnsi="Avenir Book" w:cstheme="minorHAnsi"/>
        </w:rPr>
      </w:pPr>
      <w:r w:rsidRPr="006B3A88">
        <w:rPr>
          <w:rStyle w:val="EndnoteReference"/>
          <w:rFonts w:ascii="Avenir Book" w:hAnsi="Avenir Book" w:cstheme="minorHAnsi"/>
        </w:rPr>
        <w:endnoteRef/>
      </w:r>
      <w:r w:rsidRPr="006B3A88">
        <w:rPr>
          <w:rFonts w:ascii="Avenir Book" w:hAnsi="Avenir Book" w:cstheme="minorHAnsi"/>
        </w:rPr>
        <w:t xml:space="preserve"> The labour force participation rate is the number of employed and unemployed working-age people as a percentage of the working-age population. See: Australian Institute of Health and Welfare, ‘People with disability in Australia 2022: In brief,’ (2022) catalogue number DIS 81, AIHW, Australian Government.</w:t>
      </w:r>
    </w:p>
  </w:endnote>
  <w:endnote w:id="236">
    <w:p w14:paraId="73309FB2" w14:textId="77777777" w:rsidR="00A301A7" w:rsidRPr="006B3A88" w:rsidRDefault="00A301A7" w:rsidP="00A301A7">
      <w:pPr>
        <w:pStyle w:val="EndnoteText"/>
        <w:rPr>
          <w:rFonts w:ascii="Avenir Book" w:hAnsi="Avenir Book" w:cstheme="minorHAnsi"/>
          <w:color w:val="FF0000"/>
        </w:rPr>
      </w:pPr>
      <w:r w:rsidRPr="006B3A88">
        <w:rPr>
          <w:rStyle w:val="EndnoteReference"/>
          <w:rFonts w:ascii="Avenir Book" w:hAnsi="Avenir Book" w:cstheme="minorHAnsi"/>
        </w:rPr>
        <w:endnoteRef/>
      </w:r>
      <w:r w:rsidRPr="006B3A88">
        <w:rPr>
          <w:rFonts w:ascii="Avenir Book" w:hAnsi="Avenir Book" w:cstheme="minorHAnsi"/>
        </w:rPr>
        <w:t xml:space="preserve"> IncludeAbility, ‘</w:t>
      </w:r>
      <w:hyperlink r:id="rId151" w:history="1">
        <w:r w:rsidRPr="006B3A88">
          <w:rPr>
            <w:rStyle w:val="Hyperlink"/>
            <w:rFonts w:ascii="Avenir Book" w:hAnsi="Avenir Book" w:cstheme="minorHAnsi"/>
          </w:rPr>
          <w:t>Disability and employment in Australia</w:t>
        </w:r>
      </w:hyperlink>
      <w:r w:rsidRPr="006B3A88">
        <w:rPr>
          <w:rFonts w:ascii="Avenir Book" w:hAnsi="Avenir Book" w:cstheme="minorHAnsi"/>
        </w:rPr>
        <w:t>’ (Factsheet, 2021) Australian Human Rights Commission.</w:t>
      </w:r>
    </w:p>
  </w:endnote>
  <w:endnote w:id="237">
    <w:p w14:paraId="2B6B709E" w14:textId="77777777" w:rsidR="00A301A7" w:rsidRPr="006B3A88" w:rsidRDefault="00A301A7" w:rsidP="00A301A7">
      <w:pPr>
        <w:pStyle w:val="EndnoteText"/>
        <w:rPr>
          <w:rFonts w:ascii="Avenir Book" w:hAnsi="Avenir Book" w:cstheme="minorHAnsi"/>
        </w:rPr>
      </w:pPr>
      <w:r w:rsidRPr="006B3A88">
        <w:rPr>
          <w:rStyle w:val="EndnoteReference"/>
          <w:rFonts w:ascii="Avenir Book" w:hAnsi="Avenir Book" w:cstheme="minorHAnsi"/>
        </w:rPr>
        <w:endnoteRef/>
      </w:r>
      <w:r w:rsidRPr="006B3A88">
        <w:rPr>
          <w:rFonts w:ascii="Avenir Book" w:hAnsi="Avenir Book" w:cstheme="minorHAnsi"/>
        </w:rPr>
        <w:t xml:space="preserve"> Ibid.</w:t>
      </w:r>
    </w:p>
  </w:endnote>
  <w:endnote w:id="238">
    <w:p w14:paraId="53CC281A" w14:textId="77777777" w:rsidR="00A301A7" w:rsidRPr="006B3A88" w:rsidRDefault="00A301A7" w:rsidP="00A301A7">
      <w:pPr>
        <w:pStyle w:val="EndnoteText"/>
        <w:rPr>
          <w:rFonts w:ascii="Avenir Book" w:hAnsi="Avenir Book" w:cstheme="minorHAnsi"/>
          <w:color w:val="000000" w:themeColor="text1"/>
        </w:rPr>
      </w:pPr>
      <w:r w:rsidRPr="006B3A88">
        <w:rPr>
          <w:rStyle w:val="EndnoteReference"/>
          <w:rFonts w:ascii="Avenir Book" w:hAnsi="Avenir Book" w:cstheme="minorHAnsi"/>
        </w:rPr>
        <w:endnoteRef/>
      </w:r>
      <w:r w:rsidRPr="006B3A88">
        <w:rPr>
          <w:rFonts w:ascii="Avenir Book" w:hAnsi="Avenir Book" w:cstheme="minorHAnsi"/>
        </w:rPr>
        <w:t xml:space="preserve"> ‘</w:t>
      </w:r>
      <w:r w:rsidRPr="006B3A88">
        <w:rPr>
          <w:rFonts w:ascii="Avenir Book" w:hAnsi="Avenir Book" w:cstheme="minorHAnsi"/>
          <w:color w:val="000000" w:themeColor="text1"/>
        </w:rPr>
        <w:t xml:space="preserve">The Disability Support Pension (DSP) provides financial support to working age Australians who are permanently blind or have a permanent physical, intellectual or psychiatric impairment that prevents or limits their capacity to work.’ See: Australian National Audit Office (2016) </w:t>
      </w:r>
      <w:hyperlink r:id="rId152" w:history="1">
        <w:r w:rsidRPr="006B3A88">
          <w:rPr>
            <w:rStyle w:val="Hyperlink"/>
            <w:rFonts w:ascii="Avenir Book" w:hAnsi="Avenir Book" w:cstheme="minorHAnsi"/>
          </w:rPr>
          <w:t>Qualifying for the Disability Support Pension</w:t>
        </w:r>
      </w:hyperlink>
      <w:r w:rsidRPr="006B3A88">
        <w:rPr>
          <w:rFonts w:ascii="Avenir Book" w:hAnsi="Avenir Book" w:cstheme="minorHAnsi"/>
          <w:color w:val="000000" w:themeColor="text1"/>
        </w:rPr>
        <w:t xml:space="preserve">. The DSP is inadequate to support people with disability and consequently leads to a lower standard of living, poverty, and the inability to realise other fundamental human rights. </w:t>
      </w:r>
      <w:r w:rsidRPr="006B3A88">
        <w:rPr>
          <w:rFonts w:ascii="Avenir Book" w:hAnsi="Avenir Book" w:cstheme="minorHAnsi"/>
          <w:color w:val="000000" w:themeColor="text1"/>
          <w:lang w:val="en-US"/>
        </w:rPr>
        <w:t xml:space="preserve">Changes to the DSP eligibility since 2013 have left many people with disability reliant and struggling to survive on the JobSeeker or Youth Allowance, payments that are below the poverty line and in no way account for the additional costs associated with disability. </w:t>
      </w:r>
      <w:r w:rsidRPr="006B3A88">
        <w:rPr>
          <w:rFonts w:ascii="Avenir Book" w:hAnsi="Avenir Book" w:cstheme="minorHAnsi"/>
          <w:color w:val="000000" w:themeColor="text1"/>
        </w:rPr>
        <w:t xml:space="preserve">Income support pensions have fallen significantly relative to average and minimum wages over the last two decades. See: </w:t>
      </w:r>
      <w:r w:rsidRPr="006B3A88">
        <w:rPr>
          <w:rFonts w:ascii="Avenir Book" w:hAnsi="Avenir Book" w:cstheme="minorHAnsi"/>
        </w:rPr>
        <w:t xml:space="preserve">Disabled People’s Organisations Australia (DPOA)(2016) </w:t>
      </w:r>
      <w:hyperlink r:id="rId153" w:history="1">
        <w:r w:rsidRPr="006B3A88">
          <w:rPr>
            <w:rStyle w:val="Hyperlink"/>
            <w:rFonts w:ascii="Avenir Book" w:hAnsi="Avenir Book" w:cstheme="minorHAnsi"/>
          </w:rPr>
          <w:t>Election Platform 2016: Building a Disability Inclusive Australia</w:t>
        </w:r>
      </w:hyperlink>
      <w:r w:rsidRPr="006B3A88">
        <w:rPr>
          <w:rFonts w:ascii="Avenir Book" w:hAnsi="Avenir Book" w:cstheme="minorHAnsi"/>
        </w:rPr>
        <w:t xml:space="preserve">. See also: </w:t>
      </w:r>
      <w:r w:rsidRPr="006B3A88">
        <w:rPr>
          <w:rFonts w:ascii="Avenir Book" w:hAnsi="Avenir Book" w:cstheme="minorHAnsi"/>
          <w:color w:val="000000" w:themeColor="text1"/>
        </w:rPr>
        <w:t xml:space="preserve">Australian NGO Coalition Submission (2017) </w:t>
      </w:r>
      <w:hyperlink r:id="rId154" w:history="1">
        <w:r w:rsidRPr="006B3A88">
          <w:rPr>
            <w:rStyle w:val="Hyperlink"/>
            <w:rFonts w:ascii="Avenir Book" w:hAnsi="Avenir Book" w:cstheme="minorHAnsi"/>
          </w:rPr>
          <w:t>Review of Australia Fifth Periodic Report under the International Covenant on Economic, Social and Cultural Rights</w:t>
        </w:r>
      </w:hyperlink>
      <w:r w:rsidRPr="006B3A88">
        <w:rPr>
          <w:rFonts w:ascii="Avenir Book" w:hAnsi="Avenir Book" w:cstheme="minorHAnsi"/>
          <w:color w:val="000000" w:themeColor="text1"/>
        </w:rPr>
        <w:t xml:space="preserve">. </w:t>
      </w:r>
    </w:p>
  </w:endnote>
  <w:endnote w:id="239">
    <w:p w14:paraId="5A2B4AF4" w14:textId="77777777" w:rsidR="00A301A7" w:rsidRPr="006B3A88" w:rsidRDefault="00A301A7" w:rsidP="00A301A7">
      <w:pPr>
        <w:pStyle w:val="EndnoteText"/>
        <w:rPr>
          <w:rFonts w:ascii="Avenir Book" w:hAnsi="Avenir Book" w:cstheme="minorHAnsi"/>
        </w:rPr>
      </w:pPr>
      <w:r w:rsidRPr="006B3A88">
        <w:rPr>
          <w:rStyle w:val="EndnoteReference"/>
          <w:rFonts w:ascii="Avenir Book" w:hAnsi="Avenir Book" w:cstheme="minorHAnsi"/>
        </w:rPr>
        <w:endnoteRef/>
      </w:r>
      <w:r w:rsidRPr="006B3A88">
        <w:rPr>
          <w:rFonts w:ascii="Avenir Book" w:hAnsi="Avenir Book" w:cstheme="minorHAnsi"/>
        </w:rPr>
        <w:t xml:space="preserve"> Committee on Economic, Social and Cultural Rights (CESCR), ‘General Comment No. 4: The right to adequate housing (Art.11 (1) of the Covenant)’, 13 December 1991, UN Doc: E/1992/23, paras. 7-8(a)-(g).</w:t>
      </w:r>
    </w:p>
  </w:endnote>
  <w:endnote w:id="240">
    <w:p w14:paraId="49E766DB" w14:textId="77777777" w:rsidR="00A301A7" w:rsidRPr="006B3A88" w:rsidRDefault="00A301A7" w:rsidP="00A301A7">
      <w:pPr>
        <w:pStyle w:val="EndnoteText"/>
        <w:rPr>
          <w:rFonts w:ascii="Avenir Book" w:hAnsi="Avenir Book" w:cstheme="minorHAnsi"/>
        </w:rPr>
      </w:pPr>
      <w:r w:rsidRPr="006B3A88">
        <w:rPr>
          <w:rStyle w:val="EndnoteReference"/>
          <w:rFonts w:ascii="Avenir Book" w:hAnsi="Avenir Book" w:cstheme="minorHAnsi"/>
        </w:rPr>
        <w:endnoteRef/>
      </w:r>
      <w:r w:rsidRPr="006B3A88">
        <w:rPr>
          <w:rFonts w:ascii="Avenir Book" w:hAnsi="Avenir Book" w:cstheme="minorHAnsi"/>
        </w:rPr>
        <w:t xml:space="preserve"> Women with Disabilities Australia (2019) </w:t>
      </w:r>
      <w:hyperlink r:id="rId155" w:history="1">
        <w:r w:rsidRPr="006B3A88">
          <w:rPr>
            <w:rStyle w:val="Hyperlink"/>
            <w:rFonts w:ascii="Avenir Book" w:hAnsi="Avenir Book" w:cstheme="minorHAnsi"/>
          </w:rPr>
          <w:t>Submission to the Australian NGO Beijing+15 Review</w:t>
        </w:r>
      </w:hyperlink>
      <w:r w:rsidRPr="006B3A88">
        <w:rPr>
          <w:rFonts w:ascii="Avenir Book" w:hAnsi="Avenir Book" w:cstheme="minorHAnsi"/>
        </w:rPr>
        <w:t xml:space="preserve">. WWDA, Hobart, Tasmania. See also: Australian Institute of Health and Welfare, ‘People with disability in Australia 2022’, catalogue number DIS 72, AIHW, Australian Government. See also: Australian Disabled People’s Organisations (DPOs), Disability Representative Organisations (DROs) and Disability Advocacy Organisations, ‘Disability Rights Now 2019 - Australian Civil Society Shadow Report to the United Nations Committee on the Rights of Persons with Disabilities: UN CRPD Review 2019’, July 2019, p. 31.  </w:t>
      </w:r>
    </w:p>
  </w:endnote>
  <w:endnote w:id="241">
    <w:p w14:paraId="4D61AED5" w14:textId="77777777" w:rsidR="00A301A7" w:rsidRPr="006B3A88" w:rsidRDefault="00A301A7" w:rsidP="00A301A7">
      <w:pPr>
        <w:pStyle w:val="EndnoteText"/>
        <w:rPr>
          <w:rFonts w:ascii="Avenir Book" w:hAnsi="Avenir Book" w:cstheme="minorHAnsi"/>
        </w:rPr>
      </w:pPr>
      <w:r w:rsidRPr="006B3A88">
        <w:rPr>
          <w:rStyle w:val="EndnoteReference"/>
          <w:rFonts w:ascii="Avenir Book" w:hAnsi="Avenir Book" w:cstheme="minorHAnsi"/>
        </w:rPr>
        <w:endnoteRef/>
      </w:r>
      <w:r w:rsidRPr="006B3A88">
        <w:rPr>
          <w:rFonts w:ascii="Avenir Book" w:hAnsi="Avenir Book" w:cstheme="minorHAnsi"/>
        </w:rPr>
        <w:t xml:space="preserve"> Australian Human Rights Commission (AHRC), ‘</w:t>
      </w:r>
      <w:hyperlink r:id="rId156" w:history="1">
        <w:r w:rsidRPr="006B3A88">
          <w:rPr>
            <w:rStyle w:val="Hyperlink"/>
            <w:rFonts w:ascii="Avenir Book" w:hAnsi="Avenir Book" w:cstheme="minorHAnsi"/>
          </w:rPr>
          <w:t>Risk of Homelessness in Older Women</w:t>
        </w:r>
      </w:hyperlink>
      <w:r w:rsidRPr="006B3A88">
        <w:rPr>
          <w:rFonts w:ascii="Avenir Book" w:hAnsi="Avenir Book" w:cstheme="minorHAnsi"/>
        </w:rPr>
        <w:t xml:space="preserve">’ (2019) AHRC. </w:t>
      </w:r>
    </w:p>
  </w:endnote>
  <w:endnote w:id="242">
    <w:p w14:paraId="377D01F6" w14:textId="77777777" w:rsidR="00A301A7" w:rsidRPr="006B3A88" w:rsidRDefault="00A301A7" w:rsidP="00A301A7">
      <w:pPr>
        <w:pStyle w:val="EndnoteText"/>
        <w:rPr>
          <w:rFonts w:ascii="Avenir Book" w:hAnsi="Avenir Book" w:cstheme="minorHAnsi"/>
        </w:rPr>
      </w:pPr>
      <w:r w:rsidRPr="006B3A88">
        <w:rPr>
          <w:rStyle w:val="EndnoteReference"/>
          <w:rFonts w:ascii="Avenir Book" w:hAnsi="Avenir Book" w:cstheme="minorHAnsi"/>
        </w:rPr>
        <w:endnoteRef/>
      </w:r>
      <w:r w:rsidRPr="006B3A88">
        <w:rPr>
          <w:rFonts w:ascii="Avenir Book" w:hAnsi="Avenir Book" w:cstheme="minorHAnsi"/>
        </w:rPr>
        <w:t xml:space="preserve"> Royal Commission into Violence, Abuse, Neglect and Exploitation of People with Disability, ‘Inclusive education, employment and housing – Part C’, (Final Report, Volume 7), Chapter 8, pp. 535-598.</w:t>
      </w:r>
    </w:p>
  </w:endnote>
  <w:endnote w:id="243">
    <w:p w14:paraId="51C11960" w14:textId="77777777" w:rsidR="00A301A7" w:rsidRPr="006B3A88" w:rsidRDefault="00A301A7" w:rsidP="00A301A7">
      <w:pPr>
        <w:pStyle w:val="EndnoteText"/>
        <w:rPr>
          <w:rFonts w:ascii="Avenir Book" w:hAnsi="Avenir Book" w:cstheme="minorHAnsi"/>
        </w:rPr>
      </w:pPr>
      <w:r w:rsidRPr="006B3A88">
        <w:rPr>
          <w:rStyle w:val="EndnoteReference"/>
          <w:rFonts w:ascii="Avenir Book" w:hAnsi="Avenir Book" w:cstheme="minorHAnsi"/>
        </w:rPr>
        <w:endnoteRef/>
      </w:r>
      <w:r w:rsidRPr="006B3A88">
        <w:rPr>
          <w:rFonts w:ascii="Avenir Book" w:hAnsi="Avenir Book" w:cstheme="minorHAnsi"/>
        </w:rPr>
        <w:t xml:space="preserve"> Ibid, Recommendation 7.33 Prioritise people with disability in key national housing and homelessness approaches, p. 552.</w:t>
      </w:r>
    </w:p>
  </w:endnote>
  <w:endnote w:id="244">
    <w:p w14:paraId="77F75E00" w14:textId="77777777" w:rsidR="00A301A7" w:rsidRPr="006B3A88" w:rsidRDefault="00A301A7" w:rsidP="00A301A7">
      <w:pPr>
        <w:pStyle w:val="EndnoteText"/>
        <w:rPr>
          <w:rFonts w:ascii="Avenir Book" w:hAnsi="Avenir Book" w:cstheme="minorHAnsi"/>
        </w:rPr>
      </w:pPr>
      <w:r w:rsidRPr="006B3A88">
        <w:rPr>
          <w:rStyle w:val="EndnoteReference"/>
          <w:rFonts w:ascii="Avenir Book" w:hAnsi="Avenir Book" w:cstheme="minorHAnsi"/>
        </w:rPr>
        <w:endnoteRef/>
      </w:r>
      <w:r w:rsidRPr="006B3A88">
        <w:rPr>
          <w:rFonts w:ascii="Avenir Book" w:hAnsi="Avenir Book" w:cstheme="minorHAnsi"/>
        </w:rPr>
        <w:t xml:space="preserve"> Ibid, Recommendation 7.34 Include homelessness in Australia’s Disability Strategy, p. 553.</w:t>
      </w:r>
    </w:p>
  </w:endnote>
  <w:endnote w:id="245">
    <w:p w14:paraId="67DE15F1" w14:textId="77777777" w:rsidR="00A301A7" w:rsidRPr="006B3A88" w:rsidRDefault="00A301A7" w:rsidP="00A301A7">
      <w:pPr>
        <w:pStyle w:val="EndnoteText"/>
        <w:rPr>
          <w:rFonts w:ascii="Avenir Book" w:hAnsi="Avenir Book" w:cstheme="minorHAnsi"/>
        </w:rPr>
      </w:pPr>
      <w:r w:rsidRPr="006B3A88">
        <w:rPr>
          <w:rStyle w:val="EndnoteReference"/>
          <w:rFonts w:ascii="Avenir Book" w:hAnsi="Avenir Book" w:cstheme="minorHAnsi"/>
        </w:rPr>
        <w:endnoteRef/>
      </w:r>
      <w:r w:rsidRPr="006B3A88">
        <w:rPr>
          <w:rFonts w:ascii="Avenir Book" w:hAnsi="Avenir Book" w:cstheme="minorHAnsi"/>
        </w:rPr>
        <w:t xml:space="preserve"> Ibid, Recommendation 7.35 Increase the availability and supply of accessible and adaptive housing for people with disability through the National Construction Code, p. 562.</w:t>
      </w:r>
    </w:p>
  </w:endnote>
  <w:endnote w:id="246">
    <w:p w14:paraId="4DFCA6A0" w14:textId="77777777" w:rsidR="00A301A7" w:rsidRPr="006B3A88" w:rsidRDefault="00A301A7" w:rsidP="00A301A7">
      <w:pPr>
        <w:pStyle w:val="EndnoteText"/>
        <w:rPr>
          <w:rFonts w:ascii="Avenir Book" w:hAnsi="Avenir Book" w:cstheme="minorHAnsi"/>
        </w:rPr>
      </w:pPr>
      <w:r w:rsidRPr="006B3A88">
        <w:rPr>
          <w:rStyle w:val="EndnoteReference"/>
          <w:rFonts w:ascii="Avenir Book" w:hAnsi="Avenir Book" w:cstheme="minorHAnsi"/>
        </w:rPr>
        <w:endnoteRef/>
      </w:r>
      <w:r w:rsidRPr="006B3A88">
        <w:rPr>
          <w:rFonts w:ascii="Avenir Book" w:hAnsi="Avenir Book" w:cstheme="minorHAnsi"/>
        </w:rPr>
        <w:t xml:space="preserve"> Ibid, Recommendation 7.36 Improve social housing operational policy and processes, pp. 563-564.</w:t>
      </w:r>
    </w:p>
  </w:endnote>
  <w:endnote w:id="247">
    <w:p w14:paraId="70912D6D" w14:textId="77777777" w:rsidR="00A301A7" w:rsidRPr="006B3A88" w:rsidRDefault="00A301A7" w:rsidP="00A301A7">
      <w:pPr>
        <w:pStyle w:val="EndnoteText"/>
        <w:rPr>
          <w:rFonts w:ascii="Avenir Book" w:hAnsi="Avenir Book" w:cstheme="minorHAnsi"/>
        </w:rPr>
      </w:pPr>
      <w:r w:rsidRPr="006B3A88">
        <w:rPr>
          <w:rStyle w:val="EndnoteReference"/>
          <w:rFonts w:ascii="Avenir Book" w:hAnsi="Avenir Book" w:cstheme="minorHAnsi"/>
        </w:rPr>
        <w:endnoteRef/>
      </w:r>
      <w:r w:rsidRPr="006B3A88">
        <w:rPr>
          <w:rFonts w:ascii="Avenir Book" w:hAnsi="Avenir Book" w:cstheme="minorHAnsi"/>
        </w:rPr>
        <w:t xml:space="preserve"> Ibid, Recommendation 7.37 Increase tenancy and occupancy protections for people with disability, p. 577.</w:t>
      </w:r>
    </w:p>
  </w:endnote>
  <w:endnote w:id="248">
    <w:p w14:paraId="0C889E9E" w14:textId="77777777" w:rsidR="00A301A7" w:rsidRPr="006B3A88" w:rsidRDefault="00A301A7" w:rsidP="00A301A7">
      <w:pPr>
        <w:pStyle w:val="EndnoteText"/>
        <w:rPr>
          <w:rFonts w:ascii="Avenir Book" w:hAnsi="Avenir Book" w:cstheme="minorHAnsi"/>
        </w:rPr>
      </w:pPr>
      <w:r w:rsidRPr="006B3A88">
        <w:rPr>
          <w:rStyle w:val="EndnoteReference"/>
          <w:rFonts w:ascii="Avenir Book" w:hAnsi="Avenir Book" w:cstheme="minorHAnsi"/>
        </w:rPr>
        <w:endnoteRef/>
      </w:r>
      <w:r w:rsidRPr="006B3A88">
        <w:rPr>
          <w:rFonts w:ascii="Avenir Book" w:hAnsi="Avenir Book" w:cstheme="minorHAnsi"/>
        </w:rPr>
        <w:t xml:space="preserve"> Ibid, Recommendation 7.38 Minimum service standards and monitoring and oversight of supported residential services and their equivalents, pp. 588-589.</w:t>
      </w:r>
    </w:p>
  </w:endnote>
  <w:endnote w:id="249">
    <w:p w14:paraId="7039DC27" w14:textId="77777777" w:rsidR="00A301A7" w:rsidRPr="006B3A88" w:rsidRDefault="00A301A7" w:rsidP="00A301A7">
      <w:pPr>
        <w:pStyle w:val="EndnoteText"/>
        <w:rPr>
          <w:rFonts w:ascii="Avenir Book" w:hAnsi="Avenir Book" w:cstheme="minorHAnsi"/>
        </w:rPr>
      </w:pPr>
      <w:r w:rsidRPr="006B3A88">
        <w:rPr>
          <w:rStyle w:val="EndnoteReference"/>
          <w:rFonts w:ascii="Avenir Book" w:hAnsi="Avenir Book" w:cstheme="minorHAnsi"/>
        </w:rPr>
        <w:endnoteRef/>
      </w:r>
      <w:r w:rsidRPr="006B3A88">
        <w:rPr>
          <w:rFonts w:ascii="Avenir Book" w:hAnsi="Avenir Book" w:cstheme="minorHAnsi"/>
        </w:rPr>
        <w:t xml:space="preserve"> Ibid, Recommendation 7.39 Preventing homelessness when people with disability transition from service or institutional settings, p. 592; and Recommendation 7.40 Address homelessness for people with disability in the National Housing and Homelessness Plan, p. 598. </w:t>
      </w:r>
    </w:p>
  </w:endnote>
  <w:endnote w:id="250">
    <w:p w14:paraId="2EE827C7" w14:textId="634F88E9" w:rsidR="004B1314" w:rsidRPr="006B3A88" w:rsidRDefault="004B1314">
      <w:pPr>
        <w:pStyle w:val="EndnoteText"/>
        <w:rPr>
          <w:rFonts w:ascii="Avenir Book" w:hAnsi="Avenir Book"/>
          <w:lang w:val="en-AU"/>
        </w:rPr>
      </w:pPr>
      <w:r w:rsidRPr="006B3A88">
        <w:rPr>
          <w:rStyle w:val="EndnoteReference"/>
          <w:rFonts w:ascii="Avenir Book" w:hAnsi="Avenir Book"/>
        </w:rPr>
        <w:endnoteRef/>
      </w:r>
      <w:r w:rsidRPr="006B3A88">
        <w:rPr>
          <w:rFonts w:ascii="Avenir Book" w:hAnsi="Avenir Book"/>
        </w:rPr>
        <w:t xml:space="preserve"> </w:t>
      </w:r>
      <w:r w:rsidRPr="006B3A88">
        <w:rPr>
          <w:rFonts w:ascii="Avenir Book" w:hAnsi="Avenir Book"/>
          <w:lang w:val="en-AU"/>
        </w:rPr>
        <w:t>Department of the Prime Minister and Cabinet, ‘</w:t>
      </w:r>
      <w:hyperlink r:id="rId157" w:history="1">
        <w:r w:rsidRPr="006B3A88">
          <w:rPr>
            <w:rStyle w:val="Hyperlink"/>
            <w:rFonts w:ascii="Avenir Book" w:hAnsi="Avenir Book"/>
            <w:lang w:val="en-AU"/>
          </w:rPr>
          <w:t>National Strategy to Achieve Gender Equality’</w:t>
        </w:r>
      </w:hyperlink>
      <w:r w:rsidRPr="006B3A88">
        <w:rPr>
          <w:rFonts w:ascii="Avenir Book" w:hAnsi="Avenir Book"/>
          <w:lang w:val="en-AU"/>
        </w:rPr>
        <w:t xml:space="preserve"> (Website information).</w:t>
      </w:r>
    </w:p>
  </w:endnote>
  <w:endnote w:id="251">
    <w:p w14:paraId="0D40B09F" w14:textId="575C9B23" w:rsidR="00D27CF3" w:rsidRPr="006B3A88" w:rsidRDefault="00D27CF3" w:rsidP="00D27CF3">
      <w:pPr>
        <w:pStyle w:val="EndnoteText"/>
        <w:rPr>
          <w:rFonts w:ascii="Avenir Book" w:hAnsi="Avenir Book" w:cstheme="minorHAnsi"/>
        </w:rPr>
      </w:pPr>
      <w:r w:rsidRPr="006B3A88">
        <w:rPr>
          <w:rStyle w:val="EndnoteReference"/>
          <w:rFonts w:ascii="Avenir Book" w:hAnsi="Avenir Book" w:cstheme="minorHAnsi"/>
        </w:rPr>
        <w:endnoteRef/>
      </w:r>
      <w:r w:rsidRPr="006B3A88">
        <w:rPr>
          <w:rFonts w:ascii="Avenir Book" w:hAnsi="Avenir Book" w:cstheme="minorHAnsi"/>
        </w:rPr>
        <w:t xml:space="preserve"> Community Affairs References Committee, ‘</w:t>
      </w:r>
      <w:hyperlink r:id="rId158" w:history="1">
        <w:r w:rsidRPr="006B3A88">
          <w:rPr>
            <w:rStyle w:val="Hyperlink"/>
            <w:rFonts w:ascii="Avenir Book" w:hAnsi="Avenir Book" w:cstheme="minorHAnsi"/>
          </w:rPr>
          <w:t>Purpose, intent and adequacy of the Disability Support Pension</w:t>
        </w:r>
      </w:hyperlink>
      <w:r w:rsidRPr="006B3A88">
        <w:rPr>
          <w:rFonts w:ascii="Avenir Book" w:hAnsi="Avenir Book" w:cstheme="minorHAnsi"/>
        </w:rPr>
        <w:t xml:space="preserve">’, (Senate Report, February 2022), Commonwealth of Australia. </w:t>
      </w:r>
    </w:p>
  </w:endnote>
  <w:endnote w:id="252">
    <w:p w14:paraId="375D2F72" w14:textId="77777777" w:rsidR="00D27CF3" w:rsidRPr="006B3A88" w:rsidRDefault="00D27CF3" w:rsidP="00D27CF3">
      <w:pPr>
        <w:pStyle w:val="EndnoteText"/>
        <w:rPr>
          <w:rFonts w:ascii="Avenir Book" w:hAnsi="Avenir Book" w:cstheme="minorHAnsi"/>
        </w:rPr>
      </w:pPr>
      <w:r w:rsidRPr="006B3A88">
        <w:rPr>
          <w:rStyle w:val="EndnoteReference"/>
          <w:rFonts w:ascii="Avenir Book" w:hAnsi="Avenir Book" w:cstheme="minorHAnsi"/>
        </w:rPr>
        <w:endnoteRef/>
      </w:r>
      <w:r w:rsidRPr="006B3A88">
        <w:rPr>
          <w:rFonts w:ascii="Avenir Book" w:hAnsi="Avenir Book" w:cstheme="minorHAnsi"/>
        </w:rPr>
        <w:t xml:space="preserve"> See: Australian Council of Social Services (ACOSS), ‘</w:t>
      </w:r>
      <w:hyperlink r:id="rId159" w:history="1">
        <w:r w:rsidRPr="006B3A88">
          <w:rPr>
            <w:rStyle w:val="Hyperlink"/>
            <w:rFonts w:ascii="Avenir Book" w:hAnsi="Avenir Book" w:cstheme="minorHAnsi"/>
          </w:rPr>
          <w:t>It’s not enough: why more is needed to life people out of poverty</w:t>
        </w:r>
      </w:hyperlink>
      <w:r w:rsidRPr="006B3A88">
        <w:rPr>
          <w:rFonts w:ascii="Avenir Book" w:hAnsi="Avenir Book" w:cstheme="minorHAnsi"/>
        </w:rPr>
        <w:t>’ (September 2023) ACOSS. See also: Australian Council of Social Service, ‘</w:t>
      </w:r>
      <w:hyperlink r:id="rId160" w:history="1">
        <w:r w:rsidRPr="006B3A88">
          <w:rPr>
            <w:rStyle w:val="Hyperlink"/>
            <w:rFonts w:ascii="Avenir Book" w:hAnsi="Avenir Book" w:cstheme="minorHAnsi"/>
          </w:rPr>
          <w:t>Increase to social security payments grossly inadequate</w:t>
        </w:r>
      </w:hyperlink>
      <w:r w:rsidRPr="006B3A88">
        <w:rPr>
          <w:rFonts w:ascii="Avenir Book" w:hAnsi="Avenir Book" w:cstheme="minorHAnsi"/>
        </w:rPr>
        <w:t>’ (Media release, 20 September 2023).</w:t>
      </w:r>
    </w:p>
  </w:endnote>
  <w:endnote w:id="253">
    <w:p w14:paraId="767991D2" w14:textId="77777777" w:rsidR="00B370DF" w:rsidRPr="006B3A88" w:rsidRDefault="00B370DF" w:rsidP="00B370DF">
      <w:pPr>
        <w:pStyle w:val="EndnoteText"/>
        <w:rPr>
          <w:rFonts w:ascii="Avenir Book" w:hAnsi="Avenir Book" w:cstheme="minorHAnsi"/>
        </w:rPr>
      </w:pPr>
      <w:r w:rsidRPr="006B3A88">
        <w:rPr>
          <w:rStyle w:val="EndnoteReference"/>
          <w:rFonts w:ascii="Avenir Book" w:hAnsi="Avenir Book" w:cstheme="minorHAnsi"/>
        </w:rPr>
        <w:endnoteRef/>
      </w:r>
      <w:r w:rsidRPr="006B3A88">
        <w:rPr>
          <w:rFonts w:ascii="Avenir Book" w:hAnsi="Avenir Book" w:cstheme="minorHAnsi"/>
        </w:rPr>
        <w:t xml:space="preserve"> See e.g., </w:t>
      </w:r>
      <w:bookmarkStart w:id="165" w:name="OLE_LINK9"/>
      <w:bookmarkStart w:id="166" w:name="OLE_LINK10"/>
      <w:r w:rsidRPr="006B3A88">
        <w:rPr>
          <w:rFonts w:ascii="Avenir Book" w:hAnsi="Avenir Book" w:cstheme="minorHAnsi"/>
        </w:rPr>
        <w:t>Committee on the Rights of Persons with Disabilities, ‘General comment No. 7 (2018) on the participation of persons with disabilities, including children with disabilities through their representative organisations, in the implementation and monitoring of the Convention’ 9 November 2018, UN Doc: CRPD/C/GC/7, para 2</w:t>
      </w:r>
      <w:bookmarkEnd w:id="165"/>
      <w:bookmarkEnd w:id="166"/>
      <w:r w:rsidRPr="006B3A88">
        <w:rPr>
          <w:rFonts w:ascii="Avenir Book" w:hAnsi="Avenir Book" w:cstheme="minorHAnsi"/>
        </w:rPr>
        <w:t>; Special Rapporteur on the rights of persons with disabilities, ‘Report of the Special Rapporteur on the rights of persons with disabilities’ (2016) Human Rights Council, 31</w:t>
      </w:r>
      <w:r w:rsidRPr="006B3A88">
        <w:rPr>
          <w:rFonts w:ascii="Avenir Book" w:hAnsi="Avenir Book" w:cstheme="minorHAnsi"/>
          <w:vertAlign w:val="superscript"/>
        </w:rPr>
        <w:t>st</w:t>
      </w:r>
      <w:r w:rsidRPr="006B3A88">
        <w:rPr>
          <w:rFonts w:ascii="Avenir Book" w:hAnsi="Avenir Book" w:cstheme="minorHAnsi"/>
        </w:rPr>
        <w:t xml:space="preserve"> session, UN Doc No: A/HRC/31/62, pp. 5-6.  See also: UN Department of Economic and Social Affairs (UNDESA), Office of the High Commissioner for Human Rights (OHCHR) and Inter-Parliamentary Union, ‘</w:t>
      </w:r>
      <w:hyperlink r:id="rId161" w:history="1">
        <w:r w:rsidRPr="006B3A88">
          <w:rPr>
            <w:rStyle w:val="Hyperlink"/>
            <w:rFonts w:ascii="Avenir Book" w:hAnsi="Avenir Book" w:cstheme="minorHAnsi"/>
          </w:rPr>
          <w:t>From Exclusion to Equality: Realizing the rights of persons with disabilities – Handbook for Parliamentarians on the Convention on the Rights of Persons with Disabilities and its Optional Protocol</w:t>
        </w:r>
      </w:hyperlink>
      <w:r w:rsidRPr="006B3A88">
        <w:rPr>
          <w:rFonts w:ascii="Avenir Book" w:hAnsi="Avenir Book" w:cstheme="minorHAnsi"/>
        </w:rPr>
        <w:t>’ (2007) UN Geneva, p. 16; ‘Participation: A Principle and A Right’ in Australian Human Rights Commission, ‘</w:t>
      </w:r>
      <w:hyperlink r:id="rId162" w:anchor=":~:text=Human%20Rights%20Commission.-,Participation,language%20which%20can%20be%20understood." w:history="1">
        <w:r w:rsidRPr="006B3A88">
          <w:rPr>
            <w:rStyle w:val="Hyperlink"/>
            <w:rFonts w:ascii="Avenir Book" w:hAnsi="Avenir Book" w:cstheme="minorHAnsi"/>
          </w:rPr>
          <w:t>Human rights based approaches</w:t>
        </w:r>
      </w:hyperlink>
      <w:r w:rsidRPr="006B3A88">
        <w:rPr>
          <w:rFonts w:ascii="Avenir Book" w:hAnsi="Avenir Book" w:cstheme="minorHAnsi"/>
        </w:rPr>
        <w:t xml:space="preserve">’ (Website information). </w:t>
      </w:r>
    </w:p>
  </w:endnote>
  <w:endnote w:id="254">
    <w:p w14:paraId="30DC0A72" w14:textId="77777777" w:rsidR="00B370DF" w:rsidRPr="006B3A88" w:rsidRDefault="00B370DF" w:rsidP="00B370DF">
      <w:pPr>
        <w:pStyle w:val="EndnoteText"/>
        <w:rPr>
          <w:rFonts w:ascii="Avenir Book" w:hAnsi="Avenir Book" w:cstheme="minorHAnsi"/>
        </w:rPr>
      </w:pPr>
      <w:r w:rsidRPr="006B3A88">
        <w:rPr>
          <w:rStyle w:val="EndnoteReference"/>
          <w:rFonts w:ascii="Avenir Book" w:hAnsi="Avenir Book" w:cstheme="minorHAnsi"/>
        </w:rPr>
        <w:endnoteRef/>
      </w:r>
      <w:r w:rsidRPr="006B3A88">
        <w:rPr>
          <w:rFonts w:ascii="Avenir Book" w:hAnsi="Avenir Book" w:cstheme="minorHAnsi"/>
        </w:rPr>
        <w:t xml:space="preserve"> </w:t>
      </w:r>
      <w:r w:rsidRPr="006B3A88">
        <w:rPr>
          <w:rFonts w:ascii="Avenir Book" w:hAnsi="Avenir Book" w:cstheme="minorHAnsi"/>
          <w:i/>
          <w:iCs/>
        </w:rPr>
        <w:t>Convention on the Rights of Persons with Disabilities</w:t>
      </w:r>
      <w:r w:rsidRPr="006B3A88">
        <w:rPr>
          <w:rFonts w:ascii="Avenir Book" w:hAnsi="Avenir Book" w:cstheme="minorHAnsi"/>
        </w:rPr>
        <w:t>, (24 January 2007), UN Doc: A/RES/61/106, art. 4(3).</w:t>
      </w:r>
    </w:p>
  </w:endnote>
  <w:endnote w:id="255">
    <w:p w14:paraId="04897323" w14:textId="77777777" w:rsidR="00B370DF" w:rsidRPr="006B3A88" w:rsidRDefault="00B370DF" w:rsidP="00B370DF">
      <w:pPr>
        <w:pStyle w:val="EndnoteText"/>
        <w:rPr>
          <w:rFonts w:ascii="Avenir Book" w:hAnsi="Avenir Book" w:cstheme="minorHAnsi"/>
        </w:rPr>
      </w:pPr>
      <w:r w:rsidRPr="006B3A88">
        <w:rPr>
          <w:rStyle w:val="EndnoteReference"/>
          <w:rFonts w:ascii="Avenir Book" w:hAnsi="Avenir Book" w:cstheme="minorHAnsi"/>
        </w:rPr>
        <w:endnoteRef/>
      </w:r>
      <w:r w:rsidRPr="006B3A88">
        <w:rPr>
          <w:rFonts w:ascii="Avenir Book" w:hAnsi="Avenir Book" w:cstheme="minorHAnsi"/>
        </w:rPr>
        <w:t xml:space="preserve"> Ibid, art. 33(3).</w:t>
      </w:r>
    </w:p>
  </w:endnote>
  <w:endnote w:id="256">
    <w:p w14:paraId="2812B047" w14:textId="77777777" w:rsidR="00B370DF" w:rsidRPr="006B3A88" w:rsidRDefault="00B370DF" w:rsidP="00B370DF">
      <w:pPr>
        <w:pStyle w:val="EndnoteText"/>
        <w:rPr>
          <w:rFonts w:ascii="Avenir Book" w:hAnsi="Avenir Book" w:cstheme="minorHAnsi"/>
        </w:rPr>
      </w:pPr>
      <w:r w:rsidRPr="006B3A88">
        <w:rPr>
          <w:rStyle w:val="EndnoteReference"/>
          <w:rFonts w:ascii="Avenir Book" w:hAnsi="Avenir Book" w:cstheme="minorHAnsi"/>
        </w:rPr>
        <w:endnoteRef/>
      </w:r>
      <w:r w:rsidRPr="006B3A88">
        <w:rPr>
          <w:rFonts w:ascii="Avenir Book" w:hAnsi="Avenir Book" w:cstheme="minorHAnsi"/>
        </w:rPr>
        <w:t xml:space="preserve"> Committee on the Rights of Persons with Disabilities, ‘General comment No. 7 (2018) on the participation of persons with disabilities, including children with disabilities through their representative organisations, in the implementation and monitoring of the Convention’ 9 November 2018, UN Doc: CRPD/C/GC/7, paras. 13-14; Special Rapporteur on the rights of persons with disabilities, ‘</w:t>
      </w:r>
      <w:hyperlink r:id="rId163" w:history="1">
        <w:r w:rsidRPr="006B3A88">
          <w:rPr>
            <w:rStyle w:val="Hyperlink"/>
            <w:rFonts w:ascii="Avenir Book" w:hAnsi="Avenir Book" w:cstheme="minorHAnsi"/>
          </w:rPr>
          <w:t>Report of the Special Rapporteur on the rights of persons with disabilities</w:t>
        </w:r>
      </w:hyperlink>
      <w:r w:rsidRPr="006B3A88">
        <w:rPr>
          <w:rFonts w:ascii="Avenir Book" w:hAnsi="Avenir Book" w:cstheme="minorHAnsi"/>
        </w:rPr>
        <w:t>’ (2016) Human Rights Council, 31</w:t>
      </w:r>
      <w:r w:rsidRPr="006B3A88">
        <w:rPr>
          <w:rFonts w:ascii="Avenir Book" w:hAnsi="Avenir Book" w:cstheme="minorHAnsi"/>
          <w:vertAlign w:val="superscript"/>
        </w:rPr>
        <w:t>st</w:t>
      </w:r>
      <w:r w:rsidRPr="006B3A88">
        <w:rPr>
          <w:rFonts w:ascii="Avenir Book" w:hAnsi="Avenir Book" w:cstheme="minorHAnsi"/>
        </w:rPr>
        <w:t xml:space="preserve"> session, UN Doc No: A/HRC/31/62, para. 34.  </w:t>
      </w:r>
    </w:p>
  </w:endnote>
  <w:endnote w:id="257">
    <w:p w14:paraId="70014DDC" w14:textId="77777777" w:rsidR="00B370DF" w:rsidRPr="006B3A88" w:rsidRDefault="00B370DF" w:rsidP="00B370DF">
      <w:pPr>
        <w:pStyle w:val="EndnoteText"/>
        <w:rPr>
          <w:rFonts w:ascii="Avenir Book" w:hAnsi="Avenir Book" w:cstheme="minorHAnsi"/>
        </w:rPr>
      </w:pPr>
      <w:r w:rsidRPr="006B3A88">
        <w:rPr>
          <w:rStyle w:val="EndnoteReference"/>
          <w:rFonts w:ascii="Avenir Book" w:hAnsi="Avenir Book" w:cstheme="minorHAnsi"/>
        </w:rPr>
        <w:endnoteRef/>
      </w:r>
      <w:r w:rsidRPr="006B3A88">
        <w:rPr>
          <w:rFonts w:ascii="Avenir Book" w:hAnsi="Avenir Book" w:cstheme="minorHAnsi"/>
        </w:rPr>
        <w:t xml:space="preserve"> Committee on the Rights of Persons with Disabilities, ‘General comment No. 7 (2018) on the participation of persons with disabilities, including children with disabilities through their representative organisations, in the implementation and monitoring of the Convention’ 9 November 2018, UN Doc: CRPD/C/GC/7, para. 11.</w:t>
      </w:r>
    </w:p>
  </w:endnote>
  <w:endnote w:id="258">
    <w:p w14:paraId="7D14E85B" w14:textId="77777777" w:rsidR="00B370DF" w:rsidRPr="006B3A88" w:rsidRDefault="00B370DF" w:rsidP="00B370DF">
      <w:pPr>
        <w:pStyle w:val="EndnoteText"/>
        <w:rPr>
          <w:rFonts w:ascii="Avenir Book" w:hAnsi="Avenir Book" w:cstheme="minorHAnsi"/>
        </w:rPr>
      </w:pPr>
      <w:r w:rsidRPr="006B3A88">
        <w:rPr>
          <w:rStyle w:val="EndnoteReference"/>
          <w:rFonts w:ascii="Avenir Book" w:hAnsi="Avenir Book" w:cstheme="minorHAnsi"/>
        </w:rPr>
        <w:endnoteRef/>
      </w:r>
      <w:r w:rsidRPr="006B3A88">
        <w:rPr>
          <w:rFonts w:ascii="Avenir Book" w:hAnsi="Avenir Book" w:cstheme="minorHAnsi"/>
        </w:rPr>
        <w:t xml:space="preserve"> Ibid, para. 13. </w:t>
      </w:r>
    </w:p>
  </w:endnote>
  <w:endnote w:id="259">
    <w:p w14:paraId="2622D96E" w14:textId="77777777" w:rsidR="00B370DF" w:rsidRPr="006B3A88" w:rsidRDefault="00B370DF" w:rsidP="00B370DF">
      <w:pPr>
        <w:pStyle w:val="EndnoteText"/>
        <w:rPr>
          <w:rFonts w:ascii="Avenir Book" w:hAnsi="Avenir Book" w:cstheme="minorHAnsi"/>
        </w:rPr>
      </w:pPr>
      <w:r w:rsidRPr="006B3A88">
        <w:rPr>
          <w:rStyle w:val="EndnoteReference"/>
          <w:rFonts w:ascii="Avenir Book" w:hAnsi="Avenir Book" w:cstheme="minorHAnsi"/>
        </w:rPr>
        <w:endnoteRef/>
      </w:r>
      <w:r w:rsidRPr="006B3A88">
        <w:rPr>
          <w:rFonts w:ascii="Avenir Book" w:hAnsi="Avenir Book" w:cstheme="minorHAnsi"/>
        </w:rPr>
        <w:t xml:space="preserve"> General comment No. 7 outlines a range of aspects that are common to the diverse range of organisations of people with disability, including those that are cross-disability, impairment specific or umbrella organisations and those that represent specific populations groups, such as those for women with disabilities, children with disabilities or Indigenous peoples with disabilities.  See Ibid, paras. 11(a)-(g) and 12(a)-(f). </w:t>
      </w:r>
    </w:p>
  </w:endnote>
  <w:endnote w:id="260">
    <w:p w14:paraId="21FC19DE" w14:textId="77777777" w:rsidR="00B370DF" w:rsidRPr="006B3A88" w:rsidRDefault="00B370DF" w:rsidP="00B370DF">
      <w:pPr>
        <w:pStyle w:val="EndnoteText"/>
        <w:rPr>
          <w:rFonts w:ascii="Avenir Book" w:hAnsi="Avenir Book" w:cstheme="minorHAnsi"/>
        </w:rPr>
      </w:pPr>
      <w:r w:rsidRPr="006B3A88">
        <w:rPr>
          <w:rStyle w:val="EndnoteReference"/>
          <w:rFonts w:ascii="Avenir Book" w:hAnsi="Avenir Book" w:cstheme="minorHAnsi"/>
        </w:rPr>
        <w:endnoteRef/>
      </w:r>
      <w:r w:rsidRPr="006B3A88">
        <w:rPr>
          <w:rFonts w:ascii="Avenir Book" w:hAnsi="Avenir Book" w:cstheme="minorHAnsi"/>
        </w:rPr>
        <w:t xml:space="preserve"> Ibid, para. 61(a).</w:t>
      </w:r>
    </w:p>
  </w:endnote>
  <w:endnote w:id="261">
    <w:p w14:paraId="5F79295F" w14:textId="77777777" w:rsidR="00B370DF" w:rsidRPr="006B3A88" w:rsidRDefault="00B370DF" w:rsidP="00B370DF">
      <w:pPr>
        <w:pStyle w:val="EndnoteText"/>
        <w:rPr>
          <w:rFonts w:ascii="Avenir Book" w:hAnsi="Avenir Book" w:cstheme="minorHAnsi"/>
        </w:rPr>
      </w:pPr>
      <w:r w:rsidRPr="006B3A88">
        <w:rPr>
          <w:rStyle w:val="EndnoteReference"/>
          <w:rFonts w:ascii="Avenir Book" w:hAnsi="Avenir Book" w:cstheme="minorHAnsi"/>
        </w:rPr>
        <w:endnoteRef/>
      </w:r>
      <w:r w:rsidRPr="006B3A88">
        <w:rPr>
          <w:rFonts w:ascii="Avenir Book" w:hAnsi="Avenir Book" w:cstheme="minorHAnsi"/>
        </w:rPr>
        <w:t xml:space="preserve"> Ibid, para. 171.</w:t>
      </w:r>
    </w:p>
  </w:endnote>
  <w:endnote w:id="262">
    <w:p w14:paraId="4635058A" w14:textId="77777777" w:rsidR="00B370DF" w:rsidRPr="006B3A88" w:rsidRDefault="00B370DF" w:rsidP="00B370DF">
      <w:pPr>
        <w:pStyle w:val="EndnoteText"/>
        <w:rPr>
          <w:rFonts w:ascii="Avenir Book" w:hAnsi="Avenir Book" w:cstheme="minorHAnsi"/>
        </w:rPr>
      </w:pPr>
      <w:r w:rsidRPr="006B3A88">
        <w:rPr>
          <w:rStyle w:val="EndnoteReference"/>
          <w:rFonts w:ascii="Avenir Book" w:hAnsi="Avenir Book" w:cstheme="minorHAnsi"/>
        </w:rPr>
        <w:endnoteRef/>
      </w:r>
      <w:r w:rsidRPr="006B3A88">
        <w:rPr>
          <w:rFonts w:ascii="Avenir Book" w:hAnsi="Avenir Book" w:cstheme="minorHAnsi"/>
        </w:rPr>
        <w:t xml:space="preserve"> Ibid; Special Rapporteur on the rights of persons with disabilities, ‘</w:t>
      </w:r>
      <w:hyperlink r:id="rId164" w:history="1">
        <w:r w:rsidRPr="006B3A88">
          <w:rPr>
            <w:rStyle w:val="Hyperlink"/>
            <w:rFonts w:ascii="Avenir Book" w:hAnsi="Avenir Book" w:cstheme="minorHAnsi"/>
          </w:rPr>
          <w:t>Report of the Special Rapporteur on the rights of persons with disabilities</w:t>
        </w:r>
      </w:hyperlink>
      <w:r w:rsidRPr="006B3A88">
        <w:rPr>
          <w:rFonts w:ascii="Avenir Book" w:hAnsi="Avenir Book" w:cstheme="minorHAnsi"/>
        </w:rPr>
        <w:t>’ (2016) Human Rights Council, 31</w:t>
      </w:r>
      <w:r w:rsidRPr="006B3A88">
        <w:rPr>
          <w:rFonts w:ascii="Avenir Book" w:hAnsi="Avenir Book" w:cstheme="minorHAnsi"/>
          <w:vertAlign w:val="superscript"/>
        </w:rPr>
        <w:t>st</w:t>
      </w:r>
      <w:r w:rsidRPr="006B3A88">
        <w:rPr>
          <w:rFonts w:ascii="Avenir Book" w:hAnsi="Avenir Book" w:cstheme="minorHAnsi"/>
        </w:rPr>
        <w:t xml:space="preserve"> session, UN Doc No: A/HRC/31/62, para. 39.  </w:t>
      </w:r>
    </w:p>
  </w:endnote>
  <w:endnote w:id="263">
    <w:p w14:paraId="7B226BC7" w14:textId="77777777" w:rsidR="00B370DF" w:rsidRPr="006B3A88" w:rsidRDefault="00B370DF" w:rsidP="00B370DF">
      <w:pPr>
        <w:pStyle w:val="EndnoteText"/>
        <w:rPr>
          <w:rFonts w:ascii="Avenir Book" w:hAnsi="Avenir Book" w:cstheme="minorHAnsi"/>
        </w:rPr>
      </w:pPr>
      <w:r w:rsidRPr="006B3A88">
        <w:rPr>
          <w:rStyle w:val="EndnoteReference"/>
          <w:rFonts w:ascii="Avenir Book" w:hAnsi="Avenir Book" w:cstheme="minorHAnsi"/>
        </w:rPr>
        <w:endnoteRef/>
      </w:r>
      <w:r w:rsidRPr="006B3A88">
        <w:rPr>
          <w:rFonts w:ascii="Avenir Book" w:hAnsi="Avenir Book" w:cstheme="minorHAnsi"/>
        </w:rPr>
        <w:t xml:space="preserve"> Engagement is usually ad-hoc and/or one-off consultation processes; or representation by individuals with disability rather than representatives from organisations of people with disability; or representation on time-limited and ‘one issue’ committees that can also include greater representation from organisations ‘for’ people with disability. </w:t>
      </w:r>
    </w:p>
  </w:endnote>
  <w:endnote w:id="264">
    <w:p w14:paraId="728D99AA" w14:textId="77777777" w:rsidR="00B370DF" w:rsidRPr="006B3A88" w:rsidRDefault="00B370DF" w:rsidP="00B370DF">
      <w:pPr>
        <w:pStyle w:val="EndnoteText"/>
        <w:rPr>
          <w:rFonts w:ascii="Avenir Book" w:hAnsi="Avenir Book" w:cstheme="minorHAnsi"/>
        </w:rPr>
      </w:pPr>
      <w:r w:rsidRPr="006B3A88">
        <w:rPr>
          <w:rStyle w:val="EndnoteReference"/>
          <w:rFonts w:ascii="Avenir Book" w:hAnsi="Avenir Book" w:cstheme="minorHAnsi"/>
        </w:rPr>
        <w:endnoteRef/>
      </w:r>
      <w:r w:rsidRPr="006B3A88">
        <w:rPr>
          <w:rFonts w:ascii="Avenir Book" w:hAnsi="Avenir Book" w:cstheme="minorHAnsi"/>
        </w:rPr>
        <w:t xml:space="preserve"> Committee on the Rights of Persons with Disabilities, </w:t>
      </w:r>
      <w:r w:rsidRPr="006B3A88">
        <w:rPr>
          <w:rFonts w:ascii="Avenir Book" w:hAnsi="Avenir Book" w:cstheme="minorHAnsi"/>
          <w:i/>
          <w:iCs/>
        </w:rPr>
        <w:t>Concluding Observations on the Combined Second and Third Periodic Reports of Australia, Adopted by the Committee at Its 511th Meeting (20 September 2019) of the 22nd Session</w:t>
      </w:r>
      <w:r w:rsidRPr="006B3A88">
        <w:rPr>
          <w:rFonts w:ascii="Avenir Book" w:hAnsi="Avenir Book" w:cstheme="minorHAnsi"/>
          <w:iCs/>
        </w:rPr>
        <w:t xml:space="preserve">; </w:t>
      </w:r>
      <w:r w:rsidRPr="006B3A88">
        <w:rPr>
          <w:rFonts w:ascii="Avenir Book" w:hAnsi="Avenir Book" w:cstheme="minorHAnsi"/>
        </w:rPr>
        <w:t>CRPD/C/AUS/CO/2-3, para. 8. A similar recommendation was made by the CRPD Committee following its 2013 review of Australia, see Committee on the Rights of Persons with Disabilities, ‘Concluding observations on the initial report of Australia, adopted by the Committee at its tenth session (2-23 September 2013), 21 October 2013, UN Doc CRPD/C/AUS/CO/1, para. 11.</w:t>
      </w:r>
    </w:p>
  </w:endnote>
  <w:endnote w:id="265">
    <w:p w14:paraId="3D4D1002" w14:textId="77777777" w:rsidR="00B370DF" w:rsidRPr="006B3A88" w:rsidRDefault="00B370DF" w:rsidP="00B370DF">
      <w:pPr>
        <w:pStyle w:val="EndnoteText"/>
        <w:rPr>
          <w:rFonts w:ascii="Avenir Book" w:hAnsi="Avenir Book" w:cstheme="minorHAnsi"/>
        </w:rPr>
      </w:pPr>
      <w:r w:rsidRPr="006B3A88">
        <w:rPr>
          <w:rStyle w:val="EndnoteReference"/>
          <w:rFonts w:ascii="Avenir Book" w:hAnsi="Avenir Book" w:cstheme="minorHAnsi"/>
        </w:rPr>
        <w:endnoteRef/>
      </w:r>
      <w:r w:rsidRPr="006B3A88">
        <w:rPr>
          <w:rFonts w:ascii="Avenir Book" w:hAnsi="Avenir Book" w:cstheme="minorHAnsi"/>
        </w:rPr>
        <w:t xml:space="preserve"> Royal Commission into Violence, Abuse, Neglect and Exploitation of People with Disability, ‘Final Report – Volume 4 – Realising the human rights of people with disability’ (September 2023), Commonwealth of Australia, p. 130.</w:t>
      </w:r>
    </w:p>
  </w:endnote>
  <w:endnote w:id="266">
    <w:p w14:paraId="506C034D" w14:textId="77777777" w:rsidR="00B370DF" w:rsidRPr="006B3A88" w:rsidRDefault="00B370DF" w:rsidP="00B370DF">
      <w:pPr>
        <w:pStyle w:val="EndnoteText"/>
        <w:rPr>
          <w:rFonts w:ascii="Avenir Book" w:hAnsi="Avenir Book" w:cstheme="minorHAnsi"/>
        </w:rPr>
      </w:pPr>
      <w:r w:rsidRPr="006B3A88">
        <w:rPr>
          <w:rStyle w:val="EndnoteReference"/>
          <w:rFonts w:ascii="Avenir Book" w:hAnsi="Avenir Book" w:cstheme="minorHAnsi"/>
        </w:rPr>
        <w:endnoteRef/>
      </w:r>
      <w:r w:rsidRPr="006B3A88">
        <w:rPr>
          <w:rFonts w:ascii="Avenir Book" w:hAnsi="Avenir Book" w:cstheme="minorHAnsi"/>
        </w:rPr>
        <w:t xml:space="preserve"> The DRC referred to the establishment of </w:t>
      </w:r>
      <w:hyperlink r:id="rId165" w:history="1">
        <w:r w:rsidRPr="006B3A88">
          <w:rPr>
            <w:rStyle w:val="Hyperlink"/>
            <w:rFonts w:ascii="Avenir Book" w:hAnsi="Avenir Book" w:cstheme="minorHAnsi"/>
          </w:rPr>
          <w:t>Australia’s Disability Strategy Advisory Council</w:t>
        </w:r>
      </w:hyperlink>
      <w:r w:rsidRPr="006B3A88">
        <w:rPr>
          <w:rFonts w:ascii="Avenir Book" w:hAnsi="Avenir Book" w:cstheme="minorHAnsi"/>
        </w:rPr>
        <w:t xml:space="preserve"> and the National Disability Insurance Agency to establish a </w:t>
      </w:r>
      <w:hyperlink r:id="rId166" w:history="1">
        <w:r w:rsidRPr="006B3A88">
          <w:rPr>
            <w:rStyle w:val="Hyperlink"/>
            <w:rFonts w:ascii="Avenir Book" w:hAnsi="Avenir Book" w:cstheme="minorHAnsi"/>
          </w:rPr>
          <w:t>First Nations Advisory Council</w:t>
        </w:r>
      </w:hyperlink>
      <w:r w:rsidRPr="006B3A88">
        <w:rPr>
          <w:rFonts w:ascii="Avenir Book" w:hAnsi="Avenir Book" w:cstheme="minorHAnsi"/>
        </w:rPr>
        <w:t xml:space="preserve">. </w:t>
      </w:r>
    </w:p>
  </w:endnote>
  <w:endnote w:id="267">
    <w:p w14:paraId="5AC7945C" w14:textId="77777777" w:rsidR="00B370DF" w:rsidRPr="006B3A88" w:rsidRDefault="00B370DF" w:rsidP="00B370DF">
      <w:pPr>
        <w:pStyle w:val="EndnoteText"/>
        <w:rPr>
          <w:rFonts w:ascii="Avenir Book" w:hAnsi="Avenir Book" w:cstheme="minorHAnsi"/>
        </w:rPr>
      </w:pPr>
      <w:r w:rsidRPr="006B3A88">
        <w:rPr>
          <w:rStyle w:val="EndnoteReference"/>
          <w:rFonts w:ascii="Avenir Book" w:hAnsi="Avenir Book" w:cstheme="minorHAnsi"/>
        </w:rPr>
        <w:endnoteRef/>
      </w:r>
      <w:r w:rsidRPr="006B3A88">
        <w:rPr>
          <w:rFonts w:ascii="Avenir Book" w:hAnsi="Avenir Book" w:cstheme="minorHAnsi"/>
        </w:rPr>
        <w:t xml:space="preserve"> Ibid. </w:t>
      </w:r>
    </w:p>
  </w:endnote>
  <w:endnote w:id="268">
    <w:p w14:paraId="35938323" w14:textId="77777777" w:rsidR="00B370DF" w:rsidRPr="006B3A88" w:rsidRDefault="00B370DF" w:rsidP="00B370DF">
      <w:pPr>
        <w:pStyle w:val="EndnoteText"/>
        <w:rPr>
          <w:rFonts w:ascii="Avenir Book" w:hAnsi="Avenir Book" w:cstheme="minorHAnsi"/>
        </w:rPr>
      </w:pPr>
      <w:r w:rsidRPr="006B3A88">
        <w:rPr>
          <w:rStyle w:val="EndnoteReference"/>
          <w:rFonts w:ascii="Avenir Book" w:hAnsi="Avenir Book" w:cstheme="minorHAnsi"/>
        </w:rPr>
        <w:endnoteRef/>
      </w:r>
      <w:r w:rsidRPr="006B3A88">
        <w:rPr>
          <w:rFonts w:ascii="Avenir Book" w:hAnsi="Avenir Book" w:cstheme="minorHAnsi"/>
        </w:rPr>
        <w:t xml:space="preserve"> Ibid, Recommendation 4.11 Consultation with people with disability, p. 194.</w:t>
      </w:r>
    </w:p>
  </w:endnote>
  <w:endnote w:id="269">
    <w:p w14:paraId="771A96E6" w14:textId="5E142A67" w:rsidR="00B370DF" w:rsidRPr="006B3A88" w:rsidRDefault="00B370DF" w:rsidP="00B370DF">
      <w:pPr>
        <w:pStyle w:val="EndnoteText"/>
        <w:rPr>
          <w:rFonts w:ascii="Avenir Book" w:hAnsi="Avenir Book" w:cstheme="minorHAnsi"/>
        </w:rPr>
      </w:pPr>
      <w:r w:rsidRPr="006B3A88">
        <w:rPr>
          <w:rStyle w:val="EndnoteReference"/>
          <w:rFonts w:ascii="Avenir Book" w:hAnsi="Avenir Book" w:cstheme="minorHAnsi"/>
        </w:rPr>
        <w:endnoteRef/>
      </w:r>
      <w:r w:rsidRPr="006B3A88">
        <w:rPr>
          <w:rFonts w:ascii="Avenir Book" w:hAnsi="Avenir Book" w:cstheme="minorHAnsi"/>
        </w:rPr>
        <w:t xml:space="preserve"> Recommendation 4.11, a. The Disability Royal Commission recommendation refers to consultation with Commissioners of national and State and Territory human rights and equal opportunity commissions, and to consultation with families, carers and supporters of people with disability. We don’t discount that consultation </w:t>
      </w:r>
      <w:r w:rsidR="006A08A8" w:rsidRPr="006B3A88">
        <w:rPr>
          <w:rFonts w:ascii="Avenir Book" w:hAnsi="Avenir Book" w:cstheme="minorHAnsi"/>
        </w:rPr>
        <w:t>sh</w:t>
      </w:r>
      <w:r w:rsidRPr="006B3A88">
        <w:rPr>
          <w:rFonts w:ascii="Avenir Book" w:hAnsi="Avenir Book" w:cstheme="minorHAnsi"/>
        </w:rPr>
        <w:t xml:space="preserve">ould occur with other entities, experts and families, carers and supporters of people with disability, but this needs to be understood </w:t>
      </w:r>
      <w:r w:rsidR="006A08A8" w:rsidRPr="006B3A88">
        <w:rPr>
          <w:rFonts w:ascii="Avenir Book" w:hAnsi="Avenir Book" w:cstheme="minorHAnsi"/>
        </w:rPr>
        <w:t>in the context that</w:t>
      </w:r>
      <w:r w:rsidRPr="006B3A88">
        <w:rPr>
          <w:rFonts w:ascii="Avenir Book" w:hAnsi="Avenir Book" w:cstheme="minorHAnsi"/>
        </w:rPr>
        <w:t xml:space="preserve"> priority should be given to the views of people with disability and their representative organisations in all matters affecting them. </w:t>
      </w:r>
    </w:p>
  </w:endnote>
  <w:endnote w:id="270">
    <w:p w14:paraId="521BF6CE" w14:textId="77777777" w:rsidR="00B370DF" w:rsidRPr="006B3A88" w:rsidRDefault="00B370DF" w:rsidP="00B370DF">
      <w:pPr>
        <w:pStyle w:val="EndnoteText"/>
        <w:rPr>
          <w:rFonts w:ascii="Avenir Book" w:hAnsi="Avenir Book" w:cstheme="minorHAnsi"/>
        </w:rPr>
      </w:pPr>
      <w:r w:rsidRPr="006B3A88">
        <w:rPr>
          <w:rStyle w:val="EndnoteReference"/>
          <w:rFonts w:ascii="Avenir Book" w:hAnsi="Avenir Book" w:cstheme="minorHAnsi"/>
        </w:rPr>
        <w:endnoteRef/>
      </w:r>
      <w:r w:rsidRPr="006B3A88">
        <w:rPr>
          <w:rFonts w:ascii="Avenir Book" w:hAnsi="Avenir Book" w:cstheme="minorHAnsi"/>
        </w:rPr>
        <w:t xml:space="preserve"> Royal Commission into Violence, Abuse, Neglect and Exploitation of People with Disability, ‘Final Report – Volume 4 – Realising the human rights of people with disability’ (September 2023), Commonwealth of Australia, p. 196.</w:t>
      </w:r>
    </w:p>
  </w:endnote>
  <w:endnote w:id="271">
    <w:p w14:paraId="15D8236A" w14:textId="77777777" w:rsidR="00B370DF" w:rsidRPr="006B3A88" w:rsidRDefault="00B370DF" w:rsidP="00B370DF">
      <w:pPr>
        <w:pStyle w:val="EndnoteText"/>
        <w:rPr>
          <w:rFonts w:ascii="Avenir Book" w:hAnsi="Avenir Book" w:cstheme="minorHAnsi"/>
        </w:rPr>
      </w:pPr>
      <w:r w:rsidRPr="006B3A88">
        <w:rPr>
          <w:rStyle w:val="EndnoteReference"/>
          <w:rFonts w:ascii="Avenir Book" w:hAnsi="Avenir Book" w:cstheme="minorHAnsi"/>
        </w:rPr>
        <w:endnoteRef/>
      </w:r>
      <w:r w:rsidRPr="006B3A88">
        <w:rPr>
          <w:rFonts w:ascii="Avenir Book" w:hAnsi="Avenir Book" w:cstheme="minorHAnsi"/>
        </w:rPr>
        <w:t xml:space="preserve"> Royal Commission into Violence, Abuse, Neglect and Exploitation of People with Disability, ‘Final Report – Executive Summary, Our vision for an inclusive Australia and Recommendations’, (September 2023), Commonwealth of Australia, p. 318-319.</w:t>
      </w:r>
    </w:p>
  </w:endnote>
  <w:endnote w:id="272">
    <w:p w14:paraId="1FD36689" w14:textId="77777777" w:rsidR="00B370DF" w:rsidRPr="006B3A88" w:rsidRDefault="00B370DF" w:rsidP="00B370DF">
      <w:pPr>
        <w:pStyle w:val="EndnoteText"/>
        <w:rPr>
          <w:rFonts w:ascii="Avenir Book" w:hAnsi="Avenir Book" w:cstheme="minorHAnsi"/>
        </w:rPr>
      </w:pPr>
      <w:r w:rsidRPr="006B3A88">
        <w:rPr>
          <w:rStyle w:val="EndnoteReference"/>
          <w:rFonts w:ascii="Avenir Book" w:hAnsi="Avenir Book" w:cstheme="minorHAnsi"/>
        </w:rPr>
        <w:endnoteRef/>
      </w:r>
      <w:r w:rsidRPr="006B3A88">
        <w:rPr>
          <w:rFonts w:ascii="Avenir Book" w:hAnsi="Avenir Book" w:cstheme="minorHAnsi"/>
        </w:rPr>
        <w:t xml:space="preserve"> Department of Social Services (DSS), ‘</w:t>
      </w:r>
      <w:hyperlink r:id="rId167" w:history="1">
        <w:r w:rsidRPr="006B3A88">
          <w:rPr>
            <w:rStyle w:val="Hyperlink"/>
            <w:rFonts w:ascii="Avenir Book" w:hAnsi="Avenir Book" w:cstheme="minorHAnsi"/>
          </w:rPr>
          <w:t>National Disability Representative Organisations</w:t>
        </w:r>
      </w:hyperlink>
      <w:r w:rsidRPr="006B3A88">
        <w:rPr>
          <w:rFonts w:ascii="Avenir Book" w:hAnsi="Avenir Book" w:cstheme="minorHAnsi"/>
        </w:rPr>
        <w:t>’ (Website information).</w:t>
      </w:r>
    </w:p>
  </w:endnote>
  <w:endnote w:id="273">
    <w:p w14:paraId="0C11651F" w14:textId="77777777" w:rsidR="00B370DF" w:rsidRPr="006B3A88" w:rsidRDefault="00B370DF" w:rsidP="00B370DF">
      <w:pPr>
        <w:pStyle w:val="EndnoteText"/>
        <w:rPr>
          <w:rFonts w:ascii="Avenir Book" w:hAnsi="Avenir Book" w:cstheme="minorHAnsi"/>
        </w:rPr>
      </w:pPr>
      <w:r w:rsidRPr="006B3A88">
        <w:rPr>
          <w:rStyle w:val="EndnoteReference"/>
          <w:rFonts w:ascii="Avenir Book" w:hAnsi="Avenir Book" w:cstheme="minorHAnsi"/>
        </w:rPr>
        <w:endnoteRef/>
      </w:r>
      <w:r w:rsidRPr="006B3A88">
        <w:rPr>
          <w:rFonts w:ascii="Avenir Book" w:hAnsi="Avenir Book" w:cstheme="minorHAnsi"/>
        </w:rPr>
        <w:t xml:space="preserve"> This is the terminology used in CRPD articles 4(3) and 33(3) to refer to organisations that are led, directed and governed </w:t>
      </w:r>
      <w:r w:rsidRPr="006B3A88">
        <w:rPr>
          <w:rFonts w:ascii="Avenir Book" w:hAnsi="Avenir Book" w:cstheme="minorHAnsi"/>
          <w:i/>
          <w:iCs/>
        </w:rPr>
        <w:t>by</w:t>
      </w:r>
      <w:r w:rsidRPr="006B3A88">
        <w:rPr>
          <w:rFonts w:ascii="Avenir Book" w:hAnsi="Avenir Book" w:cstheme="minorHAnsi"/>
        </w:rPr>
        <w:t xml:space="preserve"> persons with disabilities.</w:t>
      </w:r>
    </w:p>
  </w:endnote>
  <w:endnote w:id="274">
    <w:p w14:paraId="12611774" w14:textId="77777777" w:rsidR="00B370DF" w:rsidRPr="006B3A88" w:rsidRDefault="00B370DF" w:rsidP="00B370DF">
      <w:pPr>
        <w:pStyle w:val="EndnoteText"/>
        <w:rPr>
          <w:rFonts w:ascii="Avenir Book" w:hAnsi="Avenir Book" w:cstheme="minorHAnsi"/>
        </w:rPr>
      </w:pPr>
      <w:r w:rsidRPr="006B3A88">
        <w:rPr>
          <w:rStyle w:val="EndnoteReference"/>
          <w:rFonts w:ascii="Avenir Book" w:hAnsi="Avenir Book" w:cstheme="minorHAnsi"/>
        </w:rPr>
        <w:endnoteRef/>
      </w:r>
      <w:r w:rsidRPr="006B3A88">
        <w:rPr>
          <w:rFonts w:ascii="Avenir Book" w:hAnsi="Avenir Book" w:cstheme="minorHAnsi"/>
        </w:rPr>
        <w:t xml:space="preserve"> People with disability should be able to determine their own terminology to refer to themselves or to their representative organisations.  The term, ‘organisations of persons with disabilities (OPDs)’ is the terminology used by the CRPD Committee and those engaging in international human rights to reflect the definition of ‘representative organisation’ outlined in General Comment No. 7, and to reflect the wording in the Convention – ‘rights of persons with disabilities’. This term has the same meaning as ‘DPO’, which became the internationally accepted term around 1981 when people with disability began to organise into our own organisations and collectively form as a disability rights movement.  The term ‘DPO’ is still often used in Australia and globally. See Disabled People’s Organisations Australia, ‘</w:t>
      </w:r>
      <w:hyperlink r:id="rId168" w:history="1">
        <w:r w:rsidRPr="006B3A88">
          <w:rPr>
            <w:rStyle w:val="Hyperlink"/>
            <w:rFonts w:ascii="Avenir Book" w:hAnsi="Avenir Book" w:cstheme="minorHAnsi"/>
          </w:rPr>
          <w:t>Terminology</w:t>
        </w:r>
      </w:hyperlink>
      <w:r w:rsidRPr="006B3A88">
        <w:rPr>
          <w:rFonts w:ascii="Avenir Book" w:hAnsi="Avenir Book" w:cstheme="minorHAnsi"/>
        </w:rPr>
        <w:t>’ (website information).</w:t>
      </w:r>
    </w:p>
  </w:endnote>
  <w:endnote w:id="275">
    <w:p w14:paraId="5844B706" w14:textId="28EFC296" w:rsidR="00797463" w:rsidRPr="006B3A88" w:rsidRDefault="00797463">
      <w:pPr>
        <w:pStyle w:val="EndnoteText"/>
        <w:rPr>
          <w:rFonts w:ascii="Avenir Book" w:hAnsi="Avenir Book"/>
          <w:lang w:val="en-AU"/>
        </w:rPr>
      </w:pPr>
      <w:r w:rsidRPr="006B3A88">
        <w:rPr>
          <w:rStyle w:val="EndnoteReference"/>
          <w:rFonts w:ascii="Avenir Book" w:hAnsi="Avenir Book"/>
        </w:rPr>
        <w:endnoteRef/>
      </w:r>
      <w:r w:rsidRPr="006B3A88">
        <w:rPr>
          <w:rFonts w:ascii="Avenir Book" w:hAnsi="Avenir Book"/>
        </w:rPr>
        <w:t xml:space="preserve"> </w:t>
      </w:r>
      <w:r w:rsidRPr="006B3A88">
        <w:rPr>
          <w:rFonts w:ascii="Avenir Book" w:hAnsi="Avenir Book"/>
          <w:lang w:val="en-AU"/>
        </w:rPr>
        <w:t xml:space="preserve">Ibid. </w:t>
      </w:r>
    </w:p>
  </w:endnote>
  <w:endnote w:id="276">
    <w:p w14:paraId="0B9E992E" w14:textId="77777777" w:rsidR="007651C3" w:rsidRPr="006B3A88" w:rsidRDefault="007651C3" w:rsidP="007651C3">
      <w:pPr>
        <w:pStyle w:val="EndnoteText"/>
        <w:rPr>
          <w:rFonts w:ascii="Avenir Book" w:hAnsi="Avenir Book" w:cstheme="minorHAnsi"/>
        </w:rPr>
      </w:pPr>
      <w:r w:rsidRPr="006B3A88">
        <w:rPr>
          <w:rStyle w:val="EndnoteReference"/>
          <w:rFonts w:ascii="Avenir Book" w:hAnsi="Avenir Book" w:cstheme="minorHAnsi"/>
        </w:rPr>
        <w:endnoteRef/>
      </w:r>
      <w:r w:rsidRPr="006B3A88">
        <w:rPr>
          <w:rFonts w:ascii="Avenir Book" w:hAnsi="Avenir Book" w:cstheme="minorHAnsi"/>
        </w:rPr>
        <w:t xml:space="preserve"> Committee on the Rights of Persons with Disabilities, ‘</w:t>
      </w:r>
      <w:r w:rsidRPr="006B3A88">
        <w:rPr>
          <w:rFonts w:ascii="Avenir Book" w:hAnsi="Avenir Book" w:cstheme="minorHAnsi"/>
          <w:i/>
          <w:iCs/>
        </w:rPr>
        <w:t xml:space="preserve">Concluding Observations on the Combined Second and Third Periodic Reports of Australia, Adopted by the Committee at Its 511th Meeting (20 September 2019) of the 22nd </w:t>
      </w:r>
      <w:r w:rsidRPr="006B3A88">
        <w:rPr>
          <w:rFonts w:ascii="Avenir Book" w:hAnsi="Avenir Book" w:cstheme="minorHAnsi"/>
        </w:rPr>
        <w:t>Session’, (15 October 2019) UN Doc: CRPD/C/AUS/CO/2-3, para. 32(b).</w:t>
      </w:r>
    </w:p>
  </w:endnote>
  <w:endnote w:id="277">
    <w:p w14:paraId="5E67302F" w14:textId="77777777" w:rsidR="007651C3" w:rsidRPr="006B3A88" w:rsidRDefault="007651C3" w:rsidP="007651C3">
      <w:pPr>
        <w:pStyle w:val="EndnoteText"/>
        <w:rPr>
          <w:rFonts w:ascii="Avenir Book" w:hAnsi="Avenir Book" w:cstheme="minorHAnsi"/>
        </w:rPr>
      </w:pPr>
      <w:r w:rsidRPr="006B3A88">
        <w:rPr>
          <w:rStyle w:val="EndnoteReference"/>
          <w:rFonts w:ascii="Avenir Book" w:hAnsi="Avenir Book" w:cstheme="minorHAnsi"/>
        </w:rPr>
        <w:endnoteRef/>
      </w:r>
      <w:r w:rsidRPr="006B3A88">
        <w:rPr>
          <w:rFonts w:ascii="Avenir Book" w:hAnsi="Avenir Book" w:cstheme="minorHAnsi"/>
        </w:rPr>
        <w:t xml:space="preserve"> Royal Commission into Violence, Abuse, Neglect and Exploitation of People with Disability, ‘</w:t>
      </w:r>
      <w:hyperlink r:id="rId169" w:history="1">
        <w:r w:rsidRPr="006B3A88">
          <w:rPr>
            <w:rStyle w:val="Hyperlink"/>
            <w:rFonts w:ascii="Avenir Book" w:hAnsi="Avenir Book" w:cstheme="minorHAnsi"/>
          </w:rPr>
          <w:t>Interim Report</w:t>
        </w:r>
      </w:hyperlink>
      <w:r w:rsidRPr="006B3A88">
        <w:rPr>
          <w:rFonts w:ascii="Avenir Book" w:hAnsi="Avenir Book" w:cstheme="minorHAnsi"/>
        </w:rPr>
        <w:t>’ (October 2020), Commonwealth of Australia, p. 279.</w:t>
      </w:r>
    </w:p>
  </w:endnote>
  <w:endnote w:id="278">
    <w:p w14:paraId="37B056F0" w14:textId="77777777" w:rsidR="007651C3" w:rsidRPr="006B3A88" w:rsidRDefault="007651C3" w:rsidP="007651C3">
      <w:pPr>
        <w:pStyle w:val="EndnoteText"/>
        <w:rPr>
          <w:rFonts w:ascii="Avenir Book" w:hAnsi="Avenir Book" w:cstheme="minorHAnsi"/>
        </w:rPr>
      </w:pPr>
      <w:r w:rsidRPr="006B3A88">
        <w:rPr>
          <w:rStyle w:val="EndnoteReference"/>
          <w:rFonts w:ascii="Avenir Book" w:hAnsi="Avenir Book" w:cstheme="minorHAnsi"/>
        </w:rPr>
        <w:endnoteRef/>
      </w:r>
      <w:r w:rsidRPr="006B3A88">
        <w:rPr>
          <w:rFonts w:ascii="Avenir Book" w:hAnsi="Avenir Book" w:cstheme="minorHAnsi"/>
        </w:rPr>
        <w:t xml:space="preserve"> Ibid, p. 258.</w:t>
      </w:r>
    </w:p>
  </w:endnote>
  <w:endnote w:id="279">
    <w:p w14:paraId="03040331" w14:textId="77777777" w:rsidR="007651C3" w:rsidRPr="006B3A88" w:rsidRDefault="007651C3" w:rsidP="007651C3">
      <w:pPr>
        <w:pStyle w:val="EndnoteText"/>
        <w:rPr>
          <w:rFonts w:ascii="Avenir Book" w:hAnsi="Avenir Book" w:cstheme="minorHAnsi"/>
        </w:rPr>
      </w:pPr>
      <w:r w:rsidRPr="006B3A88">
        <w:rPr>
          <w:rStyle w:val="EndnoteReference"/>
          <w:rFonts w:ascii="Avenir Book" w:hAnsi="Avenir Book" w:cstheme="minorHAnsi"/>
        </w:rPr>
        <w:endnoteRef/>
      </w:r>
      <w:r w:rsidRPr="006B3A88">
        <w:rPr>
          <w:rFonts w:ascii="Avenir Book" w:hAnsi="Avenir Book" w:cstheme="minorHAnsi"/>
        </w:rPr>
        <w:t xml:space="preserve"> Royal Commission into Violence, Abuse, Neglect and Exploitation of People with Disability, ‘Final Report – Volume 10 – Disability Services’ (September 2023), Commonwealth of Australia, pp. 187-189, 275-279.</w:t>
      </w:r>
    </w:p>
  </w:endnote>
  <w:endnote w:id="280">
    <w:p w14:paraId="4BFB25A6" w14:textId="77777777" w:rsidR="007651C3" w:rsidRPr="006B3A88" w:rsidRDefault="007651C3" w:rsidP="007651C3">
      <w:pPr>
        <w:pStyle w:val="EndnoteText"/>
        <w:rPr>
          <w:rFonts w:ascii="Avenir Book" w:hAnsi="Avenir Book" w:cstheme="minorHAnsi"/>
        </w:rPr>
      </w:pPr>
      <w:r w:rsidRPr="006B3A88">
        <w:rPr>
          <w:rStyle w:val="EndnoteReference"/>
          <w:rFonts w:ascii="Avenir Book" w:hAnsi="Avenir Book" w:cstheme="minorHAnsi"/>
        </w:rPr>
        <w:endnoteRef/>
      </w:r>
      <w:r w:rsidRPr="006B3A88">
        <w:rPr>
          <w:rFonts w:ascii="Avenir Book" w:hAnsi="Avenir Book" w:cstheme="minorHAnsi"/>
        </w:rPr>
        <w:t xml:space="preserve"> Ibid, pp. 274-279.</w:t>
      </w:r>
    </w:p>
  </w:endnote>
  <w:endnote w:id="281">
    <w:p w14:paraId="7CE029A5" w14:textId="77777777" w:rsidR="007651C3" w:rsidRPr="006B3A88" w:rsidRDefault="007651C3" w:rsidP="007651C3">
      <w:pPr>
        <w:pStyle w:val="EndnoteText"/>
        <w:rPr>
          <w:rFonts w:ascii="Avenir Book" w:hAnsi="Avenir Book" w:cstheme="minorHAnsi"/>
        </w:rPr>
      </w:pPr>
      <w:r w:rsidRPr="006B3A88">
        <w:rPr>
          <w:rStyle w:val="EndnoteReference"/>
          <w:rFonts w:ascii="Avenir Book" w:hAnsi="Avenir Book" w:cstheme="minorHAnsi"/>
        </w:rPr>
        <w:endnoteRef/>
      </w:r>
      <w:r w:rsidRPr="006B3A88">
        <w:rPr>
          <w:rFonts w:ascii="Avenir Book" w:hAnsi="Avenir Book" w:cstheme="minorHAnsi"/>
        </w:rPr>
        <w:t xml:space="preserve"> Royal Commission into Violence, Abuse, Neglect and Exploitation of People with Disability, ‘Final Report – Volume 11 – Independent oversight and complaint handling’ (September 2023), Commonwealth of Australia, pp. 76-80.</w:t>
      </w:r>
    </w:p>
  </w:endnote>
  <w:endnote w:id="282">
    <w:p w14:paraId="3EAA95B4" w14:textId="77777777" w:rsidR="007651C3" w:rsidRPr="006B3A88" w:rsidRDefault="007651C3" w:rsidP="007651C3">
      <w:pPr>
        <w:pStyle w:val="EndnoteText"/>
        <w:rPr>
          <w:rFonts w:ascii="Avenir Book" w:hAnsi="Avenir Book" w:cstheme="minorHAnsi"/>
        </w:rPr>
      </w:pPr>
      <w:r w:rsidRPr="006B3A88">
        <w:rPr>
          <w:rStyle w:val="EndnoteReference"/>
          <w:rFonts w:ascii="Avenir Book" w:hAnsi="Avenir Book" w:cstheme="minorHAnsi"/>
        </w:rPr>
        <w:endnoteRef/>
      </w:r>
      <w:r w:rsidRPr="006B3A88">
        <w:rPr>
          <w:rFonts w:ascii="Avenir Book" w:hAnsi="Avenir Book" w:cstheme="minorHAnsi"/>
        </w:rPr>
        <w:t xml:space="preserve"> Royal Commission into Violence, Abuse, Neglect and Exploitation of People with Disability, ‘Final Report – Volume 1 – Voices of people with disability – Book 1 (September 2023), Commonwealth of Australia; Royal Commission into Violence, Abuse, Neglect and Exploitation of People with Disability, ‘Final Report – Volume 1 – Voices of people with disability – Book 2 (September 2023), Commonwealth of Australia; Royal Commission into Violence, Abuse, Neglect and Exploitation of People with Disability, ‘Final Report – Volume 1 – Voices of people with disability – Book 3 (September 2023), Commonwealth of Australia.</w:t>
      </w:r>
    </w:p>
  </w:endnote>
  <w:endnote w:id="283">
    <w:p w14:paraId="313DF07C" w14:textId="77777777" w:rsidR="007651C3" w:rsidRPr="006B3A88" w:rsidRDefault="007651C3" w:rsidP="007651C3">
      <w:pPr>
        <w:pStyle w:val="EndnoteText"/>
        <w:rPr>
          <w:rFonts w:ascii="Avenir Book" w:hAnsi="Avenir Book" w:cstheme="minorHAnsi"/>
        </w:rPr>
      </w:pPr>
      <w:r w:rsidRPr="006B3A88">
        <w:rPr>
          <w:rStyle w:val="EndnoteReference"/>
          <w:rFonts w:ascii="Avenir Book" w:hAnsi="Avenir Book" w:cstheme="minorHAnsi"/>
        </w:rPr>
        <w:endnoteRef/>
      </w:r>
      <w:r w:rsidRPr="006B3A88">
        <w:rPr>
          <w:rFonts w:ascii="Avenir Book" w:hAnsi="Avenir Book" w:cstheme="minorHAnsi"/>
        </w:rPr>
        <w:t xml:space="preserve"> For a comprehensive discussion on justice, disability, redress, international human rights treaties and guidelines see: Women With Disabilities Australia (WWDA), ‘Submission on Sexual and Reproductive Rights of Women and Girls with Disability to the Royal Commission into Violence, Abuse, Neglect and Exploitation of People with Disability’ (December 2022) pp.68-70. Also see, </w:t>
      </w:r>
      <w:bookmarkStart w:id="178" w:name="OLE_LINK3"/>
      <w:bookmarkStart w:id="179" w:name="OLE_LINK4"/>
      <w:r w:rsidRPr="006B3A88">
        <w:rPr>
          <w:rFonts w:ascii="Avenir Book" w:hAnsi="Avenir Book" w:cstheme="minorHAnsi"/>
        </w:rPr>
        <w:t>Linda Steele and Kate Swaffer, ‘Reparations for Harm to People Living with Dementia in Residential Aged Care – Project Report’ (University of Technology Sydney, 2023)</w:t>
      </w:r>
      <w:bookmarkEnd w:id="178"/>
      <w:bookmarkEnd w:id="179"/>
      <w:r w:rsidRPr="006B3A88">
        <w:rPr>
          <w:rFonts w:ascii="Avenir Book" w:hAnsi="Avenir Book" w:cstheme="minorHAnsi"/>
        </w:rPr>
        <w:t xml:space="preserve"> pp. 15-25.</w:t>
      </w:r>
    </w:p>
  </w:endnote>
  <w:endnote w:id="284">
    <w:p w14:paraId="303F9393" w14:textId="77777777" w:rsidR="007651C3" w:rsidRPr="006B3A88" w:rsidRDefault="007651C3" w:rsidP="007651C3">
      <w:pPr>
        <w:pStyle w:val="EndnoteText"/>
        <w:rPr>
          <w:rFonts w:ascii="Avenir Book" w:hAnsi="Avenir Book" w:cstheme="minorHAnsi"/>
        </w:rPr>
      </w:pPr>
      <w:r w:rsidRPr="006B3A88">
        <w:rPr>
          <w:rStyle w:val="EndnoteReference"/>
          <w:rFonts w:ascii="Avenir Book" w:hAnsi="Avenir Book" w:cstheme="minorHAnsi"/>
        </w:rPr>
        <w:endnoteRef/>
      </w:r>
      <w:r w:rsidRPr="006B3A88">
        <w:rPr>
          <w:rFonts w:ascii="Avenir Book" w:hAnsi="Avenir Book" w:cstheme="minorHAnsi"/>
        </w:rPr>
        <w:t xml:space="preserve"> International Covenant on Civil and Political Rights, opened for signature 16 December 1966, 999 UNTS 171 (entered into force 13 March 1976) arts. 2.3, 9.5]</w:t>
      </w:r>
    </w:p>
  </w:endnote>
  <w:endnote w:id="285">
    <w:p w14:paraId="120D2FAB" w14:textId="77777777" w:rsidR="007651C3" w:rsidRPr="006B3A88" w:rsidRDefault="007651C3" w:rsidP="007651C3">
      <w:pPr>
        <w:pStyle w:val="EndnoteText"/>
        <w:rPr>
          <w:rFonts w:ascii="Avenir Book" w:hAnsi="Avenir Book"/>
        </w:rPr>
      </w:pPr>
      <w:r w:rsidRPr="006B3A88">
        <w:rPr>
          <w:rStyle w:val="EndnoteReference"/>
          <w:rFonts w:ascii="Avenir Book" w:hAnsi="Avenir Book" w:cstheme="minorHAnsi"/>
        </w:rPr>
        <w:endnoteRef/>
      </w:r>
      <w:r w:rsidRPr="006B3A88">
        <w:rPr>
          <w:rFonts w:ascii="Avenir Book" w:hAnsi="Avenir Book" w:cstheme="minorHAnsi"/>
        </w:rPr>
        <w:t xml:space="preserve"> Convention Against Torture and Other Cruel, Inhuman or Degrading Treatment or Punishment, opened for signature 10 December 1984, 1465 UNTS 85 (entered into force 26 June 1987) art. 14(1).</w:t>
      </w:r>
      <w:r w:rsidRPr="006B3A88">
        <w:rPr>
          <w:rFonts w:ascii="Avenir Book" w:hAnsi="Avenir Book"/>
        </w:rPr>
        <w:t xml:space="preserve"> </w:t>
      </w:r>
    </w:p>
  </w:endnote>
  <w:endnote w:id="286">
    <w:p w14:paraId="1EEA6E9E" w14:textId="77777777" w:rsidR="007651C3" w:rsidRPr="006B3A88" w:rsidRDefault="007651C3" w:rsidP="007651C3">
      <w:pPr>
        <w:pStyle w:val="EndnoteText"/>
        <w:rPr>
          <w:rFonts w:ascii="Avenir Book" w:hAnsi="Avenir Book" w:cstheme="minorHAnsi"/>
        </w:rPr>
      </w:pPr>
      <w:r w:rsidRPr="006B3A88">
        <w:rPr>
          <w:rStyle w:val="EndnoteReference"/>
          <w:rFonts w:ascii="Avenir Book" w:hAnsi="Avenir Book" w:cstheme="minorHAnsi"/>
        </w:rPr>
        <w:endnoteRef/>
      </w:r>
      <w:r w:rsidRPr="006B3A88">
        <w:rPr>
          <w:rFonts w:ascii="Avenir Book" w:hAnsi="Avenir Book" w:cstheme="minorHAnsi"/>
        </w:rPr>
        <w:t xml:space="preserve"> CRPD, art. 16(4).</w:t>
      </w:r>
    </w:p>
  </w:endnote>
  <w:endnote w:id="287">
    <w:p w14:paraId="22A25F6B" w14:textId="77777777" w:rsidR="007651C3" w:rsidRPr="006B3A88" w:rsidRDefault="007651C3" w:rsidP="007651C3">
      <w:pPr>
        <w:pStyle w:val="EndnoteText"/>
        <w:rPr>
          <w:rFonts w:ascii="Avenir Book" w:hAnsi="Avenir Book" w:cstheme="minorHAnsi"/>
        </w:rPr>
      </w:pPr>
      <w:r w:rsidRPr="006B3A88">
        <w:rPr>
          <w:rStyle w:val="EndnoteReference"/>
          <w:rFonts w:ascii="Avenir Book" w:hAnsi="Avenir Book" w:cstheme="minorHAnsi"/>
        </w:rPr>
        <w:endnoteRef/>
      </w:r>
      <w:r w:rsidRPr="006B3A88">
        <w:rPr>
          <w:rFonts w:ascii="Avenir Book" w:hAnsi="Avenir Book" w:cstheme="minorHAnsi"/>
        </w:rPr>
        <w:t xml:space="preserve"> Committee on the Elimination of Discrimination against Women, ‘General recommendation No. 35 on gender-based violence against women, updating general recommendation No. 19’ (26 July 2017) UN Doc: CEDAW/C/GC/35, sec. E, para. 33.</w:t>
      </w:r>
    </w:p>
  </w:endnote>
  <w:endnote w:id="288">
    <w:p w14:paraId="4A33524E" w14:textId="77777777" w:rsidR="007651C3" w:rsidRPr="006B3A88" w:rsidRDefault="007651C3" w:rsidP="007651C3">
      <w:pPr>
        <w:pStyle w:val="EndnoteText"/>
        <w:rPr>
          <w:rFonts w:ascii="Avenir Book" w:hAnsi="Avenir Book" w:cstheme="minorHAnsi"/>
        </w:rPr>
      </w:pPr>
      <w:r w:rsidRPr="006B3A88">
        <w:rPr>
          <w:rStyle w:val="EndnoteReference"/>
          <w:rFonts w:ascii="Avenir Book" w:hAnsi="Avenir Book" w:cstheme="minorHAnsi"/>
        </w:rPr>
        <w:endnoteRef/>
      </w:r>
      <w:r w:rsidRPr="006B3A88">
        <w:rPr>
          <w:rFonts w:ascii="Avenir Book" w:hAnsi="Avenir Book" w:cstheme="minorHAnsi"/>
        </w:rPr>
        <w:t xml:space="preserve"> Committee on the Rights of Persons with Disabilities, ‘General comment No. 3 (2016) on women and girls with disabilities’ (25 November 2016) UN Doc: CRPD/C/GC/3, para. 26. </w:t>
      </w:r>
    </w:p>
  </w:endnote>
  <w:endnote w:id="289">
    <w:p w14:paraId="391B7CCB" w14:textId="372D6794" w:rsidR="0045331F" w:rsidRPr="006B3A88" w:rsidRDefault="0045331F">
      <w:pPr>
        <w:pStyle w:val="EndnoteText"/>
        <w:rPr>
          <w:rFonts w:ascii="Avenir Book" w:hAnsi="Avenir Book"/>
          <w:lang w:val="en-AU"/>
        </w:rPr>
      </w:pPr>
      <w:r w:rsidRPr="006B3A88">
        <w:rPr>
          <w:rStyle w:val="EndnoteReference"/>
          <w:rFonts w:ascii="Avenir Book" w:hAnsi="Avenir Book"/>
        </w:rPr>
        <w:endnoteRef/>
      </w:r>
      <w:r w:rsidRPr="006B3A88">
        <w:rPr>
          <w:rFonts w:ascii="Avenir Book" w:hAnsi="Avenir Book"/>
        </w:rPr>
        <w:t xml:space="preserve"> </w:t>
      </w:r>
      <w:r w:rsidRPr="006B3A88">
        <w:rPr>
          <w:rFonts w:ascii="Avenir Book" w:hAnsi="Avenir Book" w:cstheme="minorHAnsi"/>
        </w:rPr>
        <w:t>Committee on the Rights of Persons with Disabilities, ‘Guidelines on article 14 of the Convention on the Rights of Persons with Disabilities – The right to liberty and security of persons with disabilities’ (2015) annex to the Report of the Committee on the Rights of Persons with Disabilities to the General Assembly, 2017, UN Doc: A/72/55, section XIV, paras 24(a)-(f).</w:t>
      </w:r>
    </w:p>
  </w:endnote>
  <w:endnote w:id="290">
    <w:p w14:paraId="2DE94A49" w14:textId="1672FC10" w:rsidR="007651C3" w:rsidRPr="006B3A88" w:rsidRDefault="007651C3" w:rsidP="007651C3">
      <w:pPr>
        <w:pStyle w:val="EndnoteText"/>
        <w:rPr>
          <w:rFonts w:ascii="Avenir Book" w:hAnsi="Avenir Book"/>
        </w:rPr>
      </w:pPr>
      <w:r w:rsidRPr="006B3A88">
        <w:rPr>
          <w:rStyle w:val="EndnoteReference"/>
          <w:rFonts w:ascii="Avenir Book" w:hAnsi="Avenir Book"/>
        </w:rPr>
        <w:endnoteRef/>
      </w:r>
      <w:r w:rsidRPr="006B3A88">
        <w:rPr>
          <w:rFonts w:ascii="Avenir Book" w:hAnsi="Avenir Book"/>
        </w:rPr>
        <w:t xml:space="preserve"> Committee on th</w:t>
      </w:r>
      <w:r w:rsidR="0045331F" w:rsidRPr="006B3A88">
        <w:rPr>
          <w:rFonts w:ascii="Avenir Book" w:hAnsi="Avenir Book"/>
        </w:rPr>
        <w:t>e</w:t>
      </w:r>
      <w:r w:rsidRPr="006B3A88">
        <w:rPr>
          <w:rFonts w:ascii="Avenir Book" w:hAnsi="Avenir Book"/>
        </w:rPr>
        <w:t xml:space="preserve"> Rights of Persons with Disabilities, ‘Guidelines on deinstitutionalisation, including in emergencies’ (10 October 2022) UN Doc: CRPD/C/5, section IX, Remedies, reparations and redress, paras. 115-123.</w:t>
      </w:r>
    </w:p>
  </w:endnote>
  <w:endnote w:id="291">
    <w:p w14:paraId="69D3A517" w14:textId="77777777" w:rsidR="007651C3" w:rsidRPr="006B3A88" w:rsidRDefault="007651C3" w:rsidP="007651C3">
      <w:pPr>
        <w:pStyle w:val="EndnoteText"/>
        <w:rPr>
          <w:rFonts w:ascii="Avenir Book" w:hAnsi="Avenir Book"/>
        </w:rPr>
      </w:pPr>
      <w:r w:rsidRPr="006B3A88">
        <w:rPr>
          <w:rStyle w:val="EndnoteReference"/>
          <w:rFonts w:ascii="Avenir Book" w:hAnsi="Avenir Book"/>
        </w:rPr>
        <w:endnoteRef/>
      </w:r>
      <w:r w:rsidRPr="006B3A88">
        <w:rPr>
          <w:rFonts w:ascii="Avenir Book" w:hAnsi="Avenir Book"/>
        </w:rPr>
        <w:t xml:space="preserve"> Ibid, para. 122.</w:t>
      </w:r>
    </w:p>
  </w:endnote>
  <w:endnote w:id="292">
    <w:p w14:paraId="777143A3" w14:textId="77777777" w:rsidR="007651C3" w:rsidRPr="006B3A88" w:rsidRDefault="007651C3" w:rsidP="007651C3">
      <w:pPr>
        <w:pStyle w:val="EndnoteText"/>
        <w:rPr>
          <w:rFonts w:ascii="Avenir Book" w:hAnsi="Avenir Book" w:cstheme="minorHAnsi"/>
        </w:rPr>
      </w:pPr>
      <w:r w:rsidRPr="006B3A88">
        <w:rPr>
          <w:rStyle w:val="EndnoteReference"/>
          <w:rFonts w:ascii="Avenir Book" w:hAnsi="Avenir Book" w:cstheme="minorHAnsi"/>
        </w:rPr>
        <w:endnoteRef/>
      </w:r>
      <w:r w:rsidRPr="006B3A88">
        <w:rPr>
          <w:rFonts w:ascii="Avenir Book" w:hAnsi="Avenir Book" w:cstheme="minorHAnsi"/>
        </w:rPr>
        <w:t xml:space="preserve"> Basic Principles and Guidelines on the Right to a Remedy and Reparation for Victims of Gross Violations of International Human Rights Law and Serious Violations of International Humanitarian Law, GA Res 60/147, UN Doc A/RES/60/147 (21 March 2006). </w:t>
      </w:r>
    </w:p>
  </w:endnote>
  <w:endnote w:id="293">
    <w:p w14:paraId="4F3CADB7" w14:textId="77777777" w:rsidR="007651C3" w:rsidRPr="006B3A88" w:rsidRDefault="007651C3" w:rsidP="007651C3">
      <w:pPr>
        <w:pStyle w:val="EndnoteText"/>
        <w:rPr>
          <w:rFonts w:ascii="Avenir Book" w:hAnsi="Avenir Book" w:cstheme="minorHAnsi"/>
        </w:rPr>
      </w:pPr>
      <w:r w:rsidRPr="006B3A88">
        <w:rPr>
          <w:rStyle w:val="EndnoteReference"/>
          <w:rFonts w:ascii="Avenir Book" w:hAnsi="Avenir Book" w:cstheme="minorHAnsi"/>
        </w:rPr>
        <w:endnoteRef/>
      </w:r>
      <w:r w:rsidRPr="006B3A88">
        <w:rPr>
          <w:rFonts w:ascii="Avenir Book" w:hAnsi="Avenir Book" w:cstheme="minorHAnsi"/>
        </w:rPr>
        <w:t xml:space="preserve"> Ibid.</w:t>
      </w:r>
    </w:p>
  </w:endnote>
  <w:endnote w:id="294">
    <w:p w14:paraId="65E115BA" w14:textId="77777777" w:rsidR="007651C3" w:rsidRPr="006B3A88" w:rsidRDefault="007651C3" w:rsidP="007651C3">
      <w:pPr>
        <w:pStyle w:val="EndnoteText"/>
        <w:rPr>
          <w:rFonts w:ascii="Avenir Book" w:hAnsi="Avenir Book" w:cstheme="minorHAnsi"/>
        </w:rPr>
      </w:pPr>
      <w:r w:rsidRPr="006B3A88">
        <w:rPr>
          <w:rStyle w:val="EndnoteReference"/>
          <w:rFonts w:ascii="Avenir Book" w:hAnsi="Avenir Book" w:cstheme="minorHAnsi"/>
        </w:rPr>
        <w:endnoteRef/>
      </w:r>
      <w:r w:rsidRPr="006B3A88">
        <w:rPr>
          <w:rFonts w:ascii="Avenir Book" w:hAnsi="Avenir Book" w:cstheme="minorHAnsi"/>
        </w:rPr>
        <w:t xml:space="preserve"> CRPD article 13.</w:t>
      </w:r>
    </w:p>
  </w:endnote>
  <w:endnote w:id="295">
    <w:p w14:paraId="070B6F05" w14:textId="77777777" w:rsidR="007651C3" w:rsidRPr="006B3A88" w:rsidRDefault="007651C3" w:rsidP="007651C3">
      <w:pPr>
        <w:pStyle w:val="EndnoteText"/>
        <w:rPr>
          <w:rFonts w:ascii="Avenir Book" w:hAnsi="Avenir Book" w:cstheme="minorHAnsi"/>
        </w:rPr>
      </w:pPr>
      <w:r w:rsidRPr="006B3A88">
        <w:rPr>
          <w:rStyle w:val="EndnoteReference"/>
          <w:rFonts w:ascii="Avenir Book" w:hAnsi="Avenir Book" w:cstheme="minorHAnsi"/>
        </w:rPr>
        <w:endnoteRef/>
      </w:r>
      <w:r w:rsidRPr="006B3A88">
        <w:rPr>
          <w:rFonts w:ascii="Avenir Book" w:hAnsi="Avenir Book" w:cstheme="minorHAnsi"/>
        </w:rPr>
        <w:t xml:space="preserve"> Special Rapporteur on the rights of persons with disabilities, ‘International Principles and Guidelines on Access to Justice for Persons with Disabilities’ (August 2020) Geneva.</w:t>
      </w:r>
    </w:p>
  </w:endnote>
  <w:endnote w:id="296">
    <w:p w14:paraId="5CAEBC40" w14:textId="77777777" w:rsidR="007651C3" w:rsidRPr="006B3A88" w:rsidRDefault="007651C3" w:rsidP="007651C3">
      <w:pPr>
        <w:pStyle w:val="EndnoteText"/>
        <w:rPr>
          <w:rFonts w:ascii="Avenir Book" w:hAnsi="Avenir Book" w:cstheme="minorHAnsi"/>
        </w:rPr>
      </w:pPr>
      <w:r w:rsidRPr="006B3A88">
        <w:rPr>
          <w:rStyle w:val="EndnoteReference"/>
          <w:rFonts w:ascii="Avenir Book" w:hAnsi="Avenir Book" w:cstheme="minorHAnsi"/>
        </w:rPr>
        <w:endnoteRef/>
      </w:r>
      <w:r w:rsidRPr="006B3A88">
        <w:rPr>
          <w:rFonts w:ascii="Avenir Book" w:hAnsi="Avenir Book" w:cstheme="minorHAnsi"/>
        </w:rPr>
        <w:t xml:space="preserve"> Women With Disabilities Australia (WWDA), ‘Submission on Sexual and Reproductive Rights of Women and Girls with Disability to the Royal Commission into Violence, Abuse, Neglect and Exploitation of People with Disability’ (December 2022), para 4.107, p. 70. </w:t>
      </w:r>
    </w:p>
  </w:endnote>
  <w:endnote w:id="297">
    <w:p w14:paraId="3678CE40" w14:textId="77777777" w:rsidR="007651C3" w:rsidRPr="006B3A88" w:rsidRDefault="007651C3" w:rsidP="007651C3">
      <w:pPr>
        <w:pStyle w:val="EndnoteText"/>
        <w:rPr>
          <w:rFonts w:ascii="Avenir Book" w:hAnsi="Avenir Book" w:cstheme="minorHAnsi"/>
        </w:rPr>
      </w:pPr>
      <w:r w:rsidRPr="006B3A88">
        <w:rPr>
          <w:rStyle w:val="EndnoteReference"/>
          <w:rFonts w:ascii="Avenir Book" w:hAnsi="Avenir Book" w:cstheme="minorHAnsi"/>
        </w:rPr>
        <w:endnoteRef/>
      </w:r>
      <w:r w:rsidRPr="006B3A88">
        <w:rPr>
          <w:rFonts w:ascii="Avenir Book" w:hAnsi="Avenir Book" w:cstheme="minorHAnsi"/>
        </w:rPr>
        <w:t xml:space="preserve"> Ibid.</w:t>
      </w:r>
    </w:p>
  </w:endnote>
  <w:endnote w:id="298">
    <w:p w14:paraId="538D2F69" w14:textId="77777777" w:rsidR="007651C3" w:rsidRPr="006B3A88" w:rsidRDefault="007651C3" w:rsidP="007651C3">
      <w:pPr>
        <w:pStyle w:val="EndnoteText"/>
        <w:rPr>
          <w:rFonts w:ascii="Avenir Book" w:hAnsi="Avenir Book" w:cstheme="minorHAnsi"/>
        </w:rPr>
      </w:pPr>
      <w:r w:rsidRPr="006B3A88">
        <w:rPr>
          <w:rStyle w:val="EndnoteReference"/>
          <w:rFonts w:ascii="Avenir Book" w:hAnsi="Avenir Book" w:cstheme="minorHAnsi"/>
        </w:rPr>
        <w:endnoteRef/>
      </w:r>
      <w:r w:rsidRPr="006B3A88">
        <w:rPr>
          <w:rFonts w:ascii="Avenir Book" w:hAnsi="Avenir Book" w:cstheme="minorHAnsi"/>
        </w:rPr>
        <w:t xml:space="preserve"> Chair’s Opening Address, Royal Commission into Violence, Abuse, Neglect and Exploitation of People with Disability, ‘Transcript of Proceedings’, (First Public Sitting, 16 September 2019, Brisbane), p. 13.   </w:t>
      </w:r>
    </w:p>
  </w:endnote>
  <w:endnote w:id="299">
    <w:p w14:paraId="6A60B7E4" w14:textId="77777777" w:rsidR="007651C3" w:rsidRPr="006B3A88" w:rsidRDefault="007651C3" w:rsidP="007651C3">
      <w:pPr>
        <w:pStyle w:val="EndnoteText"/>
        <w:rPr>
          <w:rFonts w:ascii="Avenir Book" w:hAnsi="Avenir Book" w:cstheme="minorHAnsi"/>
        </w:rPr>
      </w:pPr>
      <w:r w:rsidRPr="006B3A88">
        <w:rPr>
          <w:rStyle w:val="EndnoteReference"/>
          <w:rFonts w:ascii="Avenir Book" w:hAnsi="Avenir Book" w:cstheme="minorHAnsi"/>
        </w:rPr>
        <w:endnoteRef/>
      </w:r>
      <w:r w:rsidRPr="006B3A88">
        <w:rPr>
          <w:rFonts w:ascii="Avenir Book" w:hAnsi="Avenir Book" w:cstheme="minorHAnsi"/>
        </w:rPr>
        <w:t xml:space="preserve"> This is termed ‘moral repair’, see Margaret Urban Walker, ‘Moral Repair’ (Cambridge University Press), cited in the Dementia Reparations Principles, see Linda Steele and Kate Swaffer, ‘</w:t>
      </w:r>
      <w:hyperlink r:id="rId170" w:history="1">
        <w:r w:rsidRPr="006B3A88">
          <w:rPr>
            <w:rStyle w:val="Hyperlink"/>
            <w:rFonts w:ascii="Avenir Book" w:hAnsi="Avenir Book" w:cstheme="minorHAnsi"/>
          </w:rPr>
          <w:t>Reparations for Harm to People Living with Dementia in Residential Aged Care – Dementia Reparations Principles</w:t>
        </w:r>
      </w:hyperlink>
      <w:r w:rsidRPr="006B3A88">
        <w:rPr>
          <w:rFonts w:ascii="Avenir Book" w:hAnsi="Avenir Book" w:cstheme="minorHAnsi"/>
        </w:rPr>
        <w:t xml:space="preserve">’ (University of Technology, Sydney, 2023). </w:t>
      </w:r>
    </w:p>
  </w:endnote>
  <w:endnote w:id="300">
    <w:p w14:paraId="1B7BA37C" w14:textId="77777777" w:rsidR="007651C3" w:rsidRPr="006B3A88" w:rsidRDefault="007651C3" w:rsidP="007651C3">
      <w:pPr>
        <w:pStyle w:val="EndnoteText"/>
        <w:rPr>
          <w:rFonts w:ascii="Avenir Book" w:hAnsi="Avenir Book" w:cstheme="minorHAnsi"/>
        </w:rPr>
      </w:pPr>
      <w:r w:rsidRPr="006B3A88">
        <w:rPr>
          <w:rStyle w:val="EndnoteReference"/>
          <w:rFonts w:ascii="Avenir Book" w:hAnsi="Avenir Book" w:cstheme="minorHAnsi"/>
        </w:rPr>
        <w:endnoteRef/>
      </w:r>
      <w:r w:rsidRPr="006B3A88">
        <w:rPr>
          <w:rFonts w:ascii="Avenir Book" w:hAnsi="Avenir Book" w:cstheme="minorHAnsi"/>
        </w:rPr>
        <w:t xml:space="preserve"> National Redress Scheme started on 1 July 2018 and will run for ten years, see </w:t>
      </w:r>
      <w:hyperlink r:id="rId171" w:history="1">
        <w:r w:rsidRPr="006B3A88">
          <w:rPr>
            <w:rStyle w:val="Hyperlink"/>
            <w:rFonts w:ascii="Avenir Book" w:hAnsi="Avenir Book" w:cstheme="minorHAnsi"/>
          </w:rPr>
          <w:t>https://www.nationalredress.gov.au/about</w:t>
        </w:r>
      </w:hyperlink>
      <w:r w:rsidRPr="006B3A88">
        <w:rPr>
          <w:rFonts w:ascii="Avenir Book" w:hAnsi="Avenir Book" w:cstheme="minorHAnsi"/>
        </w:rPr>
        <w:t xml:space="preserve"> </w:t>
      </w:r>
    </w:p>
  </w:endnote>
  <w:endnote w:id="301">
    <w:p w14:paraId="713B96F9" w14:textId="77777777" w:rsidR="007651C3" w:rsidRPr="006B3A88" w:rsidRDefault="007651C3" w:rsidP="007651C3">
      <w:pPr>
        <w:pStyle w:val="EndnoteText"/>
        <w:rPr>
          <w:rFonts w:ascii="Avenir Book" w:hAnsi="Avenir Book" w:cstheme="minorHAnsi"/>
        </w:rPr>
      </w:pPr>
      <w:r w:rsidRPr="006B3A88">
        <w:rPr>
          <w:rStyle w:val="EndnoteReference"/>
          <w:rFonts w:ascii="Avenir Book" w:hAnsi="Avenir Book" w:cstheme="minorHAnsi"/>
        </w:rPr>
        <w:endnoteRef/>
      </w:r>
      <w:r w:rsidRPr="006B3A88">
        <w:rPr>
          <w:rFonts w:ascii="Avenir Book" w:hAnsi="Avenir Book" w:cstheme="minorHAnsi"/>
        </w:rPr>
        <w:t xml:space="preserve"> Royal Commission into Institutional Responses to Child Sexual Abuse ran from 2013 to 2017. In 2015, it released its report, ‘Redress and civil litigation’, see </w:t>
      </w:r>
      <w:hyperlink r:id="rId172" w:history="1">
        <w:r w:rsidRPr="006B3A88">
          <w:rPr>
            <w:rStyle w:val="Hyperlink"/>
            <w:rFonts w:ascii="Avenir Book" w:hAnsi="Avenir Book" w:cstheme="minorHAnsi"/>
          </w:rPr>
          <w:t>https://www.childabuseroyalcommission.gov.au</w:t>
        </w:r>
      </w:hyperlink>
      <w:r w:rsidRPr="006B3A88">
        <w:rPr>
          <w:rFonts w:ascii="Avenir Book" w:hAnsi="Avenir Book" w:cstheme="minorHAnsi"/>
        </w:rPr>
        <w:t xml:space="preserve"> </w:t>
      </w:r>
    </w:p>
  </w:endnote>
  <w:endnote w:id="302">
    <w:p w14:paraId="161BC0E0" w14:textId="77777777" w:rsidR="007651C3" w:rsidRPr="006B3A88" w:rsidRDefault="007651C3" w:rsidP="007651C3">
      <w:pPr>
        <w:pStyle w:val="EndnoteText"/>
        <w:rPr>
          <w:rFonts w:ascii="Avenir Book" w:hAnsi="Avenir Book" w:cstheme="minorHAnsi"/>
        </w:rPr>
      </w:pPr>
      <w:r w:rsidRPr="006B3A88">
        <w:rPr>
          <w:rStyle w:val="EndnoteReference"/>
          <w:rFonts w:ascii="Avenir Book" w:hAnsi="Avenir Book" w:cstheme="minorHAnsi"/>
        </w:rPr>
        <w:endnoteRef/>
      </w:r>
      <w:r w:rsidRPr="006B3A88">
        <w:rPr>
          <w:rFonts w:ascii="Avenir Book" w:hAnsi="Avenir Book" w:cstheme="minorHAnsi"/>
        </w:rPr>
        <w:t xml:space="preserve"> People with Disability Australia, ‘</w:t>
      </w:r>
      <w:hyperlink r:id="rId173" w:history="1">
        <w:r w:rsidRPr="006B3A88">
          <w:rPr>
            <w:rStyle w:val="Hyperlink"/>
            <w:rFonts w:ascii="Avenir Book" w:hAnsi="Avenir Book" w:cstheme="minorHAnsi"/>
          </w:rPr>
          <w:t>National Redress Scheme project</w:t>
        </w:r>
      </w:hyperlink>
      <w:r w:rsidRPr="006B3A88">
        <w:rPr>
          <w:rFonts w:ascii="Avenir Book" w:hAnsi="Avenir Book" w:cstheme="minorHAnsi"/>
        </w:rPr>
        <w:t>’, (Website information). See also, People with Disability Australia &amp; Children and Young People with Disability Australia, ‘</w:t>
      </w:r>
      <w:hyperlink r:id="rId174" w:history="1">
        <w:r w:rsidRPr="006B3A88">
          <w:rPr>
            <w:rStyle w:val="Hyperlink"/>
            <w:rFonts w:ascii="Avenir Book" w:hAnsi="Avenir Book" w:cstheme="minorHAnsi"/>
          </w:rPr>
          <w:t>The National Redress Scheme – Information for people with disability</w:t>
        </w:r>
      </w:hyperlink>
      <w:r w:rsidRPr="006B3A88">
        <w:rPr>
          <w:rFonts w:ascii="Avenir Book" w:hAnsi="Avenir Book" w:cstheme="minorHAnsi"/>
        </w:rPr>
        <w:t>’ (Factsheet).</w:t>
      </w:r>
    </w:p>
  </w:endnote>
  <w:endnote w:id="303">
    <w:p w14:paraId="41C312F0" w14:textId="77777777" w:rsidR="007651C3" w:rsidRPr="006B3A88" w:rsidRDefault="007651C3" w:rsidP="007651C3">
      <w:pPr>
        <w:pStyle w:val="EndnoteText"/>
        <w:rPr>
          <w:rFonts w:ascii="Avenir Book" w:hAnsi="Avenir Book" w:cstheme="minorHAnsi"/>
        </w:rPr>
      </w:pPr>
      <w:r w:rsidRPr="006B3A88">
        <w:rPr>
          <w:rStyle w:val="EndnoteReference"/>
          <w:rFonts w:ascii="Avenir Book" w:hAnsi="Avenir Book" w:cstheme="minorHAnsi"/>
        </w:rPr>
        <w:endnoteRef/>
      </w:r>
      <w:r w:rsidRPr="006B3A88">
        <w:rPr>
          <w:rFonts w:ascii="Avenir Book" w:hAnsi="Avenir Book" w:cstheme="minorHAnsi"/>
        </w:rPr>
        <w:t xml:space="preserve"> ‘Territories Stolen Generations Redress Scheme’, ‘NSW Government’s Stolen Generations Reparations Scheme’, ‘Victorian Stolen Generations Reparations Package and the Funeral Fund’. See, knowmore, ‘</w:t>
      </w:r>
      <w:hyperlink r:id="rId175" w:history="1">
        <w:r w:rsidRPr="006B3A88">
          <w:rPr>
            <w:rStyle w:val="Hyperlink"/>
            <w:rFonts w:ascii="Avenir Book" w:hAnsi="Avenir Book" w:cstheme="minorHAnsi"/>
          </w:rPr>
          <w:t>Redress options</w:t>
        </w:r>
      </w:hyperlink>
      <w:r w:rsidRPr="006B3A88">
        <w:rPr>
          <w:rFonts w:ascii="Avenir Book" w:hAnsi="Avenir Book" w:cstheme="minorHAnsi"/>
        </w:rPr>
        <w:t xml:space="preserve">’ (website information). </w:t>
      </w:r>
    </w:p>
  </w:endnote>
  <w:endnote w:id="304">
    <w:p w14:paraId="73BA588D" w14:textId="77777777" w:rsidR="007651C3" w:rsidRPr="006B3A88" w:rsidRDefault="007651C3" w:rsidP="007651C3">
      <w:pPr>
        <w:pStyle w:val="EndnoteText"/>
        <w:rPr>
          <w:rFonts w:ascii="Avenir Book" w:hAnsi="Avenir Book" w:cstheme="minorHAnsi"/>
        </w:rPr>
      </w:pPr>
      <w:r w:rsidRPr="006B3A88">
        <w:rPr>
          <w:rStyle w:val="EndnoteReference"/>
          <w:rFonts w:ascii="Avenir Book" w:hAnsi="Avenir Book" w:cstheme="minorHAnsi"/>
        </w:rPr>
        <w:endnoteRef/>
      </w:r>
      <w:r w:rsidRPr="006B3A88">
        <w:rPr>
          <w:rFonts w:ascii="Avenir Book" w:hAnsi="Avenir Book" w:cstheme="minorHAnsi"/>
        </w:rPr>
        <w:t xml:space="preserve"> Royal Commission into Victoria’s Mental Health System ran from 2019 to 2021, see </w:t>
      </w:r>
      <w:hyperlink r:id="rId176" w:history="1">
        <w:r w:rsidRPr="006B3A88">
          <w:rPr>
            <w:rStyle w:val="Hyperlink"/>
            <w:rFonts w:ascii="Avenir Book" w:hAnsi="Avenir Book" w:cstheme="minorHAnsi"/>
          </w:rPr>
          <w:t>http://rcvmhs.archive.royalcommission.vic.gov.au/index.html</w:t>
        </w:r>
      </w:hyperlink>
      <w:r w:rsidRPr="006B3A88">
        <w:rPr>
          <w:rFonts w:ascii="Avenir Book" w:hAnsi="Avenir Book" w:cstheme="minorHAnsi"/>
        </w:rPr>
        <w:t xml:space="preserve"> </w:t>
      </w:r>
    </w:p>
  </w:endnote>
  <w:endnote w:id="305">
    <w:p w14:paraId="4EE4117B" w14:textId="77777777" w:rsidR="007651C3" w:rsidRPr="006B3A88" w:rsidRDefault="007651C3" w:rsidP="007651C3">
      <w:pPr>
        <w:pStyle w:val="EndnoteText"/>
        <w:rPr>
          <w:rFonts w:ascii="Avenir Book" w:hAnsi="Avenir Book" w:cstheme="minorHAnsi"/>
        </w:rPr>
      </w:pPr>
      <w:r w:rsidRPr="006B3A88">
        <w:rPr>
          <w:rStyle w:val="EndnoteReference"/>
          <w:rFonts w:ascii="Avenir Book" w:hAnsi="Avenir Book" w:cstheme="minorHAnsi"/>
        </w:rPr>
        <w:endnoteRef/>
      </w:r>
      <w:r w:rsidRPr="006B3A88">
        <w:rPr>
          <w:rFonts w:ascii="Avenir Book" w:hAnsi="Avenir Book" w:cstheme="minorHAnsi"/>
        </w:rPr>
        <w:t xml:space="preserve"> The project reference group consisted of 10 people - 7 consumers and survivor members, 3 family members, carers and supporters. See Simon Katterl, Caroline Lambert, Chris MacBean, Flick Grey, Lorna Downes, Morgan Cataldo, Katrina Clarke, Sharon Williams, ‘</w:t>
      </w:r>
      <w:hyperlink r:id="rId177" w:history="1">
        <w:r w:rsidRPr="006B3A88">
          <w:rPr>
            <w:rStyle w:val="Hyperlink"/>
            <w:rFonts w:ascii="Avenir Book" w:hAnsi="Avenir Book" w:cstheme="minorHAnsi"/>
          </w:rPr>
          <w:t>Not Before Time: Lived experience-led justice and repair – Advice to the Minister for Mental Health on Acknowledging Harm in the Mental Health System</w:t>
        </w:r>
      </w:hyperlink>
      <w:r w:rsidRPr="006B3A88">
        <w:rPr>
          <w:rFonts w:ascii="Avenir Book" w:hAnsi="Avenir Book" w:cstheme="minorHAnsi"/>
        </w:rPr>
        <w:t>’ (2023), p. 7.</w:t>
      </w:r>
    </w:p>
  </w:endnote>
  <w:endnote w:id="306">
    <w:p w14:paraId="1E7F8A0E" w14:textId="77777777" w:rsidR="007651C3" w:rsidRPr="006B3A88" w:rsidRDefault="007651C3" w:rsidP="007651C3">
      <w:pPr>
        <w:pStyle w:val="EndnoteText"/>
        <w:rPr>
          <w:rFonts w:ascii="Avenir Book" w:hAnsi="Avenir Book" w:cstheme="minorHAnsi"/>
        </w:rPr>
      </w:pPr>
      <w:r w:rsidRPr="006B3A88">
        <w:rPr>
          <w:rStyle w:val="EndnoteReference"/>
          <w:rFonts w:ascii="Avenir Book" w:hAnsi="Avenir Book" w:cstheme="minorHAnsi"/>
        </w:rPr>
        <w:endnoteRef/>
      </w:r>
      <w:r w:rsidRPr="006B3A88">
        <w:rPr>
          <w:rFonts w:ascii="Avenir Book" w:hAnsi="Avenir Book" w:cstheme="minorHAnsi"/>
        </w:rPr>
        <w:t xml:space="preserve"> Ibid, pp. 7, 30-50.</w:t>
      </w:r>
    </w:p>
  </w:endnote>
  <w:endnote w:id="307">
    <w:p w14:paraId="1DE003EB" w14:textId="77777777" w:rsidR="007651C3" w:rsidRPr="006B3A88" w:rsidRDefault="007651C3" w:rsidP="007651C3">
      <w:pPr>
        <w:pStyle w:val="EndnoteText"/>
        <w:rPr>
          <w:rFonts w:ascii="Avenir Book" w:hAnsi="Avenir Book" w:cstheme="minorHAnsi"/>
        </w:rPr>
      </w:pPr>
      <w:r w:rsidRPr="006B3A88">
        <w:rPr>
          <w:rStyle w:val="EndnoteReference"/>
          <w:rFonts w:ascii="Avenir Book" w:hAnsi="Avenir Book" w:cstheme="minorHAnsi"/>
        </w:rPr>
        <w:endnoteRef/>
      </w:r>
      <w:r w:rsidRPr="006B3A88">
        <w:rPr>
          <w:rFonts w:ascii="Avenir Book" w:hAnsi="Avenir Book" w:cstheme="minorHAnsi"/>
        </w:rPr>
        <w:t xml:space="preserve"> Ibid, pp. 7, 52.</w:t>
      </w:r>
    </w:p>
  </w:endnote>
  <w:endnote w:id="308">
    <w:p w14:paraId="36031721" w14:textId="77777777" w:rsidR="007651C3" w:rsidRPr="006B3A88" w:rsidRDefault="007651C3" w:rsidP="007651C3">
      <w:pPr>
        <w:pStyle w:val="EndnoteText"/>
        <w:rPr>
          <w:rFonts w:ascii="Avenir Book" w:hAnsi="Avenir Book" w:cstheme="minorHAnsi"/>
        </w:rPr>
      </w:pPr>
      <w:r w:rsidRPr="006B3A88">
        <w:rPr>
          <w:rStyle w:val="EndnoteReference"/>
          <w:rFonts w:ascii="Avenir Book" w:hAnsi="Avenir Book" w:cstheme="minorHAnsi"/>
        </w:rPr>
        <w:endnoteRef/>
      </w:r>
      <w:r w:rsidRPr="006B3A88">
        <w:rPr>
          <w:rFonts w:ascii="Avenir Book" w:hAnsi="Avenir Book" w:cstheme="minorHAnsi"/>
        </w:rPr>
        <w:t xml:space="preserve"> Ibid, pp. 7, 53-61.</w:t>
      </w:r>
    </w:p>
  </w:endnote>
  <w:endnote w:id="309">
    <w:p w14:paraId="2F9B0EC7" w14:textId="77777777" w:rsidR="007651C3" w:rsidRPr="006B3A88" w:rsidRDefault="007651C3" w:rsidP="00C422B6">
      <w:pPr>
        <w:pStyle w:val="EndnoteText"/>
        <w:rPr>
          <w:rFonts w:ascii="Avenir Book" w:hAnsi="Avenir Book" w:cstheme="minorHAnsi"/>
        </w:rPr>
      </w:pPr>
      <w:r w:rsidRPr="006B3A88">
        <w:rPr>
          <w:rStyle w:val="EndnoteReference"/>
          <w:rFonts w:ascii="Avenir Book" w:hAnsi="Avenir Book" w:cstheme="minorHAnsi"/>
        </w:rPr>
        <w:endnoteRef/>
      </w:r>
      <w:r w:rsidRPr="006B3A88">
        <w:rPr>
          <w:rFonts w:ascii="Avenir Book" w:hAnsi="Avenir Book" w:cstheme="minorHAnsi"/>
        </w:rPr>
        <w:t xml:space="preserve"> Dementia Redress Project receives funding support from the Dementia Australia Research Foundation, and comprises a research team working in collaboration with Dementia Alliance International and People with Disability Australia. See Dementia Justice, </w:t>
      </w:r>
      <w:hyperlink r:id="rId178" w:history="1">
        <w:r w:rsidRPr="006B3A88">
          <w:rPr>
            <w:rStyle w:val="Hyperlink"/>
            <w:rFonts w:ascii="Avenir Book" w:hAnsi="Avenir Book" w:cstheme="minorHAnsi"/>
          </w:rPr>
          <w:t>https://www.dementiajustice.org</w:t>
        </w:r>
      </w:hyperlink>
      <w:r w:rsidRPr="006B3A88">
        <w:rPr>
          <w:rFonts w:ascii="Avenir Book" w:hAnsi="Avenir Book" w:cstheme="minorHAnsi"/>
        </w:rPr>
        <w:t xml:space="preserve"> </w:t>
      </w:r>
    </w:p>
  </w:endnote>
  <w:endnote w:id="310">
    <w:p w14:paraId="6A92AE33" w14:textId="77777777" w:rsidR="007651C3" w:rsidRPr="006B3A88" w:rsidRDefault="007651C3" w:rsidP="007651C3">
      <w:pPr>
        <w:pStyle w:val="EndnoteText"/>
        <w:rPr>
          <w:rFonts w:ascii="Avenir Book" w:hAnsi="Avenir Book" w:cstheme="minorHAnsi"/>
        </w:rPr>
      </w:pPr>
      <w:r w:rsidRPr="006B3A88">
        <w:rPr>
          <w:rStyle w:val="EndnoteReference"/>
          <w:rFonts w:ascii="Avenir Book" w:hAnsi="Avenir Book" w:cstheme="minorHAnsi"/>
        </w:rPr>
        <w:endnoteRef/>
      </w:r>
      <w:r w:rsidRPr="006B3A88">
        <w:rPr>
          <w:rFonts w:ascii="Avenir Book" w:hAnsi="Avenir Book" w:cstheme="minorHAnsi"/>
        </w:rPr>
        <w:t xml:space="preserve"> Royal Commission into Aged Care Quality and Safety was conducted from 2018 to 2021. See, </w:t>
      </w:r>
      <w:hyperlink r:id="rId179" w:history="1">
        <w:r w:rsidRPr="006B3A88">
          <w:rPr>
            <w:rStyle w:val="Hyperlink"/>
            <w:rFonts w:ascii="Avenir Book" w:hAnsi="Avenir Book" w:cstheme="minorHAnsi"/>
          </w:rPr>
          <w:t>https://www.royalcommission.gov.au/aged-care</w:t>
        </w:r>
      </w:hyperlink>
      <w:r w:rsidRPr="006B3A88">
        <w:rPr>
          <w:rFonts w:ascii="Avenir Book" w:hAnsi="Avenir Book" w:cstheme="minorHAnsi"/>
        </w:rPr>
        <w:t xml:space="preserve"> </w:t>
      </w:r>
    </w:p>
  </w:endnote>
  <w:endnote w:id="311">
    <w:p w14:paraId="1831C66D" w14:textId="77777777" w:rsidR="007651C3" w:rsidRPr="006B3A88" w:rsidRDefault="007651C3" w:rsidP="007651C3">
      <w:pPr>
        <w:pStyle w:val="EndnoteText"/>
        <w:rPr>
          <w:rFonts w:ascii="Avenir Book" w:hAnsi="Avenir Book" w:cstheme="minorHAnsi"/>
        </w:rPr>
      </w:pPr>
      <w:r w:rsidRPr="006B3A88">
        <w:rPr>
          <w:rStyle w:val="EndnoteReference"/>
          <w:rFonts w:ascii="Avenir Book" w:hAnsi="Avenir Book" w:cstheme="minorHAnsi"/>
        </w:rPr>
        <w:endnoteRef/>
      </w:r>
      <w:r w:rsidRPr="006B3A88">
        <w:rPr>
          <w:rFonts w:ascii="Avenir Book" w:hAnsi="Avenir Book" w:cstheme="minorHAnsi"/>
        </w:rPr>
        <w:t xml:space="preserve"> Linda Steele and Kate Swaffer, ‘</w:t>
      </w:r>
      <w:hyperlink r:id="rId180" w:history="1">
        <w:r w:rsidRPr="006B3A88">
          <w:rPr>
            <w:rStyle w:val="Hyperlink"/>
            <w:rFonts w:ascii="Avenir Book" w:hAnsi="Avenir Book" w:cstheme="minorHAnsi"/>
          </w:rPr>
          <w:t>Reparations for Harm to People Living with Dementia in Residential Aged Care – Dementia Reparations Principles</w:t>
        </w:r>
      </w:hyperlink>
      <w:r w:rsidRPr="006B3A88">
        <w:rPr>
          <w:rFonts w:ascii="Avenir Book" w:hAnsi="Avenir Book" w:cstheme="minorHAnsi"/>
        </w:rPr>
        <w:t xml:space="preserve">’ (University of Technology, Sydney, 2023). </w:t>
      </w:r>
    </w:p>
  </w:endnote>
  <w:endnote w:id="312">
    <w:p w14:paraId="48960CA7" w14:textId="77777777" w:rsidR="007651C3" w:rsidRPr="006B3A88" w:rsidRDefault="007651C3" w:rsidP="007651C3">
      <w:pPr>
        <w:pStyle w:val="EndnoteText"/>
        <w:rPr>
          <w:rFonts w:ascii="Avenir Book" w:hAnsi="Avenir Book" w:cstheme="minorHAnsi"/>
        </w:rPr>
      </w:pPr>
      <w:r w:rsidRPr="006B3A88">
        <w:rPr>
          <w:rStyle w:val="EndnoteReference"/>
          <w:rFonts w:ascii="Avenir Book" w:hAnsi="Avenir Book" w:cstheme="minorHAnsi"/>
        </w:rPr>
        <w:endnoteRef/>
      </w:r>
      <w:r w:rsidRPr="006B3A88">
        <w:rPr>
          <w:rFonts w:ascii="Avenir Book" w:hAnsi="Avenir Book" w:cstheme="minorHAnsi"/>
        </w:rPr>
        <w:t xml:space="preserve"> Linda Steele and Kate Swaffer, ‘</w:t>
      </w:r>
      <w:hyperlink r:id="rId181" w:history="1">
        <w:r w:rsidRPr="006B3A88">
          <w:rPr>
            <w:rStyle w:val="Hyperlink"/>
            <w:rFonts w:ascii="Avenir Book" w:hAnsi="Avenir Book" w:cstheme="minorHAnsi"/>
          </w:rPr>
          <w:t>Reparations for Harm to People Living with Dementia in Residential Aged Care – Project Report</w:t>
        </w:r>
      </w:hyperlink>
      <w:r w:rsidRPr="006B3A88">
        <w:rPr>
          <w:rFonts w:ascii="Avenir Book" w:hAnsi="Avenir Book" w:cstheme="minorHAnsi"/>
        </w:rPr>
        <w:t>’ (University of Technology Sydney, 2023)</w:t>
      </w:r>
    </w:p>
  </w:endnote>
  <w:endnote w:id="313">
    <w:p w14:paraId="5060B24D" w14:textId="020F9B10" w:rsidR="007651C3" w:rsidRPr="006B3A88" w:rsidRDefault="007651C3" w:rsidP="007651C3">
      <w:pPr>
        <w:pStyle w:val="EndnoteText"/>
        <w:rPr>
          <w:rFonts w:ascii="Avenir Book" w:hAnsi="Avenir Book" w:cstheme="minorHAnsi"/>
        </w:rPr>
      </w:pPr>
      <w:r w:rsidRPr="006B3A88">
        <w:rPr>
          <w:rStyle w:val="EndnoteReference"/>
          <w:rFonts w:ascii="Avenir Book" w:hAnsi="Avenir Book" w:cstheme="minorHAnsi"/>
        </w:rPr>
        <w:endnoteRef/>
      </w:r>
      <w:r w:rsidRPr="006B3A88">
        <w:rPr>
          <w:rFonts w:ascii="Avenir Book" w:hAnsi="Avenir Book" w:cstheme="minorHAnsi"/>
        </w:rPr>
        <w:t xml:space="preserve"> Linda Steele and Kate Swaffer, ‘</w:t>
      </w:r>
      <w:hyperlink r:id="rId182" w:history="1">
        <w:r w:rsidRPr="006B3A88">
          <w:rPr>
            <w:rStyle w:val="Hyperlink"/>
            <w:rFonts w:ascii="Avenir Book" w:hAnsi="Avenir Book" w:cstheme="minorHAnsi"/>
          </w:rPr>
          <w:t>Reparations for Harm to People Living with Dementia in Residential Aged Care – Executive Summary</w:t>
        </w:r>
      </w:hyperlink>
      <w:r w:rsidRPr="006B3A88">
        <w:rPr>
          <w:rFonts w:ascii="Avenir Book" w:hAnsi="Avenir Book" w:cstheme="minorHAnsi"/>
        </w:rPr>
        <w:t>’ (University of Technology Sydney, 2023), p.15.</w:t>
      </w:r>
    </w:p>
  </w:endnote>
  <w:endnote w:id="314">
    <w:p w14:paraId="7DCDF08B" w14:textId="77777777" w:rsidR="00204739" w:rsidRPr="006B3A88" w:rsidRDefault="00204739" w:rsidP="00204739">
      <w:pPr>
        <w:pStyle w:val="EndnoteText"/>
        <w:rPr>
          <w:rFonts w:ascii="Avenir Book" w:hAnsi="Avenir Book"/>
        </w:rPr>
      </w:pPr>
      <w:r w:rsidRPr="006B3A88">
        <w:rPr>
          <w:rStyle w:val="EndnoteReference"/>
          <w:rFonts w:ascii="Avenir Book" w:hAnsi="Avenir Book"/>
        </w:rPr>
        <w:endnoteRef/>
      </w:r>
      <w:r w:rsidRPr="006B3A88">
        <w:rPr>
          <w:rFonts w:ascii="Avenir Book" w:hAnsi="Avenir Book"/>
        </w:rPr>
        <w:t xml:space="preserve"> Convention on the Elimination of All Forms of Racial Discrimination 1965 ([1975] ATS 40); International Covenant on Economic, Social and Cultural Rights 1966 ([1976] ATS 5); International Covenant on Civil and Political Rights 1966 ([1980] ATS 23); Convention on the Elimination of All Forms of Discrimination Against Women 1979 ([1983] ATS 9); Convention against Torture and Other Cruel, Inhuman or Degrading Treatment or Punishment 1984 ([1989] ATS 21); Convention on the Rights of the Child 1989 ([1991] ATS 4); Convention on the Rights of Persons with Disabilities 2006 [2008, ATS 12].</w:t>
      </w:r>
    </w:p>
  </w:endnote>
  <w:endnote w:id="315">
    <w:p w14:paraId="2E5E7F9C" w14:textId="744D2AB9" w:rsidR="00204739" w:rsidRPr="006B3A88" w:rsidRDefault="00204739">
      <w:pPr>
        <w:pStyle w:val="EndnoteText"/>
        <w:rPr>
          <w:rFonts w:ascii="Avenir Book" w:hAnsi="Avenir Book"/>
          <w:lang w:val="en-AU"/>
        </w:rPr>
      </w:pPr>
      <w:r w:rsidRPr="006B3A88">
        <w:rPr>
          <w:rStyle w:val="EndnoteReference"/>
          <w:rFonts w:ascii="Avenir Book" w:hAnsi="Avenir Book"/>
        </w:rPr>
        <w:endnoteRef/>
      </w:r>
      <w:r w:rsidRPr="006B3A88">
        <w:rPr>
          <w:rFonts w:ascii="Avenir Book" w:hAnsi="Avenir Book"/>
        </w:rPr>
        <w:t xml:space="preserve"> </w:t>
      </w:r>
      <w:r w:rsidRPr="006B3A88">
        <w:rPr>
          <w:rFonts w:ascii="Avenir Book" w:hAnsi="Avenir Book"/>
          <w:i/>
          <w:iCs/>
          <w:lang w:val="en-AU"/>
        </w:rPr>
        <w:t>United Nations Declaration on the Rights of Indigenous Peoples</w:t>
      </w:r>
      <w:r w:rsidRPr="006B3A88">
        <w:rPr>
          <w:rFonts w:ascii="Avenir Book" w:hAnsi="Avenir Book"/>
          <w:lang w:val="en-AU"/>
        </w:rPr>
        <w:t>, adopted 2 October 2007, UN Doc: A/RES/61/295.</w:t>
      </w:r>
    </w:p>
  </w:endnote>
  <w:endnote w:id="316">
    <w:p w14:paraId="6091FFE7" w14:textId="02BB0B60" w:rsidR="00204739" w:rsidRPr="006B3A88" w:rsidRDefault="00204739" w:rsidP="00204739">
      <w:pPr>
        <w:pStyle w:val="EndnoteText"/>
        <w:rPr>
          <w:rFonts w:ascii="Avenir Book" w:hAnsi="Avenir Book"/>
        </w:rPr>
      </w:pPr>
      <w:r w:rsidRPr="006B3A88">
        <w:rPr>
          <w:rStyle w:val="EndnoteReference"/>
          <w:rFonts w:ascii="Avenir Book" w:hAnsi="Avenir Book"/>
        </w:rPr>
        <w:endnoteRef/>
      </w:r>
      <w:r w:rsidRPr="006B3A88">
        <w:rPr>
          <w:rFonts w:ascii="Avenir Book" w:hAnsi="Avenir Book"/>
        </w:rPr>
        <w:t xml:space="preserve"> Australian Human Rights Commission, ‘</w:t>
      </w:r>
      <w:hyperlink r:id="rId183" w:history="1">
        <w:r w:rsidRPr="006B3A88">
          <w:rPr>
            <w:rStyle w:val="Hyperlink"/>
            <w:rFonts w:ascii="Avenir Book" w:hAnsi="Avenir Book"/>
          </w:rPr>
          <w:t>UN Declaration on the Rights of Indigenous Peoples</w:t>
        </w:r>
      </w:hyperlink>
      <w:r w:rsidRPr="006B3A88">
        <w:rPr>
          <w:rFonts w:ascii="Avenir Book" w:hAnsi="Avenir Book"/>
        </w:rPr>
        <w:t xml:space="preserve">’ (Website information). </w:t>
      </w:r>
    </w:p>
  </w:endnote>
  <w:endnote w:id="317">
    <w:p w14:paraId="6A02F75D" w14:textId="0EAD2951" w:rsidR="00204739" w:rsidRPr="006B3A88" w:rsidRDefault="00204739">
      <w:pPr>
        <w:pStyle w:val="EndnoteText"/>
        <w:rPr>
          <w:rFonts w:ascii="Avenir Book" w:hAnsi="Avenir Book" w:cstheme="minorHAnsi"/>
        </w:rPr>
      </w:pPr>
      <w:r w:rsidRPr="006B3A88">
        <w:rPr>
          <w:rStyle w:val="EndnoteReference"/>
          <w:rFonts w:ascii="Avenir Book" w:hAnsi="Avenir Book"/>
        </w:rPr>
        <w:endnoteRef/>
      </w:r>
      <w:r w:rsidRPr="006B3A88">
        <w:rPr>
          <w:rFonts w:ascii="Avenir Book" w:hAnsi="Avenir Book"/>
        </w:rPr>
        <w:t xml:space="preserve"> </w:t>
      </w:r>
      <w:r w:rsidR="00DE7AF7" w:rsidRPr="006B3A88">
        <w:rPr>
          <w:rFonts w:ascii="Avenir Book" w:hAnsi="Avenir Book" w:cstheme="minorHAnsi"/>
        </w:rPr>
        <w:t>Royal Commission into Violence, Abuse, Neglect and Exploitation of People with Disability, op. cit., (Final Report, Volume 4), September 2023, Commonwealth of Australia, p. 57.</w:t>
      </w:r>
    </w:p>
  </w:endnote>
  <w:endnote w:id="318">
    <w:p w14:paraId="7178659D" w14:textId="66481827" w:rsidR="00DE7AF7" w:rsidRPr="006B3A88" w:rsidRDefault="00DE7AF7">
      <w:pPr>
        <w:pStyle w:val="EndnoteText"/>
        <w:rPr>
          <w:rFonts w:ascii="Avenir Book" w:hAnsi="Avenir Book"/>
          <w:lang w:val="en-AU"/>
        </w:rPr>
      </w:pPr>
      <w:r w:rsidRPr="006B3A88">
        <w:rPr>
          <w:rStyle w:val="EndnoteReference"/>
          <w:rFonts w:ascii="Avenir Book" w:hAnsi="Avenir Book"/>
        </w:rPr>
        <w:endnoteRef/>
      </w:r>
      <w:r w:rsidRPr="006B3A88">
        <w:rPr>
          <w:rFonts w:ascii="Avenir Book" w:hAnsi="Avenir Book"/>
        </w:rPr>
        <w:t xml:space="preserve"> </w:t>
      </w:r>
      <w:r w:rsidRPr="006B3A88">
        <w:rPr>
          <w:rFonts w:ascii="Avenir Book" w:hAnsi="Avenir Book"/>
          <w:lang w:val="en-AU"/>
        </w:rPr>
        <w:t>Australian Human Rights Commission, ‘</w:t>
      </w:r>
      <w:hyperlink r:id="rId184" w:history="1">
        <w:r w:rsidRPr="006B3A88">
          <w:rPr>
            <w:rStyle w:val="Hyperlink"/>
            <w:rFonts w:ascii="Avenir Book" w:hAnsi="Avenir Book"/>
            <w:lang w:val="en-AU"/>
          </w:rPr>
          <w:t>A National Human Rights Act for Australia</w:t>
        </w:r>
      </w:hyperlink>
      <w:r w:rsidRPr="006B3A88">
        <w:rPr>
          <w:rFonts w:ascii="Avenir Book" w:hAnsi="Avenir Book"/>
          <w:lang w:val="en-AU"/>
        </w:rPr>
        <w:t>’ (Website information).</w:t>
      </w:r>
    </w:p>
  </w:endnote>
  <w:endnote w:id="319">
    <w:p w14:paraId="1EBE44C1" w14:textId="6D9C5D2E" w:rsidR="00DE7AF7" w:rsidRPr="006B3A88" w:rsidRDefault="00DE7AF7">
      <w:pPr>
        <w:pStyle w:val="EndnoteText"/>
        <w:rPr>
          <w:rFonts w:ascii="Avenir Book" w:hAnsi="Avenir Book"/>
          <w:lang w:val="en-AU"/>
        </w:rPr>
      </w:pPr>
      <w:r w:rsidRPr="006B3A88">
        <w:rPr>
          <w:rStyle w:val="EndnoteReference"/>
          <w:rFonts w:ascii="Avenir Book" w:hAnsi="Avenir Book"/>
        </w:rPr>
        <w:endnoteRef/>
      </w:r>
      <w:r w:rsidRPr="006B3A88">
        <w:rPr>
          <w:rFonts w:ascii="Avenir Book" w:hAnsi="Avenir Book"/>
        </w:rPr>
        <w:t xml:space="preserve"> </w:t>
      </w:r>
      <w:r w:rsidRPr="006B3A88">
        <w:rPr>
          <w:rFonts w:ascii="Avenir Book" w:hAnsi="Avenir Book"/>
          <w:lang w:val="en-AU"/>
        </w:rPr>
        <w:t xml:space="preserve">Such as the enactment of the </w:t>
      </w:r>
      <w:r w:rsidRPr="006B3A88">
        <w:rPr>
          <w:rFonts w:ascii="Avenir Book" w:hAnsi="Avenir Book"/>
          <w:i/>
          <w:iCs/>
          <w:lang w:val="en-AU"/>
        </w:rPr>
        <w:t>Disability Discrimination Act 1992</w:t>
      </w:r>
      <w:r w:rsidRPr="006B3A88">
        <w:rPr>
          <w:rFonts w:ascii="Avenir Book" w:hAnsi="Avenir Book"/>
          <w:lang w:val="en-AU"/>
        </w:rPr>
        <w:t xml:space="preserve"> (Cth), Australia’s Disability Strateg. and the National Disability Insurance Scheme (NDIS).</w:t>
      </w:r>
    </w:p>
  </w:endnote>
  <w:endnote w:id="320">
    <w:p w14:paraId="3FFCA2D2" w14:textId="3D729991" w:rsidR="00DE7AF7" w:rsidRPr="006B3A88" w:rsidRDefault="00DE7AF7">
      <w:pPr>
        <w:pStyle w:val="EndnoteText"/>
        <w:rPr>
          <w:rFonts w:ascii="Avenir Book" w:hAnsi="Avenir Book" w:cstheme="minorHAnsi"/>
        </w:rPr>
      </w:pPr>
      <w:r w:rsidRPr="006B3A88">
        <w:rPr>
          <w:rStyle w:val="EndnoteReference"/>
          <w:rFonts w:ascii="Avenir Book" w:hAnsi="Avenir Book"/>
        </w:rPr>
        <w:endnoteRef/>
      </w:r>
      <w:r w:rsidRPr="006B3A88">
        <w:rPr>
          <w:rFonts w:ascii="Avenir Book" w:hAnsi="Avenir Book"/>
        </w:rPr>
        <w:t xml:space="preserve"> </w:t>
      </w:r>
      <w:r w:rsidRPr="006B3A88">
        <w:rPr>
          <w:rFonts w:ascii="Avenir Book" w:hAnsi="Avenir Book" w:cstheme="minorHAnsi"/>
        </w:rPr>
        <w:t>Royal Commission into Violence, Abuse, Neglect and Exploitation of People with Disability, op. cit., (Final Report, Volume 4), September 2023, Commonwealth of Australia, p. 5.</w:t>
      </w:r>
    </w:p>
  </w:endnote>
  <w:endnote w:id="321">
    <w:p w14:paraId="3A2C5229" w14:textId="22924867" w:rsidR="00DE7AF7" w:rsidRPr="006B3A88" w:rsidRDefault="00DE7AF7">
      <w:pPr>
        <w:pStyle w:val="EndnoteText"/>
        <w:rPr>
          <w:rFonts w:ascii="Avenir Book" w:hAnsi="Avenir Book"/>
          <w:lang w:val="en-AU"/>
        </w:rPr>
      </w:pPr>
      <w:r w:rsidRPr="006B3A88">
        <w:rPr>
          <w:rStyle w:val="EndnoteReference"/>
          <w:rFonts w:ascii="Avenir Book" w:hAnsi="Avenir Book"/>
        </w:rPr>
        <w:endnoteRef/>
      </w:r>
      <w:r w:rsidRPr="006B3A88">
        <w:rPr>
          <w:rFonts w:ascii="Avenir Book" w:hAnsi="Avenir Book"/>
        </w:rPr>
        <w:t xml:space="preserve"> </w:t>
      </w:r>
      <w:r w:rsidRPr="006B3A88">
        <w:rPr>
          <w:rFonts w:ascii="Avenir Book" w:hAnsi="Avenir Book"/>
          <w:lang w:val="en-AU"/>
        </w:rPr>
        <w:t>Ibid, p. 161.</w:t>
      </w:r>
    </w:p>
  </w:endnote>
  <w:endnote w:id="322">
    <w:p w14:paraId="1BE8E558" w14:textId="12DE12A6" w:rsidR="00CB0369" w:rsidRPr="006B3A88" w:rsidRDefault="00CB0369">
      <w:pPr>
        <w:pStyle w:val="EndnoteText"/>
        <w:rPr>
          <w:rFonts w:ascii="Avenir Book" w:hAnsi="Avenir Book"/>
          <w:lang w:val="en-AU"/>
        </w:rPr>
      </w:pPr>
      <w:r w:rsidRPr="006B3A88">
        <w:rPr>
          <w:rStyle w:val="EndnoteReference"/>
          <w:rFonts w:ascii="Avenir Book" w:hAnsi="Avenir Book"/>
        </w:rPr>
        <w:endnoteRef/>
      </w:r>
      <w:r w:rsidRPr="006B3A88">
        <w:rPr>
          <w:rFonts w:ascii="Avenir Book" w:hAnsi="Avenir Book"/>
        </w:rPr>
        <w:t xml:space="preserve"> </w:t>
      </w:r>
      <w:r w:rsidRPr="006B3A88">
        <w:rPr>
          <w:rFonts w:ascii="Avenir Book" w:hAnsi="Avenir Book"/>
          <w:lang w:val="en-AU"/>
        </w:rPr>
        <w:t xml:space="preserve">See e.g., </w:t>
      </w:r>
      <w:r w:rsidRPr="006B3A88">
        <w:rPr>
          <w:rFonts w:ascii="Avenir Book" w:hAnsi="Avenir Book" w:cstheme="minorHAnsi"/>
        </w:rPr>
        <w:t xml:space="preserve">Australian Disabled People’s Organisations (DPOs), Disability Representative Organisations (DROs) and Disability Advocacy Organisations, ‘Disability Rights Now 2019 - Australian Civil Society Shadow Report to the United Nations Committee on the Rights of Persons with Disabilities: UN CRPD Review 2019’, July 2019, p. 15.  </w:t>
      </w:r>
    </w:p>
  </w:endnote>
  <w:endnote w:id="323">
    <w:p w14:paraId="44F43556" w14:textId="7550E0BD" w:rsidR="00CB0369" w:rsidRPr="006B3A88" w:rsidRDefault="00CB0369">
      <w:pPr>
        <w:pStyle w:val="EndnoteText"/>
        <w:rPr>
          <w:rFonts w:ascii="Avenir Book" w:hAnsi="Avenir Book"/>
          <w:lang w:val="en-AU"/>
        </w:rPr>
      </w:pPr>
      <w:r w:rsidRPr="006B3A88">
        <w:rPr>
          <w:rStyle w:val="EndnoteReference"/>
          <w:rFonts w:ascii="Avenir Book" w:hAnsi="Avenir Book"/>
        </w:rPr>
        <w:endnoteRef/>
      </w:r>
      <w:r w:rsidRPr="006B3A88">
        <w:rPr>
          <w:rFonts w:ascii="Avenir Book" w:hAnsi="Avenir Book"/>
        </w:rPr>
        <w:t xml:space="preserve"> </w:t>
      </w:r>
      <w:r w:rsidRPr="006B3A88">
        <w:rPr>
          <w:rFonts w:ascii="Avenir Book" w:hAnsi="Avenir Book"/>
          <w:lang w:val="en-AU"/>
        </w:rPr>
        <w:t>Parliamentary Joint Committee on Human Rights, ‘</w:t>
      </w:r>
      <w:hyperlink r:id="rId185" w:history="1">
        <w:r w:rsidRPr="006B3A88">
          <w:rPr>
            <w:rStyle w:val="Hyperlink"/>
            <w:rFonts w:ascii="Avenir Book" w:hAnsi="Avenir Book"/>
            <w:lang w:val="en-AU"/>
          </w:rPr>
          <w:t>Inquiry into Australia’s Human Rights Framework</w:t>
        </w:r>
      </w:hyperlink>
      <w:r w:rsidRPr="006B3A88">
        <w:rPr>
          <w:rFonts w:ascii="Avenir Book" w:hAnsi="Avenir Book"/>
          <w:lang w:val="en-AU"/>
        </w:rPr>
        <w:t>’ (Website information).</w:t>
      </w:r>
    </w:p>
  </w:endnote>
  <w:endnote w:id="324">
    <w:p w14:paraId="5D3B5C58" w14:textId="1F369396" w:rsidR="006130F5" w:rsidRPr="006B3A88" w:rsidRDefault="006130F5">
      <w:pPr>
        <w:pStyle w:val="EndnoteText"/>
        <w:rPr>
          <w:rFonts w:ascii="Avenir Book" w:hAnsi="Avenir Book"/>
          <w:lang w:val="en-AU"/>
        </w:rPr>
      </w:pPr>
      <w:r w:rsidRPr="006B3A88">
        <w:rPr>
          <w:rStyle w:val="EndnoteReference"/>
          <w:rFonts w:ascii="Avenir Book" w:hAnsi="Avenir Book"/>
        </w:rPr>
        <w:endnoteRef/>
      </w:r>
      <w:r w:rsidRPr="006B3A88">
        <w:rPr>
          <w:rFonts w:ascii="Avenir Book" w:hAnsi="Avenir Book"/>
        </w:rPr>
        <w:t xml:space="preserve"> </w:t>
      </w:r>
      <w:r w:rsidRPr="006B3A88">
        <w:rPr>
          <w:rFonts w:ascii="Avenir Book" w:hAnsi="Avenir Book"/>
          <w:lang w:val="en-AU"/>
        </w:rPr>
        <w:t xml:space="preserve">See e.g., submissions by Queensland Advocacy Inc, DeafBlind Australia, Consumers of Mental Health WA Inc, National Mental Health Consumer and Carer Forum, </w:t>
      </w:r>
      <w:hyperlink r:id="rId186" w:history="1">
        <w:r w:rsidRPr="006B3A88">
          <w:rPr>
            <w:rStyle w:val="Hyperlink"/>
            <w:rFonts w:ascii="Avenir Book" w:hAnsi="Avenir Book"/>
            <w:lang w:val="en-AU"/>
          </w:rPr>
          <w:t>https://www.aph.gov.au/Parliamentary_Business/Committees/Joint/Human_Rights/HumanRightsFramework/Submissions</w:t>
        </w:r>
      </w:hyperlink>
      <w:r w:rsidRPr="006B3A88">
        <w:rPr>
          <w:rFonts w:ascii="Avenir Book" w:hAnsi="Avenir Book"/>
          <w:lang w:val="en-AU"/>
        </w:rPr>
        <w:t xml:space="preserve">  </w:t>
      </w:r>
    </w:p>
  </w:endnote>
  <w:endnote w:id="325">
    <w:p w14:paraId="14B61C85" w14:textId="7699C065" w:rsidR="00CB0369" w:rsidRPr="006B3A88" w:rsidRDefault="00CB0369">
      <w:pPr>
        <w:pStyle w:val="EndnoteText"/>
        <w:rPr>
          <w:rFonts w:ascii="Avenir Book" w:hAnsi="Avenir Book"/>
          <w:lang w:val="en-AU"/>
        </w:rPr>
      </w:pPr>
      <w:r w:rsidRPr="006B3A88">
        <w:rPr>
          <w:rStyle w:val="EndnoteReference"/>
          <w:rFonts w:ascii="Avenir Book" w:hAnsi="Avenir Book"/>
        </w:rPr>
        <w:endnoteRef/>
      </w:r>
      <w:r w:rsidRPr="006B3A88">
        <w:rPr>
          <w:rFonts w:ascii="Avenir Book" w:hAnsi="Avenir Book"/>
        </w:rPr>
        <w:t xml:space="preserve"> </w:t>
      </w:r>
      <w:r w:rsidRPr="006B3A88">
        <w:rPr>
          <w:rFonts w:ascii="Avenir Book" w:hAnsi="Avenir Book"/>
          <w:lang w:val="en-AU"/>
        </w:rPr>
        <w:t>Australian Human Rights Commission, ‘</w:t>
      </w:r>
      <w:hyperlink r:id="rId187" w:history="1">
        <w:r w:rsidRPr="006B3A88">
          <w:rPr>
            <w:rStyle w:val="Hyperlink"/>
            <w:rFonts w:ascii="Avenir Book" w:hAnsi="Avenir Book"/>
            <w:lang w:val="en-AU"/>
          </w:rPr>
          <w:t>Free and Equal: An Australian conversation on human rights</w:t>
        </w:r>
      </w:hyperlink>
      <w:r w:rsidRPr="006B3A88">
        <w:rPr>
          <w:rFonts w:ascii="Avenir Book" w:hAnsi="Avenir Book"/>
          <w:lang w:val="en-AU"/>
        </w:rPr>
        <w:t xml:space="preserve">’ (Website information). </w:t>
      </w:r>
    </w:p>
  </w:endnote>
  <w:endnote w:id="326">
    <w:p w14:paraId="5C043BB0" w14:textId="5D7CF582" w:rsidR="00E0233E" w:rsidRPr="006B3A88" w:rsidRDefault="00E0233E">
      <w:pPr>
        <w:pStyle w:val="EndnoteText"/>
        <w:rPr>
          <w:rFonts w:ascii="Avenir Book" w:hAnsi="Avenir Book"/>
          <w:lang w:val="en-AU"/>
        </w:rPr>
      </w:pPr>
      <w:r w:rsidRPr="006B3A88">
        <w:rPr>
          <w:rStyle w:val="EndnoteReference"/>
          <w:rFonts w:ascii="Avenir Book" w:hAnsi="Avenir Book"/>
        </w:rPr>
        <w:endnoteRef/>
      </w:r>
      <w:r w:rsidRPr="006B3A88">
        <w:rPr>
          <w:rFonts w:ascii="Avenir Book" w:hAnsi="Avenir Book"/>
        </w:rPr>
        <w:t xml:space="preserve"> See e.g., </w:t>
      </w:r>
      <w:r w:rsidRPr="006B3A88">
        <w:rPr>
          <w:rFonts w:ascii="Avenir Book" w:hAnsi="Avenir Book" w:cstheme="minorHAnsi"/>
        </w:rPr>
        <w:t>Royal Commission into Violence, Abuse, Neglect and Exploitation of People with Disability, op. cit., (Final Report, Volume 4), September 2023, Commonwealth of Australia, pp. 54-55.</w:t>
      </w:r>
    </w:p>
  </w:endnote>
  <w:endnote w:id="327">
    <w:p w14:paraId="0B8386C6" w14:textId="7603A961" w:rsidR="00E0233E" w:rsidRPr="006B3A88" w:rsidRDefault="00E0233E">
      <w:pPr>
        <w:pStyle w:val="EndnoteText"/>
        <w:rPr>
          <w:rFonts w:ascii="Avenir Book" w:hAnsi="Avenir Book"/>
          <w:lang w:val="en-AU"/>
        </w:rPr>
      </w:pPr>
      <w:r w:rsidRPr="006B3A88">
        <w:rPr>
          <w:rStyle w:val="EndnoteReference"/>
          <w:rFonts w:ascii="Avenir Book" w:hAnsi="Avenir Book"/>
        </w:rPr>
        <w:endnoteRef/>
      </w:r>
      <w:r w:rsidRPr="006B3A88">
        <w:rPr>
          <w:rFonts w:ascii="Avenir Book" w:hAnsi="Avenir Book"/>
        </w:rPr>
        <w:t xml:space="preserve"> </w:t>
      </w:r>
      <w:r w:rsidRPr="006B3A88">
        <w:rPr>
          <w:rFonts w:ascii="Avenir Book" w:hAnsi="Avenir Book"/>
          <w:lang w:val="en-AU"/>
        </w:rPr>
        <w:t>Recommendation 4.16.</w:t>
      </w:r>
    </w:p>
  </w:endnote>
  <w:endnote w:id="328">
    <w:p w14:paraId="2530AF54" w14:textId="52B1549F" w:rsidR="00E0233E" w:rsidRPr="006B3A88" w:rsidRDefault="00E0233E">
      <w:pPr>
        <w:pStyle w:val="EndnoteText"/>
        <w:rPr>
          <w:rFonts w:ascii="Avenir Book" w:hAnsi="Avenir Book"/>
          <w:lang w:val="en-AU"/>
        </w:rPr>
      </w:pPr>
      <w:r w:rsidRPr="006B3A88">
        <w:rPr>
          <w:rStyle w:val="EndnoteReference"/>
          <w:rFonts w:ascii="Avenir Book" w:hAnsi="Avenir Book"/>
        </w:rPr>
        <w:endnoteRef/>
      </w:r>
      <w:r w:rsidRPr="006B3A88">
        <w:rPr>
          <w:rFonts w:ascii="Avenir Book" w:hAnsi="Avenir Book"/>
        </w:rPr>
        <w:t xml:space="preserve"> </w:t>
      </w:r>
      <w:r w:rsidR="00CF7926" w:rsidRPr="006B3A88">
        <w:rPr>
          <w:rFonts w:ascii="Avenir Book" w:hAnsi="Avenir Book"/>
          <w:lang w:val="en-AU"/>
        </w:rPr>
        <w:t>Australian Human Rights Commission, ‘</w:t>
      </w:r>
      <w:hyperlink r:id="rId188" w:history="1">
        <w:r w:rsidR="00CF7926" w:rsidRPr="006B3A88">
          <w:rPr>
            <w:rStyle w:val="Hyperlink"/>
            <w:rFonts w:ascii="Avenir Book" w:hAnsi="Avenir Book"/>
            <w:lang w:val="en-AU"/>
          </w:rPr>
          <w:t>Free &amp; Equal – Position paper: A Human Rights Act for Australia</w:t>
        </w:r>
      </w:hyperlink>
      <w:r w:rsidR="00CF7926" w:rsidRPr="006B3A88">
        <w:rPr>
          <w:rFonts w:ascii="Avenir Book" w:hAnsi="Avenir Book"/>
          <w:lang w:val="en-AU"/>
        </w:rPr>
        <w:t>’ (2022) p.114</w:t>
      </w:r>
    </w:p>
  </w:endnote>
  <w:endnote w:id="329">
    <w:p w14:paraId="3C5401A3" w14:textId="565E5314" w:rsidR="00CF7926" w:rsidRPr="006B3A88" w:rsidRDefault="00CF7926">
      <w:pPr>
        <w:pStyle w:val="EndnoteText"/>
        <w:rPr>
          <w:rFonts w:ascii="Avenir Book" w:hAnsi="Avenir Book"/>
          <w:lang w:val="en-AU"/>
        </w:rPr>
      </w:pPr>
      <w:r w:rsidRPr="006B3A88">
        <w:rPr>
          <w:rStyle w:val="EndnoteReference"/>
          <w:rFonts w:ascii="Avenir Book" w:hAnsi="Avenir Book"/>
        </w:rPr>
        <w:endnoteRef/>
      </w:r>
      <w:r w:rsidRPr="006B3A88">
        <w:rPr>
          <w:rFonts w:ascii="Avenir Book" w:hAnsi="Avenir Book"/>
        </w:rPr>
        <w:t xml:space="preserve"> </w:t>
      </w:r>
      <w:r w:rsidRPr="006B3A88">
        <w:rPr>
          <w:rFonts w:ascii="Avenir Book" w:hAnsi="Avenir Book" w:cstheme="minorHAnsi"/>
        </w:rPr>
        <w:t>Royal Commission into Violence, Abuse, Neglect and Exploitation of People with Disability, op. cit., (Final Report, Volume 4), September 2023, Commonwealth of Australia, p. 20.</w:t>
      </w:r>
    </w:p>
  </w:endnote>
  <w:endnote w:id="330">
    <w:p w14:paraId="093E0D92" w14:textId="485BB371" w:rsidR="00CF7926" w:rsidRPr="006B3A88" w:rsidRDefault="00CF7926">
      <w:pPr>
        <w:pStyle w:val="EndnoteText"/>
        <w:rPr>
          <w:rFonts w:ascii="Avenir Book" w:hAnsi="Avenir Book"/>
          <w:lang w:val="en-AU"/>
        </w:rPr>
      </w:pPr>
      <w:r w:rsidRPr="006B3A88">
        <w:rPr>
          <w:rStyle w:val="EndnoteReference"/>
          <w:rFonts w:ascii="Avenir Book" w:hAnsi="Avenir Book"/>
        </w:rPr>
        <w:endnoteRef/>
      </w:r>
      <w:r w:rsidRPr="006B3A88">
        <w:rPr>
          <w:rFonts w:ascii="Avenir Book" w:hAnsi="Avenir Book"/>
        </w:rPr>
        <w:t xml:space="preserve"> </w:t>
      </w:r>
      <w:r w:rsidRPr="006B3A88">
        <w:rPr>
          <w:rFonts w:ascii="Avenir Book" w:hAnsi="Avenir Book"/>
          <w:lang w:val="en-AU"/>
        </w:rPr>
        <w:t>CRPD article 14.</w:t>
      </w:r>
    </w:p>
  </w:endnote>
  <w:endnote w:id="331">
    <w:p w14:paraId="0E8F00F9" w14:textId="23FC2B74" w:rsidR="005F5A33" w:rsidRPr="005F5A33" w:rsidRDefault="005F5A33">
      <w:pPr>
        <w:pStyle w:val="EndnoteText"/>
        <w:rPr>
          <w:rFonts w:ascii="Avenir Book" w:hAnsi="Avenir Book"/>
          <w:lang w:val="en-AU"/>
        </w:rPr>
      </w:pPr>
      <w:r w:rsidRPr="006B3A88">
        <w:rPr>
          <w:rStyle w:val="EndnoteReference"/>
          <w:rFonts w:ascii="Avenir Book" w:hAnsi="Avenir Book"/>
        </w:rPr>
        <w:endnoteRef/>
      </w:r>
      <w:r w:rsidRPr="006B3A88">
        <w:rPr>
          <w:rFonts w:ascii="Avenir Book" w:hAnsi="Avenir Book"/>
        </w:rPr>
        <w:t xml:space="preserve"> </w:t>
      </w:r>
      <w:r w:rsidRPr="006B3A88">
        <w:rPr>
          <w:rFonts w:ascii="Avenir Book" w:hAnsi="Avenir Book"/>
          <w:lang w:val="en-AU"/>
        </w:rPr>
        <w:t>Global Alliance of National Human Rights Institutions (GANHRI), ‘</w:t>
      </w:r>
      <w:hyperlink r:id="rId189" w:history="1">
        <w:r w:rsidRPr="006B3A88">
          <w:rPr>
            <w:rStyle w:val="Hyperlink"/>
            <w:rFonts w:ascii="Avenir Book" w:hAnsi="Avenir Book"/>
            <w:lang w:val="en-AU"/>
          </w:rPr>
          <w:t>Accreditation</w:t>
        </w:r>
      </w:hyperlink>
      <w:r w:rsidRPr="00437C78">
        <w:rPr>
          <w:rFonts w:ascii="Avenir Book" w:hAnsi="Avenir Book"/>
          <w:lang w:val="en-AU"/>
        </w:rPr>
        <w:t>’ (Website information).</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venir Book">
    <w:panose1 w:val="02000503020000020003"/>
    <w:charset w:val="00"/>
    <w:family w:val="auto"/>
    <w:pitch w:val="variable"/>
    <w:sig w:usb0="800000AF" w:usb1="5000204A" w:usb2="00000000" w:usb3="00000000" w:csb0="0000009B" w:csb1="00000000"/>
  </w:font>
  <w:font w:name="Calibri">
    <w:panose1 w:val="020F0502020204030204"/>
    <w:charset w:val="00"/>
    <w:family w:val="swiss"/>
    <w:pitch w:val="variable"/>
    <w:sig w:usb0="E4002EFF" w:usb1="C0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DINOT-Regular">
    <w:altName w:val="Calibri"/>
    <w:panose1 w:val="020B0604020202020204"/>
    <w:charset w:val="4D"/>
    <w:family w:val="swiss"/>
    <w:pitch w:val="default"/>
    <w:sig w:usb0="00000003" w:usb1="00000000" w:usb2="00000000" w:usb3="00000000" w:csb0="00000001" w:csb1="00000000"/>
  </w:font>
  <w:font w:name="Caecilia LT Pro 55 Roman">
    <w:altName w:val="Times New Roman"/>
    <w:panose1 w:val="020B0604020202020204"/>
    <w:charset w:val="00"/>
    <w:family w:val="roman"/>
    <w:pitch w:val="variable"/>
    <w:sig w:usb0="800000AF" w:usb1="5000204A" w:usb2="00000000" w:usb3="00000000" w:csb0="0000009B"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Calibri" w:hAnsi="Calibri" w:cs="Calibri"/>
        <w:b/>
        <w:color w:val="17365D"/>
        <w:sz w:val="18"/>
        <w:szCs w:val="18"/>
      </w:rPr>
      <w:id w:val="-104576745"/>
      <w:docPartObj>
        <w:docPartGallery w:val="Page Numbers (Bottom of Page)"/>
        <w:docPartUnique/>
      </w:docPartObj>
    </w:sdtPr>
    <w:sdtContent>
      <w:p w14:paraId="0FAA34AE" w14:textId="7B672234" w:rsidR="00640BE6" w:rsidRPr="00A16838" w:rsidRDefault="00640BE6" w:rsidP="003F6CBF">
        <w:pPr>
          <w:pStyle w:val="Footer"/>
          <w:framePr w:wrap="none" w:vAnchor="text" w:hAnchor="margin" w:xAlign="right" w:y="1"/>
          <w:rPr>
            <w:rStyle w:val="PageNumber"/>
            <w:rFonts w:ascii="Calibri" w:hAnsi="Calibri" w:cs="Calibri"/>
            <w:b/>
            <w:color w:val="17365D"/>
            <w:sz w:val="18"/>
            <w:szCs w:val="18"/>
          </w:rPr>
        </w:pPr>
        <w:r w:rsidRPr="00A16838">
          <w:rPr>
            <w:rStyle w:val="PageNumber"/>
            <w:rFonts w:ascii="Calibri" w:hAnsi="Calibri" w:cs="Calibri"/>
            <w:b/>
            <w:color w:val="17365D"/>
            <w:sz w:val="18"/>
            <w:szCs w:val="18"/>
          </w:rPr>
          <w:fldChar w:fldCharType="begin"/>
        </w:r>
        <w:r w:rsidRPr="00A16838">
          <w:rPr>
            <w:rStyle w:val="PageNumber"/>
            <w:rFonts w:ascii="Calibri" w:hAnsi="Calibri" w:cs="Calibri"/>
            <w:b/>
            <w:color w:val="17365D"/>
            <w:sz w:val="18"/>
            <w:szCs w:val="18"/>
          </w:rPr>
          <w:instrText xml:space="preserve"> PAGE </w:instrText>
        </w:r>
        <w:r w:rsidRPr="00A16838">
          <w:rPr>
            <w:rStyle w:val="PageNumber"/>
            <w:rFonts w:ascii="Calibri" w:hAnsi="Calibri" w:cs="Calibri"/>
            <w:b/>
            <w:color w:val="17365D"/>
            <w:sz w:val="18"/>
            <w:szCs w:val="18"/>
          </w:rPr>
          <w:fldChar w:fldCharType="separate"/>
        </w:r>
        <w:r w:rsidRPr="00A16838">
          <w:rPr>
            <w:rStyle w:val="PageNumber"/>
            <w:rFonts w:ascii="Calibri" w:hAnsi="Calibri" w:cs="Calibri"/>
            <w:b/>
            <w:noProof/>
            <w:color w:val="17365D"/>
            <w:sz w:val="18"/>
            <w:szCs w:val="18"/>
          </w:rPr>
          <w:t>2</w:t>
        </w:r>
        <w:r w:rsidRPr="00A16838">
          <w:rPr>
            <w:rStyle w:val="PageNumber"/>
            <w:rFonts w:ascii="Calibri" w:hAnsi="Calibri" w:cs="Calibri"/>
            <w:b/>
            <w:color w:val="17365D"/>
            <w:sz w:val="18"/>
            <w:szCs w:val="18"/>
          </w:rPr>
          <w:fldChar w:fldCharType="end"/>
        </w:r>
      </w:p>
    </w:sdtContent>
  </w:sdt>
  <w:p w14:paraId="3F7CDC1D" w14:textId="77777777" w:rsidR="00640BE6" w:rsidRPr="00E475FD" w:rsidRDefault="00640BE6">
    <w:pPr>
      <w:rPr>
        <w:rFonts w:ascii="Avenir Book" w:hAnsi="Avenir Book" w:cs="Calibri"/>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Calibri" w:hAnsi="Calibri" w:cs="Calibri"/>
        <w:b/>
        <w:color w:val="17365D"/>
        <w:sz w:val="18"/>
        <w:szCs w:val="18"/>
      </w:rPr>
      <w:id w:val="1371108195"/>
      <w:docPartObj>
        <w:docPartGallery w:val="Page Numbers (Bottom of Page)"/>
        <w:docPartUnique/>
      </w:docPartObj>
    </w:sdtPr>
    <w:sdtContent>
      <w:p w14:paraId="70F88CB6" w14:textId="77777777" w:rsidR="00640BE6" w:rsidRPr="00A16838" w:rsidRDefault="00640BE6" w:rsidP="0076777E">
        <w:pPr>
          <w:pStyle w:val="Footer"/>
          <w:framePr w:wrap="none" w:vAnchor="text" w:hAnchor="margin" w:xAlign="right" w:y="1"/>
          <w:rPr>
            <w:rStyle w:val="PageNumber"/>
            <w:rFonts w:ascii="Calibri" w:hAnsi="Calibri" w:cs="Calibri"/>
            <w:b/>
            <w:color w:val="17365D"/>
            <w:sz w:val="18"/>
            <w:szCs w:val="18"/>
          </w:rPr>
        </w:pPr>
        <w:r w:rsidRPr="00A16838">
          <w:rPr>
            <w:rStyle w:val="PageNumber"/>
            <w:rFonts w:ascii="Calibri" w:hAnsi="Calibri" w:cs="Calibri"/>
            <w:b/>
            <w:color w:val="17365D"/>
            <w:sz w:val="18"/>
            <w:szCs w:val="18"/>
          </w:rPr>
          <w:fldChar w:fldCharType="begin"/>
        </w:r>
        <w:r w:rsidRPr="00A16838">
          <w:rPr>
            <w:rStyle w:val="PageNumber"/>
            <w:rFonts w:ascii="Calibri" w:hAnsi="Calibri" w:cs="Calibri"/>
            <w:b/>
            <w:color w:val="17365D"/>
            <w:sz w:val="18"/>
            <w:szCs w:val="18"/>
          </w:rPr>
          <w:instrText xml:space="preserve"> PAGE </w:instrText>
        </w:r>
        <w:r w:rsidRPr="00A16838">
          <w:rPr>
            <w:rStyle w:val="PageNumber"/>
            <w:rFonts w:ascii="Calibri" w:hAnsi="Calibri" w:cs="Calibri"/>
            <w:b/>
            <w:color w:val="17365D"/>
            <w:sz w:val="18"/>
            <w:szCs w:val="18"/>
          </w:rPr>
          <w:fldChar w:fldCharType="separate"/>
        </w:r>
        <w:r w:rsidRPr="00A16838">
          <w:rPr>
            <w:rStyle w:val="PageNumber"/>
            <w:rFonts w:ascii="Calibri" w:hAnsi="Calibri" w:cs="Calibri"/>
            <w:b/>
            <w:noProof/>
            <w:color w:val="17365D"/>
            <w:sz w:val="18"/>
            <w:szCs w:val="18"/>
          </w:rPr>
          <w:t>2</w:t>
        </w:r>
        <w:r w:rsidRPr="00A16838">
          <w:rPr>
            <w:rStyle w:val="PageNumber"/>
            <w:rFonts w:ascii="Calibri" w:hAnsi="Calibri" w:cs="Calibri"/>
            <w:b/>
            <w:color w:val="17365D"/>
            <w:sz w:val="18"/>
            <w:szCs w:val="18"/>
          </w:rPr>
          <w:fldChar w:fldCharType="end"/>
        </w:r>
      </w:p>
    </w:sdtContent>
  </w:sdt>
  <w:p w14:paraId="4F7943DC" w14:textId="77777777" w:rsidR="00640BE6" w:rsidRPr="005E0673" w:rsidRDefault="00640BE6">
    <w:pPr>
      <w:rPr>
        <w:rFonts w:ascii="Avenir Book" w:hAnsi="Avenir Book" w:cs="Calibri"/>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EE3525" w14:textId="77777777" w:rsidR="00C1594A" w:rsidRDefault="00C1594A" w:rsidP="006811B8">
      <w:r>
        <w:separator/>
      </w:r>
    </w:p>
    <w:p w14:paraId="6B79933F" w14:textId="77777777" w:rsidR="00C1594A" w:rsidRDefault="00C1594A"/>
  </w:footnote>
  <w:footnote w:type="continuationSeparator" w:id="0">
    <w:p w14:paraId="15F6332E" w14:textId="77777777" w:rsidR="00C1594A" w:rsidRDefault="00C1594A" w:rsidP="006811B8">
      <w:r>
        <w:continuationSeparator/>
      </w:r>
    </w:p>
    <w:p w14:paraId="21162782" w14:textId="77777777" w:rsidR="00C1594A" w:rsidRDefault="00C1594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2D4CBB"/>
    <w:multiLevelType w:val="hybridMultilevel"/>
    <w:tmpl w:val="BD0E60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6E6B17"/>
    <w:multiLevelType w:val="multilevel"/>
    <w:tmpl w:val="2EBAF794"/>
    <w:lvl w:ilvl="0">
      <w:start w:val="1"/>
      <w:numFmt w:val="bullet"/>
      <w:lvlText w:val=""/>
      <w:lvlJc w:val="left"/>
      <w:pPr>
        <w:ind w:left="644" w:hanging="360"/>
      </w:pPr>
      <w:rPr>
        <w:rFonts w:ascii="Symbol" w:hAnsi="Symbol" w:hint="default"/>
        <w:sz w:val="28"/>
        <w:szCs w:val="28"/>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8FC402E"/>
    <w:multiLevelType w:val="multilevel"/>
    <w:tmpl w:val="89225A5E"/>
    <w:lvl w:ilvl="0">
      <w:start w:val="1"/>
      <w:numFmt w:val="decimal"/>
      <w:pStyle w:val="HRLCHeading1"/>
      <w:lvlText w:val="%1."/>
      <w:lvlJc w:val="left"/>
      <w:pPr>
        <w:tabs>
          <w:tab w:val="num" w:pos="2269"/>
        </w:tabs>
        <w:ind w:left="2269" w:hanging="709"/>
      </w:pPr>
    </w:lvl>
    <w:lvl w:ilvl="1">
      <w:start w:val="1"/>
      <w:numFmt w:val="decimal"/>
      <w:pStyle w:val="AARHeading2"/>
      <w:lvlText w:val="%1.%2"/>
      <w:lvlJc w:val="left"/>
      <w:pPr>
        <w:tabs>
          <w:tab w:val="num" w:pos="709"/>
        </w:tabs>
        <w:ind w:left="709" w:hanging="709"/>
      </w:pPr>
    </w:lvl>
    <w:lvl w:ilvl="2">
      <w:start w:val="1"/>
      <w:numFmt w:val="lowerLetter"/>
      <w:pStyle w:val="AARHeading3"/>
      <w:lvlText w:val="(%3)"/>
      <w:lvlJc w:val="left"/>
      <w:pPr>
        <w:tabs>
          <w:tab w:val="num" w:pos="1418"/>
        </w:tabs>
        <w:ind w:left="1418" w:hanging="709"/>
      </w:pPr>
      <w:rPr>
        <w:b/>
      </w:rPr>
    </w:lvl>
    <w:lvl w:ilvl="3">
      <w:start w:val="1"/>
      <w:numFmt w:val="lowerRoman"/>
      <w:pStyle w:val="AARHeading4"/>
      <w:lvlText w:val="(%4)"/>
      <w:lvlJc w:val="left"/>
      <w:pPr>
        <w:tabs>
          <w:tab w:val="num" w:pos="2126"/>
        </w:tabs>
        <w:ind w:left="2126" w:hanging="708"/>
      </w:pPr>
    </w:lvl>
    <w:lvl w:ilvl="4">
      <w:start w:val="1"/>
      <w:numFmt w:val="upperLetter"/>
      <w:pStyle w:val="AARHeading5"/>
      <w:lvlText w:val="(%5)"/>
      <w:lvlJc w:val="left"/>
      <w:pPr>
        <w:tabs>
          <w:tab w:val="num" w:pos="2835"/>
        </w:tabs>
        <w:ind w:left="2835" w:hanging="709"/>
      </w:pPr>
    </w:lvl>
    <w:lvl w:ilvl="5">
      <w:start w:val="1"/>
      <w:numFmt w:val="decimal"/>
      <w:pStyle w:val="AARHeading6"/>
      <w:lvlText w:val="(%6)"/>
      <w:lvlJc w:val="left"/>
      <w:pPr>
        <w:tabs>
          <w:tab w:val="num" w:pos="3544"/>
        </w:tabs>
        <w:ind w:left="3544" w:hanging="709"/>
      </w:pPr>
    </w:lvl>
    <w:lvl w:ilvl="6">
      <w:start w:val="1"/>
      <w:numFmt w:val="decimal"/>
      <w:lvlText w:val="%7."/>
      <w:lvlJc w:val="left"/>
      <w:pPr>
        <w:tabs>
          <w:tab w:val="num" w:pos="709"/>
        </w:tabs>
        <w:ind w:left="709" w:hanging="709"/>
      </w:pPr>
    </w:lvl>
    <w:lvl w:ilvl="7">
      <w:start w:val="1"/>
      <w:numFmt w:val="lowerLetter"/>
      <w:lvlText w:val="(%8)"/>
      <w:lvlJc w:val="left"/>
      <w:pPr>
        <w:tabs>
          <w:tab w:val="num" w:pos="1418"/>
        </w:tabs>
        <w:ind w:left="1418" w:hanging="709"/>
      </w:pPr>
    </w:lvl>
    <w:lvl w:ilvl="8">
      <w:start w:val="1"/>
      <w:numFmt w:val="lowerRoman"/>
      <w:lvlText w:val="(%9)"/>
      <w:lvlJc w:val="left"/>
      <w:pPr>
        <w:tabs>
          <w:tab w:val="num" w:pos="2126"/>
        </w:tabs>
        <w:ind w:left="2126" w:hanging="708"/>
      </w:pPr>
    </w:lvl>
  </w:abstractNum>
  <w:abstractNum w:abstractNumId="3" w15:restartNumberingAfterBreak="0">
    <w:nsid w:val="1A97394E"/>
    <w:multiLevelType w:val="hybridMultilevel"/>
    <w:tmpl w:val="12907284"/>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E5A1458"/>
    <w:multiLevelType w:val="hybridMultilevel"/>
    <w:tmpl w:val="646851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86A6D15"/>
    <w:multiLevelType w:val="hybridMultilevel"/>
    <w:tmpl w:val="03BCBB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5D938CF"/>
    <w:multiLevelType w:val="multilevel"/>
    <w:tmpl w:val="975AE770"/>
    <w:lvl w:ilvl="0">
      <w:start w:val="1"/>
      <w:numFmt w:val="decimal"/>
      <w:lvlText w:val="%1."/>
      <w:lvlJc w:val="left"/>
      <w:pPr>
        <w:ind w:left="644" w:hanging="360"/>
      </w:pPr>
      <w:rPr>
        <w:rFonts w:hint="default"/>
        <w:sz w:val="28"/>
        <w:szCs w:val="28"/>
      </w:rPr>
    </w:lvl>
    <w:lvl w:ilvl="1">
      <w:start w:val="1"/>
      <w:numFmt w:val="decimal"/>
      <w:isLgl/>
      <w:lvlText w:val="%1.%2"/>
      <w:lvlJc w:val="left"/>
      <w:pPr>
        <w:ind w:left="720" w:hanging="360"/>
      </w:pPr>
      <w:rPr>
        <w:rFonts w:hint="default"/>
        <w:sz w:val="24"/>
        <w:szCs w:val="24"/>
      </w:rPr>
    </w:lvl>
    <w:lvl w:ilvl="2">
      <w:start w:val="1"/>
      <w:numFmt w:val="decimal"/>
      <w:isLgl/>
      <w:lvlText w:val="%1.%2.%3"/>
      <w:lvlJc w:val="left"/>
      <w:pPr>
        <w:ind w:left="1080" w:hanging="720"/>
      </w:pPr>
      <w:rPr>
        <w:rFonts w:ascii="Avenir Book" w:hAnsi="Avenir Book"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56943994"/>
    <w:multiLevelType w:val="hybridMultilevel"/>
    <w:tmpl w:val="FF920B2C"/>
    <w:lvl w:ilvl="0" w:tplc="66044212">
      <w:start w:val="2"/>
      <w:numFmt w:val="decimal"/>
      <w:lvlText w:val="%1."/>
      <w:lvlJc w:val="left"/>
      <w:pPr>
        <w:ind w:left="720" w:hanging="360"/>
      </w:pPr>
      <w:rPr>
        <w:rFonts w:hint="default"/>
        <w:sz w:val="28"/>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7617C6A"/>
    <w:multiLevelType w:val="hybridMultilevel"/>
    <w:tmpl w:val="7E04D5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E60608B"/>
    <w:multiLevelType w:val="hybridMultilevel"/>
    <w:tmpl w:val="EE3620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8D435C6"/>
    <w:multiLevelType w:val="multilevel"/>
    <w:tmpl w:val="4A9CD59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203491322">
    <w:abstractNumId w:val="2"/>
  </w:num>
  <w:num w:numId="2" w16cid:durableId="831525968">
    <w:abstractNumId w:val="6"/>
  </w:num>
  <w:num w:numId="3" w16cid:durableId="1448237577">
    <w:abstractNumId w:val="4"/>
  </w:num>
  <w:num w:numId="4" w16cid:durableId="1982153251">
    <w:abstractNumId w:val="7"/>
  </w:num>
  <w:num w:numId="5" w16cid:durableId="337393764">
    <w:abstractNumId w:val="3"/>
  </w:num>
  <w:num w:numId="6" w16cid:durableId="756711165">
    <w:abstractNumId w:val="1"/>
  </w:num>
  <w:num w:numId="7" w16cid:durableId="1308240265">
    <w:abstractNumId w:val="5"/>
  </w:num>
  <w:num w:numId="8" w16cid:durableId="1342514950">
    <w:abstractNumId w:val="8"/>
  </w:num>
  <w:num w:numId="9" w16cid:durableId="2077242998">
    <w:abstractNumId w:val="0"/>
  </w:num>
  <w:num w:numId="10" w16cid:durableId="1452087512">
    <w:abstractNumId w:val="9"/>
  </w:num>
  <w:num w:numId="11" w16cid:durableId="1903170916">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8"/>
  <w:proofState w:spelling="clean"/>
  <w:defaultTabStop w:val="720"/>
  <w:evenAndOddHeaders/>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6397"/>
    <w:rsid w:val="0000131D"/>
    <w:rsid w:val="0000276A"/>
    <w:rsid w:val="000028CD"/>
    <w:rsid w:val="000034E3"/>
    <w:rsid w:val="000039C3"/>
    <w:rsid w:val="00003BD0"/>
    <w:rsid w:val="0001508F"/>
    <w:rsid w:val="00020C84"/>
    <w:rsid w:val="000224CA"/>
    <w:rsid w:val="000233A0"/>
    <w:rsid w:val="00023850"/>
    <w:rsid w:val="00023F30"/>
    <w:rsid w:val="000252F1"/>
    <w:rsid w:val="00025946"/>
    <w:rsid w:val="00026695"/>
    <w:rsid w:val="000275CB"/>
    <w:rsid w:val="00027C8F"/>
    <w:rsid w:val="00030A40"/>
    <w:rsid w:val="000319BA"/>
    <w:rsid w:val="00031EA6"/>
    <w:rsid w:val="000334F9"/>
    <w:rsid w:val="000358C1"/>
    <w:rsid w:val="00035DE0"/>
    <w:rsid w:val="000367C6"/>
    <w:rsid w:val="00036A5B"/>
    <w:rsid w:val="00036CC7"/>
    <w:rsid w:val="00036E7D"/>
    <w:rsid w:val="000422E8"/>
    <w:rsid w:val="000437DC"/>
    <w:rsid w:val="00046A85"/>
    <w:rsid w:val="00051045"/>
    <w:rsid w:val="0005244C"/>
    <w:rsid w:val="0005254A"/>
    <w:rsid w:val="00055F45"/>
    <w:rsid w:val="00061494"/>
    <w:rsid w:val="000626F7"/>
    <w:rsid w:val="00062B74"/>
    <w:rsid w:val="00063AD4"/>
    <w:rsid w:val="00064D97"/>
    <w:rsid w:val="00066509"/>
    <w:rsid w:val="00066E72"/>
    <w:rsid w:val="00072C47"/>
    <w:rsid w:val="00076046"/>
    <w:rsid w:val="000770B6"/>
    <w:rsid w:val="000840B9"/>
    <w:rsid w:val="000848BF"/>
    <w:rsid w:val="00090896"/>
    <w:rsid w:val="00091DFE"/>
    <w:rsid w:val="00091E78"/>
    <w:rsid w:val="000A02AF"/>
    <w:rsid w:val="000A0719"/>
    <w:rsid w:val="000B2A36"/>
    <w:rsid w:val="000B33F6"/>
    <w:rsid w:val="000B4717"/>
    <w:rsid w:val="000B5BD0"/>
    <w:rsid w:val="000B65AC"/>
    <w:rsid w:val="000B66F8"/>
    <w:rsid w:val="000B7566"/>
    <w:rsid w:val="000C04C8"/>
    <w:rsid w:val="000C2E24"/>
    <w:rsid w:val="000C6228"/>
    <w:rsid w:val="000C6CCC"/>
    <w:rsid w:val="000D3E55"/>
    <w:rsid w:val="000D5372"/>
    <w:rsid w:val="000D7251"/>
    <w:rsid w:val="000E10D1"/>
    <w:rsid w:val="000E2276"/>
    <w:rsid w:val="000E3188"/>
    <w:rsid w:val="000E3ED7"/>
    <w:rsid w:val="000E4092"/>
    <w:rsid w:val="000E4BA5"/>
    <w:rsid w:val="000E657D"/>
    <w:rsid w:val="000E71C2"/>
    <w:rsid w:val="000F0464"/>
    <w:rsid w:val="000F10FA"/>
    <w:rsid w:val="000F3AA0"/>
    <w:rsid w:val="000F4812"/>
    <w:rsid w:val="000F5E3B"/>
    <w:rsid w:val="000F5FFF"/>
    <w:rsid w:val="00104730"/>
    <w:rsid w:val="00107208"/>
    <w:rsid w:val="00107C26"/>
    <w:rsid w:val="00110947"/>
    <w:rsid w:val="001156C5"/>
    <w:rsid w:val="001173A5"/>
    <w:rsid w:val="00121094"/>
    <w:rsid w:val="00121931"/>
    <w:rsid w:val="00130F7A"/>
    <w:rsid w:val="001310B3"/>
    <w:rsid w:val="00132C55"/>
    <w:rsid w:val="00132E5C"/>
    <w:rsid w:val="00145193"/>
    <w:rsid w:val="00145580"/>
    <w:rsid w:val="00146078"/>
    <w:rsid w:val="00146969"/>
    <w:rsid w:val="00146FE7"/>
    <w:rsid w:val="00154089"/>
    <w:rsid w:val="001557E8"/>
    <w:rsid w:val="001610E9"/>
    <w:rsid w:val="0016288C"/>
    <w:rsid w:val="00166B1C"/>
    <w:rsid w:val="00171113"/>
    <w:rsid w:val="00171121"/>
    <w:rsid w:val="001726C9"/>
    <w:rsid w:val="00172C86"/>
    <w:rsid w:val="00173176"/>
    <w:rsid w:val="001777B3"/>
    <w:rsid w:val="00187D81"/>
    <w:rsid w:val="00194EF4"/>
    <w:rsid w:val="0019646C"/>
    <w:rsid w:val="00197D68"/>
    <w:rsid w:val="001A289B"/>
    <w:rsid w:val="001A3FE8"/>
    <w:rsid w:val="001A5866"/>
    <w:rsid w:val="001B4541"/>
    <w:rsid w:val="001B582C"/>
    <w:rsid w:val="001B64B2"/>
    <w:rsid w:val="001B6DE4"/>
    <w:rsid w:val="001B7180"/>
    <w:rsid w:val="001B7338"/>
    <w:rsid w:val="001C5E14"/>
    <w:rsid w:val="001C715E"/>
    <w:rsid w:val="001D5134"/>
    <w:rsid w:val="001D62BE"/>
    <w:rsid w:val="001E1573"/>
    <w:rsid w:val="001E2544"/>
    <w:rsid w:val="001E40CB"/>
    <w:rsid w:val="001F0632"/>
    <w:rsid w:val="001F3DBB"/>
    <w:rsid w:val="001F42B6"/>
    <w:rsid w:val="00204739"/>
    <w:rsid w:val="002065F4"/>
    <w:rsid w:val="00215809"/>
    <w:rsid w:val="002161FB"/>
    <w:rsid w:val="00216C4A"/>
    <w:rsid w:val="00220013"/>
    <w:rsid w:val="002245C0"/>
    <w:rsid w:val="002262A9"/>
    <w:rsid w:val="00227B65"/>
    <w:rsid w:val="00230E51"/>
    <w:rsid w:val="00234364"/>
    <w:rsid w:val="002367F3"/>
    <w:rsid w:val="00237B03"/>
    <w:rsid w:val="0024165F"/>
    <w:rsid w:val="002453C7"/>
    <w:rsid w:val="0024787F"/>
    <w:rsid w:val="0025643C"/>
    <w:rsid w:val="0026048E"/>
    <w:rsid w:val="00263664"/>
    <w:rsid w:val="00271CE8"/>
    <w:rsid w:val="0027439C"/>
    <w:rsid w:val="00275320"/>
    <w:rsid w:val="00275A3E"/>
    <w:rsid w:val="0027735C"/>
    <w:rsid w:val="00285722"/>
    <w:rsid w:val="00285FF2"/>
    <w:rsid w:val="00293C78"/>
    <w:rsid w:val="00293CAF"/>
    <w:rsid w:val="00295DA3"/>
    <w:rsid w:val="00297644"/>
    <w:rsid w:val="00297BC1"/>
    <w:rsid w:val="00297D74"/>
    <w:rsid w:val="002A08B7"/>
    <w:rsid w:val="002A1491"/>
    <w:rsid w:val="002A38A7"/>
    <w:rsid w:val="002A3E6E"/>
    <w:rsid w:val="002A662F"/>
    <w:rsid w:val="002B2347"/>
    <w:rsid w:val="002B29E2"/>
    <w:rsid w:val="002B5934"/>
    <w:rsid w:val="002B772C"/>
    <w:rsid w:val="002C05C3"/>
    <w:rsid w:val="002C1605"/>
    <w:rsid w:val="002C17C5"/>
    <w:rsid w:val="002C27AC"/>
    <w:rsid w:val="002D33B4"/>
    <w:rsid w:val="002D3F5D"/>
    <w:rsid w:val="002E2D5D"/>
    <w:rsid w:val="002E53F3"/>
    <w:rsid w:val="002E6D61"/>
    <w:rsid w:val="002E702C"/>
    <w:rsid w:val="002F184E"/>
    <w:rsid w:val="002F2ECC"/>
    <w:rsid w:val="002F440E"/>
    <w:rsid w:val="002F477B"/>
    <w:rsid w:val="002F5171"/>
    <w:rsid w:val="00302F6C"/>
    <w:rsid w:val="003033F3"/>
    <w:rsid w:val="00304D73"/>
    <w:rsid w:val="00310AC4"/>
    <w:rsid w:val="00311DC1"/>
    <w:rsid w:val="003139C3"/>
    <w:rsid w:val="00313DEA"/>
    <w:rsid w:val="00315CC5"/>
    <w:rsid w:val="0032598F"/>
    <w:rsid w:val="0032633E"/>
    <w:rsid w:val="003266F4"/>
    <w:rsid w:val="003326AF"/>
    <w:rsid w:val="0033434D"/>
    <w:rsid w:val="00335B68"/>
    <w:rsid w:val="00336F3E"/>
    <w:rsid w:val="003449E6"/>
    <w:rsid w:val="00350072"/>
    <w:rsid w:val="00352908"/>
    <w:rsid w:val="0035490A"/>
    <w:rsid w:val="00355212"/>
    <w:rsid w:val="00363830"/>
    <w:rsid w:val="00366944"/>
    <w:rsid w:val="003731BD"/>
    <w:rsid w:val="00373B9C"/>
    <w:rsid w:val="00380E09"/>
    <w:rsid w:val="003827D8"/>
    <w:rsid w:val="00382F87"/>
    <w:rsid w:val="00387713"/>
    <w:rsid w:val="003909F3"/>
    <w:rsid w:val="003974E8"/>
    <w:rsid w:val="003B1AFE"/>
    <w:rsid w:val="003B1B38"/>
    <w:rsid w:val="003B34E4"/>
    <w:rsid w:val="003B486B"/>
    <w:rsid w:val="003B4E02"/>
    <w:rsid w:val="003B6044"/>
    <w:rsid w:val="003B7BB1"/>
    <w:rsid w:val="003C120F"/>
    <w:rsid w:val="003C1FF1"/>
    <w:rsid w:val="003C2534"/>
    <w:rsid w:val="003C344B"/>
    <w:rsid w:val="003C49E9"/>
    <w:rsid w:val="003D2B68"/>
    <w:rsid w:val="003D526F"/>
    <w:rsid w:val="003D56ED"/>
    <w:rsid w:val="003D5A48"/>
    <w:rsid w:val="003E5226"/>
    <w:rsid w:val="003E782D"/>
    <w:rsid w:val="003F0223"/>
    <w:rsid w:val="003F44F5"/>
    <w:rsid w:val="003F4532"/>
    <w:rsid w:val="003F6002"/>
    <w:rsid w:val="003F6CBF"/>
    <w:rsid w:val="003F72D8"/>
    <w:rsid w:val="0040289D"/>
    <w:rsid w:val="00403E8B"/>
    <w:rsid w:val="00404A98"/>
    <w:rsid w:val="00405BA5"/>
    <w:rsid w:val="004071B2"/>
    <w:rsid w:val="00411C1D"/>
    <w:rsid w:val="00412C21"/>
    <w:rsid w:val="00413003"/>
    <w:rsid w:val="00413B0E"/>
    <w:rsid w:val="00414B6F"/>
    <w:rsid w:val="00415C95"/>
    <w:rsid w:val="0041700F"/>
    <w:rsid w:val="004172CE"/>
    <w:rsid w:val="0042139D"/>
    <w:rsid w:val="00421F31"/>
    <w:rsid w:val="0042710A"/>
    <w:rsid w:val="00430D9C"/>
    <w:rsid w:val="00430F34"/>
    <w:rsid w:val="00434136"/>
    <w:rsid w:val="00436AC9"/>
    <w:rsid w:val="00437C78"/>
    <w:rsid w:val="00440E2B"/>
    <w:rsid w:val="00442937"/>
    <w:rsid w:val="004451D0"/>
    <w:rsid w:val="00445AF9"/>
    <w:rsid w:val="00445CCB"/>
    <w:rsid w:val="00450AEE"/>
    <w:rsid w:val="00452C04"/>
    <w:rsid w:val="0045331F"/>
    <w:rsid w:val="004533D5"/>
    <w:rsid w:val="00454256"/>
    <w:rsid w:val="00457ADB"/>
    <w:rsid w:val="00463397"/>
    <w:rsid w:val="00464B8C"/>
    <w:rsid w:val="0046610E"/>
    <w:rsid w:val="00466FDC"/>
    <w:rsid w:val="00471BE7"/>
    <w:rsid w:val="00471E94"/>
    <w:rsid w:val="00472D3B"/>
    <w:rsid w:val="004760CD"/>
    <w:rsid w:val="00477638"/>
    <w:rsid w:val="004777C1"/>
    <w:rsid w:val="004853C2"/>
    <w:rsid w:val="0048565C"/>
    <w:rsid w:val="004879CE"/>
    <w:rsid w:val="00492BDE"/>
    <w:rsid w:val="00496A35"/>
    <w:rsid w:val="004A1C21"/>
    <w:rsid w:val="004A2693"/>
    <w:rsid w:val="004A5D47"/>
    <w:rsid w:val="004A79C4"/>
    <w:rsid w:val="004B1314"/>
    <w:rsid w:val="004B1B0D"/>
    <w:rsid w:val="004C095C"/>
    <w:rsid w:val="004C4470"/>
    <w:rsid w:val="004C69B3"/>
    <w:rsid w:val="004D09DC"/>
    <w:rsid w:val="004D0E80"/>
    <w:rsid w:val="004D1673"/>
    <w:rsid w:val="004D322D"/>
    <w:rsid w:val="004E0FD2"/>
    <w:rsid w:val="004E1C57"/>
    <w:rsid w:val="004E25B1"/>
    <w:rsid w:val="004E26B9"/>
    <w:rsid w:val="004E2A5A"/>
    <w:rsid w:val="004E7079"/>
    <w:rsid w:val="004F1353"/>
    <w:rsid w:val="004F2F38"/>
    <w:rsid w:val="004F3C12"/>
    <w:rsid w:val="004F6DC4"/>
    <w:rsid w:val="00500250"/>
    <w:rsid w:val="00500F1A"/>
    <w:rsid w:val="00501882"/>
    <w:rsid w:val="0051341F"/>
    <w:rsid w:val="0051440B"/>
    <w:rsid w:val="005248CC"/>
    <w:rsid w:val="00524F6D"/>
    <w:rsid w:val="00527C03"/>
    <w:rsid w:val="00531053"/>
    <w:rsid w:val="005316D6"/>
    <w:rsid w:val="0053227A"/>
    <w:rsid w:val="00535E30"/>
    <w:rsid w:val="005401F8"/>
    <w:rsid w:val="005409A2"/>
    <w:rsid w:val="0054343C"/>
    <w:rsid w:val="0054397D"/>
    <w:rsid w:val="005445FC"/>
    <w:rsid w:val="00550493"/>
    <w:rsid w:val="005510A4"/>
    <w:rsid w:val="005608D0"/>
    <w:rsid w:val="00561B85"/>
    <w:rsid w:val="0056457F"/>
    <w:rsid w:val="005706D1"/>
    <w:rsid w:val="00570B11"/>
    <w:rsid w:val="005716FA"/>
    <w:rsid w:val="00574EC0"/>
    <w:rsid w:val="00583848"/>
    <w:rsid w:val="00584B4F"/>
    <w:rsid w:val="00591FF2"/>
    <w:rsid w:val="005921A2"/>
    <w:rsid w:val="005A2C52"/>
    <w:rsid w:val="005B124A"/>
    <w:rsid w:val="005B651B"/>
    <w:rsid w:val="005C0393"/>
    <w:rsid w:val="005C0EC8"/>
    <w:rsid w:val="005C1EE0"/>
    <w:rsid w:val="005C1F8B"/>
    <w:rsid w:val="005D02BD"/>
    <w:rsid w:val="005D48EF"/>
    <w:rsid w:val="005D730C"/>
    <w:rsid w:val="005E0673"/>
    <w:rsid w:val="005E2989"/>
    <w:rsid w:val="005F24AC"/>
    <w:rsid w:val="005F5A33"/>
    <w:rsid w:val="005F6994"/>
    <w:rsid w:val="005F6D89"/>
    <w:rsid w:val="00600359"/>
    <w:rsid w:val="00601748"/>
    <w:rsid w:val="00601C50"/>
    <w:rsid w:val="00602227"/>
    <w:rsid w:val="00602D8C"/>
    <w:rsid w:val="00607E4D"/>
    <w:rsid w:val="00610B2C"/>
    <w:rsid w:val="00611F5B"/>
    <w:rsid w:val="006130F5"/>
    <w:rsid w:val="00614D05"/>
    <w:rsid w:val="006154BE"/>
    <w:rsid w:val="0062275D"/>
    <w:rsid w:val="00624C5C"/>
    <w:rsid w:val="00626C01"/>
    <w:rsid w:val="00627FD3"/>
    <w:rsid w:val="0063037A"/>
    <w:rsid w:val="00630383"/>
    <w:rsid w:val="0063051A"/>
    <w:rsid w:val="0063334A"/>
    <w:rsid w:val="00640BE6"/>
    <w:rsid w:val="00643014"/>
    <w:rsid w:val="0064398D"/>
    <w:rsid w:val="00644DFF"/>
    <w:rsid w:val="00645ACA"/>
    <w:rsid w:val="00647728"/>
    <w:rsid w:val="0065265F"/>
    <w:rsid w:val="00653BFE"/>
    <w:rsid w:val="00654CC9"/>
    <w:rsid w:val="006551F2"/>
    <w:rsid w:val="00655DD7"/>
    <w:rsid w:val="00655EF1"/>
    <w:rsid w:val="006575D7"/>
    <w:rsid w:val="00657F1D"/>
    <w:rsid w:val="0067317A"/>
    <w:rsid w:val="00675A95"/>
    <w:rsid w:val="00676FB1"/>
    <w:rsid w:val="0068032E"/>
    <w:rsid w:val="006805E5"/>
    <w:rsid w:val="00680822"/>
    <w:rsid w:val="00680C38"/>
    <w:rsid w:val="006811B8"/>
    <w:rsid w:val="00681FAE"/>
    <w:rsid w:val="006901C2"/>
    <w:rsid w:val="00692C45"/>
    <w:rsid w:val="006A08A8"/>
    <w:rsid w:val="006A1D7A"/>
    <w:rsid w:val="006A224F"/>
    <w:rsid w:val="006A40F9"/>
    <w:rsid w:val="006A6007"/>
    <w:rsid w:val="006A7C04"/>
    <w:rsid w:val="006B1585"/>
    <w:rsid w:val="006B3A88"/>
    <w:rsid w:val="006B7203"/>
    <w:rsid w:val="006C0968"/>
    <w:rsid w:val="006C146B"/>
    <w:rsid w:val="006C18B0"/>
    <w:rsid w:val="006C2B6B"/>
    <w:rsid w:val="006C2DDB"/>
    <w:rsid w:val="006C2EDF"/>
    <w:rsid w:val="006C424B"/>
    <w:rsid w:val="006C4974"/>
    <w:rsid w:val="006D06E3"/>
    <w:rsid w:val="006D22F9"/>
    <w:rsid w:val="006D42CD"/>
    <w:rsid w:val="006D44D6"/>
    <w:rsid w:val="006D755C"/>
    <w:rsid w:val="006D7937"/>
    <w:rsid w:val="006E2B5C"/>
    <w:rsid w:val="006E2EC7"/>
    <w:rsid w:val="006E35B7"/>
    <w:rsid w:val="006E3DFD"/>
    <w:rsid w:val="006E73AC"/>
    <w:rsid w:val="006F0438"/>
    <w:rsid w:val="006F472C"/>
    <w:rsid w:val="006F4C8A"/>
    <w:rsid w:val="006F4E82"/>
    <w:rsid w:val="006F5241"/>
    <w:rsid w:val="0070051B"/>
    <w:rsid w:val="007015FE"/>
    <w:rsid w:val="007022C5"/>
    <w:rsid w:val="00703A28"/>
    <w:rsid w:val="00705142"/>
    <w:rsid w:val="0070601E"/>
    <w:rsid w:val="00706381"/>
    <w:rsid w:val="00707DEE"/>
    <w:rsid w:val="0071331C"/>
    <w:rsid w:val="00714265"/>
    <w:rsid w:val="00722764"/>
    <w:rsid w:val="00722EAA"/>
    <w:rsid w:val="0072436A"/>
    <w:rsid w:val="00727C4C"/>
    <w:rsid w:val="00731C65"/>
    <w:rsid w:val="00736A76"/>
    <w:rsid w:val="00736E59"/>
    <w:rsid w:val="00740809"/>
    <w:rsid w:val="00741557"/>
    <w:rsid w:val="00750326"/>
    <w:rsid w:val="00755718"/>
    <w:rsid w:val="00755A42"/>
    <w:rsid w:val="00755B70"/>
    <w:rsid w:val="00757558"/>
    <w:rsid w:val="007616C9"/>
    <w:rsid w:val="00761F08"/>
    <w:rsid w:val="00764C27"/>
    <w:rsid w:val="007651C3"/>
    <w:rsid w:val="00766755"/>
    <w:rsid w:val="0076777E"/>
    <w:rsid w:val="00767AA8"/>
    <w:rsid w:val="007738CA"/>
    <w:rsid w:val="00774952"/>
    <w:rsid w:val="00775EE7"/>
    <w:rsid w:val="00775F6C"/>
    <w:rsid w:val="00784E20"/>
    <w:rsid w:val="00787F38"/>
    <w:rsid w:val="00787F67"/>
    <w:rsid w:val="007919F5"/>
    <w:rsid w:val="00796C6F"/>
    <w:rsid w:val="00797463"/>
    <w:rsid w:val="007A053E"/>
    <w:rsid w:val="007A212B"/>
    <w:rsid w:val="007A27CF"/>
    <w:rsid w:val="007A4A8D"/>
    <w:rsid w:val="007A59EC"/>
    <w:rsid w:val="007A7BD8"/>
    <w:rsid w:val="007B1830"/>
    <w:rsid w:val="007B29CA"/>
    <w:rsid w:val="007B4BE5"/>
    <w:rsid w:val="007B4D10"/>
    <w:rsid w:val="007B5DE5"/>
    <w:rsid w:val="007B7BCE"/>
    <w:rsid w:val="007C247F"/>
    <w:rsid w:val="007C48E4"/>
    <w:rsid w:val="007C5A48"/>
    <w:rsid w:val="007C73F3"/>
    <w:rsid w:val="007C7638"/>
    <w:rsid w:val="007C7AB9"/>
    <w:rsid w:val="007C7C0D"/>
    <w:rsid w:val="007E0426"/>
    <w:rsid w:val="007E0C2E"/>
    <w:rsid w:val="007F2418"/>
    <w:rsid w:val="007F2E2E"/>
    <w:rsid w:val="007F3E76"/>
    <w:rsid w:val="007F47EF"/>
    <w:rsid w:val="007F50B1"/>
    <w:rsid w:val="007F5944"/>
    <w:rsid w:val="007F5A6D"/>
    <w:rsid w:val="007F750C"/>
    <w:rsid w:val="008100BA"/>
    <w:rsid w:val="008117E8"/>
    <w:rsid w:val="00813E8D"/>
    <w:rsid w:val="0081537A"/>
    <w:rsid w:val="0083287C"/>
    <w:rsid w:val="0083635D"/>
    <w:rsid w:val="00840508"/>
    <w:rsid w:val="008442CB"/>
    <w:rsid w:val="00847BCB"/>
    <w:rsid w:val="00847D93"/>
    <w:rsid w:val="008552FD"/>
    <w:rsid w:val="008627B5"/>
    <w:rsid w:val="008641D5"/>
    <w:rsid w:val="00866DCB"/>
    <w:rsid w:val="00867C3B"/>
    <w:rsid w:val="0087530B"/>
    <w:rsid w:val="0087629B"/>
    <w:rsid w:val="008802B0"/>
    <w:rsid w:val="00884046"/>
    <w:rsid w:val="00884DE2"/>
    <w:rsid w:val="00886EBB"/>
    <w:rsid w:val="0089001B"/>
    <w:rsid w:val="00890425"/>
    <w:rsid w:val="008933AB"/>
    <w:rsid w:val="00894A14"/>
    <w:rsid w:val="00896999"/>
    <w:rsid w:val="00897D8F"/>
    <w:rsid w:val="008A2736"/>
    <w:rsid w:val="008A47FA"/>
    <w:rsid w:val="008A6565"/>
    <w:rsid w:val="008B3055"/>
    <w:rsid w:val="008C0734"/>
    <w:rsid w:val="008C1F16"/>
    <w:rsid w:val="008C4139"/>
    <w:rsid w:val="008C6D0E"/>
    <w:rsid w:val="008D55BE"/>
    <w:rsid w:val="008E069A"/>
    <w:rsid w:val="008F45ED"/>
    <w:rsid w:val="008F538A"/>
    <w:rsid w:val="008F6236"/>
    <w:rsid w:val="008F744C"/>
    <w:rsid w:val="0090137E"/>
    <w:rsid w:val="009058DB"/>
    <w:rsid w:val="00912AC0"/>
    <w:rsid w:val="0091389D"/>
    <w:rsid w:val="00913901"/>
    <w:rsid w:val="00920F69"/>
    <w:rsid w:val="0092248C"/>
    <w:rsid w:val="00922E33"/>
    <w:rsid w:val="00924A28"/>
    <w:rsid w:val="00924A4A"/>
    <w:rsid w:val="00925835"/>
    <w:rsid w:val="00926BD5"/>
    <w:rsid w:val="00930F62"/>
    <w:rsid w:val="0093373D"/>
    <w:rsid w:val="00934DDA"/>
    <w:rsid w:val="00935E4C"/>
    <w:rsid w:val="009370FB"/>
    <w:rsid w:val="00940EFA"/>
    <w:rsid w:val="009434AB"/>
    <w:rsid w:val="0094397F"/>
    <w:rsid w:val="00944977"/>
    <w:rsid w:val="00944D70"/>
    <w:rsid w:val="0094725A"/>
    <w:rsid w:val="00947F18"/>
    <w:rsid w:val="009507E9"/>
    <w:rsid w:val="00950EB8"/>
    <w:rsid w:val="00951311"/>
    <w:rsid w:val="00951DC3"/>
    <w:rsid w:val="00955120"/>
    <w:rsid w:val="009560AD"/>
    <w:rsid w:val="00957C3B"/>
    <w:rsid w:val="0096362B"/>
    <w:rsid w:val="00965A70"/>
    <w:rsid w:val="00970A05"/>
    <w:rsid w:val="00971D19"/>
    <w:rsid w:val="0097351B"/>
    <w:rsid w:val="009749A0"/>
    <w:rsid w:val="009802D8"/>
    <w:rsid w:val="009804B1"/>
    <w:rsid w:val="009872F8"/>
    <w:rsid w:val="00994877"/>
    <w:rsid w:val="009974CF"/>
    <w:rsid w:val="00997534"/>
    <w:rsid w:val="00997F10"/>
    <w:rsid w:val="009A3A16"/>
    <w:rsid w:val="009B0622"/>
    <w:rsid w:val="009B4D2A"/>
    <w:rsid w:val="009B584C"/>
    <w:rsid w:val="009C0241"/>
    <w:rsid w:val="009C2F92"/>
    <w:rsid w:val="009C338A"/>
    <w:rsid w:val="009C52ED"/>
    <w:rsid w:val="009C5581"/>
    <w:rsid w:val="009C5B2D"/>
    <w:rsid w:val="009D2DCA"/>
    <w:rsid w:val="009E199B"/>
    <w:rsid w:val="009E1E7B"/>
    <w:rsid w:val="009E27B1"/>
    <w:rsid w:val="009F0A98"/>
    <w:rsid w:val="009F2F56"/>
    <w:rsid w:val="009F677A"/>
    <w:rsid w:val="00A007ED"/>
    <w:rsid w:val="00A009D2"/>
    <w:rsid w:val="00A02BC8"/>
    <w:rsid w:val="00A04351"/>
    <w:rsid w:val="00A131E4"/>
    <w:rsid w:val="00A16838"/>
    <w:rsid w:val="00A16A73"/>
    <w:rsid w:val="00A17D33"/>
    <w:rsid w:val="00A17F46"/>
    <w:rsid w:val="00A2249D"/>
    <w:rsid w:val="00A22968"/>
    <w:rsid w:val="00A237D9"/>
    <w:rsid w:val="00A301A7"/>
    <w:rsid w:val="00A352CE"/>
    <w:rsid w:val="00A35DAA"/>
    <w:rsid w:val="00A4498B"/>
    <w:rsid w:val="00A46158"/>
    <w:rsid w:val="00A533A9"/>
    <w:rsid w:val="00A55592"/>
    <w:rsid w:val="00A565CD"/>
    <w:rsid w:val="00A56DB8"/>
    <w:rsid w:val="00A64791"/>
    <w:rsid w:val="00A67E42"/>
    <w:rsid w:val="00A77A9D"/>
    <w:rsid w:val="00A923B1"/>
    <w:rsid w:val="00A92899"/>
    <w:rsid w:val="00A929F4"/>
    <w:rsid w:val="00AA1759"/>
    <w:rsid w:val="00AA3219"/>
    <w:rsid w:val="00AA5D81"/>
    <w:rsid w:val="00AB2499"/>
    <w:rsid w:val="00AB278C"/>
    <w:rsid w:val="00AB3CD5"/>
    <w:rsid w:val="00AB41A2"/>
    <w:rsid w:val="00AB7610"/>
    <w:rsid w:val="00AC3A5E"/>
    <w:rsid w:val="00AC7079"/>
    <w:rsid w:val="00AD0358"/>
    <w:rsid w:val="00AD319C"/>
    <w:rsid w:val="00AD5EC8"/>
    <w:rsid w:val="00AE502C"/>
    <w:rsid w:val="00AF1F70"/>
    <w:rsid w:val="00AF3C03"/>
    <w:rsid w:val="00AF426E"/>
    <w:rsid w:val="00AF563C"/>
    <w:rsid w:val="00AF5FB9"/>
    <w:rsid w:val="00B035FD"/>
    <w:rsid w:val="00B03F01"/>
    <w:rsid w:val="00B057A4"/>
    <w:rsid w:val="00B13C6E"/>
    <w:rsid w:val="00B158E3"/>
    <w:rsid w:val="00B16397"/>
    <w:rsid w:val="00B16667"/>
    <w:rsid w:val="00B229CF"/>
    <w:rsid w:val="00B2411F"/>
    <w:rsid w:val="00B24832"/>
    <w:rsid w:val="00B24BFC"/>
    <w:rsid w:val="00B250A3"/>
    <w:rsid w:val="00B2616D"/>
    <w:rsid w:val="00B279AB"/>
    <w:rsid w:val="00B35330"/>
    <w:rsid w:val="00B3637E"/>
    <w:rsid w:val="00B370DF"/>
    <w:rsid w:val="00B403A5"/>
    <w:rsid w:val="00B42158"/>
    <w:rsid w:val="00B428B6"/>
    <w:rsid w:val="00B44532"/>
    <w:rsid w:val="00B45430"/>
    <w:rsid w:val="00B46AB3"/>
    <w:rsid w:val="00B54DE9"/>
    <w:rsid w:val="00B54E85"/>
    <w:rsid w:val="00B567CD"/>
    <w:rsid w:val="00B628B7"/>
    <w:rsid w:val="00B63281"/>
    <w:rsid w:val="00B6548B"/>
    <w:rsid w:val="00B67ABA"/>
    <w:rsid w:val="00B7091B"/>
    <w:rsid w:val="00B71C58"/>
    <w:rsid w:val="00B73C8A"/>
    <w:rsid w:val="00B747FC"/>
    <w:rsid w:val="00B77382"/>
    <w:rsid w:val="00B80718"/>
    <w:rsid w:val="00B853E2"/>
    <w:rsid w:val="00B87FAA"/>
    <w:rsid w:val="00B92A1F"/>
    <w:rsid w:val="00B92B03"/>
    <w:rsid w:val="00BA04E0"/>
    <w:rsid w:val="00BA2D24"/>
    <w:rsid w:val="00BA4DB8"/>
    <w:rsid w:val="00BB0CB5"/>
    <w:rsid w:val="00BB113E"/>
    <w:rsid w:val="00BB1EF9"/>
    <w:rsid w:val="00BB3D0A"/>
    <w:rsid w:val="00BB4A8F"/>
    <w:rsid w:val="00BB6262"/>
    <w:rsid w:val="00BB7140"/>
    <w:rsid w:val="00BC27A6"/>
    <w:rsid w:val="00BC35BC"/>
    <w:rsid w:val="00BD106E"/>
    <w:rsid w:val="00BD1AD0"/>
    <w:rsid w:val="00BD37D3"/>
    <w:rsid w:val="00BE00DA"/>
    <w:rsid w:val="00BE01FB"/>
    <w:rsid w:val="00BE053D"/>
    <w:rsid w:val="00BE125A"/>
    <w:rsid w:val="00BE3470"/>
    <w:rsid w:val="00BE636E"/>
    <w:rsid w:val="00BE7753"/>
    <w:rsid w:val="00BF1474"/>
    <w:rsid w:val="00BF4A0F"/>
    <w:rsid w:val="00BF6403"/>
    <w:rsid w:val="00C01A38"/>
    <w:rsid w:val="00C044BB"/>
    <w:rsid w:val="00C04C84"/>
    <w:rsid w:val="00C12246"/>
    <w:rsid w:val="00C13387"/>
    <w:rsid w:val="00C13735"/>
    <w:rsid w:val="00C1400E"/>
    <w:rsid w:val="00C1594A"/>
    <w:rsid w:val="00C17550"/>
    <w:rsid w:val="00C179F3"/>
    <w:rsid w:val="00C209E1"/>
    <w:rsid w:val="00C21922"/>
    <w:rsid w:val="00C274ED"/>
    <w:rsid w:val="00C30392"/>
    <w:rsid w:val="00C30E3F"/>
    <w:rsid w:val="00C32C2D"/>
    <w:rsid w:val="00C408AF"/>
    <w:rsid w:val="00C420FC"/>
    <w:rsid w:val="00C422B6"/>
    <w:rsid w:val="00C427CF"/>
    <w:rsid w:val="00C449B1"/>
    <w:rsid w:val="00C5023B"/>
    <w:rsid w:val="00C50499"/>
    <w:rsid w:val="00C55E6D"/>
    <w:rsid w:val="00C57C4D"/>
    <w:rsid w:val="00C604F2"/>
    <w:rsid w:val="00C623C5"/>
    <w:rsid w:val="00C6299A"/>
    <w:rsid w:val="00C632F9"/>
    <w:rsid w:val="00C6430D"/>
    <w:rsid w:val="00C6545A"/>
    <w:rsid w:val="00C65693"/>
    <w:rsid w:val="00C70D96"/>
    <w:rsid w:val="00C70FFC"/>
    <w:rsid w:val="00C7299E"/>
    <w:rsid w:val="00C74146"/>
    <w:rsid w:val="00C76D57"/>
    <w:rsid w:val="00C77F5F"/>
    <w:rsid w:val="00C80F53"/>
    <w:rsid w:val="00C8106F"/>
    <w:rsid w:val="00C824C5"/>
    <w:rsid w:val="00C8338C"/>
    <w:rsid w:val="00C84B9B"/>
    <w:rsid w:val="00C85DC9"/>
    <w:rsid w:val="00C85FEC"/>
    <w:rsid w:val="00C8651B"/>
    <w:rsid w:val="00C87628"/>
    <w:rsid w:val="00C87712"/>
    <w:rsid w:val="00C904A7"/>
    <w:rsid w:val="00C9105E"/>
    <w:rsid w:val="00C912AE"/>
    <w:rsid w:val="00C915D1"/>
    <w:rsid w:val="00C9187C"/>
    <w:rsid w:val="00C942E7"/>
    <w:rsid w:val="00C97ACE"/>
    <w:rsid w:val="00CA388E"/>
    <w:rsid w:val="00CA3921"/>
    <w:rsid w:val="00CA4172"/>
    <w:rsid w:val="00CA4FF0"/>
    <w:rsid w:val="00CB00DD"/>
    <w:rsid w:val="00CB0369"/>
    <w:rsid w:val="00CB23C2"/>
    <w:rsid w:val="00CB585C"/>
    <w:rsid w:val="00CB6643"/>
    <w:rsid w:val="00CC08B8"/>
    <w:rsid w:val="00CC1364"/>
    <w:rsid w:val="00CC1B29"/>
    <w:rsid w:val="00CC41A6"/>
    <w:rsid w:val="00CC4603"/>
    <w:rsid w:val="00CC74E7"/>
    <w:rsid w:val="00CD6641"/>
    <w:rsid w:val="00CE2157"/>
    <w:rsid w:val="00CE236E"/>
    <w:rsid w:val="00CE5814"/>
    <w:rsid w:val="00CE5FCD"/>
    <w:rsid w:val="00CF1469"/>
    <w:rsid w:val="00CF1F1D"/>
    <w:rsid w:val="00CF2AB6"/>
    <w:rsid w:val="00CF2EA7"/>
    <w:rsid w:val="00CF3CED"/>
    <w:rsid w:val="00CF430C"/>
    <w:rsid w:val="00CF4EA6"/>
    <w:rsid w:val="00CF6F03"/>
    <w:rsid w:val="00CF7926"/>
    <w:rsid w:val="00D0023D"/>
    <w:rsid w:val="00D01FBF"/>
    <w:rsid w:val="00D03365"/>
    <w:rsid w:val="00D0534A"/>
    <w:rsid w:val="00D073C1"/>
    <w:rsid w:val="00D116A8"/>
    <w:rsid w:val="00D1352E"/>
    <w:rsid w:val="00D14724"/>
    <w:rsid w:val="00D15DAE"/>
    <w:rsid w:val="00D15DCE"/>
    <w:rsid w:val="00D16F37"/>
    <w:rsid w:val="00D16FEE"/>
    <w:rsid w:val="00D24F9C"/>
    <w:rsid w:val="00D254B6"/>
    <w:rsid w:val="00D27CF3"/>
    <w:rsid w:val="00D300B8"/>
    <w:rsid w:val="00D30507"/>
    <w:rsid w:val="00D31FFD"/>
    <w:rsid w:val="00D349F1"/>
    <w:rsid w:val="00D34CDD"/>
    <w:rsid w:val="00D40202"/>
    <w:rsid w:val="00D45893"/>
    <w:rsid w:val="00D46B54"/>
    <w:rsid w:val="00D47ABE"/>
    <w:rsid w:val="00D5386F"/>
    <w:rsid w:val="00D5442E"/>
    <w:rsid w:val="00D55076"/>
    <w:rsid w:val="00D55985"/>
    <w:rsid w:val="00D564B9"/>
    <w:rsid w:val="00D616D5"/>
    <w:rsid w:val="00D65996"/>
    <w:rsid w:val="00D673B0"/>
    <w:rsid w:val="00D7106F"/>
    <w:rsid w:val="00D75B26"/>
    <w:rsid w:val="00D76372"/>
    <w:rsid w:val="00D77FB5"/>
    <w:rsid w:val="00D813CA"/>
    <w:rsid w:val="00D81525"/>
    <w:rsid w:val="00D828D2"/>
    <w:rsid w:val="00D832F5"/>
    <w:rsid w:val="00D9080D"/>
    <w:rsid w:val="00D93CC0"/>
    <w:rsid w:val="00DA0CE3"/>
    <w:rsid w:val="00DA4323"/>
    <w:rsid w:val="00DA453A"/>
    <w:rsid w:val="00DA49FE"/>
    <w:rsid w:val="00DA65EB"/>
    <w:rsid w:val="00DA770A"/>
    <w:rsid w:val="00DA79C5"/>
    <w:rsid w:val="00DB3396"/>
    <w:rsid w:val="00DB340C"/>
    <w:rsid w:val="00DB3F90"/>
    <w:rsid w:val="00DC0666"/>
    <w:rsid w:val="00DC1041"/>
    <w:rsid w:val="00DC2EAF"/>
    <w:rsid w:val="00DC6EBE"/>
    <w:rsid w:val="00DC7DCF"/>
    <w:rsid w:val="00DD030E"/>
    <w:rsid w:val="00DD1C30"/>
    <w:rsid w:val="00DD3050"/>
    <w:rsid w:val="00DE081B"/>
    <w:rsid w:val="00DE4E8F"/>
    <w:rsid w:val="00DE5F7C"/>
    <w:rsid w:val="00DE7AF7"/>
    <w:rsid w:val="00DF108E"/>
    <w:rsid w:val="00DF2E16"/>
    <w:rsid w:val="00DF6186"/>
    <w:rsid w:val="00E0233E"/>
    <w:rsid w:val="00E042BC"/>
    <w:rsid w:val="00E05752"/>
    <w:rsid w:val="00E06A75"/>
    <w:rsid w:val="00E1031E"/>
    <w:rsid w:val="00E10FB8"/>
    <w:rsid w:val="00E1406B"/>
    <w:rsid w:val="00E15142"/>
    <w:rsid w:val="00E21E77"/>
    <w:rsid w:val="00E230C1"/>
    <w:rsid w:val="00E26382"/>
    <w:rsid w:val="00E31F5C"/>
    <w:rsid w:val="00E32407"/>
    <w:rsid w:val="00E353EB"/>
    <w:rsid w:val="00E35892"/>
    <w:rsid w:val="00E35B5C"/>
    <w:rsid w:val="00E35D3F"/>
    <w:rsid w:val="00E40E64"/>
    <w:rsid w:val="00E459A7"/>
    <w:rsid w:val="00E4693B"/>
    <w:rsid w:val="00E475FD"/>
    <w:rsid w:val="00E47D9E"/>
    <w:rsid w:val="00E528DD"/>
    <w:rsid w:val="00E5691A"/>
    <w:rsid w:val="00E5747A"/>
    <w:rsid w:val="00E637AA"/>
    <w:rsid w:val="00E6765F"/>
    <w:rsid w:val="00E70429"/>
    <w:rsid w:val="00E70586"/>
    <w:rsid w:val="00E73533"/>
    <w:rsid w:val="00E76145"/>
    <w:rsid w:val="00E76DA6"/>
    <w:rsid w:val="00E83C54"/>
    <w:rsid w:val="00E84BC7"/>
    <w:rsid w:val="00E902AE"/>
    <w:rsid w:val="00E9283F"/>
    <w:rsid w:val="00E977B3"/>
    <w:rsid w:val="00EA0169"/>
    <w:rsid w:val="00EA36D5"/>
    <w:rsid w:val="00EA3787"/>
    <w:rsid w:val="00EB0C66"/>
    <w:rsid w:val="00EB254C"/>
    <w:rsid w:val="00EB25A0"/>
    <w:rsid w:val="00EB42DD"/>
    <w:rsid w:val="00EB50FA"/>
    <w:rsid w:val="00EB604E"/>
    <w:rsid w:val="00EB6CC9"/>
    <w:rsid w:val="00EC074E"/>
    <w:rsid w:val="00EC1BD8"/>
    <w:rsid w:val="00EC3599"/>
    <w:rsid w:val="00ED1483"/>
    <w:rsid w:val="00ED2AF6"/>
    <w:rsid w:val="00ED5334"/>
    <w:rsid w:val="00ED7072"/>
    <w:rsid w:val="00EE0328"/>
    <w:rsid w:val="00EE265D"/>
    <w:rsid w:val="00EE53D8"/>
    <w:rsid w:val="00EE7B8A"/>
    <w:rsid w:val="00EE7E51"/>
    <w:rsid w:val="00EF5411"/>
    <w:rsid w:val="00EF7535"/>
    <w:rsid w:val="00F00AE0"/>
    <w:rsid w:val="00F015D4"/>
    <w:rsid w:val="00F029DF"/>
    <w:rsid w:val="00F02FAB"/>
    <w:rsid w:val="00F079A7"/>
    <w:rsid w:val="00F12461"/>
    <w:rsid w:val="00F137B0"/>
    <w:rsid w:val="00F174D2"/>
    <w:rsid w:val="00F20708"/>
    <w:rsid w:val="00F229DA"/>
    <w:rsid w:val="00F22E4B"/>
    <w:rsid w:val="00F23505"/>
    <w:rsid w:val="00F237A4"/>
    <w:rsid w:val="00F24EB6"/>
    <w:rsid w:val="00F251AD"/>
    <w:rsid w:val="00F30DD2"/>
    <w:rsid w:val="00F343F7"/>
    <w:rsid w:val="00F42993"/>
    <w:rsid w:val="00F45EAC"/>
    <w:rsid w:val="00F462F3"/>
    <w:rsid w:val="00F46324"/>
    <w:rsid w:val="00F5309A"/>
    <w:rsid w:val="00F55A3A"/>
    <w:rsid w:val="00F57741"/>
    <w:rsid w:val="00F60C09"/>
    <w:rsid w:val="00F63F8B"/>
    <w:rsid w:val="00F65525"/>
    <w:rsid w:val="00F743CA"/>
    <w:rsid w:val="00F763BA"/>
    <w:rsid w:val="00F77716"/>
    <w:rsid w:val="00F82630"/>
    <w:rsid w:val="00F850F4"/>
    <w:rsid w:val="00F91124"/>
    <w:rsid w:val="00F91254"/>
    <w:rsid w:val="00F9633C"/>
    <w:rsid w:val="00F97997"/>
    <w:rsid w:val="00FA5FD6"/>
    <w:rsid w:val="00FA68AE"/>
    <w:rsid w:val="00FA761D"/>
    <w:rsid w:val="00FA77DE"/>
    <w:rsid w:val="00FA7A4A"/>
    <w:rsid w:val="00FB35AD"/>
    <w:rsid w:val="00FB52D1"/>
    <w:rsid w:val="00FB7083"/>
    <w:rsid w:val="00FC4BD0"/>
    <w:rsid w:val="00FC561C"/>
    <w:rsid w:val="00FC5F51"/>
    <w:rsid w:val="00FC7FCA"/>
    <w:rsid w:val="00FD18F6"/>
    <w:rsid w:val="00FD31FF"/>
    <w:rsid w:val="00FD5178"/>
    <w:rsid w:val="00FD5BA0"/>
    <w:rsid w:val="00FD6769"/>
    <w:rsid w:val="00FE03F6"/>
    <w:rsid w:val="00FE09EF"/>
    <w:rsid w:val="00FE3D34"/>
    <w:rsid w:val="00FE469B"/>
    <w:rsid w:val="00FE4A92"/>
    <w:rsid w:val="00FF5C5F"/>
    <w:rsid w:val="00FF75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FD5CCD"/>
  <w14:defaultImageDpi w14:val="32767"/>
  <w15:chartTrackingRefBased/>
  <w15:docId w15:val="{63E232E6-2953-C949-A84B-D71BA08AF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D40202"/>
    <w:rPr>
      <w:rFonts w:ascii="Times New Roman" w:eastAsia="Times New Roman" w:hAnsi="Times New Roman" w:cs="Times New Roman"/>
      <w:lang w:val="en-AU"/>
    </w:rPr>
  </w:style>
  <w:style w:type="paragraph" w:styleId="Heading1">
    <w:name w:val="heading 1"/>
    <w:basedOn w:val="Normal"/>
    <w:next w:val="Normal"/>
    <w:link w:val="Heading1Char"/>
    <w:uiPriority w:val="9"/>
    <w:qFormat/>
    <w:rsid w:val="00B16397"/>
    <w:pPr>
      <w:outlineLvl w:val="0"/>
    </w:pPr>
    <w:rPr>
      <w:rFonts w:ascii="Helvetica Neue" w:eastAsiaTheme="minorHAnsi" w:hAnsi="Helvetica Neue" w:cstheme="minorBidi"/>
      <w:b/>
      <w:color w:val="CC0099"/>
      <w:sz w:val="36"/>
    </w:rPr>
  </w:style>
  <w:style w:type="paragraph" w:styleId="Heading2">
    <w:name w:val="heading 2"/>
    <w:basedOn w:val="Heading1"/>
    <w:next w:val="Normal"/>
    <w:link w:val="Heading2Char"/>
    <w:uiPriority w:val="9"/>
    <w:unhideWhenUsed/>
    <w:qFormat/>
    <w:rsid w:val="0024787F"/>
    <w:pPr>
      <w:spacing w:line="276" w:lineRule="auto"/>
      <w:jc w:val="both"/>
      <w:outlineLvl w:val="1"/>
    </w:pPr>
    <w:rPr>
      <w:rFonts w:ascii="Helvetica" w:hAnsi="Helvetica"/>
      <w:sz w:val="28"/>
    </w:rPr>
  </w:style>
  <w:style w:type="paragraph" w:styleId="Heading3">
    <w:name w:val="heading 3"/>
    <w:basedOn w:val="Heading2"/>
    <w:next w:val="Normal"/>
    <w:link w:val="Heading3Char"/>
    <w:uiPriority w:val="9"/>
    <w:unhideWhenUsed/>
    <w:qFormat/>
    <w:rsid w:val="0024787F"/>
    <w:pPr>
      <w:outlineLvl w:val="2"/>
    </w:pPr>
    <w:rPr>
      <w:color w:val="17365D"/>
      <w:sz w:val="24"/>
    </w:rPr>
  </w:style>
  <w:style w:type="paragraph" w:styleId="Heading4">
    <w:name w:val="heading 4"/>
    <w:basedOn w:val="Normal"/>
    <w:next w:val="Normal"/>
    <w:link w:val="Heading4Char"/>
    <w:uiPriority w:val="9"/>
    <w:semiHidden/>
    <w:unhideWhenUsed/>
    <w:qFormat/>
    <w:rsid w:val="007B5DE5"/>
    <w:pPr>
      <w:keepNext/>
      <w:keepLines/>
      <w:spacing w:before="40"/>
      <w:outlineLvl w:val="3"/>
    </w:pPr>
    <w:rPr>
      <w:rFonts w:asciiTheme="majorHAnsi" w:eastAsiaTheme="majorEastAsia" w:hAnsiTheme="majorHAnsi" w:cstheme="majorBidi"/>
      <w:i/>
      <w:iCs/>
      <w:color w:val="2F5496" w:themeColor="accent1" w:themeShade="BF"/>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6397"/>
    <w:rPr>
      <w:rFonts w:ascii="Helvetica Neue" w:hAnsi="Helvetica Neue"/>
      <w:b/>
      <w:color w:val="CC0099"/>
      <w:sz w:val="36"/>
      <w:lang w:val="en-AU"/>
    </w:rPr>
  </w:style>
  <w:style w:type="character" w:customStyle="1" w:styleId="Heading2Char">
    <w:name w:val="Heading 2 Char"/>
    <w:basedOn w:val="DefaultParagraphFont"/>
    <w:link w:val="Heading2"/>
    <w:uiPriority w:val="9"/>
    <w:rsid w:val="0024787F"/>
    <w:rPr>
      <w:rFonts w:ascii="Helvetica" w:hAnsi="Helvetica"/>
      <w:b/>
      <w:color w:val="CC0099"/>
      <w:sz w:val="28"/>
      <w:lang w:val="en-AU"/>
    </w:rPr>
  </w:style>
  <w:style w:type="paragraph" w:styleId="ListParagraph">
    <w:name w:val="List Paragraph"/>
    <w:aliases w:val="L,List Paragraph1,List Paragraph11,Recommendation,EOT List Paragraph,CV text,Table text,F5 List Paragraph,Dot pt,Medium Grid 1 - Accent 21,Numbered Paragraph,List Paragraph111,List Paragraph2,Bulleted Para,NFP GP Bulleted List,FooterText"/>
    <w:basedOn w:val="Normal"/>
    <w:link w:val="ListParagraphChar"/>
    <w:uiPriority w:val="34"/>
    <w:qFormat/>
    <w:rsid w:val="00B16397"/>
    <w:pPr>
      <w:ind w:left="720"/>
      <w:contextualSpacing/>
    </w:pPr>
    <w:rPr>
      <w:rFonts w:asciiTheme="minorHAnsi" w:eastAsiaTheme="minorHAnsi" w:hAnsiTheme="minorHAnsi" w:cstheme="minorBidi"/>
      <w:lang w:val="en-GB"/>
    </w:rPr>
  </w:style>
  <w:style w:type="paragraph" w:styleId="NormalWeb">
    <w:name w:val="Normal (Web)"/>
    <w:basedOn w:val="Normal"/>
    <w:uiPriority w:val="99"/>
    <w:unhideWhenUsed/>
    <w:rsid w:val="00E26382"/>
    <w:pPr>
      <w:spacing w:before="100" w:beforeAutospacing="1" w:after="100" w:afterAutospacing="1"/>
    </w:pPr>
    <w:rPr>
      <w:lang w:eastAsia="en-AU"/>
    </w:rPr>
  </w:style>
  <w:style w:type="character" w:styleId="Hyperlink">
    <w:name w:val="Hyperlink"/>
    <w:basedOn w:val="DefaultParagraphFont"/>
    <w:uiPriority w:val="99"/>
    <w:unhideWhenUsed/>
    <w:rsid w:val="00E26382"/>
    <w:rPr>
      <w:color w:val="0000FF"/>
      <w:u w:val="single"/>
    </w:rPr>
  </w:style>
  <w:style w:type="character" w:styleId="UnresolvedMention">
    <w:name w:val="Unresolved Mention"/>
    <w:basedOn w:val="DefaultParagraphFont"/>
    <w:uiPriority w:val="99"/>
    <w:rsid w:val="006B7203"/>
    <w:rPr>
      <w:color w:val="808080"/>
      <w:shd w:val="clear" w:color="auto" w:fill="E6E6E6"/>
    </w:rPr>
  </w:style>
  <w:style w:type="character" w:customStyle="1" w:styleId="Heading3Char">
    <w:name w:val="Heading 3 Char"/>
    <w:basedOn w:val="DefaultParagraphFont"/>
    <w:link w:val="Heading3"/>
    <w:uiPriority w:val="9"/>
    <w:rsid w:val="0024787F"/>
    <w:rPr>
      <w:rFonts w:ascii="Helvetica" w:hAnsi="Helvetica"/>
      <w:b/>
      <w:color w:val="17365D"/>
      <w:lang w:val="en-AU"/>
    </w:rPr>
  </w:style>
  <w:style w:type="paragraph" w:styleId="Header">
    <w:name w:val="header"/>
    <w:basedOn w:val="Normal"/>
    <w:link w:val="HeaderChar"/>
    <w:uiPriority w:val="99"/>
    <w:unhideWhenUsed/>
    <w:rsid w:val="006811B8"/>
    <w:pPr>
      <w:tabs>
        <w:tab w:val="center" w:pos="4513"/>
        <w:tab w:val="right" w:pos="9026"/>
      </w:tabs>
    </w:pPr>
    <w:rPr>
      <w:rFonts w:asciiTheme="minorHAnsi" w:eastAsiaTheme="minorHAnsi" w:hAnsiTheme="minorHAnsi" w:cstheme="minorBidi"/>
      <w:lang w:val="en-GB"/>
    </w:rPr>
  </w:style>
  <w:style w:type="character" w:customStyle="1" w:styleId="HeaderChar">
    <w:name w:val="Header Char"/>
    <w:basedOn w:val="DefaultParagraphFont"/>
    <w:link w:val="Header"/>
    <w:uiPriority w:val="99"/>
    <w:rsid w:val="006811B8"/>
  </w:style>
  <w:style w:type="paragraph" w:styleId="Footer">
    <w:name w:val="footer"/>
    <w:basedOn w:val="Normal"/>
    <w:link w:val="FooterChar"/>
    <w:uiPriority w:val="99"/>
    <w:unhideWhenUsed/>
    <w:rsid w:val="006811B8"/>
    <w:pPr>
      <w:tabs>
        <w:tab w:val="center" w:pos="4513"/>
        <w:tab w:val="right" w:pos="9026"/>
      </w:tabs>
    </w:pPr>
    <w:rPr>
      <w:rFonts w:asciiTheme="minorHAnsi" w:eastAsiaTheme="minorHAnsi" w:hAnsiTheme="minorHAnsi" w:cstheme="minorBidi"/>
      <w:lang w:val="en-GB"/>
    </w:rPr>
  </w:style>
  <w:style w:type="character" w:customStyle="1" w:styleId="FooterChar">
    <w:name w:val="Footer Char"/>
    <w:basedOn w:val="DefaultParagraphFont"/>
    <w:link w:val="Footer"/>
    <w:uiPriority w:val="99"/>
    <w:rsid w:val="006811B8"/>
  </w:style>
  <w:style w:type="paragraph" w:styleId="TOCHeading">
    <w:name w:val="TOC Heading"/>
    <w:basedOn w:val="Heading1"/>
    <w:next w:val="Normal"/>
    <w:uiPriority w:val="39"/>
    <w:unhideWhenUsed/>
    <w:qFormat/>
    <w:rsid w:val="0040289D"/>
    <w:pPr>
      <w:keepNext/>
      <w:keepLines/>
      <w:spacing w:before="480" w:line="276" w:lineRule="auto"/>
      <w:outlineLvl w:val="9"/>
    </w:pPr>
    <w:rPr>
      <w:rFonts w:asciiTheme="majorHAnsi" w:eastAsiaTheme="majorEastAsia" w:hAnsiTheme="majorHAnsi" w:cstheme="majorBidi"/>
      <w:bCs/>
      <w:color w:val="2F5496" w:themeColor="accent1" w:themeShade="BF"/>
      <w:sz w:val="28"/>
      <w:szCs w:val="28"/>
      <w:lang w:val="en-US"/>
    </w:rPr>
  </w:style>
  <w:style w:type="paragraph" w:styleId="TOC2">
    <w:name w:val="toc 2"/>
    <w:basedOn w:val="Normal"/>
    <w:next w:val="Normal"/>
    <w:autoRedefine/>
    <w:uiPriority w:val="39"/>
    <w:unhideWhenUsed/>
    <w:rsid w:val="00A64791"/>
    <w:pPr>
      <w:tabs>
        <w:tab w:val="right" w:leader="dot" w:pos="9010"/>
      </w:tabs>
      <w:spacing w:after="100" w:line="276" w:lineRule="auto"/>
      <w:ind w:left="240" w:hanging="284"/>
    </w:pPr>
    <w:rPr>
      <w:rFonts w:asciiTheme="minorHAnsi" w:eastAsiaTheme="minorHAnsi" w:hAnsiTheme="minorHAnsi" w:cstheme="minorBidi"/>
      <w:lang w:val="en-GB"/>
    </w:rPr>
  </w:style>
  <w:style w:type="paragraph" w:styleId="TOC3">
    <w:name w:val="toc 3"/>
    <w:basedOn w:val="Normal"/>
    <w:next w:val="Normal"/>
    <w:autoRedefine/>
    <w:uiPriority w:val="39"/>
    <w:unhideWhenUsed/>
    <w:rsid w:val="00297644"/>
    <w:pPr>
      <w:tabs>
        <w:tab w:val="left" w:pos="851"/>
        <w:tab w:val="right" w:leader="dot" w:pos="9622"/>
      </w:tabs>
      <w:spacing w:after="100"/>
      <w:ind w:left="851" w:hanging="567"/>
    </w:pPr>
    <w:rPr>
      <w:rFonts w:asciiTheme="minorHAnsi" w:eastAsiaTheme="minorHAnsi" w:hAnsiTheme="minorHAnsi" w:cstheme="minorBidi"/>
      <w:lang w:val="en-GB"/>
    </w:rPr>
  </w:style>
  <w:style w:type="character" w:customStyle="1" w:styleId="Heading4Char">
    <w:name w:val="Heading 4 Char"/>
    <w:basedOn w:val="DefaultParagraphFont"/>
    <w:link w:val="Heading4"/>
    <w:uiPriority w:val="9"/>
    <w:semiHidden/>
    <w:rsid w:val="007B5DE5"/>
    <w:rPr>
      <w:rFonts w:asciiTheme="majorHAnsi" w:eastAsiaTheme="majorEastAsia" w:hAnsiTheme="majorHAnsi" w:cstheme="majorBidi"/>
      <w:i/>
      <w:iCs/>
      <w:color w:val="2F5496" w:themeColor="accent1" w:themeShade="BF"/>
    </w:rPr>
  </w:style>
  <w:style w:type="character" w:styleId="Emphasis">
    <w:name w:val="Emphasis"/>
    <w:uiPriority w:val="20"/>
    <w:qFormat/>
    <w:rsid w:val="007B5DE5"/>
    <w:rPr>
      <w:i/>
      <w:iCs/>
    </w:rPr>
  </w:style>
  <w:style w:type="character" w:styleId="Strong">
    <w:name w:val="Strong"/>
    <w:basedOn w:val="DefaultParagraphFont"/>
    <w:uiPriority w:val="22"/>
    <w:qFormat/>
    <w:rsid w:val="00CB585C"/>
    <w:rPr>
      <w:b/>
      <w:bCs/>
    </w:rPr>
  </w:style>
  <w:style w:type="character" w:styleId="FollowedHyperlink">
    <w:name w:val="FollowedHyperlink"/>
    <w:basedOn w:val="DefaultParagraphFont"/>
    <w:uiPriority w:val="99"/>
    <w:semiHidden/>
    <w:unhideWhenUsed/>
    <w:rsid w:val="009D2DCA"/>
    <w:rPr>
      <w:color w:val="954F72" w:themeColor="followedHyperlink"/>
      <w:u w:val="single"/>
    </w:rPr>
  </w:style>
  <w:style w:type="paragraph" w:styleId="NoSpacing">
    <w:name w:val="No Spacing"/>
    <w:link w:val="NoSpacingChar"/>
    <w:qFormat/>
    <w:rsid w:val="009D2DCA"/>
  </w:style>
  <w:style w:type="character" w:styleId="PageNumber">
    <w:name w:val="page number"/>
    <w:basedOn w:val="DefaultParagraphFont"/>
    <w:uiPriority w:val="99"/>
    <w:semiHidden/>
    <w:unhideWhenUsed/>
    <w:rsid w:val="000233A0"/>
  </w:style>
  <w:style w:type="paragraph" w:styleId="TOC1">
    <w:name w:val="toc 1"/>
    <w:basedOn w:val="Normal"/>
    <w:next w:val="Normal"/>
    <w:autoRedefine/>
    <w:uiPriority w:val="39"/>
    <w:unhideWhenUsed/>
    <w:rsid w:val="00971D19"/>
    <w:pPr>
      <w:spacing w:after="100"/>
    </w:pPr>
    <w:rPr>
      <w:rFonts w:asciiTheme="minorHAnsi" w:eastAsiaTheme="minorHAnsi" w:hAnsiTheme="minorHAnsi" w:cstheme="minorBidi"/>
      <w:lang w:val="en-GB"/>
    </w:rPr>
  </w:style>
  <w:style w:type="character" w:styleId="CommentReference">
    <w:name w:val="annotation reference"/>
    <w:basedOn w:val="DefaultParagraphFont"/>
    <w:uiPriority w:val="99"/>
    <w:semiHidden/>
    <w:unhideWhenUsed/>
    <w:rsid w:val="0081537A"/>
    <w:rPr>
      <w:sz w:val="16"/>
      <w:szCs w:val="16"/>
    </w:rPr>
  </w:style>
  <w:style w:type="paragraph" w:styleId="CommentText">
    <w:name w:val="annotation text"/>
    <w:basedOn w:val="Normal"/>
    <w:link w:val="CommentTextChar"/>
    <w:uiPriority w:val="99"/>
    <w:semiHidden/>
    <w:unhideWhenUsed/>
    <w:rsid w:val="0081537A"/>
    <w:rPr>
      <w:sz w:val="20"/>
      <w:szCs w:val="20"/>
    </w:rPr>
  </w:style>
  <w:style w:type="character" w:customStyle="1" w:styleId="CommentTextChar">
    <w:name w:val="Comment Text Char"/>
    <w:basedOn w:val="DefaultParagraphFont"/>
    <w:link w:val="CommentText"/>
    <w:uiPriority w:val="99"/>
    <w:semiHidden/>
    <w:rsid w:val="0081537A"/>
    <w:rPr>
      <w:sz w:val="20"/>
      <w:szCs w:val="20"/>
    </w:rPr>
  </w:style>
  <w:style w:type="paragraph" w:styleId="CommentSubject">
    <w:name w:val="annotation subject"/>
    <w:basedOn w:val="CommentText"/>
    <w:next w:val="CommentText"/>
    <w:link w:val="CommentSubjectChar"/>
    <w:uiPriority w:val="99"/>
    <w:semiHidden/>
    <w:unhideWhenUsed/>
    <w:rsid w:val="0081537A"/>
    <w:rPr>
      <w:b/>
      <w:bCs/>
    </w:rPr>
  </w:style>
  <w:style w:type="character" w:customStyle="1" w:styleId="CommentSubjectChar">
    <w:name w:val="Comment Subject Char"/>
    <w:basedOn w:val="CommentTextChar"/>
    <w:link w:val="CommentSubject"/>
    <w:uiPriority w:val="99"/>
    <w:semiHidden/>
    <w:rsid w:val="0081537A"/>
    <w:rPr>
      <w:b/>
      <w:bCs/>
      <w:sz w:val="20"/>
      <w:szCs w:val="20"/>
    </w:rPr>
  </w:style>
  <w:style w:type="paragraph" w:styleId="BalloonText">
    <w:name w:val="Balloon Text"/>
    <w:basedOn w:val="Normal"/>
    <w:link w:val="BalloonTextChar"/>
    <w:uiPriority w:val="99"/>
    <w:semiHidden/>
    <w:unhideWhenUsed/>
    <w:rsid w:val="0081537A"/>
    <w:rPr>
      <w:sz w:val="18"/>
      <w:szCs w:val="18"/>
    </w:rPr>
  </w:style>
  <w:style w:type="character" w:customStyle="1" w:styleId="BalloonTextChar">
    <w:name w:val="Balloon Text Char"/>
    <w:basedOn w:val="DefaultParagraphFont"/>
    <w:link w:val="BalloonText"/>
    <w:uiPriority w:val="99"/>
    <w:semiHidden/>
    <w:rsid w:val="0081537A"/>
    <w:rPr>
      <w:rFonts w:ascii="Times New Roman" w:hAnsi="Times New Roman" w:cs="Times New Roman"/>
      <w:sz w:val="18"/>
      <w:szCs w:val="18"/>
    </w:rPr>
  </w:style>
  <w:style w:type="paragraph" w:customStyle="1" w:styleId="H23">
    <w:name w:val="_ H_2/3"/>
    <w:basedOn w:val="Normal"/>
    <w:next w:val="SingleTxt"/>
    <w:rsid w:val="0081537A"/>
    <w:pPr>
      <w:suppressAutoHyphens/>
      <w:spacing w:line="240" w:lineRule="exact"/>
      <w:outlineLvl w:val="1"/>
    </w:pPr>
    <w:rPr>
      <w:rFonts w:eastAsiaTheme="minorHAnsi"/>
      <w:b/>
      <w:spacing w:val="4"/>
      <w:w w:val="103"/>
      <w:kern w:val="14"/>
      <w:sz w:val="20"/>
      <w:szCs w:val="20"/>
      <w:lang w:val="en-US"/>
    </w:rPr>
  </w:style>
  <w:style w:type="paragraph" w:customStyle="1" w:styleId="SingleTxt">
    <w:name w:val="__Single Txt"/>
    <w:basedOn w:val="Normal"/>
    <w:rsid w:val="0081537A"/>
    <w:p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after="120" w:line="240" w:lineRule="atLeast"/>
      <w:ind w:left="1267" w:right="1267"/>
      <w:jc w:val="both"/>
    </w:pPr>
    <w:rPr>
      <w:rFonts w:eastAsiaTheme="minorHAnsi"/>
      <w:spacing w:val="4"/>
      <w:w w:val="103"/>
      <w:kern w:val="14"/>
      <w:sz w:val="20"/>
      <w:szCs w:val="20"/>
      <w:lang w:val="en-GB"/>
    </w:rPr>
  </w:style>
  <w:style w:type="paragraph" w:customStyle="1" w:styleId="Distribution">
    <w:name w:val="Distribution"/>
    <w:next w:val="Normal"/>
    <w:rsid w:val="0081537A"/>
    <w:pPr>
      <w:spacing w:before="240"/>
    </w:pPr>
    <w:rPr>
      <w:rFonts w:ascii="Times New Roman" w:hAnsi="Times New Roman" w:cs="Times New Roman"/>
      <w:spacing w:val="4"/>
      <w:w w:val="103"/>
      <w:kern w:val="14"/>
      <w:sz w:val="20"/>
      <w:szCs w:val="20"/>
    </w:rPr>
  </w:style>
  <w:style w:type="paragraph" w:styleId="EndnoteText">
    <w:name w:val="endnote text"/>
    <w:aliases w:val="2_G"/>
    <w:basedOn w:val="Normal"/>
    <w:link w:val="EndnoteTextChar"/>
    <w:uiPriority w:val="99"/>
    <w:unhideWhenUsed/>
    <w:qFormat/>
    <w:rsid w:val="00023F30"/>
    <w:rPr>
      <w:rFonts w:asciiTheme="minorHAnsi" w:eastAsiaTheme="minorHAnsi" w:hAnsiTheme="minorHAnsi" w:cstheme="minorBidi"/>
      <w:sz w:val="20"/>
      <w:szCs w:val="20"/>
      <w:lang w:val="en-GB"/>
    </w:rPr>
  </w:style>
  <w:style w:type="character" w:customStyle="1" w:styleId="EndnoteTextChar">
    <w:name w:val="Endnote Text Char"/>
    <w:aliases w:val="2_G Char"/>
    <w:basedOn w:val="DefaultParagraphFont"/>
    <w:link w:val="EndnoteText"/>
    <w:uiPriority w:val="99"/>
    <w:rsid w:val="00023F30"/>
    <w:rPr>
      <w:sz w:val="20"/>
      <w:szCs w:val="20"/>
    </w:rPr>
  </w:style>
  <w:style w:type="character" w:styleId="EndnoteReference">
    <w:name w:val="endnote reference"/>
    <w:aliases w:val="1_G"/>
    <w:basedOn w:val="DefaultParagraphFont"/>
    <w:uiPriority w:val="99"/>
    <w:unhideWhenUsed/>
    <w:qFormat/>
    <w:rsid w:val="00023F30"/>
    <w:rPr>
      <w:vertAlign w:val="superscript"/>
    </w:rPr>
  </w:style>
  <w:style w:type="character" w:styleId="FootnoteReference">
    <w:name w:val="footnote reference"/>
    <w:aliases w:val="Footnotes refss,Footnote number,Footnote,Ref,de nota al pie,opcalrc,callout,NO,4_G Char Char Char Char,Footnotes refss Char Char Char Char,ftref Char Char Char Char,BVI fnr Char Char Char Char,BVI fnr Car Car Char Char Char Char,4_G,f"/>
    <w:basedOn w:val="DefaultParagraphFont"/>
    <w:link w:val="4GCharCharChar"/>
    <w:unhideWhenUsed/>
    <w:qFormat/>
    <w:rsid w:val="00F343F7"/>
    <w:rPr>
      <w:vertAlign w:val="superscript"/>
    </w:rPr>
  </w:style>
  <w:style w:type="character" w:customStyle="1" w:styleId="FootnoteTextChar">
    <w:name w:val="Footnote Text Char"/>
    <w:aliases w:val="Footnote Text Char Char Char Char Char Char Char,Footnote Text Char Char Char Char Char Char Char Char Char Char Char Char Char Char Char Char Char Char,Ca Char"/>
    <w:basedOn w:val="DefaultParagraphFont"/>
    <w:link w:val="FootnoteText"/>
    <w:uiPriority w:val="99"/>
    <w:rsid w:val="00F343F7"/>
    <w:rPr>
      <w:sz w:val="20"/>
      <w:szCs w:val="20"/>
    </w:rPr>
  </w:style>
  <w:style w:type="paragraph" w:styleId="FootnoteText">
    <w:name w:val="footnote text"/>
    <w:aliases w:val="Footnote Text Char Char Char Char Char Char,Footnote Text Char Char Char Char Char Char Char Char Char Char Char Char Char Char Char Char Char,Footnote Text Char Char Char Char Char Char Char Char Char Char Char Char Char Char Char Char,Ca"/>
    <w:basedOn w:val="Normal"/>
    <w:link w:val="FootnoteTextChar"/>
    <w:uiPriority w:val="99"/>
    <w:unhideWhenUsed/>
    <w:qFormat/>
    <w:rsid w:val="00F343F7"/>
    <w:rPr>
      <w:rFonts w:asciiTheme="minorHAnsi" w:eastAsiaTheme="minorHAnsi" w:hAnsiTheme="minorHAnsi" w:cstheme="minorBidi"/>
      <w:sz w:val="20"/>
      <w:szCs w:val="20"/>
      <w:lang w:val="en-GB"/>
    </w:rPr>
  </w:style>
  <w:style w:type="character" w:customStyle="1" w:styleId="FootnoteTextChar1">
    <w:name w:val="Footnote Text Char1"/>
    <w:basedOn w:val="DefaultParagraphFont"/>
    <w:uiPriority w:val="99"/>
    <w:semiHidden/>
    <w:rsid w:val="00F343F7"/>
    <w:rPr>
      <w:sz w:val="20"/>
      <w:szCs w:val="20"/>
    </w:rPr>
  </w:style>
  <w:style w:type="paragraph" w:customStyle="1" w:styleId="4GCharCharChar">
    <w:name w:val="4_G Char Char Char"/>
    <w:aliases w:val="Footnotes refss Char Char Char,ftref Char Char Char,BVI fnr Char Char Char,BVI fnr Car Car Char Char Char,BVI fnr Car Char Char Char,BVI fnr Car Car Car Car Char Char1 Char,BVI fnr Char Car Car Car Char Char Char"/>
    <w:basedOn w:val="Normal"/>
    <w:link w:val="FootnoteReference"/>
    <w:uiPriority w:val="99"/>
    <w:rsid w:val="00F343F7"/>
    <w:pPr>
      <w:spacing w:before="120" w:after="120" w:line="240" w:lineRule="exact"/>
      <w:jc w:val="both"/>
    </w:pPr>
    <w:rPr>
      <w:rFonts w:asciiTheme="minorHAnsi" w:eastAsiaTheme="minorHAnsi" w:hAnsiTheme="minorHAnsi" w:cstheme="minorBidi"/>
      <w:vertAlign w:val="superscript"/>
      <w:lang w:val="en-GB"/>
    </w:rPr>
  </w:style>
  <w:style w:type="paragraph" w:customStyle="1" w:styleId="default">
    <w:name w:val="default"/>
    <w:basedOn w:val="Normal"/>
    <w:rsid w:val="00F343F7"/>
    <w:pPr>
      <w:spacing w:before="100" w:beforeAutospacing="1" w:after="100" w:afterAutospacing="1"/>
    </w:pPr>
    <w:rPr>
      <w:lang w:eastAsia="en-GB"/>
    </w:rPr>
  </w:style>
  <w:style w:type="character" w:customStyle="1" w:styleId="NoSpacingChar">
    <w:name w:val="No Spacing Char"/>
    <w:basedOn w:val="DefaultParagraphFont"/>
    <w:link w:val="NoSpacing"/>
    <w:rsid w:val="00F343F7"/>
  </w:style>
  <w:style w:type="character" w:customStyle="1" w:styleId="ListParagraphChar">
    <w:name w:val="List Paragraph Char"/>
    <w:aliases w:val="L Char,List Paragraph1 Char,List Paragraph11 Char,Recommendation Char,EOT List Paragraph Char,CV text Char,Table text Char,F5 List Paragraph Char,Dot pt Char,Medium Grid 1 - Accent 21 Char,Numbered Paragraph Char,List Paragraph2 Char"/>
    <w:link w:val="ListParagraph"/>
    <w:uiPriority w:val="34"/>
    <w:qFormat/>
    <w:locked/>
    <w:rsid w:val="00415C95"/>
  </w:style>
  <w:style w:type="paragraph" w:customStyle="1" w:styleId="textbox">
    <w:name w:val="textbox"/>
    <w:basedOn w:val="Normal"/>
    <w:rsid w:val="00A56DB8"/>
    <w:pPr>
      <w:spacing w:before="100" w:beforeAutospacing="1" w:after="100" w:afterAutospacing="1"/>
    </w:pPr>
    <w:rPr>
      <w:rFonts w:eastAsiaTheme="minorHAnsi"/>
      <w:lang w:val="en-GB" w:eastAsia="en-GB"/>
    </w:rPr>
  </w:style>
  <w:style w:type="paragraph" w:customStyle="1" w:styleId="Default0">
    <w:name w:val="Default"/>
    <w:rsid w:val="00A16838"/>
    <w:pPr>
      <w:autoSpaceDE w:val="0"/>
      <w:autoSpaceDN w:val="0"/>
      <w:adjustRightInd w:val="0"/>
    </w:pPr>
    <w:rPr>
      <w:rFonts w:ascii="Times New Roman" w:hAnsi="Times New Roman" w:cs="Times New Roman"/>
      <w:color w:val="000000"/>
      <w:lang w:val="en-US"/>
    </w:rPr>
  </w:style>
  <w:style w:type="character" w:customStyle="1" w:styleId="apple-converted-space">
    <w:name w:val="apple-converted-space"/>
    <w:basedOn w:val="DefaultParagraphFont"/>
    <w:rsid w:val="00A16838"/>
  </w:style>
  <w:style w:type="character" w:customStyle="1" w:styleId="A9">
    <w:name w:val="A9"/>
    <w:uiPriority w:val="99"/>
    <w:rsid w:val="00A16838"/>
    <w:rPr>
      <w:rFonts w:cs="DINOT-Regular"/>
      <w:color w:val="000000"/>
      <w:sz w:val="21"/>
      <w:szCs w:val="21"/>
    </w:rPr>
  </w:style>
  <w:style w:type="character" w:customStyle="1" w:styleId="A7">
    <w:name w:val="A7"/>
    <w:uiPriority w:val="99"/>
    <w:rsid w:val="00A16838"/>
    <w:rPr>
      <w:rFonts w:cs="DINOT-Regular"/>
      <w:color w:val="000000"/>
      <w:sz w:val="19"/>
      <w:szCs w:val="19"/>
    </w:rPr>
  </w:style>
  <w:style w:type="paragraph" w:customStyle="1" w:styleId="Body">
    <w:name w:val="Body"/>
    <w:rsid w:val="00A16838"/>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lang w:val="en-US"/>
    </w:rPr>
  </w:style>
  <w:style w:type="paragraph" w:customStyle="1" w:styleId="HRLCHeading1">
    <w:name w:val="HRLC Heading 1"/>
    <w:basedOn w:val="Normal"/>
    <w:next w:val="AARHeading2"/>
    <w:rsid w:val="00A16838"/>
    <w:pPr>
      <w:keepNext/>
      <w:numPr>
        <w:numId w:val="1"/>
      </w:numPr>
      <w:pBdr>
        <w:bottom w:val="single" w:sz="4" w:space="3" w:color="auto"/>
      </w:pBdr>
      <w:spacing w:before="360" w:line="312" w:lineRule="auto"/>
    </w:pPr>
    <w:rPr>
      <w:rFonts w:ascii="Caecilia LT Pro 55 Roman" w:hAnsi="Caecilia LT Pro 55 Roman"/>
      <w:sz w:val="36"/>
      <w:szCs w:val="20"/>
    </w:rPr>
  </w:style>
  <w:style w:type="paragraph" w:customStyle="1" w:styleId="AARHeading2">
    <w:name w:val="AAR Heading 2"/>
    <w:basedOn w:val="Normal"/>
    <w:next w:val="Normal"/>
    <w:rsid w:val="00A16838"/>
    <w:pPr>
      <w:keepNext/>
      <w:numPr>
        <w:ilvl w:val="1"/>
        <w:numId w:val="1"/>
      </w:numPr>
      <w:tabs>
        <w:tab w:val="clear" w:pos="709"/>
        <w:tab w:val="num" w:pos="1789"/>
      </w:tabs>
      <w:spacing w:before="200" w:line="312" w:lineRule="auto"/>
      <w:ind w:left="1789"/>
    </w:pPr>
    <w:rPr>
      <w:rFonts w:ascii="Arial" w:hAnsi="Arial"/>
      <w:b/>
      <w:sz w:val="20"/>
      <w:szCs w:val="20"/>
    </w:rPr>
  </w:style>
  <w:style w:type="paragraph" w:customStyle="1" w:styleId="AARHeading3">
    <w:name w:val="AAR Heading 3"/>
    <w:basedOn w:val="Normal"/>
    <w:rsid w:val="00A16838"/>
    <w:pPr>
      <w:numPr>
        <w:ilvl w:val="2"/>
        <w:numId w:val="1"/>
      </w:numPr>
      <w:spacing w:before="100" w:line="312" w:lineRule="auto"/>
      <w:outlineLvl w:val="2"/>
    </w:pPr>
    <w:rPr>
      <w:rFonts w:ascii="Arial" w:hAnsi="Arial"/>
      <w:b/>
      <w:i/>
      <w:sz w:val="20"/>
      <w:szCs w:val="20"/>
    </w:rPr>
  </w:style>
  <w:style w:type="paragraph" w:customStyle="1" w:styleId="AARHeading4">
    <w:name w:val="AAR Heading 4"/>
    <w:basedOn w:val="Normal"/>
    <w:rsid w:val="00A16838"/>
    <w:pPr>
      <w:numPr>
        <w:ilvl w:val="3"/>
        <w:numId w:val="1"/>
      </w:numPr>
      <w:spacing w:before="100" w:line="312" w:lineRule="auto"/>
      <w:outlineLvl w:val="3"/>
    </w:pPr>
    <w:rPr>
      <w:rFonts w:ascii="Arial" w:hAnsi="Arial"/>
      <w:b/>
      <w:sz w:val="20"/>
      <w:szCs w:val="20"/>
    </w:rPr>
  </w:style>
  <w:style w:type="paragraph" w:customStyle="1" w:styleId="AARHeading5">
    <w:name w:val="AAR Heading 5"/>
    <w:basedOn w:val="Normal"/>
    <w:rsid w:val="00A16838"/>
    <w:pPr>
      <w:numPr>
        <w:ilvl w:val="4"/>
        <w:numId w:val="1"/>
      </w:numPr>
      <w:spacing w:before="100" w:line="312" w:lineRule="auto"/>
      <w:outlineLvl w:val="4"/>
    </w:pPr>
    <w:rPr>
      <w:rFonts w:ascii="Arial" w:hAnsi="Arial"/>
      <w:i/>
      <w:sz w:val="20"/>
      <w:szCs w:val="20"/>
    </w:rPr>
  </w:style>
  <w:style w:type="paragraph" w:customStyle="1" w:styleId="AARHeading6">
    <w:name w:val="AAR Heading 6"/>
    <w:basedOn w:val="Normal"/>
    <w:rsid w:val="00A16838"/>
    <w:pPr>
      <w:numPr>
        <w:ilvl w:val="5"/>
        <w:numId w:val="1"/>
      </w:numPr>
      <w:spacing w:before="100" w:line="312" w:lineRule="auto"/>
      <w:outlineLvl w:val="5"/>
    </w:pPr>
    <w:rPr>
      <w:rFonts w:ascii="Arial" w:hAnsi="Arial"/>
      <w:sz w:val="20"/>
      <w:szCs w:val="20"/>
    </w:rPr>
  </w:style>
  <w:style w:type="paragraph" w:customStyle="1" w:styleId="HRLCHeading2">
    <w:name w:val="HRLC Heading 2"/>
    <w:basedOn w:val="AARHeading2"/>
    <w:rsid w:val="00A16838"/>
    <w:pPr>
      <w:spacing w:after="60" w:line="360" w:lineRule="auto"/>
    </w:pPr>
    <w:rPr>
      <w:rFonts w:ascii="Caecilia LT Pro 55 Roman" w:hAnsi="Caecilia LT Pro 55 Roman"/>
      <w:b w:val="0"/>
      <w:bCs/>
      <w:sz w:val="24"/>
    </w:rPr>
  </w:style>
  <w:style w:type="paragraph" w:styleId="Quote">
    <w:name w:val="Quote"/>
    <w:aliases w:val="Quote 2"/>
    <w:basedOn w:val="Normal"/>
    <w:next w:val="ListParagraph"/>
    <w:link w:val="QuoteChar"/>
    <w:uiPriority w:val="29"/>
    <w:qFormat/>
    <w:rsid w:val="00B35330"/>
    <w:pPr>
      <w:spacing w:before="360" w:after="360" w:line="276" w:lineRule="auto"/>
      <w:jc w:val="center"/>
    </w:pPr>
    <w:rPr>
      <w:rFonts w:ascii="Calibri" w:eastAsia="Calibri" w:hAnsi="Calibri" w:cs="Calibri"/>
      <w:iCs/>
      <w:color w:val="404040" w:themeColor="text1" w:themeTint="BF"/>
      <w:w w:val="105"/>
      <w:kern w:val="40"/>
      <w:szCs w:val="22"/>
    </w:rPr>
  </w:style>
  <w:style w:type="character" w:customStyle="1" w:styleId="QuoteChar">
    <w:name w:val="Quote Char"/>
    <w:aliases w:val="Quote 2 Char"/>
    <w:basedOn w:val="DefaultParagraphFont"/>
    <w:link w:val="Quote"/>
    <w:uiPriority w:val="29"/>
    <w:rsid w:val="00B35330"/>
    <w:rPr>
      <w:rFonts w:ascii="Calibri" w:eastAsia="Calibri" w:hAnsi="Calibri" w:cs="Calibri"/>
      <w:iCs/>
      <w:color w:val="404040" w:themeColor="text1" w:themeTint="BF"/>
      <w:w w:val="105"/>
      <w:kern w:val="40"/>
      <w:szCs w:val="22"/>
      <w:lang w:val="en-AU"/>
    </w:rPr>
  </w:style>
  <w:style w:type="table" w:styleId="TableGrid">
    <w:name w:val="Table Grid"/>
    <w:basedOn w:val="TableNormal"/>
    <w:uiPriority w:val="39"/>
    <w:rsid w:val="00640B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Heading3"/>
    <w:qFormat/>
    <w:rsid w:val="003E782D"/>
    <w:rPr>
      <w:rFonts w:ascii="Avenir Book" w:hAnsi="Avenir Book"/>
    </w:rPr>
  </w:style>
  <w:style w:type="paragraph" w:customStyle="1" w:styleId="Style2">
    <w:name w:val="Style2"/>
    <w:basedOn w:val="Heading3"/>
    <w:qFormat/>
    <w:rsid w:val="00AD5EC8"/>
    <w:rPr>
      <w:b w:val="0"/>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222560">
      <w:bodyDiv w:val="1"/>
      <w:marLeft w:val="0"/>
      <w:marRight w:val="0"/>
      <w:marTop w:val="0"/>
      <w:marBottom w:val="0"/>
      <w:divBdr>
        <w:top w:val="none" w:sz="0" w:space="0" w:color="auto"/>
        <w:left w:val="none" w:sz="0" w:space="0" w:color="auto"/>
        <w:bottom w:val="none" w:sz="0" w:space="0" w:color="auto"/>
        <w:right w:val="none" w:sz="0" w:space="0" w:color="auto"/>
      </w:divBdr>
      <w:divsChild>
        <w:div w:id="605232126">
          <w:marLeft w:val="0"/>
          <w:marRight w:val="0"/>
          <w:marTop w:val="0"/>
          <w:marBottom w:val="0"/>
          <w:divBdr>
            <w:top w:val="none" w:sz="0" w:space="0" w:color="auto"/>
            <w:left w:val="none" w:sz="0" w:space="0" w:color="auto"/>
            <w:bottom w:val="none" w:sz="0" w:space="0" w:color="auto"/>
            <w:right w:val="none" w:sz="0" w:space="0" w:color="auto"/>
          </w:divBdr>
          <w:divsChild>
            <w:div w:id="1466578935">
              <w:marLeft w:val="0"/>
              <w:marRight w:val="0"/>
              <w:marTop w:val="0"/>
              <w:marBottom w:val="0"/>
              <w:divBdr>
                <w:top w:val="none" w:sz="0" w:space="0" w:color="auto"/>
                <w:left w:val="none" w:sz="0" w:space="0" w:color="auto"/>
                <w:bottom w:val="none" w:sz="0" w:space="0" w:color="auto"/>
                <w:right w:val="none" w:sz="0" w:space="0" w:color="auto"/>
              </w:divBdr>
              <w:divsChild>
                <w:div w:id="1235236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032940">
      <w:bodyDiv w:val="1"/>
      <w:marLeft w:val="0"/>
      <w:marRight w:val="0"/>
      <w:marTop w:val="0"/>
      <w:marBottom w:val="0"/>
      <w:divBdr>
        <w:top w:val="none" w:sz="0" w:space="0" w:color="auto"/>
        <w:left w:val="none" w:sz="0" w:space="0" w:color="auto"/>
        <w:bottom w:val="none" w:sz="0" w:space="0" w:color="auto"/>
        <w:right w:val="none" w:sz="0" w:space="0" w:color="auto"/>
      </w:divBdr>
      <w:divsChild>
        <w:div w:id="558131695">
          <w:marLeft w:val="0"/>
          <w:marRight w:val="0"/>
          <w:marTop w:val="0"/>
          <w:marBottom w:val="0"/>
          <w:divBdr>
            <w:top w:val="none" w:sz="0" w:space="0" w:color="auto"/>
            <w:left w:val="none" w:sz="0" w:space="0" w:color="auto"/>
            <w:bottom w:val="none" w:sz="0" w:space="0" w:color="auto"/>
            <w:right w:val="none" w:sz="0" w:space="0" w:color="auto"/>
          </w:divBdr>
        </w:div>
        <w:div w:id="618879145">
          <w:marLeft w:val="0"/>
          <w:marRight w:val="0"/>
          <w:marTop w:val="0"/>
          <w:marBottom w:val="0"/>
          <w:divBdr>
            <w:top w:val="none" w:sz="0" w:space="0" w:color="auto"/>
            <w:left w:val="none" w:sz="0" w:space="0" w:color="auto"/>
            <w:bottom w:val="none" w:sz="0" w:space="0" w:color="auto"/>
            <w:right w:val="none" w:sz="0" w:space="0" w:color="auto"/>
          </w:divBdr>
        </w:div>
        <w:div w:id="772746031">
          <w:marLeft w:val="0"/>
          <w:marRight w:val="0"/>
          <w:marTop w:val="0"/>
          <w:marBottom w:val="0"/>
          <w:divBdr>
            <w:top w:val="none" w:sz="0" w:space="0" w:color="auto"/>
            <w:left w:val="none" w:sz="0" w:space="0" w:color="auto"/>
            <w:bottom w:val="none" w:sz="0" w:space="0" w:color="auto"/>
            <w:right w:val="none" w:sz="0" w:space="0" w:color="auto"/>
          </w:divBdr>
        </w:div>
        <w:div w:id="1102336747">
          <w:marLeft w:val="0"/>
          <w:marRight w:val="0"/>
          <w:marTop w:val="0"/>
          <w:marBottom w:val="0"/>
          <w:divBdr>
            <w:top w:val="none" w:sz="0" w:space="0" w:color="auto"/>
            <w:left w:val="none" w:sz="0" w:space="0" w:color="auto"/>
            <w:bottom w:val="none" w:sz="0" w:space="0" w:color="auto"/>
            <w:right w:val="none" w:sz="0" w:space="0" w:color="auto"/>
          </w:divBdr>
        </w:div>
        <w:div w:id="1241017229">
          <w:marLeft w:val="0"/>
          <w:marRight w:val="0"/>
          <w:marTop w:val="0"/>
          <w:marBottom w:val="0"/>
          <w:divBdr>
            <w:top w:val="none" w:sz="0" w:space="0" w:color="auto"/>
            <w:left w:val="none" w:sz="0" w:space="0" w:color="auto"/>
            <w:bottom w:val="none" w:sz="0" w:space="0" w:color="auto"/>
            <w:right w:val="none" w:sz="0" w:space="0" w:color="auto"/>
          </w:divBdr>
        </w:div>
        <w:div w:id="1971474107">
          <w:marLeft w:val="0"/>
          <w:marRight w:val="0"/>
          <w:marTop w:val="0"/>
          <w:marBottom w:val="0"/>
          <w:divBdr>
            <w:top w:val="none" w:sz="0" w:space="0" w:color="auto"/>
            <w:left w:val="none" w:sz="0" w:space="0" w:color="auto"/>
            <w:bottom w:val="none" w:sz="0" w:space="0" w:color="auto"/>
            <w:right w:val="none" w:sz="0" w:space="0" w:color="auto"/>
          </w:divBdr>
        </w:div>
      </w:divsChild>
    </w:div>
    <w:div w:id="119493873">
      <w:bodyDiv w:val="1"/>
      <w:marLeft w:val="0"/>
      <w:marRight w:val="0"/>
      <w:marTop w:val="0"/>
      <w:marBottom w:val="0"/>
      <w:divBdr>
        <w:top w:val="none" w:sz="0" w:space="0" w:color="auto"/>
        <w:left w:val="none" w:sz="0" w:space="0" w:color="auto"/>
        <w:bottom w:val="none" w:sz="0" w:space="0" w:color="auto"/>
        <w:right w:val="none" w:sz="0" w:space="0" w:color="auto"/>
      </w:divBdr>
    </w:div>
    <w:div w:id="155147123">
      <w:bodyDiv w:val="1"/>
      <w:marLeft w:val="0"/>
      <w:marRight w:val="0"/>
      <w:marTop w:val="0"/>
      <w:marBottom w:val="0"/>
      <w:divBdr>
        <w:top w:val="none" w:sz="0" w:space="0" w:color="auto"/>
        <w:left w:val="none" w:sz="0" w:space="0" w:color="auto"/>
        <w:bottom w:val="none" w:sz="0" w:space="0" w:color="auto"/>
        <w:right w:val="none" w:sz="0" w:space="0" w:color="auto"/>
      </w:divBdr>
      <w:divsChild>
        <w:div w:id="119300240">
          <w:marLeft w:val="0"/>
          <w:marRight w:val="0"/>
          <w:marTop w:val="0"/>
          <w:marBottom w:val="0"/>
          <w:divBdr>
            <w:top w:val="none" w:sz="0" w:space="0" w:color="auto"/>
            <w:left w:val="none" w:sz="0" w:space="0" w:color="auto"/>
            <w:bottom w:val="none" w:sz="0" w:space="0" w:color="auto"/>
            <w:right w:val="none" w:sz="0" w:space="0" w:color="auto"/>
          </w:divBdr>
        </w:div>
        <w:div w:id="377704710">
          <w:marLeft w:val="0"/>
          <w:marRight w:val="0"/>
          <w:marTop w:val="0"/>
          <w:marBottom w:val="0"/>
          <w:divBdr>
            <w:top w:val="none" w:sz="0" w:space="0" w:color="auto"/>
            <w:left w:val="none" w:sz="0" w:space="0" w:color="auto"/>
            <w:bottom w:val="none" w:sz="0" w:space="0" w:color="auto"/>
            <w:right w:val="none" w:sz="0" w:space="0" w:color="auto"/>
          </w:divBdr>
        </w:div>
        <w:div w:id="462626571">
          <w:marLeft w:val="0"/>
          <w:marRight w:val="0"/>
          <w:marTop w:val="0"/>
          <w:marBottom w:val="0"/>
          <w:divBdr>
            <w:top w:val="none" w:sz="0" w:space="0" w:color="auto"/>
            <w:left w:val="none" w:sz="0" w:space="0" w:color="auto"/>
            <w:bottom w:val="none" w:sz="0" w:space="0" w:color="auto"/>
            <w:right w:val="none" w:sz="0" w:space="0" w:color="auto"/>
          </w:divBdr>
        </w:div>
        <w:div w:id="910582374">
          <w:marLeft w:val="0"/>
          <w:marRight w:val="0"/>
          <w:marTop w:val="0"/>
          <w:marBottom w:val="0"/>
          <w:divBdr>
            <w:top w:val="none" w:sz="0" w:space="0" w:color="auto"/>
            <w:left w:val="none" w:sz="0" w:space="0" w:color="auto"/>
            <w:bottom w:val="none" w:sz="0" w:space="0" w:color="auto"/>
            <w:right w:val="none" w:sz="0" w:space="0" w:color="auto"/>
          </w:divBdr>
        </w:div>
        <w:div w:id="1797292004">
          <w:marLeft w:val="0"/>
          <w:marRight w:val="0"/>
          <w:marTop w:val="0"/>
          <w:marBottom w:val="0"/>
          <w:divBdr>
            <w:top w:val="none" w:sz="0" w:space="0" w:color="auto"/>
            <w:left w:val="none" w:sz="0" w:space="0" w:color="auto"/>
            <w:bottom w:val="none" w:sz="0" w:space="0" w:color="auto"/>
            <w:right w:val="none" w:sz="0" w:space="0" w:color="auto"/>
          </w:divBdr>
        </w:div>
        <w:div w:id="1814368916">
          <w:marLeft w:val="0"/>
          <w:marRight w:val="0"/>
          <w:marTop w:val="0"/>
          <w:marBottom w:val="0"/>
          <w:divBdr>
            <w:top w:val="none" w:sz="0" w:space="0" w:color="auto"/>
            <w:left w:val="none" w:sz="0" w:space="0" w:color="auto"/>
            <w:bottom w:val="none" w:sz="0" w:space="0" w:color="auto"/>
            <w:right w:val="none" w:sz="0" w:space="0" w:color="auto"/>
          </w:divBdr>
        </w:div>
      </w:divsChild>
    </w:div>
    <w:div w:id="176971973">
      <w:bodyDiv w:val="1"/>
      <w:marLeft w:val="0"/>
      <w:marRight w:val="0"/>
      <w:marTop w:val="0"/>
      <w:marBottom w:val="0"/>
      <w:divBdr>
        <w:top w:val="none" w:sz="0" w:space="0" w:color="auto"/>
        <w:left w:val="none" w:sz="0" w:space="0" w:color="auto"/>
        <w:bottom w:val="none" w:sz="0" w:space="0" w:color="auto"/>
        <w:right w:val="none" w:sz="0" w:space="0" w:color="auto"/>
      </w:divBdr>
      <w:divsChild>
        <w:div w:id="664480591">
          <w:marLeft w:val="0"/>
          <w:marRight w:val="0"/>
          <w:marTop w:val="0"/>
          <w:marBottom w:val="0"/>
          <w:divBdr>
            <w:top w:val="none" w:sz="0" w:space="0" w:color="auto"/>
            <w:left w:val="none" w:sz="0" w:space="0" w:color="auto"/>
            <w:bottom w:val="none" w:sz="0" w:space="0" w:color="auto"/>
            <w:right w:val="none" w:sz="0" w:space="0" w:color="auto"/>
          </w:divBdr>
        </w:div>
        <w:div w:id="66611792">
          <w:marLeft w:val="0"/>
          <w:marRight w:val="0"/>
          <w:marTop w:val="0"/>
          <w:marBottom w:val="0"/>
          <w:divBdr>
            <w:top w:val="none" w:sz="0" w:space="0" w:color="auto"/>
            <w:left w:val="none" w:sz="0" w:space="0" w:color="auto"/>
            <w:bottom w:val="none" w:sz="0" w:space="0" w:color="auto"/>
            <w:right w:val="none" w:sz="0" w:space="0" w:color="auto"/>
          </w:divBdr>
        </w:div>
        <w:div w:id="796604472">
          <w:marLeft w:val="0"/>
          <w:marRight w:val="0"/>
          <w:marTop w:val="0"/>
          <w:marBottom w:val="0"/>
          <w:divBdr>
            <w:top w:val="none" w:sz="0" w:space="0" w:color="auto"/>
            <w:left w:val="none" w:sz="0" w:space="0" w:color="auto"/>
            <w:bottom w:val="none" w:sz="0" w:space="0" w:color="auto"/>
            <w:right w:val="none" w:sz="0" w:space="0" w:color="auto"/>
          </w:divBdr>
        </w:div>
        <w:div w:id="1502817691">
          <w:marLeft w:val="0"/>
          <w:marRight w:val="0"/>
          <w:marTop w:val="0"/>
          <w:marBottom w:val="0"/>
          <w:divBdr>
            <w:top w:val="none" w:sz="0" w:space="0" w:color="auto"/>
            <w:left w:val="none" w:sz="0" w:space="0" w:color="auto"/>
            <w:bottom w:val="none" w:sz="0" w:space="0" w:color="auto"/>
            <w:right w:val="none" w:sz="0" w:space="0" w:color="auto"/>
          </w:divBdr>
        </w:div>
        <w:div w:id="582254164">
          <w:marLeft w:val="0"/>
          <w:marRight w:val="0"/>
          <w:marTop w:val="0"/>
          <w:marBottom w:val="0"/>
          <w:divBdr>
            <w:top w:val="none" w:sz="0" w:space="0" w:color="auto"/>
            <w:left w:val="none" w:sz="0" w:space="0" w:color="auto"/>
            <w:bottom w:val="none" w:sz="0" w:space="0" w:color="auto"/>
            <w:right w:val="none" w:sz="0" w:space="0" w:color="auto"/>
          </w:divBdr>
        </w:div>
        <w:div w:id="272398189">
          <w:marLeft w:val="0"/>
          <w:marRight w:val="0"/>
          <w:marTop w:val="0"/>
          <w:marBottom w:val="0"/>
          <w:divBdr>
            <w:top w:val="none" w:sz="0" w:space="0" w:color="auto"/>
            <w:left w:val="none" w:sz="0" w:space="0" w:color="auto"/>
            <w:bottom w:val="none" w:sz="0" w:space="0" w:color="auto"/>
            <w:right w:val="none" w:sz="0" w:space="0" w:color="auto"/>
          </w:divBdr>
        </w:div>
        <w:div w:id="1003967534">
          <w:marLeft w:val="0"/>
          <w:marRight w:val="0"/>
          <w:marTop w:val="0"/>
          <w:marBottom w:val="0"/>
          <w:divBdr>
            <w:top w:val="none" w:sz="0" w:space="0" w:color="auto"/>
            <w:left w:val="none" w:sz="0" w:space="0" w:color="auto"/>
            <w:bottom w:val="none" w:sz="0" w:space="0" w:color="auto"/>
            <w:right w:val="none" w:sz="0" w:space="0" w:color="auto"/>
          </w:divBdr>
        </w:div>
      </w:divsChild>
    </w:div>
    <w:div w:id="194585275">
      <w:bodyDiv w:val="1"/>
      <w:marLeft w:val="0"/>
      <w:marRight w:val="0"/>
      <w:marTop w:val="0"/>
      <w:marBottom w:val="0"/>
      <w:divBdr>
        <w:top w:val="none" w:sz="0" w:space="0" w:color="auto"/>
        <w:left w:val="none" w:sz="0" w:space="0" w:color="auto"/>
        <w:bottom w:val="none" w:sz="0" w:space="0" w:color="auto"/>
        <w:right w:val="none" w:sz="0" w:space="0" w:color="auto"/>
      </w:divBdr>
    </w:div>
    <w:div w:id="236937387">
      <w:bodyDiv w:val="1"/>
      <w:marLeft w:val="0"/>
      <w:marRight w:val="0"/>
      <w:marTop w:val="0"/>
      <w:marBottom w:val="0"/>
      <w:divBdr>
        <w:top w:val="none" w:sz="0" w:space="0" w:color="auto"/>
        <w:left w:val="none" w:sz="0" w:space="0" w:color="auto"/>
        <w:bottom w:val="none" w:sz="0" w:space="0" w:color="auto"/>
        <w:right w:val="none" w:sz="0" w:space="0" w:color="auto"/>
      </w:divBdr>
    </w:div>
    <w:div w:id="259609312">
      <w:bodyDiv w:val="1"/>
      <w:marLeft w:val="0"/>
      <w:marRight w:val="0"/>
      <w:marTop w:val="0"/>
      <w:marBottom w:val="0"/>
      <w:divBdr>
        <w:top w:val="none" w:sz="0" w:space="0" w:color="auto"/>
        <w:left w:val="none" w:sz="0" w:space="0" w:color="auto"/>
        <w:bottom w:val="none" w:sz="0" w:space="0" w:color="auto"/>
        <w:right w:val="none" w:sz="0" w:space="0" w:color="auto"/>
      </w:divBdr>
    </w:div>
    <w:div w:id="283654334">
      <w:bodyDiv w:val="1"/>
      <w:marLeft w:val="0"/>
      <w:marRight w:val="0"/>
      <w:marTop w:val="0"/>
      <w:marBottom w:val="0"/>
      <w:divBdr>
        <w:top w:val="none" w:sz="0" w:space="0" w:color="auto"/>
        <w:left w:val="none" w:sz="0" w:space="0" w:color="auto"/>
        <w:bottom w:val="none" w:sz="0" w:space="0" w:color="auto"/>
        <w:right w:val="none" w:sz="0" w:space="0" w:color="auto"/>
      </w:divBdr>
      <w:divsChild>
        <w:div w:id="51975816">
          <w:marLeft w:val="0"/>
          <w:marRight w:val="0"/>
          <w:marTop w:val="0"/>
          <w:marBottom w:val="0"/>
          <w:divBdr>
            <w:top w:val="none" w:sz="0" w:space="0" w:color="auto"/>
            <w:left w:val="none" w:sz="0" w:space="0" w:color="auto"/>
            <w:bottom w:val="none" w:sz="0" w:space="0" w:color="auto"/>
            <w:right w:val="none" w:sz="0" w:space="0" w:color="auto"/>
          </w:divBdr>
        </w:div>
        <w:div w:id="67114823">
          <w:marLeft w:val="0"/>
          <w:marRight w:val="0"/>
          <w:marTop w:val="0"/>
          <w:marBottom w:val="0"/>
          <w:divBdr>
            <w:top w:val="none" w:sz="0" w:space="0" w:color="auto"/>
            <w:left w:val="none" w:sz="0" w:space="0" w:color="auto"/>
            <w:bottom w:val="none" w:sz="0" w:space="0" w:color="auto"/>
            <w:right w:val="none" w:sz="0" w:space="0" w:color="auto"/>
          </w:divBdr>
        </w:div>
        <w:div w:id="108016406">
          <w:marLeft w:val="0"/>
          <w:marRight w:val="0"/>
          <w:marTop w:val="0"/>
          <w:marBottom w:val="0"/>
          <w:divBdr>
            <w:top w:val="none" w:sz="0" w:space="0" w:color="auto"/>
            <w:left w:val="none" w:sz="0" w:space="0" w:color="auto"/>
            <w:bottom w:val="none" w:sz="0" w:space="0" w:color="auto"/>
            <w:right w:val="none" w:sz="0" w:space="0" w:color="auto"/>
          </w:divBdr>
        </w:div>
        <w:div w:id="117722731">
          <w:marLeft w:val="0"/>
          <w:marRight w:val="0"/>
          <w:marTop w:val="0"/>
          <w:marBottom w:val="0"/>
          <w:divBdr>
            <w:top w:val="none" w:sz="0" w:space="0" w:color="auto"/>
            <w:left w:val="none" w:sz="0" w:space="0" w:color="auto"/>
            <w:bottom w:val="none" w:sz="0" w:space="0" w:color="auto"/>
            <w:right w:val="none" w:sz="0" w:space="0" w:color="auto"/>
          </w:divBdr>
        </w:div>
        <w:div w:id="510990105">
          <w:marLeft w:val="0"/>
          <w:marRight w:val="0"/>
          <w:marTop w:val="0"/>
          <w:marBottom w:val="0"/>
          <w:divBdr>
            <w:top w:val="none" w:sz="0" w:space="0" w:color="auto"/>
            <w:left w:val="none" w:sz="0" w:space="0" w:color="auto"/>
            <w:bottom w:val="none" w:sz="0" w:space="0" w:color="auto"/>
            <w:right w:val="none" w:sz="0" w:space="0" w:color="auto"/>
          </w:divBdr>
        </w:div>
        <w:div w:id="574634751">
          <w:marLeft w:val="0"/>
          <w:marRight w:val="0"/>
          <w:marTop w:val="0"/>
          <w:marBottom w:val="0"/>
          <w:divBdr>
            <w:top w:val="none" w:sz="0" w:space="0" w:color="auto"/>
            <w:left w:val="none" w:sz="0" w:space="0" w:color="auto"/>
            <w:bottom w:val="none" w:sz="0" w:space="0" w:color="auto"/>
            <w:right w:val="none" w:sz="0" w:space="0" w:color="auto"/>
          </w:divBdr>
        </w:div>
        <w:div w:id="678579432">
          <w:marLeft w:val="0"/>
          <w:marRight w:val="0"/>
          <w:marTop w:val="0"/>
          <w:marBottom w:val="0"/>
          <w:divBdr>
            <w:top w:val="none" w:sz="0" w:space="0" w:color="auto"/>
            <w:left w:val="none" w:sz="0" w:space="0" w:color="auto"/>
            <w:bottom w:val="none" w:sz="0" w:space="0" w:color="auto"/>
            <w:right w:val="none" w:sz="0" w:space="0" w:color="auto"/>
          </w:divBdr>
        </w:div>
        <w:div w:id="1432241504">
          <w:marLeft w:val="0"/>
          <w:marRight w:val="0"/>
          <w:marTop w:val="0"/>
          <w:marBottom w:val="0"/>
          <w:divBdr>
            <w:top w:val="none" w:sz="0" w:space="0" w:color="auto"/>
            <w:left w:val="none" w:sz="0" w:space="0" w:color="auto"/>
            <w:bottom w:val="none" w:sz="0" w:space="0" w:color="auto"/>
            <w:right w:val="none" w:sz="0" w:space="0" w:color="auto"/>
          </w:divBdr>
        </w:div>
        <w:div w:id="1520701969">
          <w:marLeft w:val="0"/>
          <w:marRight w:val="0"/>
          <w:marTop w:val="0"/>
          <w:marBottom w:val="0"/>
          <w:divBdr>
            <w:top w:val="none" w:sz="0" w:space="0" w:color="auto"/>
            <w:left w:val="none" w:sz="0" w:space="0" w:color="auto"/>
            <w:bottom w:val="none" w:sz="0" w:space="0" w:color="auto"/>
            <w:right w:val="none" w:sz="0" w:space="0" w:color="auto"/>
          </w:divBdr>
        </w:div>
        <w:div w:id="1615094987">
          <w:marLeft w:val="0"/>
          <w:marRight w:val="0"/>
          <w:marTop w:val="0"/>
          <w:marBottom w:val="0"/>
          <w:divBdr>
            <w:top w:val="none" w:sz="0" w:space="0" w:color="auto"/>
            <w:left w:val="none" w:sz="0" w:space="0" w:color="auto"/>
            <w:bottom w:val="none" w:sz="0" w:space="0" w:color="auto"/>
            <w:right w:val="none" w:sz="0" w:space="0" w:color="auto"/>
          </w:divBdr>
        </w:div>
        <w:div w:id="1803233077">
          <w:marLeft w:val="0"/>
          <w:marRight w:val="0"/>
          <w:marTop w:val="0"/>
          <w:marBottom w:val="0"/>
          <w:divBdr>
            <w:top w:val="none" w:sz="0" w:space="0" w:color="auto"/>
            <w:left w:val="none" w:sz="0" w:space="0" w:color="auto"/>
            <w:bottom w:val="none" w:sz="0" w:space="0" w:color="auto"/>
            <w:right w:val="none" w:sz="0" w:space="0" w:color="auto"/>
          </w:divBdr>
        </w:div>
        <w:div w:id="2114204525">
          <w:marLeft w:val="0"/>
          <w:marRight w:val="0"/>
          <w:marTop w:val="0"/>
          <w:marBottom w:val="0"/>
          <w:divBdr>
            <w:top w:val="none" w:sz="0" w:space="0" w:color="auto"/>
            <w:left w:val="none" w:sz="0" w:space="0" w:color="auto"/>
            <w:bottom w:val="none" w:sz="0" w:space="0" w:color="auto"/>
            <w:right w:val="none" w:sz="0" w:space="0" w:color="auto"/>
          </w:divBdr>
        </w:div>
      </w:divsChild>
    </w:div>
    <w:div w:id="325018002">
      <w:bodyDiv w:val="1"/>
      <w:marLeft w:val="0"/>
      <w:marRight w:val="0"/>
      <w:marTop w:val="0"/>
      <w:marBottom w:val="0"/>
      <w:divBdr>
        <w:top w:val="none" w:sz="0" w:space="0" w:color="auto"/>
        <w:left w:val="none" w:sz="0" w:space="0" w:color="auto"/>
        <w:bottom w:val="none" w:sz="0" w:space="0" w:color="auto"/>
        <w:right w:val="none" w:sz="0" w:space="0" w:color="auto"/>
      </w:divBdr>
    </w:div>
    <w:div w:id="352875904">
      <w:bodyDiv w:val="1"/>
      <w:marLeft w:val="0"/>
      <w:marRight w:val="0"/>
      <w:marTop w:val="0"/>
      <w:marBottom w:val="0"/>
      <w:divBdr>
        <w:top w:val="none" w:sz="0" w:space="0" w:color="auto"/>
        <w:left w:val="none" w:sz="0" w:space="0" w:color="auto"/>
        <w:bottom w:val="none" w:sz="0" w:space="0" w:color="auto"/>
        <w:right w:val="none" w:sz="0" w:space="0" w:color="auto"/>
      </w:divBdr>
    </w:div>
    <w:div w:id="360739515">
      <w:bodyDiv w:val="1"/>
      <w:marLeft w:val="0"/>
      <w:marRight w:val="0"/>
      <w:marTop w:val="0"/>
      <w:marBottom w:val="0"/>
      <w:divBdr>
        <w:top w:val="none" w:sz="0" w:space="0" w:color="auto"/>
        <w:left w:val="none" w:sz="0" w:space="0" w:color="auto"/>
        <w:bottom w:val="none" w:sz="0" w:space="0" w:color="auto"/>
        <w:right w:val="none" w:sz="0" w:space="0" w:color="auto"/>
      </w:divBdr>
      <w:divsChild>
        <w:div w:id="1894150149">
          <w:marLeft w:val="0"/>
          <w:marRight w:val="0"/>
          <w:marTop w:val="0"/>
          <w:marBottom w:val="0"/>
          <w:divBdr>
            <w:top w:val="none" w:sz="0" w:space="0" w:color="auto"/>
            <w:left w:val="none" w:sz="0" w:space="0" w:color="auto"/>
            <w:bottom w:val="none" w:sz="0" w:space="0" w:color="auto"/>
            <w:right w:val="none" w:sz="0" w:space="0" w:color="auto"/>
          </w:divBdr>
          <w:divsChild>
            <w:div w:id="701436652">
              <w:marLeft w:val="0"/>
              <w:marRight w:val="0"/>
              <w:marTop w:val="0"/>
              <w:marBottom w:val="0"/>
              <w:divBdr>
                <w:top w:val="none" w:sz="0" w:space="0" w:color="auto"/>
                <w:left w:val="none" w:sz="0" w:space="0" w:color="auto"/>
                <w:bottom w:val="none" w:sz="0" w:space="0" w:color="auto"/>
                <w:right w:val="none" w:sz="0" w:space="0" w:color="auto"/>
              </w:divBdr>
              <w:divsChild>
                <w:div w:id="767507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3942509">
      <w:bodyDiv w:val="1"/>
      <w:marLeft w:val="0"/>
      <w:marRight w:val="0"/>
      <w:marTop w:val="0"/>
      <w:marBottom w:val="0"/>
      <w:divBdr>
        <w:top w:val="none" w:sz="0" w:space="0" w:color="auto"/>
        <w:left w:val="none" w:sz="0" w:space="0" w:color="auto"/>
        <w:bottom w:val="none" w:sz="0" w:space="0" w:color="auto"/>
        <w:right w:val="none" w:sz="0" w:space="0" w:color="auto"/>
      </w:divBdr>
    </w:div>
    <w:div w:id="415708441">
      <w:bodyDiv w:val="1"/>
      <w:marLeft w:val="0"/>
      <w:marRight w:val="0"/>
      <w:marTop w:val="0"/>
      <w:marBottom w:val="0"/>
      <w:divBdr>
        <w:top w:val="none" w:sz="0" w:space="0" w:color="auto"/>
        <w:left w:val="none" w:sz="0" w:space="0" w:color="auto"/>
        <w:bottom w:val="none" w:sz="0" w:space="0" w:color="auto"/>
        <w:right w:val="none" w:sz="0" w:space="0" w:color="auto"/>
      </w:divBdr>
    </w:div>
    <w:div w:id="437454710">
      <w:bodyDiv w:val="1"/>
      <w:marLeft w:val="0"/>
      <w:marRight w:val="0"/>
      <w:marTop w:val="0"/>
      <w:marBottom w:val="0"/>
      <w:divBdr>
        <w:top w:val="none" w:sz="0" w:space="0" w:color="auto"/>
        <w:left w:val="none" w:sz="0" w:space="0" w:color="auto"/>
        <w:bottom w:val="none" w:sz="0" w:space="0" w:color="auto"/>
        <w:right w:val="none" w:sz="0" w:space="0" w:color="auto"/>
      </w:divBdr>
    </w:div>
    <w:div w:id="439838552">
      <w:bodyDiv w:val="1"/>
      <w:marLeft w:val="0"/>
      <w:marRight w:val="0"/>
      <w:marTop w:val="0"/>
      <w:marBottom w:val="0"/>
      <w:divBdr>
        <w:top w:val="none" w:sz="0" w:space="0" w:color="auto"/>
        <w:left w:val="none" w:sz="0" w:space="0" w:color="auto"/>
        <w:bottom w:val="none" w:sz="0" w:space="0" w:color="auto"/>
        <w:right w:val="none" w:sz="0" w:space="0" w:color="auto"/>
      </w:divBdr>
    </w:div>
    <w:div w:id="487215080">
      <w:bodyDiv w:val="1"/>
      <w:marLeft w:val="0"/>
      <w:marRight w:val="0"/>
      <w:marTop w:val="0"/>
      <w:marBottom w:val="0"/>
      <w:divBdr>
        <w:top w:val="none" w:sz="0" w:space="0" w:color="auto"/>
        <w:left w:val="none" w:sz="0" w:space="0" w:color="auto"/>
        <w:bottom w:val="none" w:sz="0" w:space="0" w:color="auto"/>
        <w:right w:val="none" w:sz="0" w:space="0" w:color="auto"/>
      </w:divBdr>
    </w:div>
    <w:div w:id="509878505">
      <w:bodyDiv w:val="1"/>
      <w:marLeft w:val="0"/>
      <w:marRight w:val="0"/>
      <w:marTop w:val="0"/>
      <w:marBottom w:val="0"/>
      <w:divBdr>
        <w:top w:val="none" w:sz="0" w:space="0" w:color="auto"/>
        <w:left w:val="none" w:sz="0" w:space="0" w:color="auto"/>
        <w:bottom w:val="none" w:sz="0" w:space="0" w:color="auto"/>
        <w:right w:val="none" w:sz="0" w:space="0" w:color="auto"/>
      </w:divBdr>
    </w:div>
    <w:div w:id="519390979">
      <w:bodyDiv w:val="1"/>
      <w:marLeft w:val="0"/>
      <w:marRight w:val="0"/>
      <w:marTop w:val="0"/>
      <w:marBottom w:val="0"/>
      <w:divBdr>
        <w:top w:val="none" w:sz="0" w:space="0" w:color="auto"/>
        <w:left w:val="none" w:sz="0" w:space="0" w:color="auto"/>
        <w:bottom w:val="none" w:sz="0" w:space="0" w:color="auto"/>
        <w:right w:val="none" w:sz="0" w:space="0" w:color="auto"/>
      </w:divBdr>
      <w:divsChild>
        <w:div w:id="970283630">
          <w:marLeft w:val="0"/>
          <w:marRight w:val="0"/>
          <w:marTop w:val="0"/>
          <w:marBottom w:val="0"/>
          <w:divBdr>
            <w:top w:val="none" w:sz="0" w:space="0" w:color="auto"/>
            <w:left w:val="none" w:sz="0" w:space="0" w:color="auto"/>
            <w:bottom w:val="none" w:sz="0" w:space="0" w:color="auto"/>
            <w:right w:val="none" w:sz="0" w:space="0" w:color="auto"/>
          </w:divBdr>
        </w:div>
        <w:div w:id="1648782119">
          <w:marLeft w:val="0"/>
          <w:marRight w:val="0"/>
          <w:marTop w:val="0"/>
          <w:marBottom w:val="0"/>
          <w:divBdr>
            <w:top w:val="none" w:sz="0" w:space="0" w:color="auto"/>
            <w:left w:val="none" w:sz="0" w:space="0" w:color="auto"/>
            <w:bottom w:val="none" w:sz="0" w:space="0" w:color="auto"/>
            <w:right w:val="none" w:sz="0" w:space="0" w:color="auto"/>
          </w:divBdr>
        </w:div>
        <w:div w:id="1492940285">
          <w:marLeft w:val="0"/>
          <w:marRight w:val="0"/>
          <w:marTop w:val="0"/>
          <w:marBottom w:val="0"/>
          <w:divBdr>
            <w:top w:val="none" w:sz="0" w:space="0" w:color="auto"/>
            <w:left w:val="none" w:sz="0" w:space="0" w:color="auto"/>
            <w:bottom w:val="none" w:sz="0" w:space="0" w:color="auto"/>
            <w:right w:val="none" w:sz="0" w:space="0" w:color="auto"/>
          </w:divBdr>
        </w:div>
      </w:divsChild>
    </w:div>
    <w:div w:id="533924935">
      <w:bodyDiv w:val="1"/>
      <w:marLeft w:val="0"/>
      <w:marRight w:val="0"/>
      <w:marTop w:val="0"/>
      <w:marBottom w:val="0"/>
      <w:divBdr>
        <w:top w:val="none" w:sz="0" w:space="0" w:color="auto"/>
        <w:left w:val="none" w:sz="0" w:space="0" w:color="auto"/>
        <w:bottom w:val="none" w:sz="0" w:space="0" w:color="auto"/>
        <w:right w:val="none" w:sz="0" w:space="0" w:color="auto"/>
      </w:divBdr>
      <w:divsChild>
        <w:div w:id="150485145">
          <w:marLeft w:val="0"/>
          <w:marRight w:val="0"/>
          <w:marTop w:val="0"/>
          <w:marBottom w:val="0"/>
          <w:divBdr>
            <w:top w:val="none" w:sz="0" w:space="0" w:color="auto"/>
            <w:left w:val="none" w:sz="0" w:space="0" w:color="auto"/>
            <w:bottom w:val="none" w:sz="0" w:space="0" w:color="auto"/>
            <w:right w:val="none" w:sz="0" w:space="0" w:color="auto"/>
          </w:divBdr>
        </w:div>
        <w:div w:id="190922630">
          <w:marLeft w:val="0"/>
          <w:marRight w:val="0"/>
          <w:marTop w:val="0"/>
          <w:marBottom w:val="0"/>
          <w:divBdr>
            <w:top w:val="none" w:sz="0" w:space="0" w:color="auto"/>
            <w:left w:val="none" w:sz="0" w:space="0" w:color="auto"/>
            <w:bottom w:val="none" w:sz="0" w:space="0" w:color="auto"/>
            <w:right w:val="none" w:sz="0" w:space="0" w:color="auto"/>
          </w:divBdr>
        </w:div>
        <w:div w:id="335958267">
          <w:marLeft w:val="0"/>
          <w:marRight w:val="0"/>
          <w:marTop w:val="0"/>
          <w:marBottom w:val="0"/>
          <w:divBdr>
            <w:top w:val="none" w:sz="0" w:space="0" w:color="auto"/>
            <w:left w:val="none" w:sz="0" w:space="0" w:color="auto"/>
            <w:bottom w:val="none" w:sz="0" w:space="0" w:color="auto"/>
            <w:right w:val="none" w:sz="0" w:space="0" w:color="auto"/>
          </w:divBdr>
        </w:div>
        <w:div w:id="400908362">
          <w:marLeft w:val="0"/>
          <w:marRight w:val="0"/>
          <w:marTop w:val="0"/>
          <w:marBottom w:val="0"/>
          <w:divBdr>
            <w:top w:val="none" w:sz="0" w:space="0" w:color="auto"/>
            <w:left w:val="none" w:sz="0" w:space="0" w:color="auto"/>
            <w:bottom w:val="none" w:sz="0" w:space="0" w:color="auto"/>
            <w:right w:val="none" w:sz="0" w:space="0" w:color="auto"/>
          </w:divBdr>
        </w:div>
        <w:div w:id="452750660">
          <w:marLeft w:val="0"/>
          <w:marRight w:val="0"/>
          <w:marTop w:val="0"/>
          <w:marBottom w:val="0"/>
          <w:divBdr>
            <w:top w:val="none" w:sz="0" w:space="0" w:color="auto"/>
            <w:left w:val="none" w:sz="0" w:space="0" w:color="auto"/>
            <w:bottom w:val="none" w:sz="0" w:space="0" w:color="auto"/>
            <w:right w:val="none" w:sz="0" w:space="0" w:color="auto"/>
          </w:divBdr>
        </w:div>
        <w:div w:id="517621130">
          <w:marLeft w:val="0"/>
          <w:marRight w:val="0"/>
          <w:marTop w:val="0"/>
          <w:marBottom w:val="0"/>
          <w:divBdr>
            <w:top w:val="none" w:sz="0" w:space="0" w:color="auto"/>
            <w:left w:val="none" w:sz="0" w:space="0" w:color="auto"/>
            <w:bottom w:val="none" w:sz="0" w:space="0" w:color="auto"/>
            <w:right w:val="none" w:sz="0" w:space="0" w:color="auto"/>
          </w:divBdr>
        </w:div>
        <w:div w:id="528953803">
          <w:marLeft w:val="0"/>
          <w:marRight w:val="0"/>
          <w:marTop w:val="0"/>
          <w:marBottom w:val="0"/>
          <w:divBdr>
            <w:top w:val="none" w:sz="0" w:space="0" w:color="auto"/>
            <w:left w:val="none" w:sz="0" w:space="0" w:color="auto"/>
            <w:bottom w:val="none" w:sz="0" w:space="0" w:color="auto"/>
            <w:right w:val="none" w:sz="0" w:space="0" w:color="auto"/>
          </w:divBdr>
        </w:div>
        <w:div w:id="1027372094">
          <w:marLeft w:val="0"/>
          <w:marRight w:val="0"/>
          <w:marTop w:val="0"/>
          <w:marBottom w:val="0"/>
          <w:divBdr>
            <w:top w:val="none" w:sz="0" w:space="0" w:color="auto"/>
            <w:left w:val="none" w:sz="0" w:space="0" w:color="auto"/>
            <w:bottom w:val="none" w:sz="0" w:space="0" w:color="auto"/>
            <w:right w:val="none" w:sz="0" w:space="0" w:color="auto"/>
          </w:divBdr>
        </w:div>
        <w:div w:id="1038047838">
          <w:marLeft w:val="0"/>
          <w:marRight w:val="0"/>
          <w:marTop w:val="0"/>
          <w:marBottom w:val="0"/>
          <w:divBdr>
            <w:top w:val="none" w:sz="0" w:space="0" w:color="auto"/>
            <w:left w:val="none" w:sz="0" w:space="0" w:color="auto"/>
            <w:bottom w:val="none" w:sz="0" w:space="0" w:color="auto"/>
            <w:right w:val="none" w:sz="0" w:space="0" w:color="auto"/>
          </w:divBdr>
        </w:div>
        <w:div w:id="1095590228">
          <w:marLeft w:val="0"/>
          <w:marRight w:val="0"/>
          <w:marTop w:val="0"/>
          <w:marBottom w:val="0"/>
          <w:divBdr>
            <w:top w:val="none" w:sz="0" w:space="0" w:color="auto"/>
            <w:left w:val="none" w:sz="0" w:space="0" w:color="auto"/>
            <w:bottom w:val="none" w:sz="0" w:space="0" w:color="auto"/>
            <w:right w:val="none" w:sz="0" w:space="0" w:color="auto"/>
          </w:divBdr>
        </w:div>
        <w:div w:id="1104769980">
          <w:marLeft w:val="0"/>
          <w:marRight w:val="0"/>
          <w:marTop w:val="0"/>
          <w:marBottom w:val="0"/>
          <w:divBdr>
            <w:top w:val="none" w:sz="0" w:space="0" w:color="auto"/>
            <w:left w:val="none" w:sz="0" w:space="0" w:color="auto"/>
            <w:bottom w:val="none" w:sz="0" w:space="0" w:color="auto"/>
            <w:right w:val="none" w:sz="0" w:space="0" w:color="auto"/>
          </w:divBdr>
        </w:div>
        <w:div w:id="1106776794">
          <w:marLeft w:val="0"/>
          <w:marRight w:val="0"/>
          <w:marTop w:val="0"/>
          <w:marBottom w:val="0"/>
          <w:divBdr>
            <w:top w:val="none" w:sz="0" w:space="0" w:color="auto"/>
            <w:left w:val="none" w:sz="0" w:space="0" w:color="auto"/>
            <w:bottom w:val="none" w:sz="0" w:space="0" w:color="auto"/>
            <w:right w:val="none" w:sz="0" w:space="0" w:color="auto"/>
          </w:divBdr>
        </w:div>
        <w:div w:id="1216431136">
          <w:marLeft w:val="0"/>
          <w:marRight w:val="0"/>
          <w:marTop w:val="0"/>
          <w:marBottom w:val="0"/>
          <w:divBdr>
            <w:top w:val="none" w:sz="0" w:space="0" w:color="auto"/>
            <w:left w:val="none" w:sz="0" w:space="0" w:color="auto"/>
            <w:bottom w:val="none" w:sz="0" w:space="0" w:color="auto"/>
            <w:right w:val="none" w:sz="0" w:space="0" w:color="auto"/>
          </w:divBdr>
        </w:div>
        <w:div w:id="1345784003">
          <w:marLeft w:val="0"/>
          <w:marRight w:val="0"/>
          <w:marTop w:val="0"/>
          <w:marBottom w:val="0"/>
          <w:divBdr>
            <w:top w:val="none" w:sz="0" w:space="0" w:color="auto"/>
            <w:left w:val="none" w:sz="0" w:space="0" w:color="auto"/>
            <w:bottom w:val="none" w:sz="0" w:space="0" w:color="auto"/>
            <w:right w:val="none" w:sz="0" w:space="0" w:color="auto"/>
          </w:divBdr>
        </w:div>
        <w:div w:id="1441145521">
          <w:marLeft w:val="0"/>
          <w:marRight w:val="0"/>
          <w:marTop w:val="0"/>
          <w:marBottom w:val="0"/>
          <w:divBdr>
            <w:top w:val="none" w:sz="0" w:space="0" w:color="auto"/>
            <w:left w:val="none" w:sz="0" w:space="0" w:color="auto"/>
            <w:bottom w:val="none" w:sz="0" w:space="0" w:color="auto"/>
            <w:right w:val="none" w:sz="0" w:space="0" w:color="auto"/>
          </w:divBdr>
        </w:div>
        <w:div w:id="1491020454">
          <w:marLeft w:val="0"/>
          <w:marRight w:val="0"/>
          <w:marTop w:val="0"/>
          <w:marBottom w:val="0"/>
          <w:divBdr>
            <w:top w:val="none" w:sz="0" w:space="0" w:color="auto"/>
            <w:left w:val="none" w:sz="0" w:space="0" w:color="auto"/>
            <w:bottom w:val="none" w:sz="0" w:space="0" w:color="auto"/>
            <w:right w:val="none" w:sz="0" w:space="0" w:color="auto"/>
          </w:divBdr>
        </w:div>
        <w:div w:id="1498614660">
          <w:marLeft w:val="0"/>
          <w:marRight w:val="0"/>
          <w:marTop w:val="0"/>
          <w:marBottom w:val="0"/>
          <w:divBdr>
            <w:top w:val="none" w:sz="0" w:space="0" w:color="auto"/>
            <w:left w:val="none" w:sz="0" w:space="0" w:color="auto"/>
            <w:bottom w:val="none" w:sz="0" w:space="0" w:color="auto"/>
            <w:right w:val="none" w:sz="0" w:space="0" w:color="auto"/>
          </w:divBdr>
        </w:div>
        <w:div w:id="1597327276">
          <w:marLeft w:val="0"/>
          <w:marRight w:val="0"/>
          <w:marTop w:val="0"/>
          <w:marBottom w:val="0"/>
          <w:divBdr>
            <w:top w:val="none" w:sz="0" w:space="0" w:color="auto"/>
            <w:left w:val="none" w:sz="0" w:space="0" w:color="auto"/>
            <w:bottom w:val="none" w:sz="0" w:space="0" w:color="auto"/>
            <w:right w:val="none" w:sz="0" w:space="0" w:color="auto"/>
          </w:divBdr>
        </w:div>
        <w:div w:id="1608926960">
          <w:marLeft w:val="0"/>
          <w:marRight w:val="0"/>
          <w:marTop w:val="0"/>
          <w:marBottom w:val="0"/>
          <w:divBdr>
            <w:top w:val="none" w:sz="0" w:space="0" w:color="auto"/>
            <w:left w:val="none" w:sz="0" w:space="0" w:color="auto"/>
            <w:bottom w:val="none" w:sz="0" w:space="0" w:color="auto"/>
            <w:right w:val="none" w:sz="0" w:space="0" w:color="auto"/>
          </w:divBdr>
        </w:div>
        <w:div w:id="1638801866">
          <w:marLeft w:val="0"/>
          <w:marRight w:val="0"/>
          <w:marTop w:val="0"/>
          <w:marBottom w:val="0"/>
          <w:divBdr>
            <w:top w:val="none" w:sz="0" w:space="0" w:color="auto"/>
            <w:left w:val="none" w:sz="0" w:space="0" w:color="auto"/>
            <w:bottom w:val="none" w:sz="0" w:space="0" w:color="auto"/>
            <w:right w:val="none" w:sz="0" w:space="0" w:color="auto"/>
          </w:divBdr>
        </w:div>
        <w:div w:id="1662001776">
          <w:marLeft w:val="0"/>
          <w:marRight w:val="0"/>
          <w:marTop w:val="0"/>
          <w:marBottom w:val="0"/>
          <w:divBdr>
            <w:top w:val="none" w:sz="0" w:space="0" w:color="auto"/>
            <w:left w:val="none" w:sz="0" w:space="0" w:color="auto"/>
            <w:bottom w:val="none" w:sz="0" w:space="0" w:color="auto"/>
            <w:right w:val="none" w:sz="0" w:space="0" w:color="auto"/>
          </w:divBdr>
        </w:div>
        <w:div w:id="1918007994">
          <w:marLeft w:val="0"/>
          <w:marRight w:val="0"/>
          <w:marTop w:val="0"/>
          <w:marBottom w:val="0"/>
          <w:divBdr>
            <w:top w:val="none" w:sz="0" w:space="0" w:color="auto"/>
            <w:left w:val="none" w:sz="0" w:space="0" w:color="auto"/>
            <w:bottom w:val="none" w:sz="0" w:space="0" w:color="auto"/>
            <w:right w:val="none" w:sz="0" w:space="0" w:color="auto"/>
          </w:divBdr>
        </w:div>
        <w:div w:id="2008047959">
          <w:marLeft w:val="0"/>
          <w:marRight w:val="0"/>
          <w:marTop w:val="0"/>
          <w:marBottom w:val="0"/>
          <w:divBdr>
            <w:top w:val="none" w:sz="0" w:space="0" w:color="auto"/>
            <w:left w:val="none" w:sz="0" w:space="0" w:color="auto"/>
            <w:bottom w:val="none" w:sz="0" w:space="0" w:color="auto"/>
            <w:right w:val="none" w:sz="0" w:space="0" w:color="auto"/>
          </w:divBdr>
        </w:div>
      </w:divsChild>
    </w:div>
    <w:div w:id="577904001">
      <w:bodyDiv w:val="1"/>
      <w:marLeft w:val="0"/>
      <w:marRight w:val="0"/>
      <w:marTop w:val="0"/>
      <w:marBottom w:val="0"/>
      <w:divBdr>
        <w:top w:val="none" w:sz="0" w:space="0" w:color="auto"/>
        <w:left w:val="none" w:sz="0" w:space="0" w:color="auto"/>
        <w:bottom w:val="none" w:sz="0" w:space="0" w:color="auto"/>
        <w:right w:val="none" w:sz="0" w:space="0" w:color="auto"/>
      </w:divBdr>
    </w:div>
    <w:div w:id="608974466">
      <w:bodyDiv w:val="1"/>
      <w:marLeft w:val="0"/>
      <w:marRight w:val="0"/>
      <w:marTop w:val="0"/>
      <w:marBottom w:val="0"/>
      <w:divBdr>
        <w:top w:val="none" w:sz="0" w:space="0" w:color="auto"/>
        <w:left w:val="none" w:sz="0" w:space="0" w:color="auto"/>
        <w:bottom w:val="none" w:sz="0" w:space="0" w:color="auto"/>
        <w:right w:val="none" w:sz="0" w:space="0" w:color="auto"/>
      </w:divBdr>
    </w:div>
    <w:div w:id="618073125">
      <w:bodyDiv w:val="1"/>
      <w:marLeft w:val="0"/>
      <w:marRight w:val="0"/>
      <w:marTop w:val="0"/>
      <w:marBottom w:val="0"/>
      <w:divBdr>
        <w:top w:val="none" w:sz="0" w:space="0" w:color="auto"/>
        <w:left w:val="none" w:sz="0" w:space="0" w:color="auto"/>
        <w:bottom w:val="none" w:sz="0" w:space="0" w:color="auto"/>
        <w:right w:val="none" w:sz="0" w:space="0" w:color="auto"/>
      </w:divBdr>
    </w:div>
    <w:div w:id="630942036">
      <w:bodyDiv w:val="1"/>
      <w:marLeft w:val="0"/>
      <w:marRight w:val="0"/>
      <w:marTop w:val="0"/>
      <w:marBottom w:val="0"/>
      <w:divBdr>
        <w:top w:val="none" w:sz="0" w:space="0" w:color="auto"/>
        <w:left w:val="none" w:sz="0" w:space="0" w:color="auto"/>
        <w:bottom w:val="none" w:sz="0" w:space="0" w:color="auto"/>
        <w:right w:val="none" w:sz="0" w:space="0" w:color="auto"/>
      </w:divBdr>
      <w:divsChild>
        <w:div w:id="1712725929">
          <w:marLeft w:val="0"/>
          <w:marRight w:val="0"/>
          <w:marTop w:val="0"/>
          <w:marBottom w:val="0"/>
          <w:divBdr>
            <w:top w:val="none" w:sz="0" w:space="0" w:color="auto"/>
            <w:left w:val="none" w:sz="0" w:space="0" w:color="auto"/>
            <w:bottom w:val="none" w:sz="0" w:space="0" w:color="auto"/>
            <w:right w:val="none" w:sz="0" w:space="0" w:color="auto"/>
          </w:divBdr>
          <w:divsChild>
            <w:div w:id="1380587424">
              <w:marLeft w:val="0"/>
              <w:marRight w:val="0"/>
              <w:marTop w:val="0"/>
              <w:marBottom w:val="0"/>
              <w:divBdr>
                <w:top w:val="none" w:sz="0" w:space="0" w:color="auto"/>
                <w:left w:val="none" w:sz="0" w:space="0" w:color="auto"/>
                <w:bottom w:val="none" w:sz="0" w:space="0" w:color="auto"/>
                <w:right w:val="none" w:sz="0" w:space="0" w:color="auto"/>
              </w:divBdr>
              <w:divsChild>
                <w:div w:id="2091464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3622229">
      <w:bodyDiv w:val="1"/>
      <w:marLeft w:val="0"/>
      <w:marRight w:val="0"/>
      <w:marTop w:val="0"/>
      <w:marBottom w:val="0"/>
      <w:divBdr>
        <w:top w:val="none" w:sz="0" w:space="0" w:color="auto"/>
        <w:left w:val="none" w:sz="0" w:space="0" w:color="auto"/>
        <w:bottom w:val="none" w:sz="0" w:space="0" w:color="auto"/>
        <w:right w:val="none" w:sz="0" w:space="0" w:color="auto"/>
      </w:divBdr>
      <w:divsChild>
        <w:div w:id="273899721">
          <w:marLeft w:val="0"/>
          <w:marRight w:val="0"/>
          <w:marTop w:val="0"/>
          <w:marBottom w:val="0"/>
          <w:divBdr>
            <w:top w:val="none" w:sz="0" w:space="0" w:color="auto"/>
            <w:left w:val="none" w:sz="0" w:space="0" w:color="auto"/>
            <w:bottom w:val="none" w:sz="0" w:space="0" w:color="auto"/>
            <w:right w:val="none" w:sz="0" w:space="0" w:color="auto"/>
          </w:divBdr>
        </w:div>
        <w:div w:id="765462406">
          <w:marLeft w:val="0"/>
          <w:marRight w:val="0"/>
          <w:marTop w:val="0"/>
          <w:marBottom w:val="0"/>
          <w:divBdr>
            <w:top w:val="none" w:sz="0" w:space="0" w:color="auto"/>
            <w:left w:val="none" w:sz="0" w:space="0" w:color="auto"/>
            <w:bottom w:val="none" w:sz="0" w:space="0" w:color="auto"/>
            <w:right w:val="none" w:sz="0" w:space="0" w:color="auto"/>
          </w:divBdr>
        </w:div>
        <w:div w:id="820661320">
          <w:marLeft w:val="0"/>
          <w:marRight w:val="0"/>
          <w:marTop w:val="0"/>
          <w:marBottom w:val="0"/>
          <w:divBdr>
            <w:top w:val="none" w:sz="0" w:space="0" w:color="auto"/>
            <w:left w:val="none" w:sz="0" w:space="0" w:color="auto"/>
            <w:bottom w:val="none" w:sz="0" w:space="0" w:color="auto"/>
            <w:right w:val="none" w:sz="0" w:space="0" w:color="auto"/>
          </w:divBdr>
        </w:div>
        <w:div w:id="964576580">
          <w:marLeft w:val="0"/>
          <w:marRight w:val="0"/>
          <w:marTop w:val="0"/>
          <w:marBottom w:val="0"/>
          <w:divBdr>
            <w:top w:val="none" w:sz="0" w:space="0" w:color="auto"/>
            <w:left w:val="none" w:sz="0" w:space="0" w:color="auto"/>
            <w:bottom w:val="none" w:sz="0" w:space="0" w:color="auto"/>
            <w:right w:val="none" w:sz="0" w:space="0" w:color="auto"/>
          </w:divBdr>
        </w:div>
        <w:div w:id="1025130443">
          <w:marLeft w:val="0"/>
          <w:marRight w:val="0"/>
          <w:marTop w:val="0"/>
          <w:marBottom w:val="0"/>
          <w:divBdr>
            <w:top w:val="none" w:sz="0" w:space="0" w:color="auto"/>
            <w:left w:val="none" w:sz="0" w:space="0" w:color="auto"/>
            <w:bottom w:val="none" w:sz="0" w:space="0" w:color="auto"/>
            <w:right w:val="none" w:sz="0" w:space="0" w:color="auto"/>
          </w:divBdr>
        </w:div>
        <w:div w:id="1175607182">
          <w:marLeft w:val="0"/>
          <w:marRight w:val="0"/>
          <w:marTop w:val="0"/>
          <w:marBottom w:val="0"/>
          <w:divBdr>
            <w:top w:val="none" w:sz="0" w:space="0" w:color="auto"/>
            <w:left w:val="none" w:sz="0" w:space="0" w:color="auto"/>
            <w:bottom w:val="none" w:sz="0" w:space="0" w:color="auto"/>
            <w:right w:val="none" w:sz="0" w:space="0" w:color="auto"/>
          </w:divBdr>
        </w:div>
        <w:div w:id="1222330932">
          <w:marLeft w:val="0"/>
          <w:marRight w:val="0"/>
          <w:marTop w:val="0"/>
          <w:marBottom w:val="0"/>
          <w:divBdr>
            <w:top w:val="none" w:sz="0" w:space="0" w:color="auto"/>
            <w:left w:val="none" w:sz="0" w:space="0" w:color="auto"/>
            <w:bottom w:val="none" w:sz="0" w:space="0" w:color="auto"/>
            <w:right w:val="none" w:sz="0" w:space="0" w:color="auto"/>
          </w:divBdr>
        </w:div>
        <w:div w:id="1338193429">
          <w:marLeft w:val="0"/>
          <w:marRight w:val="0"/>
          <w:marTop w:val="0"/>
          <w:marBottom w:val="0"/>
          <w:divBdr>
            <w:top w:val="none" w:sz="0" w:space="0" w:color="auto"/>
            <w:left w:val="none" w:sz="0" w:space="0" w:color="auto"/>
            <w:bottom w:val="none" w:sz="0" w:space="0" w:color="auto"/>
            <w:right w:val="none" w:sz="0" w:space="0" w:color="auto"/>
          </w:divBdr>
        </w:div>
        <w:div w:id="1378042600">
          <w:marLeft w:val="0"/>
          <w:marRight w:val="0"/>
          <w:marTop w:val="0"/>
          <w:marBottom w:val="0"/>
          <w:divBdr>
            <w:top w:val="none" w:sz="0" w:space="0" w:color="auto"/>
            <w:left w:val="none" w:sz="0" w:space="0" w:color="auto"/>
            <w:bottom w:val="none" w:sz="0" w:space="0" w:color="auto"/>
            <w:right w:val="none" w:sz="0" w:space="0" w:color="auto"/>
          </w:divBdr>
        </w:div>
        <w:div w:id="1457799379">
          <w:marLeft w:val="0"/>
          <w:marRight w:val="0"/>
          <w:marTop w:val="0"/>
          <w:marBottom w:val="0"/>
          <w:divBdr>
            <w:top w:val="none" w:sz="0" w:space="0" w:color="auto"/>
            <w:left w:val="none" w:sz="0" w:space="0" w:color="auto"/>
            <w:bottom w:val="none" w:sz="0" w:space="0" w:color="auto"/>
            <w:right w:val="none" w:sz="0" w:space="0" w:color="auto"/>
          </w:divBdr>
        </w:div>
        <w:div w:id="1557936941">
          <w:marLeft w:val="0"/>
          <w:marRight w:val="0"/>
          <w:marTop w:val="0"/>
          <w:marBottom w:val="0"/>
          <w:divBdr>
            <w:top w:val="none" w:sz="0" w:space="0" w:color="auto"/>
            <w:left w:val="none" w:sz="0" w:space="0" w:color="auto"/>
            <w:bottom w:val="none" w:sz="0" w:space="0" w:color="auto"/>
            <w:right w:val="none" w:sz="0" w:space="0" w:color="auto"/>
          </w:divBdr>
        </w:div>
        <w:div w:id="1976446551">
          <w:marLeft w:val="0"/>
          <w:marRight w:val="0"/>
          <w:marTop w:val="0"/>
          <w:marBottom w:val="0"/>
          <w:divBdr>
            <w:top w:val="none" w:sz="0" w:space="0" w:color="auto"/>
            <w:left w:val="none" w:sz="0" w:space="0" w:color="auto"/>
            <w:bottom w:val="none" w:sz="0" w:space="0" w:color="auto"/>
            <w:right w:val="none" w:sz="0" w:space="0" w:color="auto"/>
          </w:divBdr>
        </w:div>
        <w:div w:id="2011253510">
          <w:marLeft w:val="0"/>
          <w:marRight w:val="0"/>
          <w:marTop w:val="0"/>
          <w:marBottom w:val="0"/>
          <w:divBdr>
            <w:top w:val="none" w:sz="0" w:space="0" w:color="auto"/>
            <w:left w:val="none" w:sz="0" w:space="0" w:color="auto"/>
            <w:bottom w:val="none" w:sz="0" w:space="0" w:color="auto"/>
            <w:right w:val="none" w:sz="0" w:space="0" w:color="auto"/>
          </w:divBdr>
        </w:div>
        <w:div w:id="2045328846">
          <w:marLeft w:val="0"/>
          <w:marRight w:val="0"/>
          <w:marTop w:val="0"/>
          <w:marBottom w:val="0"/>
          <w:divBdr>
            <w:top w:val="none" w:sz="0" w:space="0" w:color="auto"/>
            <w:left w:val="none" w:sz="0" w:space="0" w:color="auto"/>
            <w:bottom w:val="none" w:sz="0" w:space="0" w:color="auto"/>
            <w:right w:val="none" w:sz="0" w:space="0" w:color="auto"/>
          </w:divBdr>
        </w:div>
      </w:divsChild>
    </w:div>
    <w:div w:id="753940274">
      <w:bodyDiv w:val="1"/>
      <w:marLeft w:val="0"/>
      <w:marRight w:val="0"/>
      <w:marTop w:val="0"/>
      <w:marBottom w:val="0"/>
      <w:divBdr>
        <w:top w:val="none" w:sz="0" w:space="0" w:color="auto"/>
        <w:left w:val="none" w:sz="0" w:space="0" w:color="auto"/>
        <w:bottom w:val="none" w:sz="0" w:space="0" w:color="auto"/>
        <w:right w:val="none" w:sz="0" w:space="0" w:color="auto"/>
      </w:divBdr>
      <w:divsChild>
        <w:div w:id="482818363">
          <w:marLeft w:val="0"/>
          <w:marRight w:val="0"/>
          <w:marTop w:val="0"/>
          <w:marBottom w:val="0"/>
          <w:divBdr>
            <w:top w:val="none" w:sz="0" w:space="0" w:color="auto"/>
            <w:left w:val="none" w:sz="0" w:space="0" w:color="auto"/>
            <w:bottom w:val="none" w:sz="0" w:space="0" w:color="auto"/>
            <w:right w:val="none" w:sz="0" w:space="0" w:color="auto"/>
          </w:divBdr>
          <w:divsChild>
            <w:div w:id="1300960932">
              <w:marLeft w:val="0"/>
              <w:marRight w:val="0"/>
              <w:marTop w:val="0"/>
              <w:marBottom w:val="0"/>
              <w:divBdr>
                <w:top w:val="none" w:sz="0" w:space="0" w:color="auto"/>
                <w:left w:val="none" w:sz="0" w:space="0" w:color="auto"/>
                <w:bottom w:val="none" w:sz="0" w:space="0" w:color="auto"/>
                <w:right w:val="none" w:sz="0" w:space="0" w:color="auto"/>
              </w:divBdr>
              <w:divsChild>
                <w:div w:id="968123911">
                  <w:marLeft w:val="0"/>
                  <w:marRight w:val="0"/>
                  <w:marTop w:val="0"/>
                  <w:marBottom w:val="0"/>
                  <w:divBdr>
                    <w:top w:val="none" w:sz="0" w:space="0" w:color="auto"/>
                    <w:left w:val="none" w:sz="0" w:space="0" w:color="auto"/>
                    <w:bottom w:val="none" w:sz="0" w:space="0" w:color="auto"/>
                    <w:right w:val="none" w:sz="0" w:space="0" w:color="auto"/>
                  </w:divBdr>
                  <w:divsChild>
                    <w:div w:id="181551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0297854">
      <w:bodyDiv w:val="1"/>
      <w:marLeft w:val="0"/>
      <w:marRight w:val="0"/>
      <w:marTop w:val="0"/>
      <w:marBottom w:val="0"/>
      <w:divBdr>
        <w:top w:val="none" w:sz="0" w:space="0" w:color="auto"/>
        <w:left w:val="none" w:sz="0" w:space="0" w:color="auto"/>
        <w:bottom w:val="none" w:sz="0" w:space="0" w:color="auto"/>
        <w:right w:val="none" w:sz="0" w:space="0" w:color="auto"/>
      </w:divBdr>
      <w:divsChild>
        <w:div w:id="665518889">
          <w:marLeft w:val="0"/>
          <w:marRight w:val="0"/>
          <w:marTop w:val="0"/>
          <w:marBottom w:val="0"/>
          <w:divBdr>
            <w:top w:val="none" w:sz="0" w:space="0" w:color="auto"/>
            <w:left w:val="none" w:sz="0" w:space="0" w:color="auto"/>
            <w:bottom w:val="none" w:sz="0" w:space="0" w:color="auto"/>
            <w:right w:val="none" w:sz="0" w:space="0" w:color="auto"/>
          </w:divBdr>
        </w:div>
        <w:div w:id="1154107138">
          <w:marLeft w:val="0"/>
          <w:marRight w:val="0"/>
          <w:marTop w:val="0"/>
          <w:marBottom w:val="0"/>
          <w:divBdr>
            <w:top w:val="none" w:sz="0" w:space="0" w:color="auto"/>
            <w:left w:val="none" w:sz="0" w:space="0" w:color="auto"/>
            <w:bottom w:val="none" w:sz="0" w:space="0" w:color="auto"/>
            <w:right w:val="none" w:sz="0" w:space="0" w:color="auto"/>
          </w:divBdr>
        </w:div>
      </w:divsChild>
    </w:div>
    <w:div w:id="795678814">
      <w:bodyDiv w:val="1"/>
      <w:marLeft w:val="0"/>
      <w:marRight w:val="0"/>
      <w:marTop w:val="0"/>
      <w:marBottom w:val="0"/>
      <w:divBdr>
        <w:top w:val="none" w:sz="0" w:space="0" w:color="auto"/>
        <w:left w:val="none" w:sz="0" w:space="0" w:color="auto"/>
        <w:bottom w:val="none" w:sz="0" w:space="0" w:color="auto"/>
        <w:right w:val="none" w:sz="0" w:space="0" w:color="auto"/>
      </w:divBdr>
      <w:divsChild>
        <w:div w:id="512693206">
          <w:marLeft w:val="0"/>
          <w:marRight w:val="0"/>
          <w:marTop w:val="0"/>
          <w:marBottom w:val="0"/>
          <w:divBdr>
            <w:top w:val="none" w:sz="0" w:space="0" w:color="auto"/>
            <w:left w:val="none" w:sz="0" w:space="0" w:color="auto"/>
            <w:bottom w:val="none" w:sz="0" w:space="0" w:color="auto"/>
            <w:right w:val="none" w:sz="0" w:space="0" w:color="auto"/>
          </w:divBdr>
          <w:divsChild>
            <w:div w:id="963266410">
              <w:marLeft w:val="0"/>
              <w:marRight w:val="0"/>
              <w:marTop w:val="0"/>
              <w:marBottom w:val="0"/>
              <w:divBdr>
                <w:top w:val="none" w:sz="0" w:space="0" w:color="auto"/>
                <w:left w:val="none" w:sz="0" w:space="0" w:color="auto"/>
                <w:bottom w:val="none" w:sz="0" w:space="0" w:color="auto"/>
                <w:right w:val="none" w:sz="0" w:space="0" w:color="auto"/>
              </w:divBdr>
              <w:divsChild>
                <w:div w:id="1789005933">
                  <w:marLeft w:val="0"/>
                  <w:marRight w:val="0"/>
                  <w:marTop w:val="0"/>
                  <w:marBottom w:val="0"/>
                  <w:divBdr>
                    <w:top w:val="none" w:sz="0" w:space="0" w:color="auto"/>
                    <w:left w:val="none" w:sz="0" w:space="0" w:color="auto"/>
                    <w:bottom w:val="none" w:sz="0" w:space="0" w:color="auto"/>
                    <w:right w:val="none" w:sz="0" w:space="0" w:color="auto"/>
                  </w:divBdr>
                </w:div>
              </w:divsChild>
            </w:div>
            <w:div w:id="350448858">
              <w:marLeft w:val="0"/>
              <w:marRight w:val="0"/>
              <w:marTop w:val="0"/>
              <w:marBottom w:val="0"/>
              <w:divBdr>
                <w:top w:val="none" w:sz="0" w:space="0" w:color="auto"/>
                <w:left w:val="none" w:sz="0" w:space="0" w:color="auto"/>
                <w:bottom w:val="none" w:sz="0" w:space="0" w:color="auto"/>
                <w:right w:val="none" w:sz="0" w:space="0" w:color="auto"/>
              </w:divBdr>
              <w:divsChild>
                <w:div w:id="1437944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536788">
          <w:marLeft w:val="0"/>
          <w:marRight w:val="0"/>
          <w:marTop w:val="0"/>
          <w:marBottom w:val="0"/>
          <w:divBdr>
            <w:top w:val="none" w:sz="0" w:space="0" w:color="auto"/>
            <w:left w:val="none" w:sz="0" w:space="0" w:color="auto"/>
            <w:bottom w:val="none" w:sz="0" w:space="0" w:color="auto"/>
            <w:right w:val="none" w:sz="0" w:space="0" w:color="auto"/>
          </w:divBdr>
          <w:divsChild>
            <w:div w:id="1540976274">
              <w:marLeft w:val="0"/>
              <w:marRight w:val="0"/>
              <w:marTop w:val="0"/>
              <w:marBottom w:val="0"/>
              <w:divBdr>
                <w:top w:val="none" w:sz="0" w:space="0" w:color="auto"/>
                <w:left w:val="none" w:sz="0" w:space="0" w:color="auto"/>
                <w:bottom w:val="none" w:sz="0" w:space="0" w:color="auto"/>
                <w:right w:val="none" w:sz="0" w:space="0" w:color="auto"/>
              </w:divBdr>
              <w:divsChild>
                <w:div w:id="203969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8760019">
      <w:bodyDiv w:val="1"/>
      <w:marLeft w:val="0"/>
      <w:marRight w:val="0"/>
      <w:marTop w:val="0"/>
      <w:marBottom w:val="0"/>
      <w:divBdr>
        <w:top w:val="none" w:sz="0" w:space="0" w:color="auto"/>
        <w:left w:val="none" w:sz="0" w:space="0" w:color="auto"/>
        <w:bottom w:val="none" w:sz="0" w:space="0" w:color="auto"/>
        <w:right w:val="none" w:sz="0" w:space="0" w:color="auto"/>
      </w:divBdr>
      <w:divsChild>
        <w:div w:id="1869172916">
          <w:marLeft w:val="0"/>
          <w:marRight w:val="0"/>
          <w:marTop w:val="0"/>
          <w:marBottom w:val="0"/>
          <w:divBdr>
            <w:top w:val="none" w:sz="0" w:space="0" w:color="auto"/>
            <w:left w:val="none" w:sz="0" w:space="0" w:color="auto"/>
            <w:bottom w:val="none" w:sz="0" w:space="0" w:color="auto"/>
            <w:right w:val="none" w:sz="0" w:space="0" w:color="auto"/>
          </w:divBdr>
          <w:divsChild>
            <w:div w:id="1146893585">
              <w:marLeft w:val="0"/>
              <w:marRight w:val="0"/>
              <w:marTop w:val="0"/>
              <w:marBottom w:val="0"/>
              <w:divBdr>
                <w:top w:val="none" w:sz="0" w:space="0" w:color="auto"/>
                <w:left w:val="none" w:sz="0" w:space="0" w:color="auto"/>
                <w:bottom w:val="none" w:sz="0" w:space="0" w:color="auto"/>
                <w:right w:val="none" w:sz="0" w:space="0" w:color="auto"/>
              </w:divBdr>
              <w:divsChild>
                <w:div w:id="819231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3950579">
      <w:bodyDiv w:val="1"/>
      <w:marLeft w:val="0"/>
      <w:marRight w:val="0"/>
      <w:marTop w:val="0"/>
      <w:marBottom w:val="0"/>
      <w:divBdr>
        <w:top w:val="none" w:sz="0" w:space="0" w:color="auto"/>
        <w:left w:val="none" w:sz="0" w:space="0" w:color="auto"/>
        <w:bottom w:val="none" w:sz="0" w:space="0" w:color="auto"/>
        <w:right w:val="none" w:sz="0" w:space="0" w:color="auto"/>
      </w:divBdr>
      <w:divsChild>
        <w:div w:id="1520240108">
          <w:marLeft w:val="0"/>
          <w:marRight w:val="0"/>
          <w:marTop w:val="0"/>
          <w:marBottom w:val="0"/>
          <w:divBdr>
            <w:top w:val="none" w:sz="0" w:space="0" w:color="auto"/>
            <w:left w:val="none" w:sz="0" w:space="0" w:color="auto"/>
            <w:bottom w:val="none" w:sz="0" w:space="0" w:color="auto"/>
            <w:right w:val="none" w:sz="0" w:space="0" w:color="auto"/>
          </w:divBdr>
          <w:divsChild>
            <w:div w:id="1842968303">
              <w:marLeft w:val="0"/>
              <w:marRight w:val="0"/>
              <w:marTop w:val="0"/>
              <w:marBottom w:val="0"/>
              <w:divBdr>
                <w:top w:val="none" w:sz="0" w:space="0" w:color="auto"/>
                <w:left w:val="none" w:sz="0" w:space="0" w:color="auto"/>
                <w:bottom w:val="none" w:sz="0" w:space="0" w:color="auto"/>
                <w:right w:val="none" w:sz="0" w:space="0" w:color="auto"/>
              </w:divBdr>
              <w:divsChild>
                <w:div w:id="917061666">
                  <w:marLeft w:val="0"/>
                  <w:marRight w:val="0"/>
                  <w:marTop w:val="0"/>
                  <w:marBottom w:val="0"/>
                  <w:divBdr>
                    <w:top w:val="none" w:sz="0" w:space="0" w:color="auto"/>
                    <w:left w:val="none" w:sz="0" w:space="0" w:color="auto"/>
                    <w:bottom w:val="none" w:sz="0" w:space="0" w:color="auto"/>
                    <w:right w:val="none" w:sz="0" w:space="0" w:color="auto"/>
                  </w:divBdr>
                  <w:divsChild>
                    <w:div w:id="530336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8534596">
      <w:bodyDiv w:val="1"/>
      <w:marLeft w:val="0"/>
      <w:marRight w:val="0"/>
      <w:marTop w:val="0"/>
      <w:marBottom w:val="0"/>
      <w:divBdr>
        <w:top w:val="none" w:sz="0" w:space="0" w:color="auto"/>
        <w:left w:val="none" w:sz="0" w:space="0" w:color="auto"/>
        <w:bottom w:val="none" w:sz="0" w:space="0" w:color="auto"/>
        <w:right w:val="none" w:sz="0" w:space="0" w:color="auto"/>
      </w:divBdr>
    </w:div>
    <w:div w:id="979772205">
      <w:bodyDiv w:val="1"/>
      <w:marLeft w:val="0"/>
      <w:marRight w:val="0"/>
      <w:marTop w:val="0"/>
      <w:marBottom w:val="0"/>
      <w:divBdr>
        <w:top w:val="none" w:sz="0" w:space="0" w:color="auto"/>
        <w:left w:val="none" w:sz="0" w:space="0" w:color="auto"/>
        <w:bottom w:val="none" w:sz="0" w:space="0" w:color="auto"/>
        <w:right w:val="none" w:sz="0" w:space="0" w:color="auto"/>
      </w:divBdr>
    </w:div>
    <w:div w:id="1051879528">
      <w:bodyDiv w:val="1"/>
      <w:marLeft w:val="0"/>
      <w:marRight w:val="0"/>
      <w:marTop w:val="0"/>
      <w:marBottom w:val="0"/>
      <w:divBdr>
        <w:top w:val="none" w:sz="0" w:space="0" w:color="auto"/>
        <w:left w:val="none" w:sz="0" w:space="0" w:color="auto"/>
        <w:bottom w:val="none" w:sz="0" w:space="0" w:color="auto"/>
        <w:right w:val="none" w:sz="0" w:space="0" w:color="auto"/>
      </w:divBdr>
      <w:divsChild>
        <w:div w:id="555704051">
          <w:marLeft w:val="0"/>
          <w:marRight w:val="0"/>
          <w:marTop w:val="0"/>
          <w:marBottom w:val="0"/>
          <w:divBdr>
            <w:top w:val="none" w:sz="0" w:space="0" w:color="auto"/>
            <w:left w:val="none" w:sz="0" w:space="0" w:color="auto"/>
            <w:bottom w:val="none" w:sz="0" w:space="0" w:color="auto"/>
            <w:right w:val="none" w:sz="0" w:space="0" w:color="auto"/>
          </w:divBdr>
        </w:div>
        <w:div w:id="801189654">
          <w:marLeft w:val="0"/>
          <w:marRight w:val="0"/>
          <w:marTop w:val="0"/>
          <w:marBottom w:val="0"/>
          <w:divBdr>
            <w:top w:val="none" w:sz="0" w:space="0" w:color="auto"/>
            <w:left w:val="none" w:sz="0" w:space="0" w:color="auto"/>
            <w:bottom w:val="none" w:sz="0" w:space="0" w:color="auto"/>
            <w:right w:val="none" w:sz="0" w:space="0" w:color="auto"/>
          </w:divBdr>
        </w:div>
        <w:div w:id="1328095826">
          <w:marLeft w:val="0"/>
          <w:marRight w:val="0"/>
          <w:marTop w:val="0"/>
          <w:marBottom w:val="0"/>
          <w:divBdr>
            <w:top w:val="none" w:sz="0" w:space="0" w:color="auto"/>
            <w:left w:val="none" w:sz="0" w:space="0" w:color="auto"/>
            <w:bottom w:val="none" w:sz="0" w:space="0" w:color="auto"/>
            <w:right w:val="none" w:sz="0" w:space="0" w:color="auto"/>
          </w:divBdr>
        </w:div>
        <w:div w:id="1525366295">
          <w:marLeft w:val="0"/>
          <w:marRight w:val="0"/>
          <w:marTop w:val="0"/>
          <w:marBottom w:val="0"/>
          <w:divBdr>
            <w:top w:val="none" w:sz="0" w:space="0" w:color="auto"/>
            <w:left w:val="none" w:sz="0" w:space="0" w:color="auto"/>
            <w:bottom w:val="none" w:sz="0" w:space="0" w:color="auto"/>
            <w:right w:val="none" w:sz="0" w:space="0" w:color="auto"/>
          </w:divBdr>
        </w:div>
        <w:div w:id="1598176032">
          <w:marLeft w:val="0"/>
          <w:marRight w:val="0"/>
          <w:marTop w:val="0"/>
          <w:marBottom w:val="0"/>
          <w:divBdr>
            <w:top w:val="none" w:sz="0" w:space="0" w:color="auto"/>
            <w:left w:val="none" w:sz="0" w:space="0" w:color="auto"/>
            <w:bottom w:val="none" w:sz="0" w:space="0" w:color="auto"/>
            <w:right w:val="none" w:sz="0" w:space="0" w:color="auto"/>
          </w:divBdr>
        </w:div>
        <w:div w:id="1765149842">
          <w:marLeft w:val="0"/>
          <w:marRight w:val="0"/>
          <w:marTop w:val="0"/>
          <w:marBottom w:val="0"/>
          <w:divBdr>
            <w:top w:val="none" w:sz="0" w:space="0" w:color="auto"/>
            <w:left w:val="none" w:sz="0" w:space="0" w:color="auto"/>
            <w:bottom w:val="none" w:sz="0" w:space="0" w:color="auto"/>
            <w:right w:val="none" w:sz="0" w:space="0" w:color="auto"/>
          </w:divBdr>
        </w:div>
        <w:div w:id="1864398095">
          <w:marLeft w:val="0"/>
          <w:marRight w:val="0"/>
          <w:marTop w:val="0"/>
          <w:marBottom w:val="0"/>
          <w:divBdr>
            <w:top w:val="none" w:sz="0" w:space="0" w:color="auto"/>
            <w:left w:val="none" w:sz="0" w:space="0" w:color="auto"/>
            <w:bottom w:val="none" w:sz="0" w:space="0" w:color="auto"/>
            <w:right w:val="none" w:sz="0" w:space="0" w:color="auto"/>
          </w:divBdr>
        </w:div>
      </w:divsChild>
    </w:div>
    <w:div w:id="1073166048">
      <w:bodyDiv w:val="1"/>
      <w:marLeft w:val="0"/>
      <w:marRight w:val="0"/>
      <w:marTop w:val="0"/>
      <w:marBottom w:val="0"/>
      <w:divBdr>
        <w:top w:val="none" w:sz="0" w:space="0" w:color="auto"/>
        <w:left w:val="none" w:sz="0" w:space="0" w:color="auto"/>
        <w:bottom w:val="none" w:sz="0" w:space="0" w:color="auto"/>
        <w:right w:val="none" w:sz="0" w:space="0" w:color="auto"/>
      </w:divBdr>
      <w:divsChild>
        <w:div w:id="344597445">
          <w:marLeft w:val="0"/>
          <w:marRight w:val="0"/>
          <w:marTop w:val="0"/>
          <w:marBottom w:val="0"/>
          <w:divBdr>
            <w:top w:val="none" w:sz="0" w:space="0" w:color="auto"/>
            <w:left w:val="none" w:sz="0" w:space="0" w:color="auto"/>
            <w:bottom w:val="none" w:sz="0" w:space="0" w:color="auto"/>
            <w:right w:val="none" w:sz="0" w:space="0" w:color="auto"/>
          </w:divBdr>
        </w:div>
        <w:div w:id="1558738997">
          <w:marLeft w:val="0"/>
          <w:marRight w:val="0"/>
          <w:marTop w:val="0"/>
          <w:marBottom w:val="0"/>
          <w:divBdr>
            <w:top w:val="none" w:sz="0" w:space="0" w:color="auto"/>
            <w:left w:val="none" w:sz="0" w:space="0" w:color="auto"/>
            <w:bottom w:val="none" w:sz="0" w:space="0" w:color="auto"/>
            <w:right w:val="none" w:sz="0" w:space="0" w:color="auto"/>
          </w:divBdr>
        </w:div>
        <w:div w:id="1807971250">
          <w:marLeft w:val="0"/>
          <w:marRight w:val="0"/>
          <w:marTop w:val="0"/>
          <w:marBottom w:val="0"/>
          <w:divBdr>
            <w:top w:val="none" w:sz="0" w:space="0" w:color="auto"/>
            <w:left w:val="none" w:sz="0" w:space="0" w:color="auto"/>
            <w:bottom w:val="none" w:sz="0" w:space="0" w:color="auto"/>
            <w:right w:val="none" w:sz="0" w:space="0" w:color="auto"/>
          </w:divBdr>
        </w:div>
      </w:divsChild>
    </w:div>
    <w:div w:id="1132750536">
      <w:bodyDiv w:val="1"/>
      <w:marLeft w:val="0"/>
      <w:marRight w:val="0"/>
      <w:marTop w:val="0"/>
      <w:marBottom w:val="0"/>
      <w:divBdr>
        <w:top w:val="none" w:sz="0" w:space="0" w:color="auto"/>
        <w:left w:val="none" w:sz="0" w:space="0" w:color="auto"/>
        <w:bottom w:val="none" w:sz="0" w:space="0" w:color="auto"/>
        <w:right w:val="none" w:sz="0" w:space="0" w:color="auto"/>
      </w:divBdr>
      <w:divsChild>
        <w:div w:id="1783302880">
          <w:marLeft w:val="0"/>
          <w:marRight w:val="0"/>
          <w:marTop w:val="0"/>
          <w:marBottom w:val="0"/>
          <w:divBdr>
            <w:top w:val="none" w:sz="0" w:space="0" w:color="auto"/>
            <w:left w:val="none" w:sz="0" w:space="0" w:color="auto"/>
            <w:bottom w:val="none" w:sz="0" w:space="0" w:color="auto"/>
            <w:right w:val="none" w:sz="0" w:space="0" w:color="auto"/>
          </w:divBdr>
        </w:div>
        <w:div w:id="978074976">
          <w:marLeft w:val="0"/>
          <w:marRight w:val="0"/>
          <w:marTop w:val="0"/>
          <w:marBottom w:val="0"/>
          <w:divBdr>
            <w:top w:val="none" w:sz="0" w:space="0" w:color="auto"/>
            <w:left w:val="none" w:sz="0" w:space="0" w:color="auto"/>
            <w:bottom w:val="none" w:sz="0" w:space="0" w:color="auto"/>
            <w:right w:val="none" w:sz="0" w:space="0" w:color="auto"/>
          </w:divBdr>
        </w:div>
        <w:div w:id="591864639">
          <w:marLeft w:val="0"/>
          <w:marRight w:val="0"/>
          <w:marTop w:val="0"/>
          <w:marBottom w:val="0"/>
          <w:divBdr>
            <w:top w:val="none" w:sz="0" w:space="0" w:color="auto"/>
            <w:left w:val="none" w:sz="0" w:space="0" w:color="auto"/>
            <w:bottom w:val="none" w:sz="0" w:space="0" w:color="auto"/>
            <w:right w:val="none" w:sz="0" w:space="0" w:color="auto"/>
          </w:divBdr>
        </w:div>
        <w:div w:id="897664993">
          <w:marLeft w:val="0"/>
          <w:marRight w:val="0"/>
          <w:marTop w:val="0"/>
          <w:marBottom w:val="0"/>
          <w:divBdr>
            <w:top w:val="none" w:sz="0" w:space="0" w:color="auto"/>
            <w:left w:val="none" w:sz="0" w:space="0" w:color="auto"/>
            <w:bottom w:val="none" w:sz="0" w:space="0" w:color="auto"/>
            <w:right w:val="none" w:sz="0" w:space="0" w:color="auto"/>
          </w:divBdr>
        </w:div>
        <w:div w:id="517504701">
          <w:marLeft w:val="0"/>
          <w:marRight w:val="0"/>
          <w:marTop w:val="0"/>
          <w:marBottom w:val="0"/>
          <w:divBdr>
            <w:top w:val="none" w:sz="0" w:space="0" w:color="auto"/>
            <w:left w:val="none" w:sz="0" w:space="0" w:color="auto"/>
            <w:bottom w:val="none" w:sz="0" w:space="0" w:color="auto"/>
            <w:right w:val="none" w:sz="0" w:space="0" w:color="auto"/>
          </w:divBdr>
        </w:div>
        <w:div w:id="1311253769">
          <w:marLeft w:val="0"/>
          <w:marRight w:val="0"/>
          <w:marTop w:val="0"/>
          <w:marBottom w:val="0"/>
          <w:divBdr>
            <w:top w:val="none" w:sz="0" w:space="0" w:color="auto"/>
            <w:left w:val="none" w:sz="0" w:space="0" w:color="auto"/>
            <w:bottom w:val="none" w:sz="0" w:space="0" w:color="auto"/>
            <w:right w:val="none" w:sz="0" w:space="0" w:color="auto"/>
          </w:divBdr>
        </w:div>
        <w:div w:id="1358770695">
          <w:marLeft w:val="0"/>
          <w:marRight w:val="0"/>
          <w:marTop w:val="0"/>
          <w:marBottom w:val="0"/>
          <w:divBdr>
            <w:top w:val="none" w:sz="0" w:space="0" w:color="auto"/>
            <w:left w:val="none" w:sz="0" w:space="0" w:color="auto"/>
            <w:bottom w:val="none" w:sz="0" w:space="0" w:color="auto"/>
            <w:right w:val="none" w:sz="0" w:space="0" w:color="auto"/>
          </w:divBdr>
        </w:div>
        <w:div w:id="1037969931">
          <w:marLeft w:val="0"/>
          <w:marRight w:val="0"/>
          <w:marTop w:val="0"/>
          <w:marBottom w:val="0"/>
          <w:divBdr>
            <w:top w:val="none" w:sz="0" w:space="0" w:color="auto"/>
            <w:left w:val="none" w:sz="0" w:space="0" w:color="auto"/>
            <w:bottom w:val="none" w:sz="0" w:space="0" w:color="auto"/>
            <w:right w:val="none" w:sz="0" w:space="0" w:color="auto"/>
          </w:divBdr>
        </w:div>
        <w:div w:id="1885829134">
          <w:marLeft w:val="0"/>
          <w:marRight w:val="0"/>
          <w:marTop w:val="0"/>
          <w:marBottom w:val="0"/>
          <w:divBdr>
            <w:top w:val="none" w:sz="0" w:space="0" w:color="auto"/>
            <w:left w:val="none" w:sz="0" w:space="0" w:color="auto"/>
            <w:bottom w:val="none" w:sz="0" w:space="0" w:color="auto"/>
            <w:right w:val="none" w:sz="0" w:space="0" w:color="auto"/>
          </w:divBdr>
        </w:div>
        <w:div w:id="1851792245">
          <w:marLeft w:val="0"/>
          <w:marRight w:val="0"/>
          <w:marTop w:val="0"/>
          <w:marBottom w:val="0"/>
          <w:divBdr>
            <w:top w:val="none" w:sz="0" w:space="0" w:color="auto"/>
            <w:left w:val="none" w:sz="0" w:space="0" w:color="auto"/>
            <w:bottom w:val="none" w:sz="0" w:space="0" w:color="auto"/>
            <w:right w:val="none" w:sz="0" w:space="0" w:color="auto"/>
          </w:divBdr>
        </w:div>
        <w:div w:id="1912619289">
          <w:marLeft w:val="0"/>
          <w:marRight w:val="0"/>
          <w:marTop w:val="0"/>
          <w:marBottom w:val="0"/>
          <w:divBdr>
            <w:top w:val="none" w:sz="0" w:space="0" w:color="auto"/>
            <w:left w:val="none" w:sz="0" w:space="0" w:color="auto"/>
            <w:bottom w:val="none" w:sz="0" w:space="0" w:color="auto"/>
            <w:right w:val="none" w:sz="0" w:space="0" w:color="auto"/>
          </w:divBdr>
        </w:div>
        <w:div w:id="174660253">
          <w:marLeft w:val="0"/>
          <w:marRight w:val="0"/>
          <w:marTop w:val="0"/>
          <w:marBottom w:val="0"/>
          <w:divBdr>
            <w:top w:val="none" w:sz="0" w:space="0" w:color="auto"/>
            <w:left w:val="none" w:sz="0" w:space="0" w:color="auto"/>
            <w:bottom w:val="none" w:sz="0" w:space="0" w:color="auto"/>
            <w:right w:val="none" w:sz="0" w:space="0" w:color="auto"/>
          </w:divBdr>
        </w:div>
        <w:div w:id="2048409593">
          <w:marLeft w:val="0"/>
          <w:marRight w:val="0"/>
          <w:marTop w:val="0"/>
          <w:marBottom w:val="0"/>
          <w:divBdr>
            <w:top w:val="none" w:sz="0" w:space="0" w:color="auto"/>
            <w:left w:val="none" w:sz="0" w:space="0" w:color="auto"/>
            <w:bottom w:val="none" w:sz="0" w:space="0" w:color="auto"/>
            <w:right w:val="none" w:sz="0" w:space="0" w:color="auto"/>
          </w:divBdr>
        </w:div>
        <w:div w:id="1006395503">
          <w:marLeft w:val="0"/>
          <w:marRight w:val="0"/>
          <w:marTop w:val="0"/>
          <w:marBottom w:val="0"/>
          <w:divBdr>
            <w:top w:val="none" w:sz="0" w:space="0" w:color="auto"/>
            <w:left w:val="none" w:sz="0" w:space="0" w:color="auto"/>
            <w:bottom w:val="none" w:sz="0" w:space="0" w:color="auto"/>
            <w:right w:val="none" w:sz="0" w:space="0" w:color="auto"/>
          </w:divBdr>
        </w:div>
        <w:div w:id="451099577">
          <w:marLeft w:val="0"/>
          <w:marRight w:val="0"/>
          <w:marTop w:val="0"/>
          <w:marBottom w:val="0"/>
          <w:divBdr>
            <w:top w:val="none" w:sz="0" w:space="0" w:color="auto"/>
            <w:left w:val="none" w:sz="0" w:space="0" w:color="auto"/>
            <w:bottom w:val="none" w:sz="0" w:space="0" w:color="auto"/>
            <w:right w:val="none" w:sz="0" w:space="0" w:color="auto"/>
          </w:divBdr>
        </w:div>
        <w:div w:id="1400520514">
          <w:marLeft w:val="0"/>
          <w:marRight w:val="0"/>
          <w:marTop w:val="0"/>
          <w:marBottom w:val="0"/>
          <w:divBdr>
            <w:top w:val="none" w:sz="0" w:space="0" w:color="auto"/>
            <w:left w:val="none" w:sz="0" w:space="0" w:color="auto"/>
            <w:bottom w:val="none" w:sz="0" w:space="0" w:color="auto"/>
            <w:right w:val="none" w:sz="0" w:space="0" w:color="auto"/>
          </w:divBdr>
        </w:div>
        <w:div w:id="1580824625">
          <w:marLeft w:val="0"/>
          <w:marRight w:val="0"/>
          <w:marTop w:val="0"/>
          <w:marBottom w:val="0"/>
          <w:divBdr>
            <w:top w:val="none" w:sz="0" w:space="0" w:color="auto"/>
            <w:left w:val="none" w:sz="0" w:space="0" w:color="auto"/>
            <w:bottom w:val="none" w:sz="0" w:space="0" w:color="auto"/>
            <w:right w:val="none" w:sz="0" w:space="0" w:color="auto"/>
          </w:divBdr>
        </w:div>
        <w:div w:id="492992608">
          <w:marLeft w:val="0"/>
          <w:marRight w:val="0"/>
          <w:marTop w:val="0"/>
          <w:marBottom w:val="0"/>
          <w:divBdr>
            <w:top w:val="none" w:sz="0" w:space="0" w:color="auto"/>
            <w:left w:val="none" w:sz="0" w:space="0" w:color="auto"/>
            <w:bottom w:val="none" w:sz="0" w:space="0" w:color="auto"/>
            <w:right w:val="none" w:sz="0" w:space="0" w:color="auto"/>
          </w:divBdr>
        </w:div>
        <w:div w:id="586115622">
          <w:marLeft w:val="0"/>
          <w:marRight w:val="0"/>
          <w:marTop w:val="0"/>
          <w:marBottom w:val="0"/>
          <w:divBdr>
            <w:top w:val="none" w:sz="0" w:space="0" w:color="auto"/>
            <w:left w:val="none" w:sz="0" w:space="0" w:color="auto"/>
            <w:bottom w:val="none" w:sz="0" w:space="0" w:color="auto"/>
            <w:right w:val="none" w:sz="0" w:space="0" w:color="auto"/>
          </w:divBdr>
        </w:div>
        <w:div w:id="1349990354">
          <w:marLeft w:val="0"/>
          <w:marRight w:val="0"/>
          <w:marTop w:val="0"/>
          <w:marBottom w:val="0"/>
          <w:divBdr>
            <w:top w:val="none" w:sz="0" w:space="0" w:color="auto"/>
            <w:left w:val="none" w:sz="0" w:space="0" w:color="auto"/>
            <w:bottom w:val="none" w:sz="0" w:space="0" w:color="auto"/>
            <w:right w:val="none" w:sz="0" w:space="0" w:color="auto"/>
          </w:divBdr>
        </w:div>
        <w:div w:id="323627460">
          <w:marLeft w:val="0"/>
          <w:marRight w:val="0"/>
          <w:marTop w:val="0"/>
          <w:marBottom w:val="0"/>
          <w:divBdr>
            <w:top w:val="none" w:sz="0" w:space="0" w:color="auto"/>
            <w:left w:val="none" w:sz="0" w:space="0" w:color="auto"/>
            <w:bottom w:val="none" w:sz="0" w:space="0" w:color="auto"/>
            <w:right w:val="none" w:sz="0" w:space="0" w:color="auto"/>
          </w:divBdr>
        </w:div>
        <w:div w:id="1530146243">
          <w:marLeft w:val="0"/>
          <w:marRight w:val="0"/>
          <w:marTop w:val="0"/>
          <w:marBottom w:val="0"/>
          <w:divBdr>
            <w:top w:val="none" w:sz="0" w:space="0" w:color="auto"/>
            <w:left w:val="none" w:sz="0" w:space="0" w:color="auto"/>
            <w:bottom w:val="none" w:sz="0" w:space="0" w:color="auto"/>
            <w:right w:val="none" w:sz="0" w:space="0" w:color="auto"/>
          </w:divBdr>
        </w:div>
        <w:div w:id="456221117">
          <w:marLeft w:val="0"/>
          <w:marRight w:val="0"/>
          <w:marTop w:val="0"/>
          <w:marBottom w:val="0"/>
          <w:divBdr>
            <w:top w:val="none" w:sz="0" w:space="0" w:color="auto"/>
            <w:left w:val="none" w:sz="0" w:space="0" w:color="auto"/>
            <w:bottom w:val="none" w:sz="0" w:space="0" w:color="auto"/>
            <w:right w:val="none" w:sz="0" w:space="0" w:color="auto"/>
          </w:divBdr>
        </w:div>
        <w:div w:id="741025113">
          <w:marLeft w:val="0"/>
          <w:marRight w:val="0"/>
          <w:marTop w:val="0"/>
          <w:marBottom w:val="0"/>
          <w:divBdr>
            <w:top w:val="none" w:sz="0" w:space="0" w:color="auto"/>
            <w:left w:val="none" w:sz="0" w:space="0" w:color="auto"/>
            <w:bottom w:val="none" w:sz="0" w:space="0" w:color="auto"/>
            <w:right w:val="none" w:sz="0" w:space="0" w:color="auto"/>
          </w:divBdr>
        </w:div>
        <w:div w:id="1426264812">
          <w:marLeft w:val="0"/>
          <w:marRight w:val="0"/>
          <w:marTop w:val="0"/>
          <w:marBottom w:val="0"/>
          <w:divBdr>
            <w:top w:val="none" w:sz="0" w:space="0" w:color="auto"/>
            <w:left w:val="none" w:sz="0" w:space="0" w:color="auto"/>
            <w:bottom w:val="none" w:sz="0" w:space="0" w:color="auto"/>
            <w:right w:val="none" w:sz="0" w:space="0" w:color="auto"/>
          </w:divBdr>
        </w:div>
        <w:div w:id="20980984">
          <w:marLeft w:val="0"/>
          <w:marRight w:val="0"/>
          <w:marTop w:val="0"/>
          <w:marBottom w:val="0"/>
          <w:divBdr>
            <w:top w:val="none" w:sz="0" w:space="0" w:color="auto"/>
            <w:left w:val="none" w:sz="0" w:space="0" w:color="auto"/>
            <w:bottom w:val="none" w:sz="0" w:space="0" w:color="auto"/>
            <w:right w:val="none" w:sz="0" w:space="0" w:color="auto"/>
          </w:divBdr>
        </w:div>
        <w:div w:id="1224754726">
          <w:marLeft w:val="0"/>
          <w:marRight w:val="0"/>
          <w:marTop w:val="0"/>
          <w:marBottom w:val="0"/>
          <w:divBdr>
            <w:top w:val="none" w:sz="0" w:space="0" w:color="auto"/>
            <w:left w:val="none" w:sz="0" w:space="0" w:color="auto"/>
            <w:bottom w:val="none" w:sz="0" w:space="0" w:color="auto"/>
            <w:right w:val="none" w:sz="0" w:space="0" w:color="auto"/>
          </w:divBdr>
        </w:div>
        <w:div w:id="895628166">
          <w:marLeft w:val="0"/>
          <w:marRight w:val="0"/>
          <w:marTop w:val="0"/>
          <w:marBottom w:val="0"/>
          <w:divBdr>
            <w:top w:val="none" w:sz="0" w:space="0" w:color="auto"/>
            <w:left w:val="none" w:sz="0" w:space="0" w:color="auto"/>
            <w:bottom w:val="none" w:sz="0" w:space="0" w:color="auto"/>
            <w:right w:val="none" w:sz="0" w:space="0" w:color="auto"/>
          </w:divBdr>
        </w:div>
        <w:div w:id="637301102">
          <w:marLeft w:val="0"/>
          <w:marRight w:val="0"/>
          <w:marTop w:val="0"/>
          <w:marBottom w:val="0"/>
          <w:divBdr>
            <w:top w:val="none" w:sz="0" w:space="0" w:color="auto"/>
            <w:left w:val="none" w:sz="0" w:space="0" w:color="auto"/>
            <w:bottom w:val="none" w:sz="0" w:space="0" w:color="auto"/>
            <w:right w:val="none" w:sz="0" w:space="0" w:color="auto"/>
          </w:divBdr>
        </w:div>
        <w:div w:id="1123885178">
          <w:marLeft w:val="0"/>
          <w:marRight w:val="0"/>
          <w:marTop w:val="0"/>
          <w:marBottom w:val="0"/>
          <w:divBdr>
            <w:top w:val="none" w:sz="0" w:space="0" w:color="auto"/>
            <w:left w:val="none" w:sz="0" w:space="0" w:color="auto"/>
            <w:bottom w:val="none" w:sz="0" w:space="0" w:color="auto"/>
            <w:right w:val="none" w:sz="0" w:space="0" w:color="auto"/>
          </w:divBdr>
        </w:div>
        <w:div w:id="112985479">
          <w:marLeft w:val="0"/>
          <w:marRight w:val="0"/>
          <w:marTop w:val="0"/>
          <w:marBottom w:val="0"/>
          <w:divBdr>
            <w:top w:val="none" w:sz="0" w:space="0" w:color="auto"/>
            <w:left w:val="none" w:sz="0" w:space="0" w:color="auto"/>
            <w:bottom w:val="none" w:sz="0" w:space="0" w:color="auto"/>
            <w:right w:val="none" w:sz="0" w:space="0" w:color="auto"/>
          </w:divBdr>
        </w:div>
        <w:div w:id="287779549">
          <w:marLeft w:val="0"/>
          <w:marRight w:val="0"/>
          <w:marTop w:val="0"/>
          <w:marBottom w:val="0"/>
          <w:divBdr>
            <w:top w:val="none" w:sz="0" w:space="0" w:color="auto"/>
            <w:left w:val="none" w:sz="0" w:space="0" w:color="auto"/>
            <w:bottom w:val="none" w:sz="0" w:space="0" w:color="auto"/>
            <w:right w:val="none" w:sz="0" w:space="0" w:color="auto"/>
          </w:divBdr>
        </w:div>
        <w:div w:id="1698896445">
          <w:marLeft w:val="0"/>
          <w:marRight w:val="0"/>
          <w:marTop w:val="0"/>
          <w:marBottom w:val="0"/>
          <w:divBdr>
            <w:top w:val="none" w:sz="0" w:space="0" w:color="auto"/>
            <w:left w:val="none" w:sz="0" w:space="0" w:color="auto"/>
            <w:bottom w:val="none" w:sz="0" w:space="0" w:color="auto"/>
            <w:right w:val="none" w:sz="0" w:space="0" w:color="auto"/>
          </w:divBdr>
        </w:div>
        <w:div w:id="365445021">
          <w:marLeft w:val="0"/>
          <w:marRight w:val="0"/>
          <w:marTop w:val="0"/>
          <w:marBottom w:val="0"/>
          <w:divBdr>
            <w:top w:val="none" w:sz="0" w:space="0" w:color="auto"/>
            <w:left w:val="none" w:sz="0" w:space="0" w:color="auto"/>
            <w:bottom w:val="none" w:sz="0" w:space="0" w:color="auto"/>
            <w:right w:val="none" w:sz="0" w:space="0" w:color="auto"/>
          </w:divBdr>
        </w:div>
        <w:div w:id="44303659">
          <w:marLeft w:val="0"/>
          <w:marRight w:val="0"/>
          <w:marTop w:val="0"/>
          <w:marBottom w:val="0"/>
          <w:divBdr>
            <w:top w:val="none" w:sz="0" w:space="0" w:color="auto"/>
            <w:left w:val="none" w:sz="0" w:space="0" w:color="auto"/>
            <w:bottom w:val="none" w:sz="0" w:space="0" w:color="auto"/>
            <w:right w:val="none" w:sz="0" w:space="0" w:color="auto"/>
          </w:divBdr>
        </w:div>
        <w:div w:id="1202746668">
          <w:marLeft w:val="0"/>
          <w:marRight w:val="0"/>
          <w:marTop w:val="0"/>
          <w:marBottom w:val="0"/>
          <w:divBdr>
            <w:top w:val="none" w:sz="0" w:space="0" w:color="auto"/>
            <w:left w:val="none" w:sz="0" w:space="0" w:color="auto"/>
            <w:bottom w:val="none" w:sz="0" w:space="0" w:color="auto"/>
            <w:right w:val="none" w:sz="0" w:space="0" w:color="auto"/>
          </w:divBdr>
        </w:div>
        <w:div w:id="1424112293">
          <w:marLeft w:val="0"/>
          <w:marRight w:val="0"/>
          <w:marTop w:val="0"/>
          <w:marBottom w:val="0"/>
          <w:divBdr>
            <w:top w:val="none" w:sz="0" w:space="0" w:color="auto"/>
            <w:left w:val="none" w:sz="0" w:space="0" w:color="auto"/>
            <w:bottom w:val="none" w:sz="0" w:space="0" w:color="auto"/>
            <w:right w:val="none" w:sz="0" w:space="0" w:color="auto"/>
          </w:divBdr>
        </w:div>
        <w:div w:id="1536111901">
          <w:marLeft w:val="0"/>
          <w:marRight w:val="0"/>
          <w:marTop w:val="0"/>
          <w:marBottom w:val="0"/>
          <w:divBdr>
            <w:top w:val="none" w:sz="0" w:space="0" w:color="auto"/>
            <w:left w:val="none" w:sz="0" w:space="0" w:color="auto"/>
            <w:bottom w:val="none" w:sz="0" w:space="0" w:color="auto"/>
            <w:right w:val="none" w:sz="0" w:space="0" w:color="auto"/>
          </w:divBdr>
        </w:div>
        <w:div w:id="989283149">
          <w:marLeft w:val="0"/>
          <w:marRight w:val="0"/>
          <w:marTop w:val="0"/>
          <w:marBottom w:val="0"/>
          <w:divBdr>
            <w:top w:val="none" w:sz="0" w:space="0" w:color="auto"/>
            <w:left w:val="none" w:sz="0" w:space="0" w:color="auto"/>
            <w:bottom w:val="none" w:sz="0" w:space="0" w:color="auto"/>
            <w:right w:val="none" w:sz="0" w:space="0" w:color="auto"/>
          </w:divBdr>
        </w:div>
        <w:div w:id="1986934041">
          <w:marLeft w:val="0"/>
          <w:marRight w:val="0"/>
          <w:marTop w:val="0"/>
          <w:marBottom w:val="0"/>
          <w:divBdr>
            <w:top w:val="none" w:sz="0" w:space="0" w:color="auto"/>
            <w:left w:val="none" w:sz="0" w:space="0" w:color="auto"/>
            <w:bottom w:val="none" w:sz="0" w:space="0" w:color="auto"/>
            <w:right w:val="none" w:sz="0" w:space="0" w:color="auto"/>
          </w:divBdr>
        </w:div>
        <w:div w:id="281350950">
          <w:marLeft w:val="0"/>
          <w:marRight w:val="0"/>
          <w:marTop w:val="0"/>
          <w:marBottom w:val="0"/>
          <w:divBdr>
            <w:top w:val="none" w:sz="0" w:space="0" w:color="auto"/>
            <w:left w:val="none" w:sz="0" w:space="0" w:color="auto"/>
            <w:bottom w:val="none" w:sz="0" w:space="0" w:color="auto"/>
            <w:right w:val="none" w:sz="0" w:space="0" w:color="auto"/>
          </w:divBdr>
        </w:div>
        <w:div w:id="950285716">
          <w:marLeft w:val="0"/>
          <w:marRight w:val="0"/>
          <w:marTop w:val="0"/>
          <w:marBottom w:val="0"/>
          <w:divBdr>
            <w:top w:val="none" w:sz="0" w:space="0" w:color="auto"/>
            <w:left w:val="none" w:sz="0" w:space="0" w:color="auto"/>
            <w:bottom w:val="none" w:sz="0" w:space="0" w:color="auto"/>
            <w:right w:val="none" w:sz="0" w:space="0" w:color="auto"/>
          </w:divBdr>
        </w:div>
        <w:div w:id="104424334">
          <w:marLeft w:val="0"/>
          <w:marRight w:val="0"/>
          <w:marTop w:val="0"/>
          <w:marBottom w:val="0"/>
          <w:divBdr>
            <w:top w:val="none" w:sz="0" w:space="0" w:color="auto"/>
            <w:left w:val="none" w:sz="0" w:space="0" w:color="auto"/>
            <w:bottom w:val="none" w:sz="0" w:space="0" w:color="auto"/>
            <w:right w:val="none" w:sz="0" w:space="0" w:color="auto"/>
          </w:divBdr>
        </w:div>
        <w:div w:id="1708333877">
          <w:marLeft w:val="0"/>
          <w:marRight w:val="0"/>
          <w:marTop w:val="0"/>
          <w:marBottom w:val="0"/>
          <w:divBdr>
            <w:top w:val="none" w:sz="0" w:space="0" w:color="auto"/>
            <w:left w:val="none" w:sz="0" w:space="0" w:color="auto"/>
            <w:bottom w:val="none" w:sz="0" w:space="0" w:color="auto"/>
            <w:right w:val="none" w:sz="0" w:space="0" w:color="auto"/>
          </w:divBdr>
        </w:div>
        <w:div w:id="1258447294">
          <w:marLeft w:val="0"/>
          <w:marRight w:val="0"/>
          <w:marTop w:val="0"/>
          <w:marBottom w:val="0"/>
          <w:divBdr>
            <w:top w:val="none" w:sz="0" w:space="0" w:color="auto"/>
            <w:left w:val="none" w:sz="0" w:space="0" w:color="auto"/>
            <w:bottom w:val="none" w:sz="0" w:space="0" w:color="auto"/>
            <w:right w:val="none" w:sz="0" w:space="0" w:color="auto"/>
          </w:divBdr>
        </w:div>
        <w:div w:id="1239511345">
          <w:marLeft w:val="0"/>
          <w:marRight w:val="0"/>
          <w:marTop w:val="0"/>
          <w:marBottom w:val="0"/>
          <w:divBdr>
            <w:top w:val="none" w:sz="0" w:space="0" w:color="auto"/>
            <w:left w:val="none" w:sz="0" w:space="0" w:color="auto"/>
            <w:bottom w:val="none" w:sz="0" w:space="0" w:color="auto"/>
            <w:right w:val="none" w:sz="0" w:space="0" w:color="auto"/>
          </w:divBdr>
        </w:div>
        <w:div w:id="321398236">
          <w:marLeft w:val="0"/>
          <w:marRight w:val="0"/>
          <w:marTop w:val="0"/>
          <w:marBottom w:val="0"/>
          <w:divBdr>
            <w:top w:val="none" w:sz="0" w:space="0" w:color="auto"/>
            <w:left w:val="none" w:sz="0" w:space="0" w:color="auto"/>
            <w:bottom w:val="none" w:sz="0" w:space="0" w:color="auto"/>
            <w:right w:val="none" w:sz="0" w:space="0" w:color="auto"/>
          </w:divBdr>
        </w:div>
        <w:div w:id="1935549880">
          <w:marLeft w:val="0"/>
          <w:marRight w:val="0"/>
          <w:marTop w:val="0"/>
          <w:marBottom w:val="0"/>
          <w:divBdr>
            <w:top w:val="none" w:sz="0" w:space="0" w:color="auto"/>
            <w:left w:val="none" w:sz="0" w:space="0" w:color="auto"/>
            <w:bottom w:val="none" w:sz="0" w:space="0" w:color="auto"/>
            <w:right w:val="none" w:sz="0" w:space="0" w:color="auto"/>
          </w:divBdr>
        </w:div>
        <w:div w:id="129635399">
          <w:marLeft w:val="0"/>
          <w:marRight w:val="0"/>
          <w:marTop w:val="0"/>
          <w:marBottom w:val="0"/>
          <w:divBdr>
            <w:top w:val="none" w:sz="0" w:space="0" w:color="auto"/>
            <w:left w:val="none" w:sz="0" w:space="0" w:color="auto"/>
            <w:bottom w:val="none" w:sz="0" w:space="0" w:color="auto"/>
            <w:right w:val="none" w:sz="0" w:space="0" w:color="auto"/>
          </w:divBdr>
        </w:div>
        <w:div w:id="100299441">
          <w:marLeft w:val="0"/>
          <w:marRight w:val="0"/>
          <w:marTop w:val="0"/>
          <w:marBottom w:val="0"/>
          <w:divBdr>
            <w:top w:val="none" w:sz="0" w:space="0" w:color="auto"/>
            <w:left w:val="none" w:sz="0" w:space="0" w:color="auto"/>
            <w:bottom w:val="none" w:sz="0" w:space="0" w:color="auto"/>
            <w:right w:val="none" w:sz="0" w:space="0" w:color="auto"/>
          </w:divBdr>
        </w:div>
        <w:div w:id="610552634">
          <w:marLeft w:val="0"/>
          <w:marRight w:val="0"/>
          <w:marTop w:val="0"/>
          <w:marBottom w:val="0"/>
          <w:divBdr>
            <w:top w:val="none" w:sz="0" w:space="0" w:color="auto"/>
            <w:left w:val="none" w:sz="0" w:space="0" w:color="auto"/>
            <w:bottom w:val="none" w:sz="0" w:space="0" w:color="auto"/>
            <w:right w:val="none" w:sz="0" w:space="0" w:color="auto"/>
          </w:divBdr>
        </w:div>
        <w:div w:id="379861074">
          <w:marLeft w:val="0"/>
          <w:marRight w:val="0"/>
          <w:marTop w:val="0"/>
          <w:marBottom w:val="0"/>
          <w:divBdr>
            <w:top w:val="none" w:sz="0" w:space="0" w:color="auto"/>
            <w:left w:val="none" w:sz="0" w:space="0" w:color="auto"/>
            <w:bottom w:val="none" w:sz="0" w:space="0" w:color="auto"/>
            <w:right w:val="none" w:sz="0" w:space="0" w:color="auto"/>
          </w:divBdr>
        </w:div>
        <w:div w:id="1021779982">
          <w:marLeft w:val="0"/>
          <w:marRight w:val="0"/>
          <w:marTop w:val="0"/>
          <w:marBottom w:val="0"/>
          <w:divBdr>
            <w:top w:val="none" w:sz="0" w:space="0" w:color="auto"/>
            <w:left w:val="none" w:sz="0" w:space="0" w:color="auto"/>
            <w:bottom w:val="none" w:sz="0" w:space="0" w:color="auto"/>
            <w:right w:val="none" w:sz="0" w:space="0" w:color="auto"/>
          </w:divBdr>
        </w:div>
        <w:div w:id="1027565666">
          <w:marLeft w:val="0"/>
          <w:marRight w:val="0"/>
          <w:marTop w:val="0"/>
          <w:marBottom w:val="0"/>
          <w:divBdr>
            <w:top w:val="none" w:sz="0" w:space="0" w:color="auto"/>
            <w:left w:val="none" w:sz="0" w:space="0" w:color="auto"/>
            <w:bottom w:val="none" w:sz="0" w:space="0" w:color="auto"/>
            <w:right w:val="none" w:sz="0" w:space="0" w:color="auto"/>
          </w:divBdr>
        </w:div>
        <w:div w:id="316691196">
          <w:marLeft w:val="0"/>
          <w:marRight w:val="0"/>
          <w:marTop w:val="0"/>
          <w:marBottom w:val="0"/>
          <w:divBdr>
            <w:top w:val="none" w:sz="0" w:space="0" w:color="auto"/>
            <w:left w:val="none" w:sz="0" w:space="0" w:color="auto"/>
            <w:bottom w:val="none" w:sz="0" w:space="0" w:color="auto"/>
            <w:right w:val="none" w:sz="0" w:space="0" w:color="auto"/>
          </w:divBdr>
        </w:div>
        <w:div w:id="726955641">
          <w:marLeft w:val="0"/>
          <w:marRight w:val="0"/>
          <w:marTop w:val="0"/>
          <w:marBottom w:val="0"/>
          <w:divBdr>
            <w:top w:val="none" w:sz="0" w:space="0" w:color="auto"/>
            <w:left w:val="none" w:sz="0" w:space="0" w:color="auto"/>
            <w:bottom w:val="none" w:sz="0" w:space="0" w:color="auto"/>
            <w:right w:val="none" w:sz="0" w:space="0" w:color="auto"/>
          </w:divBdr>
        </w:div>
        <w:div w:id="653684073">
          <w:marLeft w:val="0"/>
          <w:marRight w:val="0"/>
          <w:marTop w:val="0"/>
          <w:marBottom w:val="0"/>
          <w:divBdr>
            <w:top w:val="none" w:sz="0" w:space="0" w:color="auto"/>
            <w:left w:val="none" w:sz="0" w:space="0" w:color="auto"/>
            <w:bottom w:val="none" w:sz="0" w:space="0" w:color="auto"/>
            <w:right w:val="none" w:sz="0" w:space="0" w:color="auto"/>
          </w:divBdr>
        </w:div>
        <w:div w:id="1842696857">
          <w:marLeft w:val="0"/>
          <w:marRight w:val="0"/>
          <w:marTop w:val="0"/>
          <w:marBottom w:val="0"/>
          <w:divBdr>
            <w:top w:val="none" w:sz="0" w:space="0" w:color="auto"/>
            <w:left w:val="none" w:sz="0" w:space="0" w:color="auto"/>
            <w:bottom w:val="none" w:sz="0" w:space="0" w:color="auto"/>
            <w:right w:val="none" w:sz="0" w:space="0" w:color="auto"/>
          </w:divBdr>
        </w:div>
        <w:div w:id="1169758782">
          <w:marLeft w:val="0"/>
          <w:marRight w:val="0"/>
          <w:marTop w:val="0"/>
          <w:marBottom w:val="0"/>
          <w:divBdr>
            <w:top w:val="none" w:sz="0" w:space="0" w:color="auto"/>
            <w:left w:val="none" w:sz="0" w:space="0" w:color="auto"/>
            <w:bottom w:val="none" w:sz="0" w:space="0" w:color="auto"/>
            <w:right w:val="none" w:sz="0" w:space="0" w:color="auto"/>
          </w:divBdr>
        </w:div>
        <w:div w:id="1561595166">
          <w:marLeft w:val="0"/>
          <w:marRight w:val="0"/>
          <w:marTop w:val="0"/>
          <w:marBottom w:val="0"/>
          <w:divBdr>
            <w:top w:val="none" w:sz="0" w:space="0" w:color="auto"/>
            <w:left w:val="none" w:sz="0" w:space="0" w:color="auto"/>
            <w:bottom w:val="none" w:sz="0" w:space="0" w:color="auto"/>
            <w:right w:val="none" w:sz="0" w:space="0" w:color="auto"/>
          </w:divBdr>
        </w:div>
        <w:div w:id="1426850464">
          <w:marLeft w:val="0"/>
          <w:marRight w:val="0"/>
          <w:marTop w:val="0"/>
          <w:marBottom w:val="0"/>
          <w:divBdr>
            <w:top w:val="none" w:sz="0" w:space="0" w:color="auto"/>
            <w:left w:val="none" w:sz="0" w:space="0" w:color="auto"/>
            <w:bottom w:val="none" w:sz="0" w:space="0" w:color="auto"/>
            <w:right w:val="none" w:sz="0" w:space="0" w:color="auto"/>
          </w:divBdr>
        </w:div>
        <w:div w:id="771172026">
          <w:marLeft w:val="0"/>
          <w:marRight w:val="0"/>
          <w:marTop w:val="0"/>
          <w:marBottom w:val="0"/>
          <w:divBdr>
            <w:top w:val="none" w:sz="0" w:space="0" w:color="auto"/>
            <w:left w:val="none" w:sz="0" w:space="0" w:color="auto"/>
            <w:bottom w:val="none" w:sz="0" w:space="0" w:color="auto"/>
            <w:right w:val="none" w:sz="0" w:space="0" w:color="auto"/>
          </w:divBdr>
        </w:div>
        <w:div w:id="1001466163">
          <w:marLeft w:val="0"/>
          <w:marRight w:val="0"/>
          <w:marTop w:val="0"/>
          <w:marBottom w:val="0"/>
          <w:divBdr>
            <w:top w:val="none" w:sz="0" w:space="0" w:color="auto"/>
            <w:left w:val="none" w:sz="0" w:space="0" w:color="auto"/>
            <w:bottom w:val="none" w:sz="0" w:space="0" w:color="auto"/>
            <w:right w:val="none" w:sz="0" w:space="0" w:color="auto"/>
          </w:divBdr>
        </w:div>
        <w:div w:id="397747354">
          <w:marLeft w:val="0"/>
          <w:marRight w:val="0"/>
          <w:marTop w:val="0"/>
          <w:marBottom w:val="0"/>
          <w:divBdr>
            <w:top w:val="none" w:sz="0" w:space="0" w:color="auto"/>
            <w:left w:val="none" w:sz="0" w:space="0" w:color="auto"/>
            <w:bottom w:val="none" w:sz="0" w:space="0" w:color="auto"/>
            <w:right w:val="none" w:sz="0" w:space="0" w:color="auto"/>
          </w:divBdr>
        </w:div>
        <w:div w:id="1109004507">
          <w:marLeft w:val="0"/>
          <w:marRight w:val="0"/>
          <w:marTop w:val="0"/>
          <w:marBottom w:val="0"/>
          <w:divBdr>
            <w:top w:val="none" w:sz="0" w:space="0" w:color="auto"/>
            <w:left w:val="none" w:sz="0" w:space="0" w:color="auto"/>
            <w:bottom w:val="none" w:sz="0" w:space="0" w:color="auto"/>
            <w:right w:val="none" w:sz="0" w:space="0" w:color="auto"/>
          </w:divBdr>
        </w:div>
        <w:div w:id="685326592">
          <w:marLeft w:val="0"/>
          <w:marRight w:val="0"/>
          <w:marTop w:val="0"/>
          <w:marBottom w:val="0"/>
          <w:divBdr>
            <w:top w:val="none" w:sz="0" w:space="0" w:color="auto"/>
            <w:left w:val="none" w:sz="0" w:space="0" w:color="auto"/>
            <w:bottom w:val="none" w:sz="0" w:space="0" w:color="auto"/>
            <w:right w:val="none" w:sz="0" w:space="0" w:color="auto"/>
          </w:divBdr>
        </w:div>
        <w:div w:id="726800484">
          <w:marLeft w:val="0"/>
          <w:marRight w:val="0"/>
          <w:marTop w:val="0"/>
          <w:marBottom w:val="0"/>
          <w:divBdr>
            <w:top w:val="none" w:sz="0" w:space="0" w:color="auto"/>
            <w:left w:val="none" w:sz="0" w:space="0" w:color="auto"/>
            <w:bottom w:val="none" w:sz="0" w:space="0" w:color="auto"/>
            <w:right w:val="none" w:sz="0" w:space="0" w:color="auto"/>
          </w:divBdr>
        </w:div>
        <w:div w:id="1223634534">
          <w:marLeft w:val="0"/>
          <w:marRight w:val="0"/>
          <w:marTop w:val="0"/>
          <w:marBottom w:val="0"/>
          <w:divBdr>
            <w:top w:val="none" w:sz="0" w:space="0" w:color="auto"/>
            <w:left w:val="none" w:sz="0" w:space="0" w:color="auto"/>
            <w:bottom w:val="none" w:sz="0" w:space="0" w:color="auto"/>
            <w:right w:val="none" w:sz="0" w:space="0" w:color="auto"/>
          </w:divBdr>
        </w:div>
        <w:div w:id="558173473">
          <w:marLeft w:val="0"/>
          <w:marRight w:val="0"/>
          <w:marTop w:val="0"/>
          <w:marBottom w:val="0"/>
          <w:divBdr>
            <w:top w:val="none" w:sz="0" w:space="0" w:color="auto"/>
            <w:left w:val="none" w:sz="0" w:space="0" w:color="auto"/>
            <w:bottom w:val="none" w:sz="0" w:space="0" w:color="auto"/>
            <w:right w:val="none" w:sz="0" w:space="0" w:color="auto"/>
          </w:divBdr>
        </w:div>
        <w:div w:id="796796192">
          <w:marLeft w:val="0"/>
          <w:marRight w:val="0"/>
          <w:marTop w:val="0"/>
          <w:marBottom w:val="0"/>
          <w:divBdr>
            <w:top w:val="none" w:sz="0" w:space="0" w:color="auto"/>
            <w:left w:val="none" w:sz="0" w:space="0" w:color="auto"/>
            <w:bottom w:val="none" w:sz="0" w:space="0" w:color="auto"/>
            <w:right w:val="none" w:sz="0" w:space="0" w:color="auto"/>
          </w:divBdr>
        </w:div>
      </w:divsChild>
    </w:div>
    <w:div w:id="1167936748">
      <w:bodyDiv w:val="1"/>
      <w:marLeft w:val="0"/>
      <w:marRight w:val="0"/>
      <w:marTop w:val="0"/>
      <w:marBottom w:val="0"/>
      <w:divBdr>
        <w:top w:val="none" w:sz="0" w:space="0" w:color="auto"/>
        <w:left w:val="none" w:sz="0" w:space="0" w:color="auto"/>
        <w:bottom w:val="none" w:sz="0" w:space="0" w:color="auto"/>
        <w:right w:val="none" w:sz="0" w:space="0" w:color="auto"/>
      </w:divBdr>
    </w:div>
    <w:div w:id="1178691611">
      <w:bodyDiv w:val="1"/>
      <w:marLeft w:val="0"/>
      <w:marRight w:val="0"/>
      <w:marTop w:val="0"/>
      <w:marBottom w:val="0"/>
      <w:divBdr>
        <w:top w:val="none" w:sz="0" w:space="0" w:color="auto"/>
        <w:left w:val="none" w:sz="0" w:space="0" w:color="auto"/>
        <w:bottom w:val="none" w:sz="0" w:space="0" w:color="auto"/>
        <w:right w:val="none" w:sz="0" w:space="0" w:color="auto"/>
      </w:divBdr>
      <w:divsChild>
        <w:div w:id="1284003204">
          <w:marLeft w:val="0"/>
          <w:marRight w:val="0"/>
          <w:marTop w:val="0"/>
          <w:marBottom w:val="0"/>
          <w:divBdr>
            <w:top w:val="none" w:sz="0" w:space="0" w:color="auto"/>
            <w:left w:val="none" w:sz="0" w:space="0" w:color="auto"/>
            <w:bottom w:val="none" w:sz="0" w:space="0" w:color="auto"/>
            <w:right w:val="none" w:sz="0" w:space="0" w:color="auto"/>
          </w:divBdr>
        </w:div>
        <w:div w:id="1489127401">
          <w:marLeft w:val="0"/>
          <w:marRight w:val="0"/>
          <w:marTop w:val="0"/>
          <w:marBottom w:val="0"/>
          <w:divBdr>
            <w:top w:val="none" w:sz="0" w:space="0" w:color="auto"/>
            <w:left w:val="none" w:sz="0" w:space="0" w:color="auto"/>
            <w:bottom w:val="none" w:sz="0" w:space="0" w:color="auto"/>
            <w:right w:val="none" w:sz="0" w:space="0" w:color="auto"/>
          </w:divBdr>
        </w:div>
      </w:divsChild>
    </w:div>
    <w:div w:id="1200163384">
      <w:bodyDiv w:val="1"/>
      <w:marLeft w:val="0"/>
      <w:marRight w:val="0"/>
      <w:marTop w:val="0"/>
      <w:marBottom w:val="0"/>
      <w:divBdr>
        <w:top w:val="none" w:sz="0" w:space="0" w:color="auto"/>
        <w:left w:val="none" w:sz="0" w:space="0" w:color="auto"/>
        <w:bottom w:val="none" w:sz="0" w:space="0" w:color="auto"/>
        <w:right w:val="none" w:sz="0" w:space="0" w:color="auto"/>
      </w:divBdr>
      <w:divsChild>
        <w:div w:id="874469714">
          <w:marLeft w:val="0"/>
          <w:marRight w:val="0"/>
          <w:marTop w:val="0"/>
          <w:marBottom w:val="0"/>
          <w:divBdr>
            <w:top w:val="none" w:sz="0" w:space="0" w:color="auto"/>
            <w:left w:val="none" w:sz="0" w:space="0" w:color="auto"/>
            <w:bottom w:val="none" w:sz="0" w:space="0" w:color="auto"/>
            <w:right w:val="none" w:sz="0" w:space="0" w:color="auto"/>
          </w:divBdr>
          <w:divsChild>
            <w:div w:id="1051657528">
              <w:marLeft w:val="0"/>
              <w:marRight w:val="0"/>
              <w:marTop w:val="0"/>
              <w:marBottom w:val="0"/>
              <w:divBdr>
                <w:top w:val="none" w:sz="0" w:space="0" w:color="auto"/>
                <w:left w:val="none" w:sz="0" w:space="0" w:color="auto"/>
                <w:bottom w:val="none" w:sz="0" w:space="0" w:color="auto"/>
                <w:right w:val="none" w:sz="0" w:space="0" w:color="auto"/>
              </w:divBdr>
              <w:divsChild>
                <w:div w:id="1504782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2209062">
      <w:bodyDiv w:val="1"/>
      <w:marLeft w:val="0"/>
      <w:marRight w:val="0"/>
      <w:marTop w:val="0"/>
      <w:marBottom w:val="0"/>
      <w:divBdr>
        <w:top w:val="none" w:sz="0" w:space="0" w:color="auto"/>
        <w:left w:val="none" w:sz="0" w:space="0" w:color="auto"/>
        <w:bottom w:val="none" w:sz="0" w:space="0" w:color="auto"/>
        <w:right w:val="none" w:sz="0" w:space="0" w:color="auto"/>
      </w:divBdr>
    </w:div>
    <w:div w:id="1217203459">
      <w:bodyDiv w:val="1"/>
      <w:marLeft w:val="0"/>
      <w:marRight w:val="0"/>
      <w:marTop w:val="0"/>
      <w:marBottom w:val="0"/>
      <w:divBdr>
        <w:top w:val="none" w:sz="0" w:space="0" w:color="auto"/>
        <w:left w:val="none" w:sz="0" w:space="0" w:color="auto"/>
        <w:bottom w:val="none" w:sz="0" w:space="0" w:color="auto"/>
        <w:right w:val="none" w:sz="0" w:space="0" w:color="auto"/>
      </w:divBdr>
    </w:div>
    <w:div w:id="1238395511">
      <w:bodyDiv w:val="1"/>
      <w:marLeft w:val="0"/>
      <w:marRight w:val="0"/>
      <w:marTop w:val="0"/>
      <w:marBottom w:val="0"/>
      <w:divBdr>
        <w:top w:val="none" w:sz="0" w:space="0" w:color="auto"/>
        <w:left w:val="none" w:sz="0" w:space="0" w:color="auto"/>
        <w:bottom w:val="none" w:sz="0" w:space="0" w:color="auto"/>
        <w:right w:val="none" w:sz="0" w:space="0" w:color="auto"/>
      </w:divBdr>
    </w:div>
    <w:div w:id="1240947706">
      <w:bodyDiv w:val="1"/>
      <w:marLeft w:val="0"/>
      <w:marRight w:val="0"/>
      <w:marTop w:val="0"/>
      <w:marBottom w:val="0"/>
      <w:divBdr>
        <w:top w:val="none" w:sz="0" w:space="0" w:color="auto"/>
        <w:left w:val="none" w:sz="0" w:space="0" w:color="auto"/>
        <w:bottom w:val="none" w:sz="0" w:space="0" w:color="auto"/>
        <w:right w:val="none" w:sz="0" w:space="0" w:color="auto"/>
      </w:divBdr>
      <w:divsChild>
        <w:div w:id="90398715">
          <w:marLeft w:val="0"/>
          <w:marRight w:val="0"/>
          <w:marTop w:val="0"/>
          <w:marBottom w:val="0"/>
          <w:divBdr>
            <w:top w:val="none" w:sz="0" w:space="0" w:color="auto"/>
            <w:left w:val="none" w:sz="0" w:space="0" w:color="auto"/>
            <w:bottom w:val="none" w:sz="0" w:space="0" w:color="auto"/>
            <w:right w:val="none" w:sz="0" w:space="0" w:color="auto"/>
          </w:divBdr>
          <w:divsChild>
            <w:div w:id="2070960912">
              <w:marLeft w:val="0"/>
              <w:marRight w:val="0"/>
              <w:marTop w:val="0"/>
              <w:marBottom w:val="0"/>
              <w:divBdr>
                <w:top w:val="none" w:sz="0" w:space="0" w:color="auto"/>
                <w:left w:val="none" w:sz="0" w:space="0" w:color="auto"/>
                <w:bottom w:val="none" w:sz="0" w:space="0" w:color="auto"/>
                <w:right w:val="none" w:sz="0" w:space="0" w:color="auto"/>
              </w:divBdr>
              <w:divsChild>
                <w:div w:id="521554028">
                  <w:marLeft w:val="0"/>
                  <w:marRight w:val="0"/>
                  <w:marTop w:val="0"/>
                  <w:marBottom w:val="0"/>
                  <w:divBdr>
                    <w:top w:val="none" w:sz="0" w:space="0" w:color="auto"/>
                    <w:left w:val="none" w:sz="0" w:space="0" w:color="auto"/>
                    <w:bottom w:val="none" w:sz="0" w:space="0" w:color="auto"/>
                    <w:right w:val="none" w:sz="0" w:space="0" w:color="auto"/>
                  </w:divBdr>
                  <w:divsChild>
                    <w:div w:id="314379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4268371">
      <w:bodyDiv w:val="1"/>
      <w:marLeft w:val="0"/>
      <w:marRight w:val="0"/>
      <w:marTop w:val="0"/>
      <w:marBottom w:val="0"/>
      <w:divBdr>
        <w:top w:val="none" w:sz="0" w:space="0" w:color="auto"/>
        <w:left w:val="none" w:sz="0" w:space="0" w:color="auto"/>
        <w:bottom w:val="none" w:sz="0" w:space="0" w:color="auto"/>
        <w:right w:val="none" w:sz="0" w:space="0" w:color="auto"/>
      </w:divBdr>
    </w:div>
    <w:div w:id="1309435625">
      <w:bodyDiv w:val="1"/>
      <w:marLeft w:val="0"/>
      <w:marRight w:val="0"/>
      <w:marTop w:val="0"/>
      <w:marBottom w:val="0"/>
      <w:divBdr>
        <w:top w:val="none" w:sz="0" w:space="0" w:color="auto"/>
        <w:left w:val="none" w:sz="0" w:space="0" w:color="auto"/>
        <w:bottom w:val="none" w:sz="0" w:space="0" w:color="auto"/>
        <w:right w:val="none" w:sz="0" w:space="0" w:color="auto"/>
      </w:divBdr>
    </w:div>
    <w:div w:id="1318922361">
      <w:bodyDiv w:val="1"/>
      <w:marLeft w:val="0"/>
      <w:marRight w:val="0"/>
      <w:marTop w:val="0"/>
      <w:marBottom w:val="0"/>
      <w:divBdr>
        <w:top w:val="none" w:sz="0" w:space="0" w:color="auto"/>
        <w:left w:val="none" w:sz="0" w:space="0" w:color="auto"/>
        <w:bottom w:val="none" w:sz="0" w:space="0" w:color="auto"/>
        <w:right w:val="none" w:sz="0" w:space="0" w:color="auto"/>
      </w:divBdr>
    </w:div>
    <w:div w:id="1362050223">
      <w:bodyDiv w:val="1"/>
      <w:marLeft w:val="0"/>
      <w:marRight w:val="0"/>
      <w:marTop w:val="0"/>
      <w:marBottom w:val="0"/>
      <w:divBdr>
        <w:top w:val="none" w:sz="0" w:space="0" w:color="auto"/>
        <w:left w:val="none" w:sz="0" w:space="0" w:color="auto"/>
        <w:bottom w:val="none" w:sz="0" w:space="0" w:color="auto"/>
        <w:right w:val="none" w:sz="0" w:space="0" w:color="auto"/>
      </w:divBdr>
    </w:div>
    <w:div w:id="1379547274">
      <w:bodyDiv w:val="1"/>
      <w:marLeft w:val="0"/>
      <w:marRight w:val="0"/>
      <w:marTop w:val="0"/>
      <w:marBottom w:val="0"/>
      <w:divBdr>
        <w:top w:val="none" w:sz="0" w:space="0" w:color="auto"/>
        <w:left w:val="none" w:sz="0" w:space="0" w:color="auto"/>
        <w:bottom w:val="none" w:sz="0" w:space="0" w:color="auto"/>
        <w:right w:val="none" w:sz="0" w:space="0" w:color="auto"/>
      </w:divBdr>
    </w:div>
    <w:div w:id="1419717194">
      <w:bodyDiv w:val="1"/>
      <w:marLeft w:val="0"/>
      <w:marRight w:val="0"/>
      <w:marTop w:val="0"/>
      <w:marBottom w:val="0"/>
      <w:divBdr>
        <w:top w:val="none" w:sz="0" w:space="0" w:color="auto"/>
        <w:left w:val="none" w:sz="0" w:space="0" w:color="auto"/>
        <w:bottom w:val="none" w:sz="0" w:space="0" w:color="auto"/>
        <w:right w:val="none" w:sz="0" w:space="0" w:color="auto"/>
      </w:divBdr>
      <w:divsChild>
        <w:div w:id="2074619656">
          <w:marLeft w:val="0"/>
          <w:marRight w:val="0"/>
          <w:marTop w:val="0"/>
          <w:marBottom w:val="0"/>
          <w:divBdr>
            <w:top w:val="none" w:sz="0" w:space="0" w:color="auto"/>
            <w:left w:val="none" w:sz="0" w:space="0" w:color="auto"/>
            <w:bottom w:val="none" w:sz="0" w:space="0" w:color="auto"/>
            <w:right w:val="none" w:sz="0" w:space="0" w:color="auto"/>
          </w:divBdr>
        </w:div>
        <w:div w:id="1490559816">
          <w:marLeft w:val="0"/>
          <w:marRight w:val="0"/>
          <w:marTop w:val="0"/>
          <w:marBottom w:val="0"/>
          <w:divBdr>
            <w:top w:val="none" w:sz="0" w:space="0" w:color="auto"/>
            <w:left w:val="none" w:sz="0" w:space="0" w:color="auto"/>
            <w:bottom w:val="none" w:sz="0" w:space="0" w:color="auto"/>
            <w:right w:val="none" w:sz="0" w:space="0" w:color="auto"/>
          </w:divBdr>
        </w:div>
        <w:div w:id="161941511">
          <w:marLeft w:val="0"/>
          <w:marRight w:val="0"/>
          <w:marTop w:val="0"/>
          <w:marBottom w:val="0"/>
          <w:divBdr>
            <w:top w:val="none" w:sz="0" w:space="0" w:color="auto"/>
            <w:left w:val="none" w:sz="0" w:space="0" w:color="auto"/>
            <w:bottom w:val="none" w:sz="0" w:space="0" w:color="auto"/>
            <w:right w:val="none" w:sz="0" w:space="0" w:color="auto"/>
          </w:divBdr>
        </w:div>
        <w:div w:id="2146504841">
          <w:marLeft w:val="0"/>
          <w:marRight w:val="0"/>
          <w:marTop w:val="0"/>
          <w:marBottom w:val="0"/>
          <w:divBdr>
            <w:top w:val="none" w:sz="0" w:space="0" w:color="auto"/>
            <w:left w:val="none" w:sz="0" w:space="0" w:color="auto"/>
            <w:bottom w:val="none" w:sz="0" w:space="0" w:color="auto"/>
            <w:right w:val="none" w:sz="0" w:space="0" w:color="auto"/>
          </w:divBdr>
        </w:div>
        <w:div w:id="1955012218">
          <w:marLeft w:val="0"/>
          <w:marRight w:val="0"/>
          <w:marTop w:val="0"/>
          <w:marBottom w:val="0"/>
          <w:divBdr>
            <w:top w:val="none" w:sz="0" w:space="0" w:color="auto"/>
            <w:left w:val="none" w:sz="0" w:space="0" w:color="auto"/>
            <w:bottom w:val="none" w:sz="0" w:space="0" w:color="auto"/>
            <w:right w:val="none" w:sz="0" w:space="0" w:color="auto"/>
          </w:divBdr>
        </w:div>
        <w:div w:id="1369916970">
          <w:marLeft w:val="0"/>
          <w:marRight w:val="0"/>
          <w:marTop w:val="0"/>
          <w:marBottom w:val="0"/>
          <w:divBdr>
            <w:top w:val="none" w:sz="0" w:space="0" w:color="auto"/>
            <w:left w:val="none" w:sz="0" w:space="0" w:color="auto"/>
            <w:bottom w:val="none" w:sz="0" w:space="0" w:color="auto"/>
            <w:right w:val="none" w:sz="0" w:space="0" w:color="auto"/>
          </w:divBdr>
        </w:div>
      </w:divsChild>
    </w:div>
    <w:div w:id="1439905408">
      <w:bodyDiv w:val="1"/>
      <w:marLeft w:val="0"/>
      <w:marRight w:val="0"/>
      <w:marTop w:val="0"/>
      <w:marBottom w:val="0"/>
      <w:divBdr>
        <w:top w:val="none" w:sz="0" w:space="0" w:color="auto"/>
        <w:left w:val="none" w:sz="0" w:space="0" w:color="auto"/>
        <w:bottom w:val="none" w:sz="0" w:space="0" w:color="auto"/>
        <w:right w:val="none" w:sz="0" w:space="0" w:color="auto"/>
      </w:divBdr>
      <w:divsChild>
        <w:div w:id="570695592">
          <w:marLeft w:val="1397"/>
          <w:marRight w:val="0"/>
          <w:marTop w:val="80"/>
          <w:marBottom w:val="0"/>
          <w:divBdr>
            <w:top w:val="none" w:sz="0" w:space="0" w:color="auto"/>
            <w:left w:val="none" w:sz="0" w:space="0" w:color="auto"/>
            <w:bottom w:val="none" w:sz="0" w:space="0" w:color="auto"/>
            <w:right w:val="none" w:sz="0" w:space="0" w:color="auto"/>
          </w:divBdr>
        </w:div>
        <w:div w:id="1220364420">
          <w:marLeft w:val="1397"/>
          <w:marRight w:val="0"/>
          <w:marTop w:val="80"/>
          <w:marBottom w:val="0"/>
          <w:divBdr>
            <w:top w:val="none" w:sz="0" w:space="0" w:color="auto"/>
            <w:left w:val="none" w:sz="0" w:space="0" w:color="auto"/>
            <w:bottom w:val="none" w:sz="0" w:space="0" w:color="auto"/>
            <w:right w:val="none" w:sz="0" w:space="0" w:color="auto"/>
          </w:divBdr>
        </w:div>
        <w:div w:id="1175926447">
          <w:marLeft w:val="1397"/>
          <w:marRight w:val="0"/>
          <w:marTop w:val="80"/>
          <w:marBottom w:val="0"/>
          <w:divBdr>
            <w:top w:val="none" w:sz="0" w:space="0" w:color="auto"/>
            <w:left w:val="none" w:sz="0" w:space="0" w:color="auto"/>
            <w:bottom w:val="none" w:sz="0" w:space="0" w:color="auto"/>
            <w:right w:val="none" w:sz="0" w:space="0" w:color="auto"/>
          </w:divBdr>
        </w:div>
        <w:div w:id="692270417">
          <w:marLeft w:val="1397"/>
          <w:marRight w:val="0"/>
          <w:marTop w:val="80"/>
          <w:marBottom w:val="0"/>
          <w:divBdr>
            <w:top w:val="none" w:sz="0" w:space="0" w:color="auto"/>
            <w:left w:val="none" w:sz="0" w:space="0" w:color="auto"/>
            <w:bottom w:val="none" w:sz="0" w:space="0" w:color="auto"/>
            <w:right w:val="none" w:sz="0" w:space="0" w:color="auto"/>
          </w:divBdr>
        </w:div>
        <w:div w:id="1086150377">
          <w:marLeft w:val="1397"/>
          <w:marRight w:val="0"/>
          <w:marTop w:val="80"/>
          <w:marBottom w:val="0"/>
          <w:divBdr>
            <w:top w:val="none" w:sz="0" w:space="0" w:color="auto"/>
            <w:left w:val="none" w:sz="0" w:space="0" w:color="auto"/>
            <w:bottom w:val="none" w:sz="0" w:space="0" w:color="auto"/>
            <w:right w:val="none" w:sz="0" w:space="0" w:color="auto"/>
          </w:divBdr>
        </w:div>
      </w:divsChild>
    </w:div>
    <w:div w:id="1441022609">
      <w:bodyDiv w:val="1"/>
      <w:marLeft w:val="0"/>
      <w:marRight w:val="0"/>
      <w:marTop w:val="0"/>
      <w:marBottom w:val="0"/>
      <w:divBdr>
        <w:top w:val="none" w:sz="0" w:space="0" w:color="auto"/>
        <w:left w:val="none" w:sz="0" w:space="0" w:color="auto"/>
        <w:bottom w:val="none" w:sz="0" w:space="0" w:color="auto"/>
        <w:right w:val="none" w:sz="0" w:space="0" w:color="auto"/>
      </w:divBdr>
    </w:div>
    <w:div w:id="1479151090">
      <w:bodyDiv w:val="1"/>
      <w:marLeft w:val="0"/>
      <w:marRight w:val="0"/>
      <w:marTop w:val="0"/>
      <w:marBottom w:val="0"/>
      <w:divBdr>
        <w:top w:val="none" w:sz="0" w:space="0" w:color="auto"/>
        <w:left w:val="none" w:sz="0" w:space="0" w:color="auto"/>
        <w:bottom w:val="none" w:sz="0" w:space="0" w:color="auto"/>
        <w:right w:val="none" w:sz="0" w:space="0" w:color="auto"/>
      </w:divBdr>
    </w:div>
    <w:div w:id="1480465455">
      <w:bodyDiv w:val="1"/>
      <w:marLeft w:val="0"/>
      <w:marRight w:val="0"/>
      <w:marTop w:val="0"/>
      <w:marBottom w:val="0"/>
      <w:divBdr>
        <w:top w:val="none" w:sz="0" w:space="0" w:color="auto"/>
        <w:left w:val="none" w:sz="0" w:space="0" w:color="auto"/>
        <w:bottom w:val="none" w:sz="0" w:space="0" w:color="auto"/>
        <w:right w:val="none" w:sz="0" w:space="0" w:color="auto"/>
      </w:divBdr>
      <w:divsChild>
        <w:div w:id="4750732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8741647">
      <w:bodyDiv w:val="1"/>
      <w:marLeft w:val="0"/>
      <w:marRight w:val="0"/>
      <w:marTop w:val="0"/>
      <w:marBottom w:val="0"/>
      <w:divBdr>
        <w:top w:val="none" w:sz="0" w:space="0" w:color="auto"/>
        <w:left w:val="none" w:sz="0" w:space="0" w:color="auto"/>
        <w:bottom w:val="none" w:sz="0" w:space="0" w:color="auto"/>
        <w:right w:val="none" w:sz="0" w:space="0" w:color="auto"/>
      </w:divBdr>
    </w:div>
    <w:div w:id="1535537639">
      <w:bodyDiv w:val="1"/>
      <w:marLeft w:val="0"/>
      <w:marRight w:val="0"/>
      <w:marTop w:val="0"/>
      <w:marBottom w:val="0"/>
      <w:divBdr>
        <w:top w:val="none" w:sz="0" w:space="0" w:color="auto"/>
        <w:left w:val="none" w:sz="0" w:space="0" w:color="auto"/>
        <w:bottom w:val="none" w:sz="0" w:space="0" w:color="auto"/>
        <w:right w:val="none" w:sz="0" w:space="0" w:color="auto"/>
      </w:divBdr>
      <w:divsChild>
        <w:div w:id="179512646">
          <w:marLeft w:val="0"/>
          <w:marRight w:val="0"/>
          <w:marTop w:val="0"/>
          <w:marBottom w:val="0"/>
          <w:divBdr>
            <w:top w:val="none" w:sz="0" w:space="0" w:color="auto"/>
            <w:left w:val="none" w:sz="0" w:space="0" w:color="auto"/>
            <w:bottom w:val="none" w:sz="0" w:space="0" w:color="auto"/>
            <w:right w:val="none" w:sz="0" w:space="0" w:color="auto"/>
          </w:divBdr>
        </w:div>
        <w:div w:id="271984881">
          <w:marLeft w:val="0"/>
          <w:marRight w:val="0"/>
          <w:marTop w:val="0"/>
          <w:marBottom w:val="0"/>
          <w:divBdr>
            <w:top w:val="none" w:sz="0" w:space="0" w:color="auto"/>
            <w:left w:val="none" w:sz="0" w:space="0" w:color="auto"/>
            <w:bottom w:val="none" w:sz="0" w:space="0" w:color="auto"/>
            <w:right w:val="none" w:sz="0" w:space="0" w:color="auto"/>
          </w:divBdr>
        </w:div>
        <w:div w:id="342360846">
          <w:marLeft w:val="0"/>
          <w:marRight w:val="0"/>
          <w:marTop w:val="0"/>
          <w:marBottom w:val="0"/>
          <w:divBdr>
            <w:top w:val="none" w:sz="0" w:space="0" w:color="auto"/>
            <w:left w:val="none" w:sz="0" w:space="0" w:color="auto"/>
            <w:bottom w:val="none" w:sz="0" w:space="0" w:color="auto"/>
            <w:right w:val="none" w:sz="0" w:space="0" w:color="auto"/>
          </w:divBdr>
        </w:div>
        <w:div w:id="767582581">
          <w:marLeft w:val="0"/>
          <w:marRight w:val="0"/>
          <w:marTop w:val="0"/>
          <w:marBottom w:val="0"/>
          <w:divBdr>
            <w:top w:val="none" w:sz="0" w:space="0" w:color="auto"/>
            <w:left w:val="none" w:sz="0" w:space="0" w:color="auto"/>
            <w:bottom w:val="none" w:sz="0" w:space="0" w:color="auto"/>
            <w:right w:val="none" w:sz="0" w:space="0" w:color="auto"/>
          </w:divBdr>
        </w:div>
        <w:div w:id="931746652">
          <w:marLeft w:val="0"/>
          <w:marRight w:val="0"/>
          <w:marTop w:val="0"/>
          <w:marBottom w:val="0"/>
          <w:divBdr>
            <w:top w:val="none" w:sz="0" w:space="0" w:color="auto"/>
            <w:left w:val="none" w:sz="0" w:space="0" w:color="auto"/>
            <w:bottom w:val="none" w:sz="0" w:space="0" w:color="auto"/>
            <w:right w:val="none" w:sz="0" w:space="0" w:color="auto"/>
          </w:divBdr>
        </w:div>
        <w:div w:id="1930113613">
          <w:marLeft w:val="0"/>
          <w:marRight w:val="0"/>
          <w:marTop w:val="0"/>
          <w:marBottom w:val="0"/>
          <w:divBdr>
            <w:top w:val="none" w:sz="0" w:space="0" w:color="auto"/>
            <w:left w:val="none" w:sz="0" w:space="0" w:color="auto"/>
            <w:bottom w:val="none" w:sz="0" w:space="0" w:color="auto"/>
            <w:right w:val="none" w:sz="0" w:space="0" w:color="auto"/>
          </w:divBdr>
        </w:div>
      </w:divsChild>
    </w:div>
    <w:div w:id="1573931404">
      <w:bodyDiv w:val="1"/>
      <w:marLeft w:val="0"/>
      <w:marRight w:val="0"/>
      <w:marTop w:val="0"/>
      <w:marBottom w:val="0"/>
      <w:divBdr>
        <w:top w:val="none" w:sz="0" w:space="0" w:color="auto"/>
        <w:left w:val="none" w:sz="0" w:space="0" w:color="auto"/>
        <w:bottom w:val="none" w:sz="0" w:space="0" w:color="auto"/>
        <w:right w:val="none" w:sz="0" w:space="0" w:color="auto"/>
      </w:divBdr>
    </w:div>
    <w:div w:id="1628002253">
      <w:bodyDiv w:val="1"/>
      <w:marLeft w:val="0"/>
      <w:marRight w:val="0"/>
      <w:marTop w:val="0"/>
      <w:marBottom w:val="0"/>
      <w:divBdr>
        <w:top w:val="none" w:sz="0" w:space="0" w:color="auto"/>
        <w:left w:val="none" w:sz="0" w:space="0" w:color="auto"/>
        <w:bottom w:val="none" w:sz="0" w:space="0" w:color="auto"/>
        <w:right w:val="none" w:sz="0" w:space="0" w:color="auto"/>
      </w:divBdr>
    </w:div>
    <w:div w:id="1632251780">
      <w:bodyDiv w:val="1"/>
      <w:marLeft w:val="0"/>
      <w:marRight w:val="0"/>
      <w:marTop w:val="0"/>
      <w:marBottom w:val="0"/>
      <w:divBdr>
        <w:top w:val="none" w:sz="0" w:space="0" w:color="auto"/>
        <w:left w:val="none" w:sz="0" w:space="0" w:color="auto"/>
        <w:bottom w:val="none" w:sz="0" w:space="0" w:color="auto"/>
        <w:right w:val="none" w:sz="0" w:space="0" w:color="auto"/>
      </w:divBdr>
      <w:divsChild>
        <w:div w:id="1366640751">
          <w:marLeft w:val="0"/>
          <w:marRight w:val="0"/>
          <w:marTop w:val="0"/>
          <w:marBottom w:val="0"/>
          <w:divBdr>
            <w:top w:val="none" w:sz="0" w:space="0" w:color="auto"/>
            <w:left w:val="none" w:sz="0" w:space="0" w:color="auto"/>
            <w:bottom w:val="none" w:sz="0" w:space="0" w:color="auto"/>
            <w:right w:val="none" w:sz="0" w:space="0" w:color="auto"/>
          </w:divBdr>
        </w:div>
      </w:divsChild>
    </w:div>
    <w:div w:id="1713730239">
      <w:bodyDiv w:val="1"/>
      <w:marLeft w:val="0"/>
      <w:marRight w:val="0"/>
      <w:marTop w:val="0"/>
      <w:marBottom w:val="0"/>
      <w:divBdr>
        <w:top w:val="none" w:sz="0" w:space="0" w:color="auto"/>
        <w:left w:val="none" w:sz="0" w:space="0" w:color="auto"/>
        <w:bottom w:val="none" w:sz="0" w:space="0" w:color="auto"/>
        <w:right w:val="none" w:sz="0" w:space="0" w:color="auto"/>
      </w:divBdr>
      <w:divsChild>
        <w:div w:id="914706113">
          <w:marLeft w:val="0"/>
          <w:marRight w:val="0"/>
          <w:marTop w:val="0"/>
          <w:marBottom w:val="0"/>
          <w:divBdr>
            <w:top w:val="none" w:sz="0" w:space="0" w:color="auto"/>
            <w:left w:val="none" w:sz="0" w:space="0" w:color="auto"/>
            <w:bottom w:val="none" w:sz="0" w:space="0" w:color="auto"/>
            <w:right w:val="none" w:sz="0" w:space="0" w:color="auto"/>
          </w:divBdr>
          <w:divsChild>
            <w:div w:id="1813062910">
              <w:marLeft w:val="0"/>
              <w:marRight w:val="0"/>
              <w:marTop w:val="0"/>
              <w:marBottom w:val="0"/>
              <w:divBdr>
                <w:top w:val="none" w:sz="0" w:space="0" w:color="auto"/>
                <w:left w:val="none" w:sz="0" w:space="0" w:color="auto"/>
                <w:bottom w:val="none" w:sz="0" w:space="0" w:color="auto"/>
                <w:right w:val="none" w:sz="0" w:space="0" w:color="auto"/>
              </w:divBdr>
              <w:divsChild>
                <w:div w:id="964039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3037491">
      <w:bodyDiv w:val="1"/>
      <w:marLeft w:val="0"/>
      <w:marRight w:val="0"/>
      <w:marTop w:val="0"/>
      <w:marBottom w:val="0"/>
      <w:divBdr>
        <w:top w:val="none" w:sz="0" w:space="0" w:color="auto"/>
        <w:left w:val="none" w:sz="0" w:space="0" w:color="auto"/>
        <w:bottom w:val="none" w:sz="0" w:space="0" w:color="auto"/>
        <w:right w:val="none" w:sz="0" w:space="0" w:color="auto"/>
      </w:divBdr>
    </w:div>
    <w:div w:id="1762098100">
      <w:bodyDiv w:val="1"/>
      <w:marLeft w:val="0"/>
      <w:marRight w:val="0"/>
      <w:marTop w:val="0"/>
      <w:marBottom w:val="0"/>
      <w:divBdr>
        <w:top w:val="none" w:sz="0" w:space="0" w:color="auto"/>
        <w:left w:val="none" w:sz="0" w:space="0" w:color="auto"/>
        <w:bottom w:val="none" w:sz="0" w:space="0" w:color="auto"/>
        <w:right w:val="none" w:sz="0" w:space="0" w:color="auto"/>
      </w:divBdr>
    </w:div>
    <w:div w:id="1767923819">
      <w:bodyDiv w:val="1"/>
      <w:marLeft w:val="0"/>
      <w:marRight w:val="0"/>
      <w:marTop w:val="0"/>
      <w:marBottom w:val="0"/>
      <w:divBdr>
        <w:top w:val="none" w:sz="0" w:space="0" w:color="auto"/>
        <w:left w:val="none" w:sz="0" w:space="0" w:color="auto"/>
        <w:bottom w:val="none" w:sz="0" w:space="0" w:color="auto"/>
        <w:right w:val="none" w:sz="0" w:space="0" w:color="auto"/>
      </w:divBdr>
    </w:div>
    <w:div w:id="1781365799">
      <w:bodyDiv w:val="1"/>
      <w:marLeft w:val="0"/>
      <w:marRight w:val="0"/>
      <w:marTop w:val="0"/>
      <w:marBottom w:val="0"/>
      <w:divBdr>
        <w:top w:val="none" w:sz="0" w:space="0" w:color="auto"/>
        <w:left w:val="none" w:sz="0" w:space="0" w:color="auto"/>
        <w:bottom w:val="none" w:sz="0" w:space="0" w:color="auto"/>
        <w:right w:val="none" w:sz="0" w:space="0" w:color="auto"/>
      </w:divBdr>
    </w:div>
    <w:div w:id="1781991397">
      <w:bodyDiv w:val="1"/>
      <w:marLeft w:val="0"/>
      <w:marRight w:val="0"/>
      <w:marTop w:val="0"/>
      <w:marBottom w:val="0"/>
      <w:divBdr>
        <w:top w:val="none" w:sz="0" w:space="0" w:color="auto"/>
        <w:left w:val="none" w:sz="0" w:space="0" w:color="auto"/>
        <w:bottom w:val="none" w:sz="0" w:space="0" w:color="auto"/>
        <w:right w:val="none" w:sz="0" w:space="0" w:color="auto"/>
      </w:divBdr>
    </w:div>
    <w:div w:id="1807162669">
      <w:bodyDiv w:val="1"/>
      <w:marLeft w:val="0"/>
      <w:marRight w:val="0"/>
      <w:marTop w:val="0"/>
      <w:marBottom w:val="0"/>
      <w:divBdr>
        <w:top w:val="none" w:sz="0" w:space="0" w:color="auto"/>
        <w:left w:val="none" w:sz="0" w:space="0" w:color="auto"/>
        <w:bottom w:val="none" w:sz="0" w:space="0" w:color="auto"/>
        <w:right w:val="none" w:sz="0" w:space="0" w:color="auto"/>
      </w:divBdr>
      <w:divsChild>
        <w:div w:id="830562677">
          <w:marLeft w:val="0"/>
          <w:marRight w:val="0"/>
          <w:marTop w:val="0"/>
          <w:marBottom w:val="0"/>
          <w:divBdr>
            <w:top w:val="none" w:sz="0" w:space="0" w:color="auto"/>
            <w:left w:val="none" w:sz="0" w:space="0" w:color="auto"/>
            <w:bottom w:val="none" w:sz="0" w:space="0" w:color="auto"/>
            <w:right w:val="none" w:sz="0" w:space="0" w:color="auto"/>
          </w:divBdr>
          <w:divsChild>
            <w:div w:id="1597209149">
              <w:marLeft w:val="0"/>
              <w:marRight w:val="0"/>
              <w:marTop w:val="0"/>
              <w:marBottom w:val="0"/>
              <w:divBdr>
                <w:top w:val="none" w:sz="0" w:space="0" w:color="auto"/>
                <w:left w:val="none" w:sz="0" w:space="0" w:color="auto"/>
                <w:bottom w:val="none" w:sz="0" w:space="0" w:color="auto"/>
                <w:right w:val="none" w:sz="0" w:space="0" w:color="auto"/>
              </w:divBdr>
              <w:divsChild>
                <w:div w:id="1911455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9981716">
      <w:bodyDiv w:val="1"/>
      <w:marLeft w:val="0"/>
      <w:marRight w:val="0"/>
      <w:marTop w:val="0"/>
      <w:marBottom w:val="0"/>
      <w:divBdr>
        <w:top w:val="none" w:sz="0" w:space="0" w:color="auto"/>
        <w:left w:val="none" w:sz="0" w:space="0" w:color="auto"/>
        <w:bottom w:val="none" w:sz="0" w:space="0" w:color="auto"/>
        <w:right w:val="none" w:sz="0" w:space="0" w:color="auto"/>
      </w:divBdr>
    </w:div>
    <w:div w:id="1852183972">
      <w:bodyDiv w:val="1"/>
      <w:marLeft w:val="0"/>
      <w:marRight w:val="0"/>
      <w:marTop w:val="0"/>
      <w:marBottom w:val="0"/>
      <w:divBdr>
        <w:top w:val="none" w:sz="0" w:space="0" w:color="auto"/>
        <w:left w:val="none" w:sz="0" w:space="0" w:color="auto"/>
        <w:bottom w:val="none" w:sz="0" w:space="0" w:color="auto"/>
        <w:right w:val="none" w:sz="0" w:space="0" w:color="auto"/>
      </w:divBdr>
    </w:div>
    <w:div w:id="1869365188">
      <w:bodyDiv w:val="1"/>
      <w:marLeft w:val="0"/>
      <w:marRight w:val="0"/>
      <w:marTop w:val="0"/>
      <w:marBottom w:val="0"/>
      <w:divBdr>
        <w:top w:val="none" w:sz="0" w:space="0" w:color="auto"/>
        <w:left w:val="none" w:sz="0" w:space="0" w:color="auto"/>
        <w:bottom w:val="none" w:sz="0" w:space="0" w:color="auto"/>
        <w:right w:val="none" w:sz="0" w:space="0" w:color="auto"/>
      </w:divBdr>
    </w:div>
    <w:div w:id="1875190239">
      <w:bodyDiv w:val="1"/>
      <w:marLeft w:val="0"/>
      <w:marRight w:val="0"/>
      <w:marTop w:val="0"/>
      <w:marBottom w:val="0"/>
      <w:divBdr>
        <w:top w:val="none" w:sz="0" w:space="0" w:color="auto"/>
        <w:left w:val="none" w:sz="0" w:space="0" w:color="auto"/>
        <w:bottom w:val="none" w:sz="0" w:space="0" w:color="auto"/>
        <w:right w:val="none" w:sz="0" w:space="0" w:color="auto"/>
      </w:divBdr>
      <w:divsChild>
        <w:div w:id="245968578">
          <w:marLeft w:val="0"/>
          <w:marRight w:val="0"/>
          <w:marTop w:val="0"/>
          <w:marBottom w:val="0"/>
          <w:divBdr>
            <w:top w:val="none" w:sz="0" w:space="0" w:color="auto"/>
            <w:left w:val="none" w:sz="0" w:space="0" w:color="auto"/>
            <w:bottom w:val="none" w:sz="0" w:space="0" w:color="auto"/>
            <w:right w:val="none" w:sz="0" w:space="0" w:color="auto"/>
          </w:divBdr>
          <w:divsChild>
            <w:div w:id="60496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713558">
      <w:bodyDiv w:val="1"/>
      <w:marLeft w:val="0"/>
      <w:marRight w:val="0"/>
      <w:marTop w:val="0"/>
      <w:marBottom w:val="0"/>
      <w:divBdr>
        <w:top w:val="none" w:sz="0" w:space="0" w:color="auto"/>
        <w:left w:val="none" w:sz="0" w:space="0" w:color="auto"/>
        <w:bottom w:val="none" w:sz="0" w:space="0" w:color="auto"/>
        <w:right w:val="none" w:sz="0" w:space="0" w:color="auto"/>
      </w:divBdr>
      <w:divsChild>
        <w:div w:id="1976598094">
          <w:marLeft w:val="0"/>
          <w:marRight w:val="0"/>
          <w:marTop w:val="0"/>
          <w:marBottom w:val="0"/>
          <w:divBdr>
            <w:top w:val="none" w:sz="0" w:space="0" w:color="auto"/>
            <w:left w:val="none" w:sz="0" w:space="0" w:color="auto"/>
            <w:bottom w:val="none" w:sz="0" w:space="0" w:color="auto"/>
            <w:right w:val="none" w:sz="0" w:space="0" w:color="auto"/>
          </w:divBdr>
        </w:div>
        <w:div w:id="549996358">
          <w:marLeft w:val="0"/>
          <w:marRight w:val="0"/>
          <w:marTop w:val="0"/>
          <w:marBottom w:val="0"/>
          <w:divBdr>
            <w:top w:val="none" w:sz="0" w:space="0" w:color="auto"/>
            <w:left w:val="none" w:sz="0" w:space="0" w:color="auto"/>
            <w:bottom w:val="none" w:sz="0" w:space="0" w:color="auto"/>
            <w:right w:val="none" w:sz="0" w:space="0" w:color="auto"/>
          </w:divBdr>
        </w:div>
      </w:divsChild>
    </w:div>
    <w:div w:id="1899895550">
      <w:bodyDiv w:val="1"/>
      <w:marLeft w:val="0"/>
      <w:marRight w:val="0"/>
      <w:marTop w:val="0"/>
      <w:marBottom w:val="0"/>
      <w:divBdr>
        <w:top w:val="none" w:sz="0" w:space="0" w:color="auto"/>
        <w:left w:val="none" w:sz="0" w:space="0" w:color="auto"/>
        <w:bottom w:val="none" w:sz="0" w:space="0" w:color="auto"/>
        <w:right w:val="none" w:sz="0" w:space="0" w:color="auto"/>
      </w:divBdr>
      <w:divsChild>
        <w:div w:id="1405296619">
          <w:marLeft w:val="0"/>
          <w:marRight w:val="0"/>
          <w:marTop w:val="0"/>
          <w:marBottom w:val="0"/>
          <w:divBdr>
            <w:top w:val="none" w:sz="0" w:space="0" w:color="auto"/>
            <w:left w:val="none" w:sz="0" w:space="0" w:color="auto"/>
            <w:bottom w:val="none" w:sz="0" w:space="0" w:color="auto"/>
            <w:right w:val="none" w:sz="0" w:space="0" w:color="auto"/>
          </w:divBdr>
          <w:divsChild>
            <w:div w:id="274020513">
              <w:marLeft w:val="0"/>
              <w:marRight w:val="0"/>
              <w:marTop w:val="0"/>
              <w:marBottom w:val="0"/>
              <w:divBdr>
                <w:top w:val="none" w:sz="0" w:space="0" w:color="auto"/>
                <w:left w:val="none" w:sz="0" w:space="0" w:color="auto"/>
                <w:bottom w:val="none" w:sz="0" w:space="0" w:color="auto"/>
                <w:right w:val="none" w:sz="0" w:space="0" w:color="auto"/>
              </w:divBdr>
              <w:divsChild>
                <w:div w:id="1508902452">
                  <w:marLeft w:val="0"/>
                  <w:marRight w:val="0"/>
                  <w:marTop w:val="0"/>
                  <w:marBottom w:val="0"/>
                  <w:divBdr>
                    <w:top w:val="none" w:sz="0" w:space="0" w:color="auto"/>
                    <w:left w:val="none" w:sz="0" w:space="0" w:color="auto"/>
                    <w:bottom w:val="none" w:sz="0" w:space="0" w:color="auto"/>
                    <w:right w:val="none" w:sz="0" w:space="0" w:color="auto"/>
                  </w:divBdr>
                </w:div>
              </w:divsChild>
            </w:div>
            <w:div w:id="725450323">
              <w:marLeft w:val="0"/>
              <w:marRight w:val="0"/>
              <w:marTop w:val="0"/>
              <w:marBottom w:val="0"/>
              <w:divBdr>
                <w:top w:val="none" w:sz="0" w:space="0" w:color="auto"/>
                <w:left w:val="none" w:sz="0" w:space="0" w:color="auto"/>
                <w:bottom w:val="none" w:sz="0" w:space="0" w:color="auto"/>
                <w:right w:val="none" w:sz="0" w:space="0" w:color="auto"/>
              </w:divBdr>
              <w:divsChild>
                <w:div w:id="605308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065638">
          <w:marLeft w:val="0"/>
          <w:marRight w:val="0"/>
          <w:marTop w:val="0"/>
          <w:marBottom w:val="0"/>
          <w:divBdr>
            <w:top w:val="none" w:sz="0" w:space="0" w:color="auto"/>
            <w:left w:val="none" w:sz="0" w:space="0" w:color="auto"/>
            <w:bottom w:val="none" w:sz="0" w:space="0" w:color="auto"/>
            <w:right w:val="none" w:sz="0" w:space="0" w:color="auto"/>
          </w:divBdr>
          <w:divsChild>
            <w:div w:id="448671243">
              <w:marLeft w:val="0"/>
              <w:marRight w:val="0"/>
              <w:marTop w:val="0"/>
              <w:marBottom w:val="0"/>
              <w:divBdr>
                <w:top w:val="none" w:sz="0" w:space="0" w:color="auto"/>
                <w:left w:val="none" w:sz="0" w:space="0" w:color="auto"/>
                <w:bottom w:val="none" w:sz="0" w:space="0" w:color="auto"/>
                <w:right w:val="none" w:sz="0" w:space="0" w:color="auto"/>
              </w:divBdr>
              <w:divsChild>
                <w:div w:id="2133819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955414">
      <w:bodyDiv w:val="1"/>
      <w:marLeft w:val="0"/>
      <w:marRight w:val="0"/>
      <w:marTop w:val="0"/>
      <w:marBottom w:val="0"/>
      <w:divBdr>
        <w:top w:val="none" w:sz="0" w:space="0" w:color="auto"/>
        <w:left w:val="none" w:sz="0" w:space="0" w:color="auto"/>
        <w:bottom w:val="none" w:sz="0" w:space="0" w:color="auto"/>
        <w:right w:val="none" w:sz="0" w:space="0" w:color="auto"/>
      </w:divBdr>
      <w:divsChild>
        <w:div w:id="1350252106">
          <w:marLeft w:val="0"/>
          <w:marRight w:val="0"/>
          <w:marTop w:val="0"/>
          <w:marBottom w:val="0"/>
          <w:divBdr>
            <w:top w:val="none" w:sz="0" w:space="0" w:color="auto"/>
            <w:left w:val="none" w:sz="0" w:space="0" w:color="auto"/>
            <w:bottom w:val="none" w:sz="0" w:space="0" w:color="auto"/>
            <w:right w:val="none" w:sz="0" w:space="0" w:color="auto"/>
          </w:divBdr>
        </w:div>
        <w:div w:id="1549759632">
          <w:marLeft w:val="0"/>
          <w:marRight w:val="0"/>
          <w:marTop w:val="0"/>
          <w:marBottom w:val="0"/>
          <w:divBdr>
            <w:top w:val="none" w:sz="0" w:space="0" w:color="auto"/>
            <w:left w:val="none" w:sz="0" w:space="0" w:color="auto"/>
            <w:bottom w:val="none" w:sz="0" w:space="0" w:color="auto"/>
            <w:right w:val="none" w:sz="0" w:space="0" w:color="auto"/>
          </w:divBdr>
        </w:div>
        <w:div w:id="1858156165">
          <w:marLeft w:val="0"/>
          <w:marRight w:val="0"/>
          <w:marTop w:val="0"/>
          <w:marBottom w:val="0"/>
          <w:divBdr>
            <w:top w:val="none" w:sz="0" w:space="0" w:color="auto"/>
            <w:left w:val="none" w:sz="0" w:space="0" w:color="auto"/>
            <w:bottom w:val="none" w:sz="0" w:space="0" w:color="auto"/>
            <w:right w:val="none" w:sz="0" w:space="0" w:color="auto"/>
          </w:divBdr>
        </w:div>
        <w:div w:id="646856311">
          <w:marLeft w:val="0"/>
          <w:marRight w:val="0"/>
          <w:marTop w:val="0"/>
          <w:marBottom w:val="0"/>
          <w:divBdr>
            <w:top w:val="none" w:sz="0" w:space="0" w:color="auto"/>
            <w:left w:val="none" w:sz="0" w:space="0" w:color="auto"/>
            <w:bottom w:val="none" w:sz="0" w:space="0" w:color="auto"/>
            <w:right w:val="none" w:sz="0" w:space="0" w:color="auto"/>
          </w:divBdr>
        </w:div>
      </w:divsChild>
    </w:div>
    <w:div w:id="1989627859">
      <w:bodyDiv w:val="1"/>
      <w:marLeft w:val="0"/>
      <w:marRight w:val="0"/>
      <w:marTop w:val="0"/>
      <w:marBottom w:val="0"/>
      <w:divBdr>
        <w:top w:val="none" w:sz="0" w:space="0" w:color="auto"/>
        <w:left w:val="none" w:sz="0" w:space="0" w:color="auto"/>
        <w:bottom w:val="none" w:sz="0" w:space="0" w:color="auto"/>
        <w:right w:val="none" w:sz="0" w:space="0" w:color="auto"/>
      </w:divBdr>
    </w:div>
    <w:div w:id="2010450163">
      <w:bodyDiv w:val="1"/>
      <w:marLeft w:val="0"/>
      <w:marRight w:val="0"/>
      <w:marTop w:val="0"/>
      <w:marBottom w:val="0"/>
      <w:divBdr>
        <w:top w:val="none" w:sz="0" w:space="0" w:color="auto"/>
        <w:left w:val="none" w:sz="0" w:space="0" w:color="auto"/>
        <w:bottom w:val="none" w:sz="0" w:space="0" w:color="auto"/>
        <w:right w:val="none" w:sz="0" w:space="0" w:color="auto"/>
      </w:divBdr>
    </w:div>
    <w:div w:id="2011524825">
      <w:bodyDiv w:val="1"/>
      <w:marLeft w:val="0"/>
      <w:marRight w:val="0"/>
      <w:marTop w:val="0"/>
      <w:marBottom w:val="0"/>
      <w:divBdr>
        <w:top w:val="none" w:sz="0" w:space="0" w:color="auto"/>
        <w:left w:val="none" w:sz="0" w:space="0" w:color="auto"/>
        <w:bottom w:val="none" w:sz="0" w:space="0" w:color="auto"/>
        <w:right w:val="none" w:sz="0" w:space="0" w:color="auto"/>
      </w:divBdr>
      <w:divsChild>
        <w:div w:id="1733041535">
          <w:marLeft w:val="0"/>
          <w:marRight w:val="0"/>
          <w:marTop w:val="0"/>
          <w:marBottom w:val="0"/>
          <w:divBdr>
            <w:top w:val="none" w:sz="0" w:space="0" w:color="auto"/>
            <w:left w:val="none" w:sz="0" w:space="0" w:color="auto"/>
            <w:bottom w:val="none" w:sz="0" w:space="0" w:color="auto"/>
            <w:right w:val="none" w:sz="0" w:space="0" w:color="auto"/>
          </w:divBdr>
        </w:div>
        <w:div w:id="263995763">
          <w:marLeft w:val="0"/>
          <w:marRight w:val="0"/>
          <w:marTop w:val="0"/>
          <w:marBottom w:val="0"/>
          <w:divBdr>
            <w:top w:val="none" w:sz="0" w:space="0" w:color="auto"/>
            <w:left w:val="none" w:sz="0" w:space="0" w:color="auto"/>
            <w:bottom w:val="none" w:sz="0" w:space="0" w:color="auto"/>
            <w:right w:val="none" w:sz="0" w:space="0" w:color="auto"/>
          </w:divBdr>
        </w:div>
        <w:div w:id="621607">
          <w:marLeft w:val="0"/>
          <w:marRight w:val="0"/>
          <w:marTop w:val="0"/>
          <w:marBottom w:val="0"/>
          <w:divBdr>
            <w:top w:val="none" w:sz="0" w:space="0" w:color="auto"/>
            <w:left w:val="none" w:sz="0" w:space="0" w:color="auto"/>
            <w:bottom w:val="none" w:sz="0" w:space="0" w:color="auto"/>
            <w:right w:val="none" w:sz="0" w:space="0" w:color="auto"/>
          </w:divBdr>
        </w:div>
        <w:div w:id="83499112">
          <w:marLeft w:val="0"/>
          <w:marRight w:val="0"/>
          <w:marTop w:val="0"/>
          <w:marBottom w:val="0"/>
          <w:divBdr>
            <w:top w:val="none" w:sz="0" w:space="0" w:color="auto"/>
            <w:left w:val="none" w:sz="0" w:space="0" w:color="auto"/>
            <w:bottom w:val="none" w:sz="0" w:space="0" w:color="auto"/>
            <w:right w:val="none" w:sz="0" w:space="0" w:color="auto"/>
          </w:divBdr>
        </w:div>
        <w:div w:id="1817139270">
          <w:marLeft w:val="0"/>
          <w:marRight w:val="0"/>
          <w:marTop w:val="0"/>
          <w:marBottom w:val="0"/>
          <w:divBdr>
            <w:top w:val="none" w:sz="0" w:space="0" w:color="auto"/>
            <w:left w:val="none" w:sz="0" w:space="0" w:color="auto"/>
            <w:bottom w:val="none" w:sz="0" w:space="0" w:color="auto"/>
            <w:right w:val="none" w:sz="0" w:space="0" w:color="auto"/>
          </w:divBdr>
        </w:div>
        <w:div w:id="719785406">
          <w:marLeft w:val="0"/>
          <w:marRight w:val="0"/>
          <w:marTop w:val="0"/>
          <w:marBottom w:val="0"/>
          <w:divBdr>
            <w:top w:val="none" w:sz="0" w:space="0" w:color="auto"/>
            <w:left w:val="none" w:sz="0" w:space="0" w:color="auto"/>
            <w:bottom w:val="none" w:sz="0" w:space="0" w:color="auto"/>
            <w:right w:val="none" w:sz="0" w:space="0" w:color="auto"/>
          </w:divBdr>
        </w:div>
        <w:div w:id="1219631115">
          <w:marLeft w:val="0"/>
          <w:marRight w:val="0"/>
          <w:marTop w:val="0"/>
          <w:marBottom w:val="0"/>
          <w:divBdr>
            <w:top w:val="none" w:sz="0" w:space="0" w:color="auto"/>
            <w:left w:val="none" w:sz="0" w:space="0" w:color="auto"/>
            <w:bottom w:val="none" w:sz="0" w:space="0" w:color="auto"/>
            <w:right w:val="none" w:sz="0" w:space="0" w:color="auto"/>
          </w:divBdr>
        </w:div>
        <w:div w:id="2120368990">
          <w:marLeft w:val="0"/>
          <w:marRight w:val="0"/>
          <w:marTop w:val="0"/>
          <w:marBottom w:val="0"/>
          <w:divBdr>
            <w:top w:val="none" w:sz="0" w:space="0" w:color="auto"/>
            <w:left w:val="none" w:sz="0" w:space="0" w:color="auto"/>
            <w:bottom w:val="none" w:sz="0" w:space="0" w:color="auto"/>
            <w:right w:val="none" w:sz="0" w:space="0" w:color="auto"/>
          </w:divBdr>
        </w:div>
        <w:div w:id="54932426">
          <w:marLeft w:val="0"/>
          <w:marRight w:val="0"/>
          <w:marTop w:val="0"/>
          <w:marBottom w:val="0"/>
          <w:divBdr>
            <w:top w:val="none" w:sz="0" w:space="0" w:color="auto"/>
            <w:left w:val="none" w:sz="0" w:space="0" w:color="auto"/>
            <w:bottom w:val="none" w:sz="0" w:space="0" w:color="auto"/>
            <w:right w:val="none" w:sz="0" w:space="0" w:color="auto"/>
          </w:divBdr>
        </w:div>
        <w:div w:id="1670332130">
          <w:marLeft w:val="0"/>
          <w:marRight w:val="0"/>
          <w:marTop w:val="0"/>
          <w:marBottom w:val="0"/>
          <w:divBdr>
            <w:top w:val="none" w:sz="0" w:space="0" w:color="auto"/>
            <w:left w:val="none" w:sz="0" w:space="0" w:color="auto"/>
            <w:bottom w:val="none" w:sz="0" w:space="0" w:color="auto"/>
            <w:right w:val="none" w:sz="0" w:space="0" w:color="auto"/>
          </w:divBdr>
        </w:div>
      </w:divsChild>
    </w:div>
    <w:div w:id="2016229239">
      <w:bodyDiv w:val="1"/>
      <w:marLeft w:val="0"/>
      <w:marRight w:val="0"/>
      <w:marTop w:val="0"/>
      <w:marBottom w:val="0"/>
      <w:divBdr>
        <w:top w:val="none" w:sz="0" w:space="0" w:color="auto"/>
        <w:left w:val="none" w:sz="0" w:space="0" w:color="auto"/>
        <w:bottom w:val="none" w:sz="0" w:space="0" w:color="auto"/>
        <w:right w:val="none" w:sz="0" w:space="0" w:color="auto"/>
      </w:divBdr>
      <w:divsChild>
        <w:div w:id="690760793">
          <w:marLeft w:val="0"/>
          <w:marRight w:val="0"/>
          <w:marTop w:val="0"/>
          <w:marBottom w:val="0"/>
          <w:divBdr>
            <w:top w:val="none" w:sz="0" w:space="0" w:color="auto"/>
            <w:left w:val="none" w:sz="0" w:space="0" w:color="auto"/>
            <w:bottom w:val="none" w:sz="0" w:space="0" w:color="auto"/>
            <w:right w:val="none" w:sz="0" w:space="0" w:color="auto"/>
          </w:divBdr>
          <w:divsChild>
            <w:div w:id="589236336">
              <w:marLeft w:val="0"/>
              <w:marRight w:val="0"/>
              <w:marTop w:val="0"/>
              <w:marBottom w:val="0"/>
              <w:divBdr>
                <w:top w:val="none" w:sz="0" w:space="0" w:color="auto"/>
                <w:left w:val="none" w:sz="0" w:space="0" w:color="auto"/>
                <w:bottom w:val="none" w:sz="0" w:space="0" w:color="auto"/>
                <w:right w:val="none" w:sz="0" w:space="0" w:color="auto"/>
              </w:divBdr>
              <w:divsChild>
                <w:div w:id="1862821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2099462">
      <w:bodyDiv w:val="1"/>
      <w:marLeft w:val="0"/>
      <w:marRight w:val="0"/>
      <w:marTop w:val="0"/>
      <w:marBottom w:val="0"/>
      <w:divBdr>
        <w:top w:val="none" w:sz="0" w:space="0" w:color="auto"/>
        <w:left w:val="none" w:sz="0" w:space="0" w:color="auto"/>
        <w:bottom w:val="none" w:sz="0" w:space="0" w:color="auto"/>
        <w:right w:val="none" w:sz="0" w:space="0" w:color="auto"/>
      </w:divBdr>
      <w:divsChild>
        <w:div w:id="33697581">
          <w:marLeft w:val="0"/>
          <w:marRight w:val="0"/>
          <w:marTop w:val="0"/>
          <w:marBottom w:val="0"/>
          <w:divBdr>
            <w:top w:val="none" w:sz="0" w:space="0" w:color="auto"/>
            <w:left w:val="none" w:sz="0" w:space="0" w:color="auto"/>
            <w:bottom w:val="none" w:sz="0" w:space="0" w:color="auto"/>
            <w:right w:val="none" w:sz="0" w:space="0" w:color="auto"/>
          </w:divBdr>
          <w:divsChild>
            <w:div w:id="1497571307">
              <w:marLeft w:val="0"/>
              <w:marRight w:val="0"/>
              <w:marTop w:val="0"/>
              <w:marBottom w:val="0"/>
              <w:divBdr>
                <w:top w:val="none" w:sz="0" w:space="0" w:color="auto"/>
                <w:left w:val="none" w:sz="0" w:space="0" w:color="auto"/>
                <w:bottom w:val="none" w:sz="0" w:space="0" w:color="auto"/>
                <w:right w:val="none" w:sz="0" w:space="0" w:color="auto"/>
              </w:divBdr>
              <w:divsChild>
                <w:div w:id="532185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5539087">
      <w:bodyDiv w:val="1"/>
      <w:marLeft w:val="0"/>
      <w:marRight w:val="0"/>
      <w:marTop w:val="0"/>
      <w:marBottom w:val="0"/>
      <w:divBdr>
        <w:top w:val="none" w:sz="0" w:space="0" w:color="auto"/>
        <w:left w:val="none" w:sz="0" w:space="0" w:color="auto"/>
        <w:bottom w:val="none" w:sz="0" w:space="0" w:color="auto"/>
        <w:right w:val="none" w:sz="0" w:space="0" w:color="auto"/>
      </w:divBdr>
    </w:div>
    <w:div w:id="2077126599">
      <w:bodyDiv w:val="1"/>
      <w:marLeft w:val="0"/>
      <w:marRight w:val="0"/>
      <w:marTop w:val="0"/>
      <w:marBottom w:val="0"/>
      <w:divBdr>
        <w:top w:val="none" w:sz="0" w:space="0" w:color="auto"/>
        <w:left w:val="none" w:sz="0" w:space="0" w:color="auto"/>
        <w:bottom w:val="none" w:sz="0" w:space="0" w:color="auto"/>
        <w:right w:val="none" w:sz="0" w:space="0" w:color="auto"/>
      </w:divBdr>
      <w:divsChild>
        <w:div w:id="579754773">
          <w:marLeft w:val="0"/>
          <w:marRight w:val="0"/>
          <w:marTop w:val="0"/>
          <w:marBottom w:val="0"/>
          <w:divBdr>
            <w:top w:val="none" w:sz="0" w:space="0" w:color="auto"/>
            <w:left w:val="none" w:sz="0" w:space="0" w:color="auto"/>
            <w:bottom w:val="none" w:sz="0" w:space="0" w:color="auto"/>
            <w:right w:val="none" w:sz="0" w:space="0" w:color="auto"/>
          </w:divBdr>
        </w:div>
        <w:div w:id="1214390041">
          <w:marLeft w:val="0"/>
          <w:marRight w:val="0"/>
          <w:marTop w:val="0"/>
          <w:marBottom w:val="0"/>
          <w:divBdr>
            <w:top w:val="none" w:sz="0" w:space="0" w:color="auto"/>
            <w:left w:val="none" w:sz="0" w:space="0" w:color="auto"/>
            <w:bottom w:val="none" w:sz="0" w:space="0" w:color="auto"/>
            <w:right w:val="none" w:sz="0" w:space="0" w:color="auto"/>
          </w:divBdr>
        </w:div>
        <w:div w:id="181477312">
          <w:marLeft w:val="0"/>
          <w:marRight w:val="0"/>
          <w:marTop w:val="0"/>
          <w:marBottom w:val="0"/>
          <w:divBdr>
            <w:top w:val="none" w:sz="0" w:space="0" w:color="auto"/>
            <w:left w:val="none" w:sz="0" w:space="0" w:color="auto"/>
            <w:bottom w:val="none" w:sz="0" w:space="0" w:color="auto"/>
            <w:right w:val="none" w:sz="0" w:space="0" w:color="auto"/>
          </w:divBdr>
        </w:div>
        <w:div w:id="311183803">
          <w:marLeft w:val="0"/>
          <w:marRight w:val="0"/>
          <w:marTop w:val="0"/>
          <w:marBottom w:val="0"/>
          <w:divBdr>
            <w:top w:val="none" w:sz="0" w:space="0" w:color="auto"/>
            <w:left w:val="none" w:sz="0" w:space="0" w:color="auto"/>
            <w:bottom w:val="none" w:sz="0" w:space="0" w:color="auto"/>
            <w:right w:val="none" w:sz="0" w:space="0" w:color="auto"/>
          </w:divBdr>
        </w:div>
        <w:div w:id="445926864">
          <w:marLeft w:val="0"/>
          <w:marRight w:val="0"/>
          <w:marTop w:val="0"/>
          <w:marBottom w:val="0"/>
          <w:divBdr>
            <w:top w:val="none" w:sz="0" w:space="0" w:color="auto"/>
            <w:left w:val="none" w:sz="0" w:space="0" w:color="auto"/>
            <w:bottom w:val="none" w:sz="0" w:space="0" w:color="auto"/>
            <w:right w:val="none" w:sz="0" w:space="0" w:color="auto"/>
          </w:divBdr>
        </w:div>
        <w:div w:id="8513413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wwda.org.a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witter.com/WWDA_A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acebook.com/WWDA.Australia"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wwda.org.au" TargetMode="External"/><Relationship Id="rId4" Type="http://schemas.openxmlformats.org/officeDocument/2006/relationships/settings" Target="settings.xml"/><Relationship Id="rId9" Type="http://schemas.openxmlformats.org/officeDocument/2006/relationships/hyperlink" Target="mailto:carolyn@wwda.org.au" TargetMode="Externa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117" Type="http://schemas.openxmlformats.org/officeDocument/2006/relationships/hyperlink" Target="https://www.changetherecord.org.au/justicereinvestmentseminar" TargetMode="External"/><Relationship Id="rId21" Type="http://schemas.openxmlformats.org/officeDocument/2006/relationships/hyperlink" Target="https://disability.royalcommission.gov.au/publications/interim-report" TargetMode="External"/><Relationship Id="rId42" Type="http://schemas.openxmlformats.org/officeDocument/2006/relationships/hyperlink" Target="https://www.who.int/publications/i/item/9789240080737" TargetMode="External"/><Relationship Id="rId63" Type="http://schemas.openxmlformats.org/officeDocument/2006/relationships/hyperlink" Target="https://disability.royalcommission.gov.au/public-hearings/public-hearing-8" TargetMode="External"/><Relationship Id="rId84" Type="http://schemas.openxmlformats.org/officeDocument/2006/relationships/hyperlink" Target="https://www.alrc.gov.au/wp-content/uploads/2019/08/119._sisters_inside.pdf" TargetMode="External"/><Relationship Id="rId138" Type="http://schemas.openxmlformats.org/officeDocument/2006/relationships/hyperlink" Target="https://www.ohchr.org/sites/default/files/Documents/Publications/OHCHR_ExtremePovertyandHumanRights_EN.pdf" TargetMode="External"/><Relationship Id="rId159" Type="http://schemas.openxmlformats.org/officeDocument/2006/relationships/hyperlink" Target="https://www.acoss.org.au/wp-content/uploads/2023/09/ACOSS_COL_Report_Sep_2023_Web.pdf" TargetMode="External"/><Relationship Id="rId170" Type="http://schemas.openxmlformats.org/officeDocument/2006/relationships/hyperlink" Target="https://opus.lib.uts.edu.au/bitstream/10453/166674/2/Dementia%20Reparations%20Principles%20FINAL%20UTS.pdf" TargetMode="External"/><Relationship Id="rId107" Type="http://schemas.openxmlformats.org/officeDocument/2006/relationships/hyperlink" Target="https://raisely-images.imgix.net/change-the-record/uploads/ctg-blueprint-for-change-v-2-web-pages-pdf-86e12b.pdf" TargetMode="External"/><Relationship Id="rId11" Type="http://schemas.openxmlformats.org/officeDocument/2006/relationships/hyperlink" Target="https://www.commissionofinquiry.tas.gov.au/home" TargetMode="External"/><Relationship Id="rId32" Type="http://schemas.openxmlformats.org/officeDocument/2006/relationships/hyperlink" Target="https://disability.royalcommission.gov.au/system/files/2022-06/Public%20hearing%2024%20-%20Andrew%20Byrnes%20%282020%29%20Analysis%20of%20Article%2024%20of%20the%20CRPD%20and%20note%20on%20the%20travaux%20pr%C3%A9paratoires_1.pdf" TargetMode="External"/><Relationship Id="rId53" Type="http://schemas.openxmlformats.org/officeDocument/2006/relationships/hyperlink" Target="https://ihra.org.au/" TargetMode="External"/><Relationship Id="rId74" Type="http://schemas.openxmlformats.org/officeDocument/2006/relationships/hyperlink" Target="https://www.mhdcd.unsw.edu.au/sites/www.mhdcd.unsw.edu.au/files/u18/pdf/a_predictable_and_preventable_path_2nov15.pdf" TargetMode="External"/><Relationship Id="rId128" Type="http://schemas.openxmlformats.org/officeDocument/2006/relationships/hyperlink" Target="https://www.sbs.com.au/news/blind-kenyan-father-ordered-to-leave-australia" TargetMode="External"/><Relationship Id="rId149" Type="http://schemas.openxmlformats.org/officeDocument/2006/relationships/hyperlink" Target="https://www.aihw.gov.au/getmedia/088848dc-906d-4a8b-aa09-79df0f943984/aihw-aus-214-aw17.pdf.aspx?inline=true" TargetMode="External"/><Relationship Id="rId5" Type="http://schemas.openxmlformats.org/officeDocument/2006/relationships/hyperlink" Target="https://disability.royalcommission.gov.au/publications/parents-disability-and-their-experiences-child-protection-systems" TargetMode="External"/><Relationship Id="rId95" Type="http://schemas.openxmlformats.org/officeDocument/2006/relationships/hyperlink" Target="https://www.abc.net.au/news/2019-06-18/boy-held-completely-naked-in-prison-watch-house-for-days/11207734" TargetMode="External"/><Relationship Id="rId160" Type="http://schemas.openxmlformats.org/officeDocument/2006/relationships/hyperlink" Target="https://www.acoss.org.au/media-releases/?media_release=increase-to-social-security-payments-grossly-inadequate" TargetMode="External"/><Relationship Id="rId181" Type="http://schemas.openxmlformats.org/officeDocument/2006/relationships/hyperlink" Target="https://opus.lib.uts.edu.au/bitstream/10453/166672/2/Dementia%20Reparations%20Report%20FINAL%20UTS.pdf" TargetMode="External"/><Relationship Id="rId22" Type="http://schemas.openxmlformats.org/officeDocument/2006/relationships/hyperlink" Target="https://disability.royalcommission.gov.au/system/files/2020-02/Transcript-First%20Public%20Sitting-16-September-2019.pdf" TargetMode="External"/><Relationship Id="rId43" Type="http://schemas.openxmlformats.org/officeDocument/2006/relationships/hyperlink" Target="https://www.royalcommission.gov.au/aged-care" TargetMode="External"/><Relationship Id="rId64" Type="http://schemas.openxmlformats.org/officeDocument/2006/relationships/hyperlink" Target="https://www.abc.net.au/news/2020-11-24/disability-domestic-violence-leads-to-removal-of-indigenous-kids/12915728?utm_source=abc_news_app&amp;utm_medium=content_shared&amp;utm_campaign=abc_news_app&amp;utm_content=air-drophttps://www.abc.net.au/news/2020-11-24/disability-domestic-violence-leads-to-removal-of-indigenous-kids/12915728?utm_source=abc_news_app&amp;utm_medium=content_shared&amp;utm_campaign=abc_news_app&amp;utm_content=air-drop" TargetMode="External"/><Relationship Id="rId118" Type="http://schemas.openxmlformats.org/officeDocument/2006/relationships/hyperlink" Target="https://www.naa.gov.au/explore-collection/first-australians/royal-commission-aboriginal-deaths-custody" TargetMode="External"/><Relationship Id="rId139" Type="http://schemas.openxmlformats.org/officeDocument/2006/relationships/hyperlink" Target="https://cvg.org/un-sustainability-goal-16-1-violence-reduction/" TargetMode="External"/><Relationship Id="rId85" Type="http://schemas.openxmlformats.org/officeDocument/2006/relationships/hyperlink" Target="https://inspectorcustodial.nsw.gov.au/documents/inspection-reports/Inspection_of_Silverwater_Womens_and_Dillwynia_Correctional_Centres_2022.pdf" TargetMode="External"/><Relationship Id="rId150" Type="http://schemas.openxmlformats.org/officeDocument/2006/relationships/hyperlink" Target="https://www.aph.gov.au/Parliamentary_Business/Committees/Senate/Community_Affairs/PovertyinAustralia" TargetMode="External"/><Relationship Id="rId171" Type="http://schemas.openxmlformats.org/officeDocument/2006/relationships/hyperlink" Target="https://www.nationalredress.gov.au/about" TargetMode="External"/><Relationship Id="rId12" Type="http://schemas.openxmlformats.org/officeDocument/2006/relationships/hyperlink" Target="https://www.alrc.gov.au/inquiry/incarceration-rates-of-aboriginal-and-torres-strait-islander-peoples/" TargetMode="External"/><Relationship Id="rId33" Type="http://schemas.openxmlformats.org/officeDocument/2006/relationships/hyperlink" Target="http://www.fedvol.ie/_fileupload/Research/NDE%20Reading%20Lists/Harvard%20Legal%20Capacity%20gq%20draft%202%20Gerard%20Quinn%20Feb%202010.pdf" TargetMode="External"/><Relationship Id="rId108" Type="http://schemas.openxmlformats.org/officeDocument/2006/relationships/hyperlink" Target="https://www.mhdcd.unsw.edu.au/sites/www.mhdcd.unsw.edu.au/files/u18/pdf/a_predictable_and_preventable_path_2nov15.pdf" TargetMode="External"/><Relationship Id="rId129" Type="http://schemas.openxmlformats.org/officeDocument/2006/relationships/hyperlink" Target="https://www.refworld.org/docid/593a8c924.html" TargetMode="External"/><Relationship Id="rId54" Type="http://schemas.openxmlformats.org/officeDocument/2006/relationships/hyperlink" Target="https://humanrights.gov.au/intersex-report-2021" TargetMode="External"/><Relationship Id="rId75" Type="http://schemas.openxmlformats.org/officeDocument/2006/relationships/hyperlink" Target="https://dpoa.org.au/wp-content/uploads/2019/08/Factsheet_Indefinite_Detention.docx" TargetMode="External"/><Relationship Id="rId96" Type="http://schemas.openxmlformats.org/officeDocument/2006/relationships/hyperlink" Target="https://www.theguardian.com/australia-news/2023/aug/23/absolute-dog-act-queensland-labor-pilloried-for-shock-move-to-override-states-human-rights-act" TargetMode="External"/><Relationship Id="rId140" Type="http://schemas.openxmlformats.org/officeDocument/2006/relationships/hyperlink" Target="https://www.unwomen.org/en/digital-library/publications/2015/02/beijing-synthesis-report" TargetMode="External"/><Relationship Id="rId161" Type="http://schemas.openxmlformats.org/officeDocument/2006/relationships/hyperlink" Target="http://archive.ipu.org/PDF/publications/disabilities-e.pdf" TargetMode="External"/><Relationship Id="rId182" Type="http://schemas.openxmlformats.org/officeDocument/2006/relationships/hyperlink" Target="https://opus.lib.uts.edu.au/bitstream/10453/166673/2/Dementia%20Reparations%20Executive%20Summary%20FINAL%20UTS.pdf" TargetMode="External"/><Relationship Id="rId6" Type="http://schemas.openxmlformats.org/officeDocument/2006/relationships/hyperlink" Target="https://www.judgments.fedcourt.gov.au/judgments/Judgments/fca/full/2020/2020fcafc0079?fbclid=IwAR0dGTtIIVPipnvlGPq-NNuhlrq8PgzhF_8fhkYNg0M3-u4qDzXCqGE4t8g" TargetMode="External"/><Relationship Id="rId23" Type="http://schemas.openxmlformats.org/officeDocument/2006/relationships/hyperlink" Target="https://wwda.org.au/wp-content/uploads/2020/12/Segregation-of-People-with-Disability_Position-Paper.pdf" TargetMode="External"/><Relationship Id="rId119" Type="http://schemas.openxmlformats.org/officeDocument/2006/relationships/hyperlink" Target="https://www.royalcommission.gov.au/child-detention" TargetMode="External"/><Relationship Id="rId44" Type="http://schemas.openxmlformats.org/officeDocument/2006/relationships/hyperlink" Target="https://treaties.un.org/Pages/ViewDetails.aspx?src=TREATY&amp;mtdsg_no=iv-15&amp;chapter=4&amp;clang=_en" TargetMode="External"/><Relationship Id="rId65" Type="http://schemas.openxmlformats.org/officeDocument/2006/relationships/hyperlink" Target="http://wwda.org.au/wp-content/uploads/2016/10/Position_Statement_4_-_Sexual_and_Reproductive_Rights_FINAL_WEB.pdf" TargetMode="External"/><Relationship Id="rId86" Type="http://schemas.openxmlformats.org/officeDocument/2006/relationships/hyperlink" Target="https://disability.royalcommission.gov.au/system/files/submission/ISS.001.00102.PDF" TargetMode="External"/><Relationship Id="rId130" Type="http://schemas.openxmlformats.org/officeDocument/2006/relationships/hyperlink" Target="https://www.refugeecouncil.org.au/disability-report/" TargetMode="External"/><Relationship Id="rId151" Type="http://schemas.openxmlformats.org/officeDocument/2006/relationships/hyperlink" Target="https://includeability.gov.au/resources-employers/disability-and-employment-australia" TargetMode="External"/><Relationship Id="rId172" Type="http://schemas.openxmlformats.org/officeDocument/2006/relationships/hyperlink" Target="https://www.childabuseroyalcommission.gov.au" TargetMode="External"/><Relationship Id="rId13" Type="http://schemas.openxmlformats.org/officeDocument/2006/relationships/hyperlink" Target="https://www.aph.gov.au/Parliamentary_Business/Committees/Senate/Community_Affairs/IndefiniteDetention45" TargetMode="External"/><Relationship Id="rId18" Type="http://schemas.openxmlformats.org/officeDocument/2006/relationships/hyperlink" Target="https://www.acoss.org.au/wp-content/uploads/2023/09/ACOSS_COL_Report_Sep_2023_Web.pdf" TargetMode="External"/><Relationship Id="rId39" Type="http://schemas.openxmlformats.org/officeDocument/2006/relationships/hyperlink" Target="http://a4.org.au/node/372" TargetMode="External"/><Relationship Id="rId109" Type="http://schemas.openxmlformats.org/officeDocument/2006/relationships/hyperlink" Target="https://disability.royalcommission.gov.au/system/files/submission/ISS.001.00102.PDF" TargetMode="External"/><Relationship Id="rId34" Type="http://schemas.openxmlformats.org/officeDocument/2006/relationships/hyperlink" Target="https://parlinfo.aph.gov.au/parlInfo/search/display/display.w3p;query=Id:%22library/prspub/FWFE6%22" TargetMode="External"/><Relationship Id="rId50" Type="http://schemas.openxmlformats.org/officeDocument/2006/relationships/hyperlink" Target="https://www.hhrjournal.org/2023/04/does-new-mental-health-legislation-in-victoria-australia-advance-human-rights/" TargetMode="External"/><Relationship Id="rId55" Type="http://schemas.openxmlformats.org/officeDocument/2006/relationships/hyperlink" Target="https://www.ohchr.org/sites/default/files/Documents/HRBodies/CRPD/Statements/GuaranteeingSexualReproductiveHealth.DOCX" TargetMode="External"/><Relationship Id="rId76" Type="http://schemas.openxmlformats.org/officeDocument/2006/relationships/hyperlink" Target="https://www.humanrights.gov.au/sites/default/files/document/publication/KA%20KB%20KC%20KD%20v%20Commonwealth%202014%20AusHRC%2080_WEB.pdf" TargetMode="External"/><Relationship Id="rId97" Type="http://schemas.openxmlformats.org/officeDocument/2006/relationships/hyperlink" Target="https://www.abc.net.au/news/2023-08-23/qld-watch-house-youth-crime-human-rights-prison/102767700" TargetMode="External"/><Relationship Id="rId104" Type="http://schemas.openxmlformats.org/officeDocument/2006/relationships/hyperlink" Target="https://www.aihw.gov.au/reports/youth-justice/youth-detention-population-in-australia-2023/contents/summary" TargetMode="External"/><Relationship Id="rId120" Type="http://schemas.openxmlformats.org/officeDocument/2006/relationships/hyperlink" Target="https://www.commissionofinquiry.tas.gov.au/home" TargetMode="External"/><Relationship Id="rId125" Type="http://schemas.openxmlformats.org/officeDocument/2006/relationships/hyperlink" Target="https://www.abc.net.au/news/2019-06-04/boy-down-syndrome-leukaemia-no-family-chinese-mother-is-deported/11170724" TargetMode="External"/><Relationship Id="rId141" Type="http://schemas.openxmlformats.org/officeDocument/2006/relationships/hyperlink" Target="https://www.un.org/sites/un2.un.org/files/2021/04/a-tb_on_social_protection.pdf" TargetMode="External"/><Relationship Id="rId146" Type="http://schemas.openxmlformats.org/officeDocument/2006/relationships/hyperlink" Target="https://povertyandinequality.acoss.org.au/wp-content/uploads/2023/03/Poverty-in-Australia-2023_Who-is-affected.pdf" TargetMode="External"/><Relationship Id="rId167" Type="http://schemas.openxmlformats.org/officeDocument/2006/relationships/hyperlink" Target="https://www.dss.gov.au/our-responsibilities/disability-and-carers/program-services/consultation-and-advocacy/national-disability-peak-bodies" TargetMode="External"/><Relationship Id="rId188" Type="http://schemas.openxmlformats.org/officeDocument/2006/relationships/hyperlink" Target="https://humanrights.gov.au/sites/default/files/free_equal_hra_2022_-_main_report_rgb_0_0.pdf" TargetMode="External"/><Relationship Id="rId7" Type="http://schemas.openxmlformats.org/officeDocument/2006/relationships/hyperlink" Target="https://teamdsc.com.au/resources/sex-ndis-federal-court" TargetMode="External"/><Relationship Id="rId71" Type="http://schemas.openxmlformats.org/officeDocument/2006/relationships/hyperlink" Target="https://www.humanrights.gov.au/sites/default/files/AHRC_Submission_on_indefinite_detention2016.pdf" TargetMode="External"/><Relationship Id="rId92" Type="http://schemas.openxmlformats.org/officeDocument/2006/relationships/hyperlink" Target="https://www.theguardian.com/australia-news/2024/jan/16/cairns-police-watch-house-queensland-youth-detention" TargetMode="External"/><Relationship Id="rId162" Type="http://schemas.openxmlformats.org/officeDocument/2006/relationships/hyperlink" Target="https://humanrights.gov.au/our-work/rights-and-freedoms/human-rights-based-approaches" TargetMode="External"/><Relationship Id="rId183" Type="http://schemas.openxmlformats.org/officeDocument/2006/relationships/hyperlink" Target="https://humanrights.gov.au/our-work/un-declaration-rights-indigenous-peoples-1" TargetMode="External"/><Relationship Id="rId2" Type="http://schemas.openxmlformats.org/officeDocument/2006/relationships/hyperlink" Target="https://ihra.org.au/wp-content/uploads/key/Darlington-Statement.pdf" TargetMode="External"/><Relationship Id="rId29" Type="http://schemas.openxmlformats.org/officeDocument/2006/relationships/hyperlink" Target="https://tbinternet.ohchr.org/_layouts/15/treatybodyexternal/Download.aspx?symbolno=CEDAW/C/AUS/CO/8&amp;Lang=En" TargetMode="External"/><Relationship Id="rId24" Type="http://schemas.openxmlformats.org/officeDocument/2006/relationships/hyperlink" Target="https://wwda.org.au/wp-content/uploads/2020/12/Segregation-of-People-with-Disability_Position-Paper.pdf" TargetMode="External"/><Relationship Id="rId40" Type="http://schemas.openxmlformats.org/officeDocument/2006/relationships/hyperlink" Target="https://providers.dhhs.vic.gov.au/disability-mental-health-and-medication-implications-practice-word" TargetMode="External"/><Relationship Id="rId45" Type="http://schemas.openxmlformats.org/officeDocument/2006/relationships/hyperlink" Target="https://www.ohchr.org/sites/default/files/Documents/HRBodies/HRCouncil/RegularSession/Session22/A.HRC.22.53_English.pdf" TargetMode="External"/><Relationship Id="rId66" Type="http://schemas.openxmlformats.org/officeDocument/2006/relationships/hyperlink" Target="https://disability.royalcommission.gov.au/publications/parents-disability-and-their-experiences-child-protection-systems" TargetMode="External"/><Relationship Id="rId87" Type="http://schemas.openxmlformats.org/officeDocument/2006/relationships/hyperlink" Target="https://www.royalcommission.gov.au/child-detention/final-report" TargetMode="External"/><Relationship Id="rId110" Type="http://schemas.openxmlformats.org/officeDocument/2006/relationships/hyperlink" Target="https://www.tandfonline.com/doi/full/10.1080/09687599.2023.2215395" TargetMode="External"/><Relationship Id="rId115" Type="http://schemas.openxmlformats.org/officeDocument/2006/relationships/hyperlink" Target="https://www.aph.gov.au/Parliamentary_Business/Committees/Senate/Community_Affairs/IndefiniteDetention45" TargetMode="External"/><Relationship Id="rId131" Type="http://schemas.openxmlformats.org/officeDocument/2006/relationships/hyperlink" Target="https://www.refworld.org/docid/593a8c924.html" TargetMode="External"/><Relationship Id="rId136" Type="http://schemas.openxmlformats.org/officeDocument/2006/relationships/hyperlink" Target="https://alhr.org.au/wp/wp-content/uploads/2023/11/Reduced-Welcoming-Disability-Submission-to-DoH-2023-ReviewF4.docx.pdf" TargetMode="External"/><Relationship Id="rId157" Type="http://schemas.openxmlformats.org/officeDocument/2006/relationships/hyperlink" Target="https://www.pmc.gov.au/office-women/national-strategy-achieve-gender-equality" TargetMode="External"/><Relationship Id="rId178" Type="http://schemas.openxmlformats.org/officeDocument/2006/relationships/hyperlink" Target="https://www.dementiajustice.org" TargetMode="External"/><Relationship Id="rId61" Type="http://schemas.openxmlformats.org/officeDocument/2006/relationships/hyperlink" Target="http://wwda.org.au/issues/sterilise/sterilise2011/sterilwma2011/" TargetMode="External"/><Relationship Id="rId82" Type="http://schemas.openxmlformats.org/officeDocument/2006/relationships/hyperlink" Target="https://www.ag.gov.au/rights-and-protections/human-rights-and-anti-discrimination/national-statement-principles-relating-persons-unfit-plead-or-not-guilty-reason-cognitive-or-mental-health-impairment" TargetMode="External"/><Relationship Id="rId152" Type="http://schemas.openxmlformats.org/officeDocument/2006/relationships/hyperlink" Target="https://www.anao.gov.au/work/performance-audit/qualifying-disability-support-pension" TargetMode="External"/><Relationship Id="rId173" Type="http://schemas.openxmlformats.org/officeDocument/2006/relationships/hyperlink" Target="https://pwd.org.au/projects/national-redress-scheme-project/" TargetMode="External"/><Relationship Id="rId19" Type="http://schemas.openxmlformats.org/officeDocument/2006/relationships/hyperlink" Target="https://www.acoss.org.au/media-releases/?media_release=increase-to-social-security-payments-grossly-inadequate" TargetMode="External"/><Relationship Id="rId14" Type="http://schemas.openxmlformats.org/officeDocument/2006/relationships/hyperlink" Target="https://static1.squarespace.com/static/5de89a911dcc1455b1ce20fe/t/6385633721635d43d08c927e/1669686112938/Welcoming+Disability+Position+Statement+21+11+2022.pdf" TargetMode="External"/><Relationship Id="rId30" Type="http://schemas.openxmlformats.org/officeDocument/2006/relationships/hyperlink" Target="https://undocs.org/CRC/C/AUS/CO/5-6" TargetMode="External"/><Relationship Id="rId35" Type="http://schemas.openxmlformats.org/officeDocument/2006/relationships/hyperlink" Target="https://www.ohchr.org/sites/default/files/2022-03/CRC-CRPD-joint-statement_18March2022.docx" TargetMode="External"/><Relationship Id="rId56" Type="http://schemas.openxmlformats.org/officeDocument/2006/relationships/hyperlink" Target="https://wwda.org.au/wp-content/uploads/2020/05/5ea654fbfc3264166cbe2ffe_Position_Statement_4_-_Sexual_and_Reproductive_Rights_FINAL_WEB.pdf" TargetMode="External"/><Relationship Id="rId77" Type="http://schemas.openxmlformats.org/officeDocument/2006/relationships/hyperlink" Target="http://static1.squarespace.com/static/580025f66b8f5b2dabbe4291/581699b035a11a8bfc26b877/58169ac135a11a8bfc26d290/1477876417788/Aus-voluntary-commitments.pdf?format=original" TargetMode="External"/><Relationship Id="rId100" Type="http://schemas.openxmlformats.org/officeDocument/2006/relationships/hyperlink" Target="https://www.commissionofinquiry.tas.gov.au/home" TargetMode="External"/><Relationship Id="rId105" Type="http://schemas.openxmlformats.org/officeDocument/2006/relationships/hyperlink" Target="https://www.unodc.org/documents/justice-and-prison-reform/Nelson_Mandela_Rules-E-ebook.pdf" TargetMode="External"/><Relationship Id="rId126" Type="http://schemas.openxmlformats.org/officeDocument/2006/relationships/hyperlink" Target="https://thestringer.com.au/yet-another-example-of-disability-discrimination-australian-immigration-12070" TargetMode="External"/><Relationship Id="rId147" Type="http://schemas.openxmlformats.org/officeDocument/2006/relationships/hyperlink" Target="https://wwda.org.au/wp-content/uploads/2020/06/The-Status-of-Women-and-Girls-with-Disability-Asutralia.pdf" TargetMode="External"/><Relationship Id="rId168" Type="http://schemas.openxmlformats.org/officeDocument/2006/relationships/hyperlink" Target="https://dpoa.org.au/about/terminology/" TargetMode="External"/><Relationship Id="rId8" Type="http://schemas.openxmlformats.org/officeDocument/2006/relationships/hyperlink" Target="https://www.changetherecord.org.au/justicereinvestmentseminar" TargetMode="External"/><Relationship Id="rId51" Type="http://schemas.openxmlformats.org/officeDocument/2006/relationships/hyperlink" Target="https://www.who.int/publications/i/item/9789240080737" TargetMode="External"/><Relationship Id="rId72" Type="http://schemas.openxmlformats.org/officeDocument/2006/relationships/hyperlink" Target="https://www.aph.gov.au/Parliamentary_Business/Committees/Senate/Community_Affairs/IndefiniteDetention45/Report" TargetMode="External"/><Relationship Id="rId93" Type="http://schemas.openxmlformats.org/officeDocument/2006/relationships/hyperlink" Target="https://www.abc.net.au/news/2022-07-20/seventeen-banksia-hill-inmates-moved-to-casuarina/101256138" TargetMode="External"/><Relationship Id="rId98" Type="http://schemas.openxmlformats.org/officeDocument/2006/relationships/hyperlink" Target="https://www.naa.gov.au/explore-collection/first-australians/royal-commission-aboriginal-deaths-custody" TargetMode="External"/><Relationship Id="rId121" Type="http://schemas.openxmlformats.org/officeDocument/2006/relationships/hyperlink" Target="https://www.alrc.gov.au/inquiry/incarceration-rates-of-aboriginal-and-torres-strait-islander-peoples/" TargetMode="External"/><Relationship Id="rId142" Type="http://schemas.openxmlformats.org/officeDocument/2006/relationships/hyperlink" Target="https://socialprotection.org/learn/glossary/what-is-social-protection" TargetMode="External"/><Relationship Id="rId163" Type="http://schemas.openxmlformats.org/officeDocument/2006/relationships/hyperlink" Target="https://documents-dds-ny.un.org/doc/UNDOC/GEN/G16/004/48/PDF/G1600448.pdf?OpenElement" TargetMode="External"/><Relationship Id="rId184" Type="http://schemas.openxmlformats.org/officeDocument/2006/relationships/hyperlink" Target="https://humanrights.gov.au/human-rights-act-for-australia" TargetMode="External"/><Relationship Id="rId189" Type="http://schemas.openxmlformats.org/officeDocument/2006/relationships/hyperlink" Target="https://ganhri.org/accreditation/" TargetMode="External"/><Relationship Id="rId3" Type="http://schemas.openxmlformats.org/officeDocument/2006/relationships/hyperlink" Target="https://ihra.org.au/" TargetMode="External"/><Relationship Id="rId25" Type="http://schemas.openxmlformats.org/officeDocument/2006/relationships/hyperlink" Target="https://www.aph.gov.au/Parliamentary_Business/%20Committees/Senate/Community_Affairs/Violence_abuse_neglect/Report" TargetMode="External"/><Relationship Id="rId46" Type="http://schemas.openxmlformats.org/officeDocument/2006/relationships/hyperlink" Target="https://www.who.int/publications/i/item/9789240080737" TargetMode="External"/><Relationship Id="rId67" Type="http://schemas.openxmlformats.org/officeDocument/2006/relationships/hyperlink" Target="https://www.judgments.fedcourt.gov.au/judgments/Judgments/fca/full/2020/2020fcafc0079?fbclid=IwAR0dGTtIIVPipnvlGPq-NNuhlrq8PgzhF_8fhkYNg0M3-u4qDzXCqGE4t8g" TargetMode="External"/><Relationship Id="rId116" Type="http://schemas.openxmlformats.org/officeDocument/2006/relationships/hyperlink" Target="https://humanrights.gov.au/our-work/childrens-rights/projects/youth-justice-and-child-wellbeing-reform-across-australia" TargetMode="External"/><Relationship Id="rId137" Type="http://schemas.openxmlformats.org/officeDocument/2006/relationships/hyperlink" Target="https://childrightsconnect.org/extreme-poverty-constitutes-a-severe-form-of-violence/" TargetMode="External"/><Relationship Id="rId158" Type="http://schemas.openxmlformats.org/officeDocument/2006/relationships/hyperlink" Target="https://www.aph.gov.au/Parliamentary_Business/Committees/Senate/Community_Affairs/DisabilitySupportPensio/Report" TargetMode="External"/><Relationship Id="rId20" Type="http://schemas.openxmlformats.org/officeDocument/2006/relationships/hyperlink" Target="https://ministers.dss.gov.au/media-releases/12656" TargetMode="External"/><Relationship Id="rId41" Type="http://schemas.openxmlformats.org/officeDocument/2006/relationships/hyperlink" Target="https://www.abc.net.au/news/2019-02-22/first-fortnight-of-hearings-for-royal-commission-wrap-up/10837116" TargetMode="External"/><Relationship Id="rId62" Type="http://schemas.openxmlformats.org/officeDocument/2006/relationships/hyperlink" Target="http://wwda.org.au/wp-content/uploads/2016/10/Position_Statement_4_-_Sexual_and_Reproductive_Rights_FINAL_WEB.pdf" TargetMode="External"/><Relationship Id="rId83" Type="http://schemas.openxmlformats.org/officeDocument/2006/relationships/hyperlink" Target="https://static1.squarespace.com/static/580025f66b8f5b2dabbe4291/t/59378aa91e5b6cbaaa281d22/1496812234196/OverRepresented_online.pdf" TargetMode="External"/><Relationship Id="rId88" Type="http://schemas.openxmlformats.org/officeDocument/2006/relationships/hyperlink" Target="https://www.abc.net.au/news/2022-08-18/ashley-detention-centre-commission-of-inquiry/101344936" TargetMode="External"/><Relationship Id="rId111" Type="http://schemas.openxmlformats.org/officeDocument/2006/relationships/hyperlink" Target="https://www.naa.gov.au/explore-collection/first-australians/royal-commission-aboriginal-deaths-custody" TargetMode="External"/><Relationship Id="rId132" Type="http://schemas.openxmlformats.org/officeDocument/2006/relationships/hyperlink" Target="https://www.theguardian.com/world/2023/mar/22/almost-90-of-children-brought-from-nauru-suffered-physical-health-problem-study" TargetMode="External"/><Relationship Id="rId153" Type="http://schemas.openxmlformats.org/officeDocument/2006/relationships/hyperlink" Target="http://dpoa.org.au/dpo-australia-election-platform/" TargetMode="External"/><Relationship Id="rId174" Type="http://schemas.openxmlformats.org/officeDocument/2006/relationships/hyperlink" Target="https://pwd.org.au/wp-content/uploads/2022/01/CYD318-PWDACYDA-Fact-Sheet-1-v3-digital.pdf" TargetMode="External"/><Relationship Id="rId179" Type="http://schemas.openxmlformats.org/officeDocument/2006/relationships/hyperlink" Target="https://www.royalcommission.gov.au/aged-care" TargetMode="External"/><Relationship Id="rId15" Type="http://schemas.openxmlformats.org/officeDocument/2006/relationships/hyperlink" Target="https://alhr.org.au/wp/wp-content/uploads/2023/11/Reduced-Welcoming-Disability-Submission-to-DoH-2023-ReviewF4.docx.pdf" TargetMode="External"/><Relationship Id="rId36" Type="http://schemas.openxmlformats.org/officeDocument/2006/relationships/hyperlink" Target="https://treaties.un.org/Pages/ViewDetails.aspx?src=TREATY&amp;mtdsg_no=iv-15&amp;chapter=4&amp;clang=_en" TargetMode="External"/><Relationship Id="rId57" Type="http://schemas.openxmlformats.org/officeDocument/2006/relationships/hyperlink" Target="http://wwda.org.au/crpd-cedaw-joint-statement-reprorights/" TargetMode="External"/><Relationship Id="rId106" Type="http://schemas.openxmlformats.org/officeDocument/2006/relationships/hyperlink" Target="https://www.hrlc.org.au/news/2018/2/7/explainer-solitary-confinement" TargetMode="External"/><Relationship Id="rId127" Type="http://schemas.openxmlformats.org/officeDocument/2006/relationships/hyperlink" Target="https://www.canberratimes.com.au/story/6050994/canberra-family-split-as-right-to-live-in-australia-is-revoked/" TargetMode="External"/><Relationship Id="rId10" Type="http://schemas.openxmlformats.org/officeDocument/2006/relationships/hyperlink" Target="https://www.royalcommission.gov.au/child-detention" TargetMode="External"/><Relationship Id="rId31" Type="http://schemas.openxmlformats.org/officeDocument/2006/relationships/hyperlink" Target="https://undocs.org/en/E/C.12/AUS/CO/5" TargetMode="External"/><Relationship Id="rId52" Type="http://schemas.openxmlformats.org/officeDocument/2006/relationships/hyperlink" Target="https://ihra.org.au/wp-content/uploads/key/Darlington-Statement.pdf" TargetMode="External"/><Relationship Id="rId73" Type="http://schemas.openxmlformats.org/officeDocument/2006/relationships/hyperlink" Target="http://www.disabilityjustice.edu.au/wp-content/uploads/2016/05/NoEndinSight.pdf" TargetMode="External"/><Relationship Id="rId78" Type="http://schemas.openxmlformats.org/officeDocument/2006/relationships/hyperlink" Target="https://www.lawcouncil.asn.au/policy-agenda/human-rights/australias-international-human-rights-obligations" TargetMode="External"/><Relationship Id="rId94" Type="http://schemas.openxmlformats.org/officeDocument/2006/relationships/hyperlink" Target="https://theconversation.com/sending-teens-to-maximum-security-prisons-shows-australia-needs-to-raise-the-age-of-criminal-responsibility-187768" TargetMode="External"/><Relationship Id="rId99" Type="http://schemas.openxmlformats.org/officeDocument/2006/relationships/hyperlink" Target="https://www.royalcommission.gov.au/child-detention" TargetMode="External"/><Relationship Id="rId101" Type="http://schemas.openxmlformats.org/officeDocument/2006/relationships/hyperlink" Target="https://www.alrc.gov.au/inquiry/incarceration-rates-of-aboriginal-and-torres-strait-islander-peoples/" TargetMode="External"/><Relationship Id="rId122" Type="http://schemas.openxmlformats.org/officeDocument/2006/relationships/hyperlink" Target="https://www.aph.gov.au/Parliamentary_Business/Committees/Senate/Community_Affairs/IndefiniteDetention45" TargetMode="External"/><Relationship Id="rId143" Type="http://schemas.openxmlformats.org/officeDocument/2006/relationships/hyperlink" Target="https://www.un.org/sustainabledevelopment/poverty/" TargetMode="External"/><Relationship Id="rId148" Type="http://schemas.openxmlformats.org/officeDocument/2006/relationships/hyperlink" Target="https://www.pwc.com.au/industry/government/assets/disability-in-australia.pdf" TargetMode="External"/><Relationship Id="rId164" Type="http://schemas.openxmlformats.org/officeDocument/2006/relationships/hyperlink" Target="https://documents-dds-ny.un.org/doc/UNDOC/GEN/G16/004/48/PDF/G1600448.pdf?OpenElement" TargetMode="External"/><Relationship Id="rId169" Type="http://schemas.openxmlformats.org/officeDocument/2006/relationships/hyperlink" Target="https://disability.royalcommission.gov.au/publications/interim-report" TargetMode="External"/><Relationship Id="rId185" Type="http://schemas.openxmlformats.org/officeDocument/2006/relationships/hyperlink" Target="https://www.aph.gov.au/Parliamentary_Business/Committees/Joint/Human_Rights/HumanRightsFramework" TargetMode="External"/><Relationship Id="rId4" Type="http://schemas.openxmlformats.org/officeDocument/2006/relationships/hyperlink" Target="https://humanrights.gov.au/intersex-report-2021" TargetMode="External"/><Relationship Id="rId9" Type="http://schemas.openxmlformats.org/officeDocument/2006/relationships/hyperlink" Target="https://www.naa.gov.au/explore-collection/first-australians/royal-commission-aboriginal-deaths-custody" TargetMode="External"/><Relationship Id="rId180" Type="http://schemas.openxmlformats.org/officeDocument/2006/relationships/hyperlink" Target="https://opus.lib.uts.edu.au/bitstream/10453/166674/2/Dementia%20Reparations%20Principles%20FINAL%20UTS.pdf" TargetMode="External"/><Relationship Id="rId26" Type="http://schemas.openxmlformats.org/officeDocument/2006/relationships/hyperlink" Target="https://www.ohchr.org/sites/default/files/2022-03/CRC-CRPD-joint-statement_18March2022.docx" TargetMode="External"/><Relationship Id="rId47" Type="http://schemas.openxmlformats.org/officeDocument/2006/relationships/hyperlink" Target="https://www.vmiac.org.au/wp-content/uploads/VMIAC-Report-on-Barriers-to-Engagement-with-the-Disability-Royal-Commission-June-2023.pdf" TargetMode="External"/><Relationship Id="rId68" Type="http://schemas.openxmlformats.org/officeDocument/2006/relationships/hyperlink" Target="https://teamdsc.com.au/resources/sex-ndis-federal-court" TargetMode="External"/><Relationship Id="rId89" Type="http://schemas.openxmlformats.org/officeDocument/2006/relationships/hyperlink" Target="https://www.theguardian.com/australia-news/2022/aug/25/former-detainee-says-staff-at-tasmanian-youth-detention-centre-provoked-fights-for-sport" TargetMode="External"/><Relationship Id="rId112" Type="http://schemas.openxmlformats.org/officeDocument/2006/relationships/hyperlink" Target="https://www.royalcommission.gov.au/child-detention" TargetMode="External"/><Relationship Id="rId133" Type="http://schemas.openxmlformats.org/officeDocument/2006/relationships/hyperlink" Target="https://www.refugeecouncil.org.au/people-with-disability-in-immigration-detention/" TargetMode="External"/><Relationship Id="rId154" Type="http://schemas.openxmlformats.org/officeDocument/2006/relationships/hyperlink" Target="http://dpoa.org.au/wp-content/uploads/2017/05/ICESCR-Final-Submission-May17.pdf" TargetMode="External"/><Relationship Id="rId175" Type="http://schemas.openxmlformats.org/officeDocument/2006/relationships/hyperlink" Target="https://knowmore.org.au/for-survivors/for-stolen-generations-survivors/redress-options/" TargetMode="External"/><Relationship Id="rId16" Type="http://schemas.openxmlformats.org/officeDocument/2006/relationships/hyperlink" Target="https://www.pmc.gov.au/office-women/national-strategy-achieve-gender-equality" TargetMode="External"/><Relationship Id="rId37" Type="http://schemas.openxmlformats.org/officeDocument/2006/relationships/hyperlink" Target="http://wwda.org.au/wp-content/uploads/2013/12/ACDA_Sub_Sen_Inquiry_Violence_Institutions.pdf" TargetMode="External"/><Relationship Id="rId58" Type="http://schemas.openxmlformats.org/officeDocument/2006/relationships/hyperlink" Target="http://wwda.org.au/wp-content/uploads/2016/10/Position_Statement_4_-_Sexual_and_Reproductive_Rights_FINAL_WEB.pdf" TargetMode="External"/><Relationship Id="rId79" Type="http://schemas.openxmlformats.org/officeDocument/2006/relationships/hyperlink" Target="https://www.ag.gov.au/rights-and-protections/human-rights-and-anti-discrimination/united-nations-human-rights-reporting/australias-universal-periodic-review" TargetMode="External"/><Relationship Id="rId102" Type="http://schemas.openxmlformats.org/officeDocument/2006/relationships/hyperlink" Target="https://www.aph.gov.au/Parliamentary_Business/Committees/Senate/Community_Affairs/IndefiniteDetention45" TargetMode="External"/><Relationship Id="rId123" Type="http://schemas.openxmlformats.org/officeDocument/2006/relationships/hyperlink" Target="https://www.abc.net.au/news/2019-04-21/family-from-maldives-fight-sons-deportation-disabilty/11019598" TargetMode="External"/><Relationship Id="rId144" Type="http://schemas.openxmlformats.org/officeDocument/2006/relationships/hyperlink" Target="https://povertyandinequality.acoss.org.au/wp-content/uploads/2023/03/Poverty-in-Australia-2023_Who-is-affected.pdf" TargetMode="External"/><Relationship Id="rId90" Type="http://schemas.openxmlformats.org/officeDocument/2006/relationships/hyperlink" Target="https://www.abc.net.au/news/2022-11-15/buried-report-on-youth-detention-raising-the-age/101635706" TargetMode="External"/><Relationship Id="rId165" Type="http://schemas.openxmlformats.org/officeDocument/2006/relationships/hyperlink" Target="https://www.disabilitygateway.gov.au/ads/advisory-council" TargetMode="External"/><Relationship Id="rId186" Type="http://schemas.openxmlformats.org/officeDocument/2006/relationships/hyperlink" Target="https://www.aph.gov.au/Parliamentary_Business/Committees/Joint/Human_Rights/HumanRightsFramework/Submissions" TargetMode="External"/><Relationship Id="rId27" Type="http://schemas.openxmlformats.org/officeDocument/2006/relationships/hyperlink" Target="https://www.ohchr.org/en/disabilities/sdg-crpd-resource-package%20%20%20%20%20%20%20%20" TargetMode="External"/><Relationship Id="rId48" Type="http://schemas.openxmlformats.org/officeDocument/2006/relationships/hyperlink" Target="https://independentaustralia.net/life/life-display/locked-inside-units-and-outside-disability-reform,17994" TargetMode="External"/><Relationship Id="rId69" Type="http://schemas.openxmlformats.org/officeDocument/2006/relationships/hyperlink" Target="https://www.aph.gov.au/Parliamentary_Business/Committees/Senate/Community_Affairs/IndefiniteDetention45/Report" TargetMode="External"/><Relationship Id="rId113" Type="http://schemas.openxmlformats.org/officeDocument/2006/relationships/hyperlink" Target="https://www.commissionofinquiry.tas.gov.au/home" TargetMode="External"/><Relationship Id="rId134" Type="http://schemas.openxmlformats.org/officeDocument/2006/relationships/hyperlink" Target="https://www.refworld.org/docid/593a8c924.html" TargetMode="External"/><Relationship Id="rId80" Type="http://schemas.openxmlformats.org/officeDocument/2006/relationships/hyperlink" Target="https://www.ag.gov.au/About/CommitteesandCouncils/Council-of-Attorneys-General/Pages/default.aspx" TargetMode="External"/><Relationship Id="rId155" Type="http://schemas.openxmlformats.org/officeDocument/2006/relationships/hyperlink" Target="http://wwda.org.au/wp-content/uploads/2013/12/WWDABeijingSub0909.pdf" TargetMode="External"/><Relationship Id="rId176" Type="http://schemas.openxmlformats.org/officeDocument/2006/relationships/hyperlink" Target="http://rcvmhs.archive.royalcommission.vic.gov.au/index.html" TargetMode="External"/><Relationship Id="rId17" Type="http://schemas.openxmlformats.org/officeDocument/2006/relationships/hyperlink" Target="https://www.aph.gov.au/Parliamentary_Business/Committees/Senate/Community_Affairs/DisabilitySupportPensio/Report" TargetMode="External"/><Relationship Id="rId38" Type="http://schemas.openxmlformats.org/officeDocument/2006/relationships/hyperlink" Target="https://providers.dhhs.vic.gov.au/chemical-restraint-what-disability-support-workers-need-know-word" TargetMode="External"/><Relationship Id="rId59" Type="http://schemas.openxmlformats.org/officeDocument/2006/relationships/hyperlink" Target="https://tbinternet.ohchr.org/_layouts/15/treatybodyexternal/Download.aspx?symbolno=CEDAW/C/AUS/CO/8&amp;Lang=En" TargetMode="External"/><Relationship Id="rId103" Type="http://schemas.openxmlformats.org/officeDocument/2006/relationships/hyperlink" Target="https://www.royalcommission.gov.au/system/files/2020-09/Interim%20Report.pdf" TargetMode="External"/><Relationship Id="rId124" Type="http://schemas.openxmlformats.org/officeDocument/2006/relationships/hyperlink" Target="https://www.sbs.com.au/news/family-facing-deportation-from-australia-due-to-son-s-disability-fear-he-could-die-if-they-leave" TargetMode="External"/><Relationship Id="rId70" Type="http://schemas.openxmlformats.org/officeDocument/2006/relationships/hyperlink" Target="http://fpdn.org.au/wp-content/uploads/2016/10/FPDN-Senate-Inquiry-Indefinite-Detention-Submission_Final.pdf" TargetMode="External"/><Relationship Id="rId91" Type="http://schemas.openxmlformats.org/officeDocument/2006/relationships/hyperlink" Target="https://www.theguardian.com/australia-news/2023/jan/13/banksia-hill-teenage-girl-with-autism-treated-like-a-dog-at-detention-centre-class-action-alleges" TargetMode="External"/><Relationship Id="rId145" Type="http://schemas.openxmlformats.org/officeDocument/2006/relationships/hyperlink" Target="https://www.abc.net.au/news/2022-10-20/why-are-millions-of-australians-still-living-in-poverty/101553340" TargetMode="External"/><Relationship Id="rId166" Type="http://schemas.openxmlformats.org/officeDocument/2006/relationships/hyperlink" Target="https://www.ndis.gov.au/about-us/reference-group-updates/first-nations-advisory-council" TargetMode="External"/><Relationship Id="rId187" Type="http://schemas.openxmlformats.org/officeDocument/2006/relationships/hyperlink" Target="https://humanrights.gov.au/free-and-equal" TargetMode="External"/><Relationship Id="rId1" Type="http://schemas.openxmlformats.org/officeDocument/2006/relationships/hyperlink" Target="https://www.who.int/publications/i/item/9789240080737" TargetMode="External"/><Relationship Id="rId28" Type="http://schemas.openxmlformats.org/officeDocument/2006/relationships/hyperlink" Target="https://www.ohchr.org/en/documents/legal-standards-and-guidelines/crpdc5-guidelines-deinstitutionalization-including" TargetMode="External"/><Relationship Id="rId49" Type="http://schemas.openxmlformats.org/officeDocument/2006/relationships/hyperlink" Target="https://www.aihw.gov.au/reports/mental-health/physical-health-of-people-with-mental-illness" TargetMode="External"/><Relationship Id="rId114" Type="http://schemas.openxmlformats.org/officeDocument/2006/relationships/hyperlink" Target="https://www.alrc.gov.au/inquiry/incarceration-rates-of-aboriginal-and-torres-strait-islander-peoples/" TargetMode="External"/><Relationship Id="rId60" Type="http://schemas.openxmlformats.org/officeDocument/2006/relationships/hyperlink" Target="http://wwda.org.au/wp-content/uploads/2013/12/FIGOGuidelines2011.pdf" TargetMode="External"/><Relationship Id="rId81" Type="http://schemas.openxmlformats.org/officeDocument/2006/relationships/hyperlink" Target="https://www.homeaffairs.gov.au/help-and-support/how-to-engage-us/committees-and-fora/ministerial-council-police-emergency-management" TargetMode="External"/><Relationship Id="rId135" Type="http://schemas.openxmlformats.org/officeDocument/2006/relationships/hyperlink" Target="https://static1.squarespace.com/static/5de89a911dcc1455b1ce20fe/t/6385633721635d43d08c927e/1669686112938/Welcoming+Disability+Position+Statement+21+11+2022.pdf" TargetMode="External"/><Relationship Id="rId156" Type="http://schemas.openxmlformats.org/officeDocument/2006/relationships/hyperlink" Target="https://humanrights.gov.au/our-work/age-discrimination/projects/risk-homelessness-older-women" TargetMode="External"/><Relationship Id="rId177" Type="http://schemas.openxmlformats.org/officeDocument/2006/relationships/hyperlink" Target="https://www.livedexperiencejustice.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96B4B9-8110-4D47-8ABB-17621BF76A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74</Pages>
  <Words>18232</Words>
  <Characters>103929</Characters>
  <Application>Microsoft Office Word</Application>
  <DocSecurity>0</DocSecurity>
  <Lines>866</Lines>
  <Paragraphs>243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Brophy</dc:creator>
  <cp:keywords/>
  <dc:description/>
  <cp:lastModifiedBy>Sophie Cusworth | Women With Disabilities Australia</cp:lastModifiedBy>
  <cp:revision>3</cp:revision>
  <cp:lastPrinted>2018-06-11T02:39:00Z</cp:lastPrinted>
  <dcterms:created xsi:type="dcterms:W3CDTF">2024-01-29T06:20:00Z</dcterms:created>
  <dcterms:modified xsi:type="dcterms:W3CDTF">2024-01-29T06:21:00Z</dcterms:modified>
</cp:coreProperties>
</file>