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993A" w14:textId="76705058" w:rsidR="00760698" w:rsidRDefault="00760698" w:rsidP="00F25E34">
      <w:pPr>
        <w:rPr>
          <w:rFonts w:cstheme="minorHAnsi"/>
          <w:color w:val="000000" w:themeColor="text1"/>
          <w:sz w:val="22"/>
          <w:szCs w:val="22"/>
        </w:rPr>
      </w:pPr>
      <w:r>
        <w:rPr>
          <w:rFonts w:cstheme="minorHAnsi"/>
          <w:color w:val="000000" w:themeColor="text1"/>
          <w:sz w:val="22"/>
          <w:szCs w:val="22"/>
        </w:rPr>
        <w:t>Committee on the Elimination of Racial Discrimination</w:t>
      </w:r>
    </w:p>
    <w:p w14:paraId="74E0917D" w14:textId="77777777" w:rsidR="00760698" w:rsidRDefault="00760698" w:rsidP="00F25E34">
      <w:pPr>
        <w:rPr>
          <w:rFonts w:cstheme="minorHAnsi"/>
          <w:color w:val="000000" w:themeColor="text1"/>
          <w:sz w:val="22"/>
          <w:szCs w:val="22"/>
        </w:rPr>
      </w:pPr>
      <w:r w:rsidRPr="00760698">
        <w:rPr>
          <w:rFonts w:cstheme="minorHAnsi"/>
          <w:color w:val="000000" w:themeColor="text1"/>
          <w:sz w:val="22"/>
          <w:szCs w:val="22"/>
        </w:rPr>
        <w:t>The Office of the High Commissioner for Human Rights</w:t>
      </w:r>
    </w:p>
    <w:p w14:paraId="4388DF05" w14:textId="77777777" w:rsidR="00760698" w:rsidRDefault="00760698" w:rsidP="00F25E34">
      <w:pPr>
        <w:rPr>
          <w:rFonts w:cstheme="minorHAnsi"/>
          <w:color w:val="000000" w:themeColor="text1"/>
          <w:sz w:val="22"/>
          <w:szCs w:val="22"/>
        </w:rPr>
      </w:pPr>
    </w:p>
    <w:p w14:paraId="7CF1ECB1" w14:textId="6EE4BA8E" w:rsidR="00760698" w:rsidRPr="00F35E01" w:rsidRDefault="00760698" w:rsidP="00F25E34">
      <w:pPr>
        <w:rPr>
          <w:rFonts w:cstheme="minorHAnsi"/>
          <w:color w:val="000000" w:themeColor="text1"/>
          <w:sz w:val="22"/>
          <w:szCs w:val="22"/>
        </w:rPr>
      </w:pPr>
      <w:r>
        <w:rPr>
          <w:rFonts w:cstheme="minorHAnsi"/>
          <w:color w:val="000000" w:themeColor="text1"/>
          <w:sz w:val="22"/>
          <w:szCs w:val="22"/>
        </w:rPr>
        <w:t xml:space="preserve">By email: </w:t>
      </w:r>
      <w:r w:rsidRPr="00760698">
        <w:rPr>
          <w:rFonts w:cstheme="minorHAnsi"/>
          <w:color w:val="000000" w:themeColor="text1"/>
          <w:sz w:val="22"/>
          <w:szCs w:val="22"/>
        </w:rPr>
        <w:t> </w:t>
      </w:r>
      <w:hyperlink r:id="rId8" w:history="1">
        <w:r w:rsidRPr="00760698">
          <w:rPr>
            <w:rStyle w:val="Hyperlink"/>
            <w:rFonts w:cstheme="minorHAnsi"/>
            <w:b/>
            <w:bCs/>
            <w:sz w:val="22"/>
            <w:szCs w:val="22"/>
          </w:rPr>
          <w:t>ohchr-cerd-gr37@un.org</w:t>
        </w:r>
      </w:hyperlink>
    </w:p>
    <w:p w14:paraId="49B3A94A" w14:textId="0A51ED62" w:rsidR="001A55CA" w:rsidRPr="00F35E01" w:rsidRDefault="006C2EC0" w:rsidP="00F25E34">
      <w:pPr>
        <w:spacing w:before="240"/>
        <w:rPr>
          <w:rFonts w:cstheme="minorHAnsi"/>
          <w:color w:val="000000" w:themeColor="text1"/>
          <w:sz w:val="22"/>
          <w:szCs w:val="22"/>
        </w:rPr>
      </w:pPr>
      <w:r>
        <w:rPr>
          <w:rFonts w:cstheme="minorHAnsi"/>
          <w:color w:val="000000" w:themeColor="text1"/>
          <w:sz w:val="22"/>
          <w:szCs w:val="22"/>
        </w:rPr>
        <w:t>31 July</w:t>
      </w:r>
      <w:r w:rsidR="00760698">
        <w:rPr>
          <w:rFonts w:cstheme="minorHAnsi"/>
          <w:color w:val="000000" w:themeColor="text1"/>
          <w:sz w:val="22"/>
          <w:szCs w:val="22"/>
        </w:rPr>
        <w:t xml:space="preserve"> 2023</w:t>
      </w:r>
    </w:p>
    <w:p w14:paraId="5090B313" w14:textId="77777777" w:rsidR="0060224E" w:rsidRPr="00F35E01" w:rsidRDefault="0060224E" w:rsidP="00F20238">
      <w:pPr>
        <w:spacing w:line="276" w:lineRule="auto"/>
        <w:rPr>
          <w:rFonts w:cstheme="minorHAnsi"/>
          <w:color w:val="000000" w:themeColor="text1"/>
          <w:sz w:val="22"/>
          <w:szCs w:val="22"/>
        </w:rPr>
      </w:pPr>
    </w:p>
    <w:p w14:paraId="156F7599" w14:textId="50B1D04B" w:rsidR="0060224E" w:rsidRPr="00F35E01" w:rsidRDefault="0060224E" w:rsidP="00F20238">
      <w:pPr>
        <w:spacing w:line="276" w:lineRule="auto"/>
        <w:rPr>
          <w:rFonts w:cstheme="minorHAnsi"/>
          <w:color w:val="000000" w:themeColor="text1"/>
          <w:sz w:val="22"/>
          <w:szCs w:val="22"/>
        </w:rPr>
      </w:pPr>
      <w:r w:rsidRPr="00F35E01">
        <w:rPr>
          <w:rFonts w:cstheme="minorHAnsi"/>
          <w:color w:val="000000" w:themeColor="text1"/>
          <w:sz w:val="22"/>
          <w:szCs w:val="22"/>
        </w:rPr>
        <w:t>Dear Committee on the Elimination of Racial Discrimination,</w:t>
      </w:r>
    </w:p>
    <w:p w14:paraId="440A5C06" w14:textId="77777777" w:rsidR="0060224E" w:rsidRPr="00174FCB" w:rsidRDefault="0060224E" w:rsidP="00F20238">
      <w:pPr>
        <w:spacing w:line="276" w:lineRule="auto"/>
        <w:rPr>
          <w:rFonts w:cstheme="minorHAnsi"/>
          <w:color w:val="000000" w:themeColor="text1"/>
          <w:sz w:val="22"/>
          <w:szCs w:val="22"/>
        </w:rPr>
      </w:pPr>
    </w:p>
    <w:p w14:paraId="32618017" w14:textId="5B7F7723" w:rsidR="0060224E" w:rsidRPr="00A55800" w:rsidRDefault="0060224E" w:rsidP="00A55800">
      <w:pPr>
        <w:spacing w:line="276" w:lineRule="auto"/>
        <w:jc w:val="center"/>
        <w:rPr>
          <w:rFonts w:cstheme="minorHAnsi"/>
          <w:b/>
          <w:bCs/>
          <w:color w:val="000000" w:themeColor="text1"/>
        </w:rPr>
      </w:pPr>
      <w:r w:rsidRPr="00A55800">
        <w:rPr>
          <w:rFonts w:cstheme="minorHAnsi"/>
          <w:b/>
          <w:bCs/>
          <w:color w:val="000000" w:themeColor="text1"/>
        </w:rPr>
        <w:t>Submission to the call for comments on the draft General recommendation No. 37 (2023) on Racial discrimination in the enjoyment of the right to health</w:t>
      </w:r>
    </w:p>
    <w:p w14:paraId="4803370C" w14:textId="77777777" w:rsidR="0060224E" w:rsidRPr="00F35E01" w:rsidRDefault="0060224E" w:rsidP="002538F8">
      <w:pPr>
        <w:rPr>
          <w:rFonts w:cstheme="minorHAnsi"/>
          <w:color w:val="000000" w:themeColor="text1"/>
          <w:sz w:val="22"/>
          <w:szCs w:val="22"/>
        </w:rPr>
      </w:pPr>
    </w:p>
    <w:p w14:paraId="17B31110" w14:textId="1D424B4A" w:rsidR="0060224E" w:rsidRPr="00F35E01" w:rsidRDefault="0060224E" w:rsidP="002538F8">
      <w:pPr>
        <w:rPr>
          <w:rFonts w:cstheme="minorHAnsi"/>
          <w:color w:val="000000" w:themeColor="text1"/>
          <w:sz w:val="22"/>
          <w:szCs w:val="22"/>
        </w:rPr>
      </w:pPr>
      <w:r w:rsidRPr="00F35E01">
        <w:rPr>
          <w:rFonts w:cstheme="minorHAnsi"/>
          <w:color w:val="000000" w:themeColor="text1"/>
          <w:sz w:val="22"/>
          <w:szCs w:val="22"/>
        </w:rPr>
        <w:t xml:space="preserve">I write to you from </w:t>
      </w:r>
      <w:hyperlink r:id="rId9" w:history="1">
        <w:r w:rsidRPr="00B978D4">
          <w:rPr>
            <w:rStyle w:val="Hyperlink"/>
            <w:rFonts w:cstheme="minorHAnsi"/>
            <w:sz w:val="22"/>
            <w:szCs w:val="22"/>
          </w:rPr>
          <w:t>Women with Disabilit</w:t>
        </w:r>
        <w:r w:rsidR="00F20238" w:rsidRPr="00B978D4">
          <w:rPr>
            <w:rStyle w:val="Hyperlink"/>
            <w:rFonts w:cstheme="minorHAnsi"/>
            <w:sz w:val="22"/>
            <w:szCs w:val="22"/>
          </w:rPr>
          <w:t>ies</w:t>
        </w:r>
        <w:r w:rsidRPr="00B978D4">
          <w:rPr>
            <w:rStyle w:val="Hyperlink"/>
            <w:rFonts w:cstheme="minorHAnsi"/>
            <w:sz w:val="22"/>
            <w:szCs w:val="22"/>
          </w:rPr>
          <w:t xml:space="preserve"> Australia</w:t>
        </w:r>
      </w:hyperlink>
      <w:r w:rsidRPr="00F35E01">
        <w:rPr>
          <w:rFonts w:cstheme="minorHAnsi"/>
          <w:color w:val="000000" w:themeColor="text1"/>
          <w:sz w:val="22"/>
          <w:szCs w:val="22"/>
        </w:rPr>
        <w:t xml:space="preserve"> (</w:t>
      </w:r>
      <w:r w:rsidRPr="00F35E01">
        <w:rPr>
          <w:rFonts w:cstheme="minorHAnsi"/>
          <w:b/>
          <w:bCs/>
          <w:color w:val="000000" w:themeColor="text1"/>
          <w:sz w:val="22"/>
          <w:szCs w:val="22"/>
        </w:rPr>
        <w:t>WWDA</w:t>
      </w:r>
      <w:r w:rsidRPr="00F35E01">
        <w:rPr>
          <w:rFonts w:cstheme="minorHAnsi"/>
          <w:color w:val="000000" w:themeColor="text1"/>
          <w:sz w:val="22"/>
          <w:szCs w:val="22"/>
        </w:rPr>
        <w:t>), the National Disabled People’s Organisation (</w:t>
      </w:r>
      <w:r w:rsidRPr="00F35E01">
        <w:rPr>
          <w:rFonts w:cstheme="minorHAnsi"/>
          <w:b/>
          <w:bCs/>
          <w:color w:val="000000" w:themeColor="text1"/>
          <w:sz w:val="22"/>
          <w:szCs w:val="22"/>
        </w:rPr>
        <w:t>DPO</w:t>
      </w:r>
      <w:r w:rsidRPr="00F35E01">
        <w:rPr>
          <w:rFonts w:cstheme="minorHAnsi"/>
          <w:color w:val="000000" w:themeColor="text1"/>
          <w:sz w:val="22"/>
          <w:szCs w:val="22"/>
        </w:rPr>
        <w:t>) and National Women’s Alliance (</w:t>
      </w:r>
      <w:r w:rsidRPr="00F35E01">
        <w:rPr>
          <w:rFonts w:cstheme="minorHAnsi"/>
          <w:b/>
          <w:bCs/>
          <w:color w:val="000000" w:themeColor="text1"/>
          <w:sz w:val="22"/>
          <w:szCs w:val="22"/>
        </w:rPr>
        <w:t>NWA</w:t>
      </w:r>
      <w:r w:rsidRPr="00F35E01">
        <w:rPr>
          <w:rFonts w:cstheme="minorHAnsi"/>
          <w:color w:val="000000" w:themeColor="text1"/>
          <w:sz w:val="22"/>
          <w:szCs w:val="22"/>
        </w:rPr>
        <w:t>) for women, girls, feminine identifying, and non-binary people with disability in Australia. WWDA thanks the Committee on the Elimination of Racial Discrimination for the opportunity to comment on draft General recommendation No. 37 (2023) on Racial discrimination in the enjoyment of the right to health (</w:t>
      </w:r>
      <w:r w:rsidRPr="00F35E01">
        <w:rPr>
          <w:rFonts w:cstheme="minorHAnsi"/>
          <w:b/>
          <w:bCs/>
          <w:color w:val="000000" w:themeColor="text1"/>
          <w:sz w:val="22"/>
          <w:szCs w:val="22"/>
        </w:rPr>
        <w:t>General Recommendation</w:t>
      </w:r>
      <w:r w:rsidRPr="00F35E01">
        <w:rPr>
          <w:rFonts w:cstheme="minorHAnsi"/>
          <w:color w:val="000000" w:themeColor="text1"/>
          <w:sz w:val="22"/>
          <w:szCs w:val="22"/>
        </w:rPr>
        <w:t>). Our response draws attention to the issues relevant to women and girls with disability in interpreting</w:t>
      </w:r>
      <w:r w:rsidR="00760698">
        <w:rPr>
          <w:rFonts w:cstheme="minorHAnsi"/>
          <w:color w:val="000000" w:themeColor="text1"/>
          <w:sz w:val="22"/>
          <w:szCs w:val="22"/>
        </w:rPr>
        <w:t xml:space="preserve"> key sections of the draft.</w:t>
      </w:r>
      <w:r w:rsidRPr="00F35E01">
        <w:rPr>
          <w:rFonts w:cstheme="minorHAnsi"/>
          <w:color w:val="000000" w:themeColor="text1"/>
          <w:sz w:val="22"/>
          <w:szCs w:val="22"/>
        </w:rPr>
        <w:t xml:space="preserve"> </w:t>
      </w:r>
    </w:p>
    <w:p w14:paraId="671F96B6" w14:textId="77777777" w:rsidR="0060224E" w:rsidRPr="00F35E01" w:rsidRDefault="0060224E" w:rsidP="002538F8">
      <w:pPr>
        <w:rPr>
          <w:rFonts w:cstheme="minorHAnsi"/>
          <w:color w:val="000000" w:themeColor="text1"/>
          <w:sz w:val="22"/>
          <w:szCs w:val="22"/>
          <w:highlight w:val="yellow"/>
        </w:rPr>
      </w:pPr>
    </w:p>
    <w:p w14:paraId="54B19E9C" w14:textId="196A6DAF" w:rsidR="00BB5991" w:rsidRPr="00760698" w:rsidRDefault="00E669E1" w:rsidP="002538F8">
      <w:pPr>
        <w:rPr>
          <w:rFonts w:cstheme="minorHAnsi"/>
          <w:color w:val="000000" w:themeColor="text1"/>
          <w:sz w:val="22"/>
          <w:szCs w:val="22"/>
          <w:lang w:val="en-GB"/>
        </w:rPr>
      </w:pPr>
      <w:r>
        <w:rPr>
          <w:rFonts w:cstheme="minorHAnsi"/>
          <w:color w:val="000000" w:themeColor="text1"/>
          <w:sz w:val="22"/>
          <w:szCs w:val="22"/>
        </w:rPr>
        <w:t>There is strong evidence that women</w:t>
      </w:r>
      <w:r w:rsidR="00D767B6" w:rsidRPr="00F35E01">
        <w:rPr>
          <w:rFonts w:cstheme="minorHAnsi"/>
          <w:color w:val="000000" w:themeColor="text1"/>
          <w:sz w:val="22"/>
          <w:szCs w:val="22"/>
        </w:rPr>
        <w:t xml:space="preserve"> with disabilities </w:t>
      </w:r>
      <w:r>
        <w:rPr>
          <w:rFonts w:cstheme="minorHAnsi"/>
          <w:color w:val="000000" w:themeColor="text1"/>
          <w:sz w:val="22"/>
          <w:szCs w:val="22"/>
        </w:rPr>
        <w:t>from cultural, ethnic and racial minorities</w:t>
      </w:r>
      <w:r w:rsidR="00D767B6" w:rsidRPr="00F35E01">
        <w:rPr>
          <w:rFonts w:cstheme="minorHAnsi"/>
          <w:color w:val="000000" w:themeColor="text1"/>
          <w:sz w:val="22"/>
          <w:szCs w:val="22"/>
          <w:lang w:val="en-GB"/>
        </w:rPr>
        <w:t xml:space="preserve"> </w:t>
      </w:r>
      <w:r>
        <w:rPr>
          <w:rFonts w:cstheme="minorHAnsi"/>
          <w:color w:val="000000" w:themeColor="text1"/>
          <w:sz w:val="22"/>
          <w:szCs w:val="22"/>
          <w:lang w:val="en-GB"/>
        </w:rPr>
        <w:t xml:space="preserve">experience </w:t>
      </w:r>
      <w:r w:rsidR="00D767B6" w:rsidRPr="00F35E01">
        <w:rPr>
          <w:rFonts w:cstheme="minorHAnsi"/>
          <w:color w:val="000000" w:themeColor="text1"/>
          <w:sz w:val="22"/>
          <w:szCs w:val="22"/>
          <w:lang w:val="en-GB"/>
        </w:rPr>
        <w:t xml:space="preserve">compounding forms of discrimination at the </w:t>
      </w:r>
      <w:r w:rsidR="00DF37DB" w:rsidRPr="00F35E01">
        <w:rPr>
          <w:rFonts w:cstheme="minorHAnsi"/>
          <w:color w:val="000000" w:themeColor="text1"/>
          <w:sz w:val="22"/>
          <w:szCs w:val="22"/>
          <w:lang w:val="en-GB"/>
        </w:rPr>
        <w:t>intersectio</w:t>
      </w:r>
      <w:r w:rsidR="00760698">
        <w:rPr>
          <w:rFonts w:cstheme="minorHAnsi"/>
          <w:color w:val="000000" w:themeColor="text1"/>
          <w:sz w:val="22"/>
          <w:szCs w:val="22"/>
          <w:lang w:val="en-GB"/>
        </w:rPr>
        <w:t>ns</w:t>
      </w:r>
      <w:r w:rsidR="00DF37DB" w:rsidRPr="00F35E01">
        <w:rPr>
          <w:rFonts w:cstheme="minorHAnsi"/>
          <w:color w:val="000000" w:themeColor="text1"/>
          <w:sz w:val="22"/>
          <w:szCs w:val="22"/>
          <w:lang w:val="en-GB"/>
        </w:rPr>
        <w:t xml:space="preserve"> </w:t>
      </w:r>
      <w:r w:rsidR="00D767B6" w:rsidRPr="00F35E01">
        <w:rPr>
          <w:rFonts w:cstheme="minorHAnsi"/>
          <w:color w:val="000000" w:themeColor="text1"/>
          <w:sz w:val="22"/>
          <w:szCs w:val="22"/>
          <w:lang w:val="en-GB"/>
        </w:rPr>
        <w:t xml:space="preserve">of </w:t>
      </w:r>
      <w:r>
        <w:rPr>
          <w:rFonts w:cstheme="minorHAnsi"/>
          <w:color w:val="000000" w:themeColor="text1"/>
          <w:sz w:val="22"/>
          <w:szCs w:val="22"/>
          <w:lang w:val="en-GB"/>
        </w:rPr>
        <w:t xml:space="preserve">racism, imperialism, </w:t>
      </w:r>
      <w:r w:rsidR="00D767B6" w:rsidRPr="00F35E01">
        <w:rPr>
          <w:rFonts w:cstheme="minorHAnsi"/>
          <w:color w:val="000000" w:themeColor="text1"/>
          <w:sz w:val="22"/>
          <w:szCs w:val="22"/>
          <w:lang w:val="en-GB"/>
        </w:rPr>
        <w:t xml:space="preserve">ableism, </w:t>
      </w:r>
      <w:r>
        <w:rPr>
          <w:rFonts w:cstheme="minorHAnsi"/>
          <w:color w:val="000000" w:themeColor="text1"/>
          <w:sz w:val="22"/>
          <w:szCs w:val="22"/>
          <w:lang w:val="en-GB"/>
        </w:rPr>
        <w:t xml:space="preserve">and </w:t>
      </w:r>
      <w:r w:rsidR="00D767B6" w:rsidRPr="00F35E01">
        <w:rPr>
          <w:rFonts w:cstheme="minorHAnsi"/>
          <w:color w:val="000000" w:themeColor="text1"/>
          <w:sz w:val="22"/>
          <w:szCs w:val="22"/>
          <w:lang w:val="en-GB"/>
        </w:rPr>
        <w:t>sexism</w:t>
      </w:r>
      <w:r>
        <w:rPr>
          <w:rFonts w:cstheme="minorHAnsi"/>
          <w:color w:val="000000" w:themeColor="text1"/>
          <w:sz w:val="22"/>
          <w:szCs w:val="22"/>
          <w:lang w:val="en-GB"/>
        </w:rPr>
        <w:t xml:space="preserve">. </w:t>
      </w:r>
      <w:r w:rsidR="000B440E" w:rsidRPr="00F35E01">
        <w:rPr>
          <w:rFonts w:cstheme="minorHAnsi"/>
          <w:color w:val="000000" w:themeColor="text1"/>
          <w:sz w:val="22"/>
          <w:szCs w:val="22"/>
        </w:rPr>
        <w:t>As a key element of the human rights approach to disability required by the Convention on the Rights of Persons with Disabilities</w:t>
      </w:r>
      <w:r>
        <w:rPr>
          <w:rFonts w:cstheme="minorHAnsi"/>
          <w:color w:val="000000" w:themeColor="text1"/>
          <w:sz w:val="22"/>
          <w:szCs w:val="22"/>
        </w:rPr>
        <w:t xml:space="preserve"> (</w:t>
      </w:r>
      <w:r w:rsidRPr="00E669E1">
        <w:rPr>
          <w:rFonts w:cstheme="minorHAnsi"/>
          <w:b/>
          <w:bCs/>
          <w:color w:val="000000" w:themeColor="text1"/>
          <w:sz w:val="22"/>
          <w:szCs w:val="22"/>
        </w:rPr>
        <w:t>CRPD</w:t>
      </w:r>
      <w:r>
        <w:rPr>
          <w:rFonts w:cstheme="minorHAnsi"/>
          <w:color w:val="000000" w:themeColor="text1"/>
          <w:sz w:val="22"/>
          <w:szCs w:val="22"/>
        </w:rPr>
        <w:t>)</w:t>
      </w:r>
      <w:r w:rsidR="000B440E" w:rsidRPr="00F35E01">
        <w:rPr>
          <w:rFonts w:cstheme="minorHAnsi"/>
          <w:color w:val="000000" w:themeColor="text1"/>
          <w:sz w:val="22"/>
          <w:szCs w:val="22"/>
        </w:rPr>
        <w:t xml:space="preserve">, intersectionality highlights how </w:t>
      </w:r>
      <w:r w:rsidR="00DF37DB" w:rsidRPr="00F35E01">
        <w:rPr>
          <w:rFonts w:cstheme="minorHAnsi"/>
          <w:color w:val="000000" w:themeColor="text1"/>
          <w:sz w:val="22"/>
          <w:szCs w:val="22"/>
        </w:rPr>
        <w:t xml:space="preserve">these </w:t>
      </w:r>
      <w:r w:rsidR="00000F7C">
        <w:rPr>
          <w:rFonts w:cstheme="minorHAnsi"/>
          <w:color w:val="000000" w:themeColor="text1"/>
          <w:sz w:val="22"/>
          <w:szCs w:val="22"/>
        </w:rPr>
        <w:t>overlapping</w:t>
      </w:r>
      <w:r w:rsidR="000B440E" w:rsidRPr="00F35E01">
        <w:rPr>
          <w:rFonts w:cstheme="minorHAnsi"/>
          <w:color w:val="000000" w:themeColor="text1"/>
          <w:sz w:val="22"/>
          <w:szCs w:val="22"/>
        </w:rPr>
        <w:t xml:space="preserve"> forms of discrimination result in unique barriers</w:t>
      </w:r>
      <w:r w:rsidR="00DF37DB" w:rsidRPr="00F35E01">
        <w:rPr>
          <w:rFonts w:cstheme="minorHAnsi"/>
          <w:color w:val="000000" w:themeColor="text1"/>
          <w:sz w:val="22"/>
          <w:szCs w:val="22"/>
        </w:rPr>
        <w:t>,</w:t>
      </w:r>
      <w:r w:rsidR="000B440E" w:rsidRPr="00F35E01">
        <w:rPr>
          <w:rFonts w:cstheme="minorHAnsi"/>
          <w:color w:val="000000" w:themeColor="text1"/>
          <w:sz w:val="22"/>
          <w:szCs w:val="22"/>
        </w:rPr>
        <w:t xml:space="preserve"> and </w:t>
      </w:r>
      <w:r w:rsidR="00DF37DB" w:rsidRPr="00F35E01">
        <w:rPr>
          <w:rFonts w:cstheme="minorHAnsi"/>
          <w:color w:val="000000" w:themeColor="text1"/>
          <w:sz w:val="22"/>
          <w:szCs w:val="22"/>
        </w:rPr>
        <w:t>specific</w:t>
      </w:r>
      <w:r w:rsidR="000B440E" w:rsidRPr="00F35E01">
        <w:rPr>
          <w:rFonts w:cstheme="minorHAnsi"/>
          <w:color w:val="000000" w:themeColor="text1"/>
          <w:sz w:val="22"/>
          <w:szCs w:val="22"/>
        </w:rPr>
        <w:t xml:space="preserve"> experiences of </w:t>
      </w:r>
      <w:r>
        <w:rPr>
          <w:rFonts w:cstheme="minorHAnsi"/>
          <w:color w:val="000000" w:themeColor="text1"/>
          <w:sz w:val="22"/>
          <w:szCs w:val="22"/>
        </w:rPr>
        <w:t>marginalisation and violence.</w:t>
      </w:r>
      <w:r w:rsidR="000B440E" w:rsidRPr="00F35E01">
        <w:rPr>
          <w:rFonts w:cstheme="minorHAnsi"/>
          <w:color w:val="000000" w:themeColor="text1"/>
          <w:sz w:val="22"/>
          <w:szCs w:val="22"/>
          <w:lang w:val="en-GB"/>
        </w:rPr>
        <w:t xml:space="preserve"> </w:t>
      </w:r>
      <w:r w:rsidR="00760698">
        <w:rPr>
          <w:rFonts w:cstheme="minorHAnsi"/>
          <w:color w:val="000000" w:themeColor="text1"/>
          <w:sz w:val="22"/>
          <w:szCs w:val="22"/>
          <w:lang w:val="en-GB"/>
        </w:rPr>
        <w:t>L</w:t>
      </w:r>
      <w:r w:rsidR="000B440E" w:rsidRPr="00F35E01">
        <w:rPr>
          <w:rFonts w:cstheme="minorHAnsi"/>
          <w:color w:val="000000" w:themeColor="text1"/>
          <w:sz w:val="22"/>
          <w:szCs w:val="22"/>
          <w:lang w:val="en-GB"/>
        </w:rPr>
        <w:t xml:space="preserve">egal and policy responses </w:t>
      </w:r>
      <w:r w:rsidR="00760698">
        <w:rPr>
          <w:rFonts w:cstheme="minorHAnsi"/>
          <w:color w:val="000000" w:themeColor="text1"/>
          <w:sz w:val="22"/>
          <w:szCs w:val="22"/>
          <w:lang w:val="en-GB"/>
        </w:rPr>
        <w:t xml:space="preserve">that seek to protect against human rights violations must </w:t>
      </w:r>
      <w:proofErr w:type="gramStart"/>
      <w:r w:rsidR="000B440E" w:rsidRPr="00F35E01">
        <w:rPr>
          <w:rFonts w:cstheme="minorHAnsi"/>
          <w:color w:val="000000" w:themeColor="text1"/>
          <w:sz w:val="22"/>
          <w:szCs w:val="22"/>
          <w:lang w:val="en-GB"/>
        </w:rPr>
        <w:t>take into account</w:t>
      </w:r>
      <w:proofErr w:type="gramEnd"/>
      <w:r w:rsidR="000B440E" w:rsidRPr="00F35E01">
        <w:rPr>
          <w:rFonts w:cstheme="minorHAnsi"/>
          <w:color w:val="000000" w:themeColor="text1"/>
          <w:sz w:val="22"/>
          <w:szCs w:val="22"/>
          <w:lang w:val="en-GB"/>
        </w:rPr>
        <w:t xml:space="preserve"> </w:t>
      </w:r>
      <w:r w:rsidR="00BB5991" w:rsidRPr="00F35E01">
        <w:rPr>
          <w:rFonts w:cstheme="minorHAnsi"/>
          <w:color w:val="000000" w:themeColor="text1"/>
          <w:sz w:val="22"/>
          <w:szCs w:val="22"/>
        </w:rPr>
        <w:t>the interactions between gender, disability, race and other elements of structural inequality.</w:t>
      </w:r>
      <w:r w:rsidR="00760698" w:rsidRPr="00F35E01">
        <w:rPr>
          <w:rFonts w:cstheme="minorHAnsi"/>
          <w:color w:val="000000" w:themeColor="text1"/>
          <w:sz w:val="22"/>
          <w:szCs w:val="22"/>
        </w:rPr>
        <w:t xml:space="preserve"> </w:t>
      </w:r>
    </w:p>
    <w:p w14:paraId="156E12C0" w14:textId="77777777" w:rsidR="006F2998" w:rsidRPr="00F35E01" w:rsidRDefault="006F2998" w:rsidP="002538F8">
      <w:pPr>
        <w:rPr>
          <w:rFonts w:cstheme="minorHAnsi"/>
          <w:b/>
          <w:bCs/>
          <w:color w:val="000000" w:themeColor="text1"/>
          <w:sz w:val="22"/>
          <w:szCs w:val="22"/>
        </w:rPr>
      </w:pPr>
    </w:p>
    <w:p w14:paraId="66F12819" w14:textId="36A28FA9" w:rsidR="0060224E" w:rsidRPr="00A55800" w:rsidRDefault="0060224E" w:rsidP="002538F8">
      <w:pPr>
        <w:rPr>
          <w:rFonts w:cstheme="minorHAnsi"/>
          <w:b/>
          <w:bCs/>
          <w:color w:val="000000" w:themeColor="text1"/>
          <w:sz w:val="22"/>
          <w:szCs w:val="22"/>
          <w:u w:val="single"/>
        </w:rPr>
      </w:pPr>
      <w:r w:rsidRPr="00A55800">
        <w:rPr>
          <w:rFonts w:cstheme="minorHAnsi"/>
          <w:b/>
          <w:bCs/>
          <w:color w:val="000000" w:themeColor="text1"/>
          <w:sz w:val="22"/>
          <w:szCs w:val="22"/>
          <w:u w:val="single"/>
        </w:rPr>
        <w:t>Gender-based violence</w:t>
      </w:r>
    </w:p>
    <w:p w14:paraId="563AB81C" w14:textId="77777777" w:rsidR="0060224E" w:rsidRPr="00F35E01" w:rsidRDefault="0060224E" w:rsidP="002538F8">
      <w:pPr>
        <w:rPr>
          <w:rFonts w:cstheme="minorHAnsi"/>
          <w:color w:val="000000" w:themeColor="text1"/>
          <w:sz w:val="22"/>
          <w:szCs w:val="22"/>
        </w:rPr>
      </w:pPr>
    </w:p>
    <w:p w14:paraId="6983C49A" w14:textId="77777777" w:rsidR="00A55800" w:rsidRDefault="0060224E" w:rsidP="002538F8">
      <w:pPr>
        <w:rPr>
          <w:rFonts w:cstheme="minorHAnsi"/>
          <w:color w:val="000000" w:themeColor="text1"/>
          <w:sz w:val="22"/>
          <w:szCs w:val="22"/>
        </w:rPr>
      </w:pPr>
      <w:r w:rsidRPr="00F35E01">
        <w:rPr>
          <w:rFonts w:cstheme="minorHAnsi"/>
          <w:color w:val="000000" w:themeColor="text1"/>
          <w:sz w:val="22"/>
          <w:szCs w:val="22"/>
        </w:rPr>
        <w:t xml:space="preserve">At the outset, WWDA is concerned that </w:t>
      </w:r>
      <w:r w:rsidR="00DF37DB" w:rsidRPr="00F35E01">
        <w:rPr>
          <w:rFonts w:cstheme="minorHAnsi"/>
          <w:color w:val="000000" w:themeColor="text1"/>
          <w:sz w:val="22"/>
          <w:szCs w:val="22"/>
        </w:rPr>
        <w:t xml:space="preserve">there is limited recognition </w:t>
      </w:r>
      <w:r w:rsidR="00000F7C">
        <w:rPr>
          <w:rFonts w:cstheme="minorHAnsi"/>
          <w:color w:val="000000" w:themeColor="text1"/>
          <w:sz w:val="22"/>
          <w:szCs w:val="22"/>
        </w:rPr>
        <w:t xml:space="preserve">within the General Recommendation </w:t>
      </w:r>
      <w:r w:rsidR="00DF37DB" w:rsidRPr="00F35E01">
        <w:rPr>
          <w:rFonts w:cstheme="minorHAnsi"/>
          <w:color w:val="000000" w:themeColor="text1"/>
          <w:sz w:val="22"/>
          <w:szCs w:val="22"/>
        </w:rPr>
        <w:t>of the interactions between</w:t>
      </w:r>
      <w:r w:rsidR="00743467" w:rsidRPr="00F35E01">
        <w:rPr>
          <w:rFonts w:cstheme="minorHAnsi"/>
          <w:color w:val="000000" w:themeColor="text1"/>
          <w:sz w:val="22"/>
          <w:szCs w:val="22"/>
        </w:rPr>
        <w:t xml:space="preserve"> health, </w:t>
      </w:r>
      <w:r w:rsidR="00DF37DB" w:rsidRPr="00F35E01">
        <w:rPr>
          <w:rFonts w:cstheme="minorHAnsi"/>
          <w:color w:val="000000" w:themeColor="text1"/>
          <w:sz w:val="22"/>
          <w:szCs w:val="22"/>
        </w:rPr>
        <w:t>colonial and racist violence, and gender-based violence.</w:t>
      </w:r>
      <w:r w:rsidR="00760698">
        <w:rPr>
          <w:rFonts w:cstheme="minorHAnsi"/>
          <w:color w:val="000000" w:themeColor="text1"/>
          <w:sz w:val="22"/>
          <w:szCs w:val="22"/>
        </w:rPr>
        <w:t xml:space="preserve"> </w:t>
      </w:r>
      <w:r w:rsidR="00760698" w:rsidRPr="00F35E01">
        <w:rPr>
          <w:rFonts w:cstheme="minorHAnsi"/>
          <w:color w:val="000000" w:themeColor="text1"/>
          <w:sz w:val="22"/>
          <w:szCs w:val="22"/>
        </w:rPr>
        <w:t>As WWDA has continually argued, the prevention of violence against women is an obligation in relation to gender rights; civil and political rights; economic, social and cultural rights; disability rights; child rights; and rights to be free from torture (and other cruel, inhuman or degrading treatment or punishment), and racial discrimination.</w:t>
      </w:r>
      <w:r w:rsidR="00760698" w:rsidRPr="00F35E01">
        <w:rPr>
          <w:rStyle w:val="EndnoteReference"/>
          <w:rFonts w:cstheme="minorHAnsi"/>
          <w:color w:val="000000" w:themeColor="text1"/>
          <w:sz w:val="22"/>
          <w:szCs w:val="22"/>
        </w:rPr>
        <w:endnoteReference w:id="1"/>
      </w:r>
      <w:r w:rsidR="00DF37DB" w:rsidRPr="00F35E01">
        <w:rPr>
          <w:rFonts w:cstheme="minorHAnsi"/>
          <w:color w:val="000000" w:themeColor="text1"/>
          <w:sz w:val="22"/>
          <w:szCs w:val="22"/>
        </w:rPr>
        <w:t xml:space="preserve"> </w:t>
      </w:r>
    </w:p>
    <w:p w14:paraId="2A3E1A4B" w14:textId="77777777" w:rsidR="00A55800" w:rsidRDefault="00A55800" w:rsidP="002538F8">
      <w:pPr>
        <w:rPr>
          <w:rFonts w:cstheme="minorHAnsi"/>
          <w:color w:val="000000" w:themeColor="text1"/>
          <w:sz w:val="22"/>
          <w:szCs w:val="22"/>
        </w:rPr>
      </w:pPr>
    </w:p>
    <w:p w14:paraId="01F1C131" w14:textId="40E38B5D" w:rsidR="004839E2" w:rsidRDefault="0060224E" w:rsidP="002538F8">
      <w:pPr>
        <w:rPr>
          <w:rFonts w:cstheme="minorHAnsi"/>
          <w:color w:val="000000" w:themeColor="text1"/>
          <w:sz w:val="22"/>
          <w:szCs w:val="22"/>
        </w:rPr>
      </w:pPr>
      <w:r w:rsidRPr="00F35E01">
        <w:rPr>
          <w:rFonts w:cstheme="minorHAnsi"/>
          <w:color w:val="000000" w:themeColor="text1"/>
          <w:sz w:val="22"/>
          <w:szCs w:val="22"/>
        </w:rPr>
        <w:t>While we commend the Committee’s acknowledgement of forced sterilisation as an egregious form of violence</w:t>
      </w:r>
      <w:r w:rsidR="00000F7C">
        <w:rPr>
          <w:rFonts w:cstheme="minorHAnsi"/>
          <w:color w:val="000000" w:themeColor="text1"/>
          <w:sz w:val="22"/>
          <w:szCs w:val="22"/>
        </w:rPr>
        <w:t xml:space="preserve"> targeting racial and ethnic minorities</w:t>
      </w:r>
      <w:r w:rsidRPr="00F35E01">
        <w:rPr>
          <w:rFonts w:cstheme="minorHAnsi"/>
          <w:color w:val="000000" w:themeColor="text1"/>
          <w:sz w:val="22"/>
          <w:szCs w:val="22"/>
        </w:rPr>
        <w:t xml:space="preserve">, </w:t>
      </w:r>
      <w:r w:rsidR="004839E2">
        <w:rPr>
          <w:rFonts w:cstheme="minorHAnsi"/>
          <w:color w:val="000000" w:themeColor="text1"/>
          <w:sz w:val="22"/>
          <w:szCs w:val="22"/>
        </w:rPr>
        <w:t xml:space="preserve">we </w:t>
      </w:r>
      <w:r w:rsidR="00000F7C">
        <w:rPr>
          <w:rFonts w:cstheme="minorHAnsi"/>
          <w:color w:val="000000" w:themeColor="text1"/>
          <w:sz w:val="22"/>
          <w:szCs w:val="22"/>
        </w:rPr>
        <w:t>ask that</w:t>
      </w:r>
      <w:r w:rsidRPr="00F35E01">
        <w:rPr>
          <w:rFonts w:cstheme="minorHAnsi"/>
          <w:color w:val="000000" w:themeColor="text1"/>
          <w:sz w:val="22"/>
          <w:szCs w:val="22"/>
        </w:rPr>
        <w:t xml:space="preserve"> attention be drawn to all forms of gender-based violence as both an issue of health and of racial discrimination. </w:t>
      </w:r>
      <w:r w:rsidR="00DB1C10" w:rsidRPr="00F35E01">
        <w:rPr>
          <w:rFonts w:cstheme="minorHAnsi"/>
          <w:color w:val="000000" w:themeColor="text1"/>
          <w:sz w:val="22"/>
          <w:szCs w:val="22"/>
        </w:rPr>
        <w:t xml:space="preserve">In General recommendation No. 35, the </w:t>
      </w:r>
      <w:r w:rsidR="00DB1C10" w:rsidRPr="00F35E01">
        <w:rPr>
          <w:rFonts w:cstheme="minorHAnsi"/>
          <w:color w:val="000000" w:themeColor="text1"/>
          <w:spacing w:val="4"/>
          <w:sz w:val="22"/>
          <w:szCs w:val="22"/>
        </w:rPr>
        <w:lastRenderedPageBreak/>
        <w:t>Committee on the Elimination of Discrimination against Women</w:t>
      </w:r>
      <w:r w:rsidR="00DB1C10" w:rsidRPr="00F35E01">
        <w:rPr>
          <w:rFonts w:cstheme="minorHAnsi"/>
          <w:color w:val="000000" w:themeColor="text1"/>
          <w:sz w:val="22"/>
          <w:szCs w:val="22"/>
        </w:rPr>
        <w:t xml:space="preserve"> </w:t>
      </w:r>
      <w:r w:rsidR="00A55800">
        <w:rPr>
          <w:rFonts w:cstheme="minorHAnsi"/>
          <w:color w:val="000000" w:themeColor="text1"/>
          <w:sz w:val="22"/>
          <w:szCs w:val="22"/>
        </w:rPr>
        <w:t xml:space="preserve">(CEDAW) </w:t>
      </w:r>
      <w:r w:rsidR="00DB1C10" w:rsidRPr="00F35E01">
        <w:rPr>
          <w:rFonts w:cstheme="minorHAnsi"/>
          <w:color w:val="000000" w:themeColor="text1"/>
          <w:sz w:val="22"/>
          <w:szCs w:val="22"/>
        </w:rPr>
        <w:t>re-affirmed that discrimination against women is inextricably linked to other factors that affect their lives, including ethnicity and race, Indigenous or minority status, colour, national original, migration status, and health status.</w:t>
      </w:r>
      <w:r w:rsidR="00DB1C10" w:rsidRPr="00F35E01">
        <w:rPr>
          <w:rStyle w:val="EndnoteReference"/>
          <w:rFonts w:cstheme="minorHAnsi"/>
          <w:color w:val="000000" w:themeColor="text1"/>
          <w:sz w:val="22"/>
          <w:szCs w:val="22"/>
        </w:rPr>
        <w:endnoteReference w:id="2"/>
      </w:r>
      <w:r w:rsidR="00DB1C10" w:rsidRPr="00F35E01">
        <w:rPr>
          <w:rFonts w:cstheme="minorHAnsi"/>
          <w:color w:val="000000" w:themeColor="text1"/>
          <w:sz w:val="22"/>
          <w:szCs w:val="22"/>
        </w:rPr>
        <w:t xml:space="preserve"> Women who are </w:t>
      </w:r>
      <w:r w:rsidR="00000F7C">
        <w:rPr>
          <w:rFonts w:cstheme="minorHAnsi"/>
          <w:color w:val="000000" w:themeColor="text1"/>
          <w:sz w:val="22"/>
          <w:szCs w:val="22"/>
        </w:rPr>
        <w:t xml:space="preserve">racially, culturally or ethnically marginalised </w:t>
      </w:r>
      <w:r w:rsidR="00DB1C10" w:rsidRPr="00F35E01">
        <w:rPr>
          <w:rFonts w:cstheme="minorHAnsi"/>
          <w:color w:val="000000" w:themeColor="text1"/>
          <w:sz w:val="22"/>
          <w:szCs w:val="22"/>
        </w:rPr>
        <w:t>face an increased risk of violence both in incidence and severity.</w:t>
      </w:r>
      <w:r w:rsidR="00DB1C10" w:rsidRPr="00F35E01">
        <w:rPr>
          <w:rStyle w:val="EndnoteReference"/>
          <w:rFonts w:cstheme="minorHAnsi"/>
          <w:color w:val="000000" w:themeColor="text1"/>
          <w:sz w:val="22"/>
          <w:szCs w:val="22"/>
        </w:rPr>
        <w:endnoteReference w:id="3"/>
      </w:r>
      <w:r w:rsidR="004839E2">
        <w:rPr>
          <w:rFonts w:cstheme="minorHAnsi"/>
          <w:color w:val="000000" w:themeColor="text1"/>
          <w:sz w:val="22"/>
          <w:szCs w:val="22"/>
        </w:rPr>
        <w:t xml:space="preserve"> </w:t>
      </w:r>
    </w:p>
    <w:p w14:paraId="6BA844F7" w14:textId="77777777" w:rsidR="004839E2" w:rsidRDefault="004839E2" w:rsidP="002538F8">
      <w:pPr>
        <w:rPr>
          <w:rFonts w:cstheme="minorHAnsi"/>
          <w:color w:val="000000" w:themeColor="text1"/>
          <w:sz w:val="22"/>
          <w:szCs w:val="22"/>
        </w:rPr>
      </w:pPr>
    </w:p>
    <w:p w14:paraId="49A626D6" w14:textId="70DDB147" w:rsidR="00BB5991" w:rsidRPr="00F35E01" w:rsidRDefault="004839E2" w:rsidP="002538F8">
      <w:pPr>
        <w:rPr>
          <w:rFonts w:cstheme="minorHAnsi"/>
          <w:color w:val="000000" w:themeColor="text1"/>
          <w:sz w:val="22"/>
          <w:szCs w:val="22"/>
        </w:rPr>
      </w:pPr>
      <w:r w:rsidRPr="00F35E01">
        <w:rPr>
          <w:rFonts w:cstheme="minorHAnsi"/>
          <w:color w:val="000000" w:themeColor="text1"/>
          <w:sz w:val="22"/>
          <w:szCs w:val="22"/>
        </w:rPr>
        <w:t xml:space="preserve">Gender-based violence, including gender-based violence that is motivated or exacerbated by racism, has tangible and detrimental impacts on </w:t>
      </w:r>
      <w:r>
        <w:rPr>
          <w:rFonts w:cstheme="minorHAnsi"/>
          <w:color w:val="000000" w:themeColor="text1"/>
          <w:sz w:val="22"/>
          <w:szCs w:val="22"/>
        </w:rPr>
        <w:t xml:space="preserve">physical and mental </w:t>
      </w:r>
      <w:r w:rsidRPr="00F35E01">
        <w:rPr>
          <w:rFonts w:cstheme="minorHAnsi"/>
          <w:color w:val="000000" w:themeColor="text1"/>
          <w:sz w:val="22"/>
          <w:szCs w:val="22"/>
        </w:rPr>
        <w:t>health outcomes, access to healthcare</w:t>
      </w:r>
      <w:r>
        <w:rPr>
          <w:rFonts w:cstheme="minorHAnsi"/>
          <w:color w:val="000000" w:themeColor="text1"/>
          <w:sz w:val="22"/>
          <w:szCs w:val="22"/>
        </w:rPr>
        <w:t xml:space="preserve">, </w:t>
      </w:r>
      <w:r w:rsidRPr="00F35E01">
        <w:rPr>
          <w:rFonts w:cstheme="minorHAnsi"/>
          <w:color w:val="000000" w:themeColor="text1"/>
          <w:sz w:val="22"/>
          <w:szCs w:val="22"/>
        </w:rPr>
        <w:t xml:space="preserve">and access to health information. Gender-based violence is also </w:t>
      </w:r>
      <w:r w:rsidR="004E6883">
        <w:rPr>
          <w:rFonts w:cstheme="minorHAnsi"/>
          <w:color w:val="000000" w:themeColor="text1"/>
          <w:sz w:val="22"/>
          <w:szCs w:val="22"/>
        </w:rPr>
        <w:t>a cause</w:t>
      </w:r>
      <w:r w:rsidRPr="00F35E01">
        <w:rPr>
          <w:rFonts w:cstheme="minorHAnsi"/>
          <w:color w:val="000000" w:themeColor="text1"/>
          <w:sz w:val="22"/>
          <w:szCs w:val="22"/>
        </w:rPr>
        <w:t xml:space="preserve"> of disability</w:t>
      </w:r>
      <w:r>
        <w:rPr>
          <w:rFonts w:cstheme="minorHAnsi"/>
          <w:color w:val="000000" w:themeColor="text1"/>
          <w:sz w:val="22"/>
          <w:szCs w:val="22"/>
        </w:rPr>
        <w:t xml:space="preserve">: </w:t>
      </w:r>
      <w:r w:rsidRPr="00F35E01">
        <w:rPr>
          <w:rFonts w:cstheme="minorHAnsi"/>
          <w:color w:val="000000" w:themeColor="text1"/>
          <w:sz w:val="22"/>
          <w:szCs w:val="22"/>
        </w:rPr>
        <w:t xml:space="preserve">every week in Australia, three women are hospitalised with a brain injury as a direct result of </w:t>
      </w:r>
      <w:r>
        <w:rPr>
          <w:rFonts w:cstheme="minorHAnsi"/>
          <w:color w:val="000000" w:themeColor="text1"/>
          <w:sz w:val="22"/>
          <w:szCs w:val="22"/>
        </w:rPr>
        <w:t>violence perpetrated by a family member</w:t>
      </w:r>
      <w:r w:rsidRPr="00F35E01">
        <w:rPr>
          <w:rFonts w:cstheme="minorHAnsi"/>
          <w:color w:val="000000" w:themeColor="text1"/>
          <w:sz w:val="22"/>
          <w:szCs w:val="22"/>
        </w:rPr>
        <w:t>.</w:t>
      </w:r>
      <w:r w:rsidRPr="00F35E01">
        <w:rPr>
          <w:rStyle w:val="EndnoteReference"/>
          <w:rFonts w:cstheme="minorHAnsi"/>
          <w:color w:val="000000" w:themeColor="text1"/>
          <w:sz w:val="22"/>
          <w:szCs w:val="22"/>
        </w:rPr>
        <w:endnoteReference w:id="4"/>
      </w:r>
      <w:r w:rsidRPr="00F35E01">
        <w:rPr>
          <w:rFonts w:cstheme="minorHAnsi"/>
          <w:color w:val="000000" w:themeColor="text1"/>
          <w:sz w:val="22"/>
          <w:szCs w:val="22"/>
        </w:rPr>
        <w:t xml:space="preserve"> </w:t>
      </w:r>
      <w:r>
        <w:rPr>
          <w:rFonts w:cstheme="minorHAnsi"/>
          <w:color w:val="000000" w:themeColor="text1"/>
          <w:sz w:val="22"/>
          <w:szCs w:val="22"/>
        </w:rPr>
        <w:t xml:space="preserve">It </w:t>
      </w:r>
      <w:r w:rsidR="0060224E" w:rsidRPr="00F35E01">
        <w:rPr>
          <w:rFonts w:cstheme="minorHAnsi"/>
          <w:color w:val="000000" w:themeColor="text1"/>
          <w:sz w:val="22"/>
          <w:szCs w:val="22"/>
        </w:rPr>
        <w:t xml:space="preserve">is </w:t>
      </w:r>
      <w:r>
        <w:rPr>
          <w:rFonts w:cstheme="minorHAnsi"/>
          <w:color w:val="000000" w:themeColor="text1"/>
          <w:sz w:val="22"/>
          <w:szCs w:val="22"/>
        </w:rPr>
        <w:t xml:space="preserve">also </w:t>
      </w:r>
      <w:r w:rsidR="0060224E" w:rsidRPr="00F35E01">
        <w:rPr>
          <w:rFonts w:cstheme="minorHAnsi"/>
          <w:color w:val="000000" w:themeColor="text1"/>
          <w:sz w:val="22"/>
          <w:szCs w:val="22"/>
        </w:rPr>
        <w:t xml:space="preserve">globally recognised that refugees and asylum seekers with disability are at </w:t>
      </w:r>
      <w:r>
        <w:rPr>
          <w:rFonts w:cstheme="minorHAnsi"/>
          <w:color w:val="000000" w:themeColor="text1"/>
          <w:sz w:val="22"/>
          <w:szCs w:val="22"/>
        </w:rPr>
        <w:t>increased</w:t>
      </w:r>
      <w:r w:rsidR="0060224E" w:rsidRPr="00F35E01">
        <w:rPr>
          <w:rFonts w:cstheme="minorHAnsi"/>
          <w:color w:val="000000" w:themeColor="text1"/>
          <w:sz w:val="22"/>
          <w:szCs w:val="22"/>
        </w:rPr>
        <w:t xml:space="preserve"> risk of </w:t>
      </w:r>
      <w:r>
        <w:rPr>
          <w:rFonts w:cstheme="minorHAnsi"/>
          <w:color w:val="000000" w:themeColor="text1"/>
          <w:sz w:val="22"/>
          <w:szCs w:val="22"/>
        </w:rPr>
        <w:t>gender-based violence</w:t>
      </w:r>
      <w:r w:rsidR="0060224E" w:rsidRPr="00F35E01">
        <w:rPr>
          <w:rFonts w:cstheme="minorHAnsi"/>
          <w:color w:val="000000" w:themeColor="text1"/>
          <w:sz w:val="22"/>
          <w:szCs w:val="22"/>
        </w:rPr>
        <w:t>. At the intersection</w:t>
      </w:r>
      <w:r>
        <w:rPr>
          <w:rFonts w:cstheme="minorHAnsi"/>
          <w:color w:val="000000" w:themeColor="text1"/>
          <w:sz w:val="22"/>
          <w:szCs w:val="22"/>
        </w:rPr>
        <w:t>s</w:t>
      </w:r>
      <w:r w:rsidR="0060224E" w:rsidRPr="00F35E01">
        <w:rPr>
          <w:rFonts w:cstheme="minorHAnsi"/>
          <w:color w:val="000000" w:themeColor="text1"/>
          <w:sz w:val="22"/>
          <w:szCs w:val="22"/>
        </w:rPr>
        <w:t xml:space="preserve"> of migration policy, racial discrimination and gender-based violence, female asylum seekers and refugees have experience</w:t>
      </w:r>
      <w:r w:rsidR="00BB5991" w:rsidRPr="00F35E01">
        <w:rPr>
          <w:rFonts w:cstheme="minorHAnsi"/>
          <w:color w:val="000000" w:themeColor="text1"/>
          <w:sz w:val="22"/>
          <w:szCs w:val="22"/>
        </w:rPr>
        <w:t xml:space="preserve">d </w:t>
      </w:r>
      <w:r w:rsidR="0060224E" w:rsidRPr="00F35E01">
        <w:rPr>
          <w:rFonts w:cstheme="minorHAnsi"/>
          <w:color w:val="000000" w:themeColor="text1"/>
          <w:sz w:val="22"/>
          <w:szCs w:val="22"/>
        </w:rPr>
        <w:t>rape and sexual abuse within immigration detention centres.</w:t>
      </w:r>
      <w:r w:rsidR="0060224E" w:rsidRPr="00F35E01">
        <w:rPr>
          <w:rStyle w:val="EndnoteReference"/>
          <w:rFonts w:cstheme="minorHAnsi"/>
          <w:color w:val="000000" w:themeColor="text1"/>
          <w:sz w:val="22"/>
          <w:szCs w:val="22"/>
        </w:rPr>
        <w:endnoteReference w:id="5"/>
      </w:r>
      <w:r w:rsidR="0060224E" w:rsidRPr="00F35E01">
        <w:rPr>
          <w:rFonts w:cstheme="minorHAnsi"/>
          <w:color w:val="000000" w:themeColor="text1"/>
          <w:sz w:val="22"/>
          <w:szCs w:val="22"/>
        </w:rPr>
        <w:t xml:space="preserve"> At the intersections of colon</w:t>
      </w:r>
      <w:r>
        <w:rPr>
          <w:rFonts w:cstheme="minorHAnsi"/>
          <w:color w:val="000000" w:themeColor="text1"/>
          <w:sz w:val="22"/>
          <w:szCs w:val="22"/>
        </w:rPr>
        <w:t>ial violence</w:t>
      </w:r>
      <w:r w:rsidR="0060224E" w:rsidRPr="00F35E01">
        <w:rPr>
          <w:rFonts w:cstheme="minorHAnsi"/>
          <w:color w:val="000000" w:themeColor="text1"/>
          <w:sz w:val="22"/>
          <w:szCs w:val="22"/>
        </w:rPr>
        <w:t xml:space="preserve">, racial discrimination and gender-based violence, </w:t>
      </w:r>
      <w:r>
        <w:rPr>
          <w:rFonts w:cstheme="minorHAnsi"/>
          <w:color w:val="000000" w:themeColor="text1"/>
          <w:sz w:val="22"/>
          <w:szCs w:val="22"/>
        </w:rPr>
        <w:t>First Nations</w:t>
      </w:r>
      <w:r w:rsidR="0060224E" w:rsidRPr="00F35E01">
        <w:rPr>
          <w:rFonts w:cstheme="minorHAnsi"/>
          <w:color w:val="000000" w:themeColor="text1"/>
          <w:sz w:val="22"/>
          <w:szCs w:val="22"/>
        </w:rPr>
        <w:t xml:space="preserve"> women in Australia are </w:t>
      </w:r>
      <w:r w:rsidR="00DB1C10">
        <w:rPr>
          <w:rFonts w:cstheme="minorHAnsi"/>
          <w:color w:val="000000" w:themeColor="text1"/>
          <w:sz w:val="22"/>
          <w:szCs w:val="22"/>
        </w:rPr>
        <w:t xml:space="preserve">significantly more likely </w:t>
      </w:r>
      <w:r>
        <w:rPr>
          <w:rFonts w:cstheme="minorHAnsi"/>
          <w:color w:val="000000" w:themeColor="text1"/>
          <w:sz w:val="22"/>
          <w:szCs w:val="22"/>
        </w:rPr>
        <w:t>than non-Indigenous women</w:t>
      </w:r>
      <w:r w:rsidRPr="00F35E01">
        <w:rPr>
          <w:rFonts w:cstheme="minorHAnsi"/>
          <w:color w:val="000000" w:themeColor="text1"/>
          <w:sz w:val="22"/>
          <w:szCs w:val="22"/>
        </w:rPr>
        <w:t xml:space="preserve"> </w:t>
      </w:r>
      <w:r w:rsidR="0060224E" w:rsidRPr="00F35E01">
        <w:rPr>
          <w:rFonts w:cstheme="minorHAnsi"/>
          <w:color w:val="000000" w:themeColor="text1"/>
          <w:sz w:val="22"/>
          <w:szCs w:val="22"/>
        </w:rPr>
        <w:t>to sustain serious injury requiring hospitalisation, and die</w:t>
      </w:r>
      <w:r w:rsidR="00DB1C10">
        <w:rPr>
          <w:rFonts w:cstheme="minorHAnsi"/>
          <w:color w:val="000000" w:themeColor="text1"/>
          <w:sz w:val="22"/>
          <w:szCs w:val="22"/>
        </w:rPr>
        <w:t>,</w:t>
      </w:r>
      <w:r w:rsidR="0060224E" w:rsidRPr="00F35E01">
        <w:rPr>
          <w:rFonts w:cstheme="minorHAnsi"/>
          <w:color w:val="000000" w:themeColor="text1"/>
          <w:sz w:val="22"/>
          <w:szCs w:val="22"/>
        </w:rPr>
        <w:t xml:space="preserve"> due to </w:t>
      </w:r>
      <w:r>
        <w:rPr>
          <w:rFonts w:cstheme="minorHAnsi"/>
          <w:color w:val="000000" w:themeColor="text1"/>
          <w:sz w:val="22"/>
          <w:szCs w:val="22"/>
        </w:rPr>
        <w:t>gender-based violence</w:t>
      </w:r>
      <w:r w:rsidR="0060224E" w:rsidRPr="00F35E01">
        <w:rPr>
          <w:rFonts w:cstheme="minorHAnsi"/>
          <w:color w:val="000000" w:themeColor="text1"/>
          <w:sz w:val="22"/>
          <w:szCs w:val="22"/>
        </w:rPr>
        <w:t>.</w:t>
      </w:r>
      <w:r w:rsidR="0060224E" w:rsidRPr="00F35E01">
        <w:rPr>
          <w:rStyle w:val="EndnoteReference"/>
          <w:rFonts w:cstheme="minorHAnsi"/>
          <w:color w:val="000000" w:themeColor="text1"/>
          <w:sz w:val="22"/>
          <w:szCs w:val="22"/>
        </w:rPr>
        <w:endnoteReference w:id="6"/>
      </w:r>
      <w:r>
        <w:rPr>
          <w:rFonts w:cstheme="minorHAnsi"/>
          <w:color w:val="000000" w:themeColor="text1"/>
          <w:sz w:val="22"/>
          <w:szCs w:val="22"/>
        </w:rPr>
        <w:t xml:space="preserve"> We respectfully request that the General Recommendation address the unique experiences of women within the purview of the Convention in relation to all forms of gender-based violence and the right to health.</w:t>
      </w:r>
    </w:p>
    <w:p w14:paraId="02A8B2E7" w14:textId="77777777" w:rsidR="00DB1C10" w:rsidRPr="002538F8" w:rsidRDefault="00DB1C10" w:rsidP="002538F8">
      <w:pPr>
        <w:rPr>
          <w:rFonts w:cstheme="minorHAnsi"/>
          <w:color w:val="000000" w:themeColor="text1"/>
          <w:sz w:val="22"/>
          <w:szCs w:val="22"/>
        </w:rPr>
      </w:pPr>
    </w:p>
    <w:p w14:paraId="57888531" w14:textId="7509F97A" w:rsidR="0060224E" w:rsidRPr="002538F8" w:rsidRDefault="0060224E" w:rsidP="00F20238">
      <w:pPr>
        <w:spacing w:line="276" w:lineRule="auto"/>
        <w:rPr>
          <w:rFonts w:cstheme="minorHAnsi"/>
          <w:b/>
          <w:bCs/>
          <w:color w:val="000000" w:themeColor="text1"/>
          <w:sz w:val="22"/>
          <w:szCs w:val="22"/>
          <w:u w:val="single"/>
        </w:rPr>
      </w:pPr>
      <w:r w:rsidRPr="002538F8">
        <w:rPr>
          <w:rFonts w:cstheme="minorHAnsi"/>
          <w:b/>
          <w:bCs/>
          <w:color w:val="000000" w:themeColor="text1"/>
          <w:sz w:val="22"/>
          <w:szCs w:val="22"/>
          <w:u w:val="single"/>
        </w:rPr>
        <w:t>Sexual and reproductive health and forced sterilisation</w:t>
      </w:r>
    </w:p>
    <w:p w14:paraId="2B6A94B3" w14:textId="77777777" w:rsidR="0060224E" w:rsidRPr="00F35E01" w:rsidRDefault="0060224E" w:rsidP="002538F8">
      <w:pPr>
        <w:rPr>
          <w:rFonts w:cstheme="minorHAnsi"/>
          <w:color w:val="000000" w:themeColor="text1"/>
          <w:sz w:val="22"/>
          <w:szCs w:val="22"/>
        </w:rPr>
      </w:pPr>
    </w:p>
    <w:p w14:paraId="50C79F22" w14:textId="7A51D895" w:rsidR="006F2998" w:rsidRPr="00F25E34" w:rsidRDefault="0060224E" w:rsidP="002538F8">
      <w:pPr>
        <w:rPr>
          <w:rFonts w:cstheme="minorHAnsi"/>
          <w:bCs/>
          <w:color w:val="000000" w:themeColor="text1"/>
          <w:sz w:val="22"/>
          <w:szCs w:val="22"/>
        </w:rPr>
      </w:pPr>
      <w:r w:rsidRPr="00F35E01">
        <w:rPr>
          <w:rFonts w:cstheme="minorHAnsi"/>
          <w:color w:val="000000" w:themeColor="text1"/>
          <w:sz w:val="22"/>
          <w:szCs w:val="22"/>
        </w:rPr>
        <w:t>WWDA commends the Committee on its recognition of forced sterilisation as a violation of the rights of women to reproductive autonomy, access to information, personal integrity, privacy, and the right to be free from racial and gender-based violence and discrimination.</w:t>
      </w:r>
      <w:r w:rsidR="00232ADA" w:rsidRPr="00F35E01">
        <w:rPr>
          <w:rFonts w:cstheme="minorHAnsi"/>
          <w:color w:val="000000" w:themeColor="text1"/>
          <w:sz w:val="22"/>
          <w:szCs w:val="22"/>
        </w:rPr>
        <w:t xml:space="preserve"> </w:t>
      </w:r>
      <w:r w:rsidRPr="00F35E01">
        <w:rPr>
          <w:rFonts w:cstheme="minorHAnsi"/>
          <w:color w:val="000000" w:themeColor="text1"/>
          <w:sz w:val="22"/>
          <w:szCs w:val="22"/>
        </w:rPr>
        <w:t>However, we</w:t>
      </w:r>
      <w:r w:rsidR="004839E2">
        <w:rPr>
          <w:rFonts w:cstheme="minorHAnsi"/>
          <w:color w:val="000000" w:themeColor="text1"/>
          <w:sz w:val="22"/>
          <w:szCs w:val="22"/>
        </w:rPr>
        <w:t xml:space="preserve"> respectfully</w:t>
      </w:r>
      <w:r w:rsidRPr="00F35E01">
        <w:rPr>
          <w:rFonts w:cstheme="minorHAnsi"/>
          <w:color w:val="000000" w:themeColor="text1"/>
          <w:sz w:val="22"/>
          <w:szCs w:val="22"/>
        </w:rPr>
        <w:t xml:space="preserve"> request that the Committee </w:t>
      </w:r>
      <w:r w:rsidR="00232ADA" w:rsidRPr="00F35E01">
        <w:rPr>
          <w:rFonts w:cstheme="minorHAnsi"/>
          <w:color w:val="000000" w:themeColor="text1"/>
          <w:sz w:val="22"/>
          <w:szCs w:val="22"/>
        </w:rPr>
        <w:t xml:space="preserve">elaborate on </w:t>
      </w:r>
      <w:r w:rsidRPr="00F35E01">
        <w:rPr>
          <w:rFonts w:cstheme="minorHAnsi"/>
          <w:color w:val="000000" w:themeColor="text1"/>
          <w:sz w:val="22"/>
          <w:szCs w:val="22"/>
        </w:rPr>
        <w:t xml:space="preserve">its statement </w:t>
      </w:r>
      <w:r w:rsidR="00232ADA" w:rsidRPr="00F35E01">
        <w:rPr>
          <w:rFonts w:cstheme="minorHAnsi"/>
          <w:color w:val="000000" w:themeColor="text1"/>
          <w:sz w:val="22"/>
          <w:szCs w:val="22"/>
        </w:rPr>
        <w:t xml:space="preserve">regarding women with disabilities. </w:t>
      </w:r>
      <w:r w:rsidRPr="00F35E01">
        <w:rPr>
          <w:rFonts w:cstheme="minorHAnsi"/>
          <w:color w:val="000000" w:themeColor="text1"/>
          <w:sz w:val="22"/>
          <w:szCs w:val="22"/>
        </w:rPr>
        <w:t xml:space="preserve">Forced sterilisation for women with disability is not solely a result of denial of legal capacity, but a consequence of the </w:t>
      </w:r>
      <w:r w:rsidR="004839E2">
        <w:rPr>
          <w:rFonts w:cstheme="minorHAnsi"/>
          <w:color w:val="000000" w:themeColor="text1"/>
          <w:sz w:val="22"/>
          <w:szCs w:val="22"/>
        </w:rPr>
        <w:t>interactions between</w:t>
      </w:r>
      <w:r w:rsidRPr="00F35E01">
        <w:rPr>
          <w:rFonts w:cstheme="minorHAnsi"/>
          <w:color w:val="000000" w:themeColor="text1"/>
          <w:sz w:val="22"/>
          <w:szCs w:val="22"/>
        </w:rPr>
        <w:t xml:space="preserve"> denial of legal capacity; laws and regimes that enable and legitimise substitute decision-making</w:t>
      </w:r>
      <w:r w:rsidR="004839E2">
        <w:rPr>
          <w:rFonts w:cstheme="minorHAnsi"/>
          <w:color w:val="000000" w:themeColor="text1"/>
          <w:sz w:val="22"/>
          <w:szCs w:val="22"/>
        </w:rPr>
        <w:t xml:space="preserve"> within healthcare settings</w:t>
      </w:r>
      <w:r w:rsidRPr="00F35E01">
        <w:rPr>
          <w:rFonts w:cstheme="minorHAnsi"/>
          <w:color w:val="000000" w:themeColor="text1"/>
          <w:sz w:val="22"/>
          <w:szCs w:val="22"/>
        </w:rPr>
        <w:t xml:space="preserve">; and a system of ableism that purports that women with disability do not want, or should not be able, to </w:t>
      </w:r>
      <w:r w:rsidR="00F25E34">
        <w:rPr>
          <w:rFonts w:cstheme="minorHAnsi"/>
          <w:color w:val="000000" w:themeColor="text1"/>
          <w:sz w:val="22"/>
          <w:szCs w:val="22"/>
        </w:rPr>
        <w:t>procreate</w:t>
      </w:r>
      <w:r w:rsidRPr="00F35E01">
        <w:rPr>
          <w:rFonts w:cstheme="minorHAnsi"/>
          <w:color w:val="000000" w:themeColor="text1"/>
          <w:sz w:val="22"/>
          <w:szCs w:val="22"/>
        </w:rPr>
        <w:t xml:space="preserve">. </w:t>
      </w:r>
      <w:r w:rsidR="006F2998" w:rsidRPr="00F35E01">
        <w:rPr>
          <w:rFonts w:cstheme="minorHAnsi"/>
          <w:color w:val="000000" w:themeColor="text1"/>
          <w:sz w:val="22"/>
          <w:szCs w:val="22"/>
          <w:lang w:eastAsia="en-AU"/>
        </w:rPr>
        <w:t xml:space="preserve">The former </w:t>
      </w:r>
      <w:r w:rsidR="006F2998" w:rsidRPr="00F35E01">
        <w:rPr>
          <w:rFonts w:cstheme="minorHAnsi"/>
          <w:bCs/>
          <w:color w:val="000000" w:themeColor="text1"/>
          <w:sz w:val="22"/>
          <w:szCs w:val="22"/>
        </w:rPr>
        <w:t xml:space="preserve">Special Rapporteur on Torture and Other Cruel, Inhuman or Degrading Treatment or Punishment has identified </w:t>
      </w:r>
      <w:r w:rsidR="00F25E34">
        <w:rPr>
          <w:rFonts w:cstheme="minorHAnsi"/>
          <w:bCs/>
          <w:color w:val="000000" w:themeColor="text1"/>
          <w:sz w:val="22"/>
          <w:szCs w:val="22"/>
        </w:rPr>
        <w:t xml:space="preserve">the targeting of </w:t>
      </w:r>
      <w:r w:rsidR="00F25E34" w:rsidRPr="00F25E34">
        <w:rPr>
          <w:rFonts w:cstheme="minorHAnsi"/>
          <w:color w:val="000000" w:themeColor="text1"/>
          <w:sz w:val="22"/>
          <w:szCs w:val="22"/>
        </w:rPr>
        <w:t>ethnic and racial minorities, women from marginalised communities and women with disabilities</w:t>
      </w:r>
      <w:r w:rsidR="00F25E34">
        <w:rPr>
          <w:rFonts w:cstheme="minorHAnsi"/>
          <w:color w:val="000000" w:themeColor="text1"/>
          <w:sz w:val="22"/>
          <w:szCs w:val="22"/>
        </w:rPr>
        <w:t xml:space="preserve"> in relation to forced sterilisation</w:t>
      </w:r>
      <w:r w:rsidR="00F25E34" w:rsidRPr="00F25E34">
        <w:rPr>
          <w:rFonts w:cstheme="minorHAnsi"/>
          <w:color w:val="000000" w:themeColor="text1"/>
          <w:sz w:val="22"/>
          <w:szCs w:val="22"/>
        </w:rPr>
        <w:t xml:space="preserve"> </w:t>
      </w:r>
      <w:r w:rsidR="00844C54">
        <w:rPr>
          <w:rFonts w:cstheme="minorHAnsi"/>
          <w:color w:val="000000" w:themeColor="text1"/>
          <w:sz w:val="22"/>
          <w:szCs w:val="22"/>
        </w:rPr>
        <w:t>‘</w:t>
      </w:r>
      <w:r w:rsidR="00F25E34" w:rsidRPr="00F25E34">
        <w:rPr>
          <w:rFonts w:cstheme="minorHAnsi"/>
          <w:color w:val="000000" w:themeColor="text1"/>
          <w:sz w:val="22"/>
          <w:szCs w:val="22"/>
        </w:rPr>
        <w:t>because of discriminatory notions that they are “unfit” to bear children</w:t>
      </w:r>
      <w:r w:rsidR="00844C54">
        <w:rPr>
          <w:rFonts w:cstheme="minorHAnsi"/>
          <w:color w:val="000000" w:themeColor="text1"/>
          <w:sz w:val="22"/>
          <w:szCs w:val="22"/>
        </w:rPr>
        <w:t xml:space="preserve">’ </w:t>
      </w:r>
      <w:r w:rsidR="006F2998" w:rsidRPr="00F35E01">
        <w:rPr>
          <w:rFonts w:cstheme="minorHAnsi"/>
          <w:bCs/>
          <w:color w:val="000000" w:themeColor="text1"/>
          <w:sz w:val="22"/>
          <w:szCs w:val="22"/>
        </w:rPr>
        <w:t>as</w:t>
      </w:r>
      <w:r w:rsidR="00F25E34">
        <w:rPr>
          <w:rFonts w:cstheme="minorHAnsi"/>
          <w:bCs/>
          <w:color w:val="000000" w:themeColor="text1"/>
          <w:sz w:val="22"/>
          <w:szCs w:val="22"/>
        </w:rPr>
        <w:t xml:space="preserve"> a form of</w:t>
      </w:r>
      <w:r w:rsidR="006F2998" w:rsidRPr="00F35E01">
        <w:rPr>
          <w:rFonts w:cstheme="minorHAnsi"/>
          <w:bCs/>
          <w:color w:val="000000" w:themeColor="text1"/>
          <w:sz w:val="22"/>
          <w:szCs w:val="22"/>
        </w:rPr>
        <w:t xml:space="preserve"> torture</w:t>
      </w:r>
      <w:r w:rsidR="00F25E34">
        <w:rPr>
          <w:rFonts w:cstheme="minorHAnsi"/>
          <w:bCs/>
          <w:color w:val="000000" w:themeColor="text1"/>
          <w:sz w:val="22"/>
          <w:szCs w:val="22"/>
        </w:rPr>
        <w:t xml:space="preserve"> and social </w:t>
      </w:r>
      <w:r w:rsidR="00F25E34" w:rsidRPr="00F25E34">
        <w:rPr>
          <w:rFonts w:cstheme="minorHAnsi"/>
          <w:bCs/>
          <w:color w:val="000000" w:themeColor="text1"/>
          <w:sz w:val="22"/>
          <w:szCs w:val="22"/>
        </w:rPr>
        <w:t>control</w:t>
      </w:r>
      <w:r w:rsidR="00F25E34">
        <w:rPr>
          <w:rFonts w:cstheme="minorHAnsi"/>
          <w:bCs/>
          <w:color w:val="000000" w:themeColor="text1"/>
          <w:sz w:val="22"/>
          <w:szCs w:val="22"/>
        </w:rPr>
        <w:t>.</w:t>
      </w:r>
      <w:r w:rsidR="00F25E34" w:rsidRPr="00F25E34">
        <w:rPr>
          <w:rStyle w:val="EndnoteReference"/>
          <w:rFonts w:cstheme="minorHAnsi"/>
          <w:color w:val="000000" w:themeColor="text1"/>
          <w:sz w:val="22"/>
          <w:szCs w:val="22"/>
        </w:rPr>
        <w:t xml:space="preserve"> </w:t>
      </w:r>
      <w:r w:rsidR="00F25E34" w:rsidRPr="00F25E34">
        <w:rPr>
          <w:rStyle w:val="EndnoteReference"/>
          <w:rFonts w:cstheme="minorHAnsi"/>
          <w:color w:val="000000" w:themeColor="text1"/>
          <w:sz w:val="22"/>
          <w:szCs w:val="22"/>
        </w:rPr>
        <w:endnoteReference w:id="7"/>
      </w:r>
    </w:p>
    <w:p w14:paraId="2D17FC14" w14:textId="759DAD38" w:rsidR="0060224E" w:rsidRPr="00F35E01" w:rsidRDefault="0060224E" w:rsidP="002538F8">
      <w:pPr>
        <w:rPr>
          <w:rFonts w:cstheme="minorHAnsi"/>
          <w:color w:val="000000" w:themeColor="text1"/>
          <w:sz w:val="22"/>
          <w:szCs w:val="22"/>
        </w:rPr>
      </w:pPr>
    </w:p>
    <w:p w14:paraId="58E689ED" w14:textId="38005CF4" w:rsidR="008D0A33" w:rsidRDefault="00DB1C10" w:rsidP="00F522FC">
      <w:pPr>
        <w:tabs>
          <w:tab w:val="left" w:pos="284"/>
        </w:tabs>
        <w:snapToGrid w:val="0"/>
        <w:ind w:right="567"/>
        <w:rPr>
          <w:rFonts w:cstheme="minorHAnsi"/>
          <w:color w:val="000000" w:themeColor="text1"/>
          <w:sz w:val="22"/>
          <w:szCs w:val="22"/>
          <w:lang w:val="en-GB"/>
        </w:rPr>
      </w:pPr>
      <w:r>
        <w:rPr>
          <w:rFonts w:cstheme="minorHAnsi"/>
          <w:color w:val="000000" w:themeColor="text1"/>
          <w:sz w:val="22"/>
          <w:szCs w:val="22"/>
        </w:rPr>
        <w:t>The</w:t>
      </w:r>
      <w:r w:rsidR="0060224E" w:rsidRPr="00F35E01">
        <w:rPr>
          <w:rFonts w:cstheme="minorHAnsi"/>
          <w:color w:val="000000" w:themeColor="text1"/>
          <w:sz w:val="22"/>
          <w:szCs w:val="22"/>
        </w:rPr>
        <w:t xml:space="preserve"> addition of cultural and linguistic difference</w:t>
      </w:r>
      <w:r>
        <w:rPr>
          <w:rFonts w:cstheme="minorHAnsi"/>
          <w:color w:val="000000" w:themeColor="text1"/>
          <w:sz w:val="22"/>
          <w:szCs w:val="22"/>
        </w:rPr>
        <w:t xml:space="preserve"> in healthcare settings</w:t>
      </w:r>
      <w:r w:rsidR="0060224E" w:rsidRPr="00F35E01">
        <w:rPr>
          <w:rFonts w:cstheme="minorHAnsi"/>
          <w:color w:val="000000" w:themeColor="text1"/>
          <w:sz w:val="22"/>
          <w:szCs w:val="22"/>
        </w:rPr>
        <w:t xml:space="preserve"> reinforces the perception that women with disabilities are not capable </w:t>
      </w:r>
      <w:r>
        <w:rPr>
          <w:rFonts w:cstheme="minorHAnsi"/>
          <w:color w:val="000000" w:themeColor="text1"/>
          <w:sz w:val="22"/>
          <w:szCs w:val="22"/>
        </w:rPr>
        <w:t>of making</w:t>
      </w:r>
      <w:r w:rsidR="0060224E" w:rsidRPr="00F35E01">
        <w:rPr>
          <w:rFonts w:cstheme="minorHAnsi"/>
          <w:color w:val="000000" w:themeColor="text1"/>
          <w:sz w:val="22"/>
          <w:szCs w:val="22"/>
        </w:rPr>
        <w:t xml:space="preserve"> autonomous decisions, or that it is too difficult for them to engage in consultation and decision-making. This is exacerbated by a lack of appropriate communication supports</w:t>
      </w:r>
      <w:r>
        <w:rPr>
          <w:rFonts w:cstheme="minorHAnsi"/>
          <w:color w:val="000000" w:themeColor="text1"/>
          <w:sz w:val="22"/>
          <w:szCs w:val="22"/>
        </w:rPr>
        <w:t>.</w:t>
      </w:r>
      <w:r w:rsidR="0060224E" w:rsidRPr="00F35E01">
        <w:rPr>
          <w:rFonts w:cstheme="minorHAnsi"/>
          <w:color w:val="000000" w:themeColor="text1"/>
          <w:sz w:val="22"/>
          <w:szCs w:val="22"/>
        </w:rPr>
        <w:t xml:space="preserve"> </w:t>
      </w:r>
      <w:r w:rsidR="00FC5F3C" w:rsidRPr="00F35E01">
        <w:rPr>
          <w:rFonts w:cstheme="minorHAnsi"/>
          <w:color w:val="000000" w:themeColor="text1"/>
          <w:sz w:val="22"/>
          <w:szCs w:val="22"/>
        </w:rPr>
        <w:t xml:space="preserve">Accordingly, where the Committee addresses the rights to healthcare information and participation, Paragraph 30 should reference the need for accessible formats of information and mechanisms for supported decision-making. This includes support for people with disability to make informed and autonomous healthcare decisions, in alignment with Article 12 of the </w:t>
      </w:r>
      <w:r w:rsidR="00FC5F3C" w:rsidRPr="00F35E01">
        <w:rPr>
          <w:rFonts w:cstheme="minorHAnsi"/>
          <w:color w:val="000000" w:themeColor="text1"/>
          <w:sz w:val="22"/>
          <w:szCs w:val="22"/>
        </w:rPr>
        <w:lastRenderedPageBreak/>
        <w:t>Convention on the Rights of Persons with Disabilities.</w:t>
      </w:r>
      <w:r w:rsidR="00FC5F3C" w:rsidRPr="00F35E01">
        <w:rPr>
          <w:rStyle w:val="EndnoteReference"/>
          <w:rFonts w:cstheme="minorHAnsi"/>
          <w:color w:val="000000" w:themeColor="text1"/>
          <w:sz w:val="22"/>
          <w:szCs w:val="22"/>
        </w:rPr>
        <w:endnoteReference w:id="8"/>
      </w:r>
      <w:r w:rsidR="00FC5F3C" w:rsidRPr="00F35E01">
        <w:rPr>
          <w:rFonts w:cstheme="minorHAnsi"/>
          <w:color w:val="000000" w:themeColor="text1"/>
          <w:sz w:val="22"/>
          <w:szCs w:val="22"/>
        </w:rPr>
        <w:t xml:space="preserve"> We also request that i</w:t>
      </w:r>
      <w:r w:rsidR="0060224E" w:rsidRPr="00F35E01">
        <w:rPr>
          <w:rFonts w:cstheme="minorHAnsi"/>
          <w:color w:val="000000" w:themeColor="text1"/>
          <w:sz w:val="22"/>
          <w:szCs w:val="22"/>
        </w:rPr>
        <w:t xml:space="preserve">n addressing </w:t>
      </w:r>
      <w:r w:rsidR="00FC5F3C" w:rsidRPr="00F35E01">
        <w:rPr>
          <w:rFonts w:cstheme="minorHAnsi"/>
          <w:color w:val="000000" w:themeColor="text1"/>
          <w:sz w:val="22"/>
          <w:szCs w:val="22"/>
        </w:rPr>
        <w:t xml:space="preserve">specific </w:t>
      </w:r>
      <w:r w:rsidR="0060224E" w:rsidRPr="00F35E01">
        <w:rPr>
          <w:rFonts w:cstheme="minorHAnsi"/>
          <w:color w:val="000000" w:themeColor="text1"/>
          <w:sz w:val="22"/>
          <w:szCs w:val="22"/>
        </w:rPr>
        <w:t>areas where coercive measures disproportionately apply and affect groups within the purview of the Convention</w:t>
      </w:r>
      <w:r w:rsidR="00FC5F3C" w:rsidRPr="00F35E01">
        <w:rPr>
          <w:rFonts w:cstheme="minorHAnsi"/>
          <w:color w:val="000000" w:themeColor="text1"/>
          <w:sz w:val="22"/>
          <w:szCs w:val="22"/>
        </w:rPr>
        <w:t xml:space="preserve"> (Paragraph 45)</w:t>
      </w:r>
      <w:r w:rsidR="0060224E" w:rsidRPr="00F35E01">
        <w:rPr>
          <w:rFonts w:cstheme="minorHAnsi"/>
          <w:color w:val="000000" w:themeColor="text1"/>
          <w:sz w:val="22"/>
          <w:szCs w:val="22"/>
        </w:rPr>
        <w:t xml:space="preserve">, </w:t>
      </w:r>
      <w:r w:rsidR="00FC5F3C" w:rsidRPr="00F35E01">
        <w:rPr>
          <w:rFonts w:cstheme="minorHAnsi"/>
          <w:color w:val="000000" w:themeColor="text1"/>
          <w:sz w:val="22"/>
          <w:szCs w:val="22"/>
        </w:rPr>
        <w:t>that the Committee</w:t>
      </w:r>
      <w:r w:rsidR="0060224E" w:rsidRPr="00F35E01">
        <w:rPr>
          <w:rFonts w:cstheme="minorHAnsi"/>
          <w:color w:val="000000" w:themeColor="text1"/>
          <w:sz w:val="22"/>
          <w:szCs w:val="22"/>
        </w:rPr>
        <w:t xml:space="preserve"> </w:t>
      </w:r>
      <w:r w:rsidR="00FC5F3C" w:rsidRPr="00F35E01">
        <w:rPr>
          <w:rFonts w:cstheme="minorHAnsi"/>
          <w:color w:val="000000" w:themeColor="text1"/>
          <w:sz w:val="22"/>
          <w:szCs w:val="22"/>
        </w:rPr>
        <w:t>expressly include</w:t>
      </w:r>
      <w:r w:rsidR="0060224E" w:rsidRPr="00F35E01">
        <w:rPr>
          <w:rFonts w:cstheme="minorHAnsi"/>
          <w:color w:val="000000" w:themeColor="text1"/>
          <w:sz w:val="22"/>
          <w:szCs w:val="22"/>
        </w:rPr>
        <w:t xml:space="preserve"> institutional and group home settings for people with disability, as well as regimes that enable guardianship a</w:t>
      </w:r>
      <w:r w:rsidR="00FC5F3C" w:rsidRPr="00F35E01">
        <w:rPr>
          <w:rFonts w:cstheme="minorHAnsi"/>
          <w:color w:val="000000" w:themeColor="text1"/>
          <w:sz w:val="22"/>
          <w:szCs w:val="22"/>
        </w:rPr>
        <w:t>n</w:t>
      </w:r>
      <w:r w:rsidR="0060224E" w:rsidRPr="00F35E01">
        <w:rPr>
          <w:rFonts w:cstheme="minorHAnsi"/>
          <w:color w:val="000000" w:themeColor="text1"/>
          <w:sz w:val="22"/>
          <w:szCs w:val="22"/>
        </w:rPr>
        <w:t>d substitute decision-making.</w:t>
      </w:r>
      <w:r>
        <w:rPr>
          <w:rFonts w:cstheme="minorHAnsi"/>
          <w:color w:val="000000" w:themeColor="text1"/>
          <w:sz w:val="22"/>
          <w:szCs w:val="22"/>
        </w:rPr>
        <w:t xml:space="preserve"> </w:t>
      </w:r>
      <w:r w:rsidR="008D0A33" w:rsidRPr="00F35E01">
        <w:rPr>
          <w:rFonts w:cstheme="minorHAnsi"/>
          <w:color w:val="000000" w:themeColor="text1"/>
          <w:sz w:val="22"/>
          <w:szCs w:val="22"/>
          <w:lang w:val="en-US"/>
        </w:rPr>
        <w:t xml:space="preserve">Finally, and consistent with </w:t>
      </w:r>
      <w:r>
        <w:rPr>
          <w:rFonts w:cstheme="minorHAnsi"/>
          <w:color w:val="000000" w:themeColor="text1"/>
          <w:sz w:val="22"/>
          <w:szCs w:val="22"/>
          <w:lang w:val="en-US"/>
        </w:rPr>
        <w:t xml:space="preserve">the </w:t>
      </w:r>
      <w:r w:rsidR="008D0A33" w:rsidRPr="00F35E01">
        <w:rPr>
          <w:rFonts w:cstheme="minorHAnsi"/>
          <w:color w:val="000000" w:themeColor="text1"/>
          <w:sz w:val="22"/>
          <w:szCs w:val="22"/>
          <w:lang w:val="en-US"/>
        </w:rPr>
        <w:t xml:space="preserve">recommendations of the </w:t>
      </w:r>
      <w:r w:rsidR="008D0A33" w:rsidRPr="00F35E01">
        <w:rPr>
          <w:rFonts w:cstheme="minorHAnsi"/>
          <w:color w:val="000000" w:themeColor="text1"/>
          <w:sz w:val="22"/>
          <w:szCs w:val="22"/>
        </w:rPr>
        <w:t>Optional Protocol to the Convention against Torture</w:t>
      </w:r>
      <w:r w:rsidR="002538F8">
        <w:rPr>
          <w:rFonts w:cstheme="minorHAnsi"/>
          <w:color w:val="000000" w:themeColor="text1"/>
          <w:sz w:val="22"/>
          <w:szCs w:val="22"/>
        </w:rPr>
        <w:t xml:space="preserve"> </w:t>
      </w:r>
      <w:r w:rsidR="008D0A33" w:rsidRPr="00F35E01">
        <w:rPr>
          <w:rFonts w:cstheme="minorHAnsi"/>
          <w:color w:val="000000" w:themeColor="text1"/>
          <w:sz w:val="22"/>
          <w:szCs w:val="22"/>
        </w:rPr>
        <w:t>and other Cruel, Inhuman or Degrading Treatment or Punishment</w:t>
      </w:r>
      <w:r w:rsidR="008D0A33" w:rsidRPr="00F35E01">
        <w:rPr>
          <w:rFonts w:cstheme="minorHAnsi"/>
          <w:color w:val="000000" w:themeColor="text1"/>
          <w:sz w:val="22"/>
          <w:szCs w:val="22"/>
          <w:lang w:val="en-US"/>
        </w:rPr>
        <w:t>, the Committee should call for the prohibition of</w:t>
      </w:r>
      <w:r w:rsidR="008D0A33" w:rsidRPr="00F35E01">
        <w:rPr>
          <w:rFonts w:cstheme="minorHAnsi"/>
          <w:color w:val="000000" w:themeColor="text1"/>
          <w:sz w:val="22"/>
          <w:szCs w:val="22"/>
          <w:lang w:val="en-GB"/>
        </w:rPr>
        <w:t xml:space="preserve"> non-consensual medical treatment (including forced sterilisation) </w:t>
      </w:r>
      <w:r>
        <w:rPr>
          <w:rFonts w:cstheme="minorHAnsi"/>
          <w:color w:val="000000" w:themeColor="text1"/>
          <w:sz w:val="22"/>
          <w:szCs w:val="22"/>
          <w:lang w:val="en-GB"/>
        </w:rPr>
        <w:t>in addition to</w:t>
      </w:r>
      <w:r w:rsidR="008D0A33" w:rsidRPr="00F35E01">
        <w:rPr>
          <w:rFonts w:cstheme="minorHAnsi"/>
          <w:color w:val="000000" w:themeColor="text1"/>
          <w:sz w:val="22"/>
          <w:szCs w:val="22"/>
          <w:lang w:val="en-GB"/>
        </w:rPr>
        <w:t xml:space="preserve"> its prevention (Paragraph 39).</w:t>
      </w:r>
    </w:p>
    <w:p w14:paraId="2D7D99D6" w14:textId="77777777" w:rsidR="002538F8" w:rsidRPr="00E669E1" w:rsidRDefault="002538F8" w:rsidP="00F522FC">
      <w:pPr>
        <w:tabs>
          <w:tab w:val="left" w:pos="284"/>
        </w:tabs>
        <w:snapToGrid w:val="0"/>
        <w:ind w:right="567"/>
        <w:rPr>
          <w:rFonts w:cstheme="minorHAnsi"/>
          <w:color w:val="000000" w:themeColor="text1"/>
          <w:sz w:val="22"/>
          <w:szCs w:val="22"/>
          <w:lang w:val="en-GB"/>
        </w:rPr>
      </w:pPr>
    </w:p>
    <w:p w14:paraId="5DE0CAA2" w14:textId="77777777" w:rsidR="0060224E" w:rsidRPr="00F522FC" w:rsidRDefault="0060224E" w:rsidP="00F522FC">
      <w:pPr>
        <w:rPr>
          <w:rFonts w:cstheme="minorHAnsi"/>
          <w:color w:val="000000" w:themeColor="text1"/>
          <w:sz w:val="22"/>
          <w:szCs w:val="22"/>
          <w:u w:val="single"/>
        </w:rPr>
      </w:pPr>
      <w:r w:rsidRPr="002538F8">
        <w:rPr>
          <w:rFonts w:cstheme="minorHAnsi"/>
          <w:b/>
          <w:bCs/>
          <w:color w:val="000000" w:themeColor="text1"/>
          <w:sz w:val="22"/>
          <w:szCs w:val="22"/>
          <w:u w:val="single"/>
        </w:rPr>
        <w:t>Access to healthcare and health information</w:t>
      </w:r>
      <w:r w:rsidRPr="002538F8">
        <w:rPr>
          <w:rFonts w:cstheme="minorHAnsi"/>
          <w:b/>
          <w:bCs/>
          <w:color w:val="000000" w:themeColor="text1"/>
          <w:sz w:val="22"/>
          <w:szCs w:val="22"/>
          <w:u w:val="single"/>
        </w:rPr>
        <w:br/>
      </w:r>
    </w:p>
    <w:p w14:paraId="5A8D0C45" w14:textId="04BA8F04" w:rsidR="0060224E" w:rsidRDefault="00F15BD3" w:rsidP="00F522FC">
      <w:pPr>
        <w:tabs>
          <w:tab w:val="left" w:pos="284"/>
        </w:tabs>
        <w:snapToGrid w:val="0"/>
        <w:ind w:right="567"/>
        <w:rPr>
          <w:rFonts w:cstheme="minorHAnsi"/>
          <w:color w:val="000000" w:themeColor="text1"/>
          <w:sz w:val="22"/>
          <w:szCs w:val="22"/>
        </w:rPr>
      </w:pPr>
      <w:r w:rsidRPr="00F35E01">
        <w:rPr>
          <w:rFonts w:cstheme="minorHAnsi"/>
          <w:color w:val="000000" w:themeColor="text1"/>
          <w:sz w:val="22"/>
          <w:szCs w:val="22"/>
        </w:rPr>
        <w:t>In our recent research on the experiences of culturally and linguistically diverse women with disabilities in accessing healthcare in Australia, participants recalled being unable to access health information in appropriate formats, specific to their dialects and disability</w:t>
      </w:r>
      <w:r w:rsidR="00E669E1">
        <w:rPr>
          <w:rFonts w:cstheme="minorHAnsi"/>
          <w:color w:val="000000" w:themeColor="text1"/>
          <w:sz w:val="22"/>
          <w:szCs w:val="22"/>
        </w:rPr>
        <w:t xml:space="preserve">-related </w:t>
      </w:r>
      <w:r w:rsidRPr="00F35E01">
        <w:rPr>
          <w:rFonts w:cstheme="minorHAnsi"/>
          <w:color w:val="000000" w:themeColor="text1"/>
          <w:sz w:val="22"/>
          <w:szCs w:val="22"/>
        </w:rPr>
        <w:t>needs.</w:t>
      </w:r>
      <w:r w:rsidR="00DB1C10">
        <w:rPr>
          <w:rFonts w:cstheme="minorHAnsi"/>
          <w:color w:val="000000" w:themeColor="text1"/>
          <w:sz w:val="22"/>
          <w:szCs w:val="22"/>
        </w:rPr>
        <w:t xml:space="preserve"> </w:t>
      </w:r>
      <w:r w:rsidR="00FC5F3C" w:rsidRPr="00F35E01">
        <w:rPr>
          <w:rFonts w:cstheme="minorHAnsi"/>
          <w:color w:val="000000" w:themeColor="text1"/>
          <w:sz w:val="22"/>
          <w:szCs w:val="22"/>
        </w:rPr>
        <w:t xml:space="preserve">In order to </w:t>
      </w:r>
      <w:r w:rsidR="008D0A33" w:rsidRPr="00F35E01">
        <w:rPr>
          <w:rFonts w:cstheme="minorHAnsi"/>
          <w:color w:val="000000" w:themeColor="text1"/>
          <w:sz w:val="22"/>
          <w:szCs w:val="22"/>
        </w:rPr>
        <w:t>address the intersections of racial and disability discrimination in the</w:t>
      </w:r>
      <w:r w:rsidR="00844C54">
        <w:rPr>
          <w:rFonts w:cstheme="minorHAnsi"/>
          <w:color w:val="000000" w:themeColor="text1"/>
          <w:sz w:val="22"/>
          <w:szCs w:val="22"/>
        </w:rPr>
        <w:t xml:space="preserve"> enjoyment of the</w:t>
      </w:r>
      <w:r w:rsidR="008D0A33" w:rsidRPr="00F35E01">
        <w:rPr>
          <w:rFonts w:cstheme="minorHAnsi"/>
          <w:color w:val="000000" w:themeColor="text1"/>
          <w:sz w:val="22"/>
          <w:szCs w:val="22"/>
        </w:rPr>
        <w:t xml:space="preserve"> right to health, </w:t>
      </w:r>
      <w:r w:rsidRPr="00F35E01">
        <w:rPr>
          <w:rFonts w:cstheme="minorHAnsi"/>
          <w:color w:val="000000" w:themeColor="text1"/>
          <w:sz w:val="22"/>
          <w:szCs w:val="22"/>
          <w:lang w:val="en-GB"/>
        </w:rPr>
        <w:t xml:space="preserve">the Committee should require that approaches to healthcare and healthcare practices are disability inclusive and accessible to people with a range of impairments (Paragraph 40). </w:t>
      </w:r>
      <w:r w:rsidRPr="00F35E01">
        <w:rPr>
          <w:rFonts w:cstheme="minorHAnsi"/>
          <w:color w:val="000000" w:themeColor="text1"/>
          <w:sz w:val="22"/>
          <w:szCs w:val="22"/>
        </w:rPr>
        <w:t>T</w:t>
      </w:r>
      <w:r w:rsidR="008D0A33" w:rsidRPr="00F35E01">
        <w:rPr>
          <w:rFonts w:cstheme="minorHAnsi"/>
          <w:color w:val="000000" w:themeColor="text1"/>
          <w:sz w:val="22"/>
          <w:szCs w:val="22"/>
        </w:rPr>
        <w:t xml:space="preserve">he Committee should </w:t>
      </w:r>
      <w:r w:rsidR="00E669E1">
        <w:rPr>
          <w:rFonts w:cstheme="minorHAnsi"/>
          <w:color w:val="000000" w:themeColor="text1"/>
          <w:sz w:val="22"/>
          <w:szCs w:val="22"/>
        </w:rPr>
        <w:t>also expressly</w:t>
      </w:r>
      <w:r w:rsidR="008D0A33" w:rsidRPr="00F35E01">
        <w:rPr>
          <w:rFonts w:cstheme="minorHAnsi"/>
          <w:color w:val="000000" w:themeColor="text1"/>
          <w:sz w:val="22"/>
          <w:szCs w:val="22"/>
        </w:rPr>
        <w:t xml:space="preserve"> include people with disability within the purview of the Convention in relation to</w:t>
      </w:r>
      <w:r w:rsidR="00E669E1">
        <w:rPr>
          <w:rFonts w:cstheme="minorHAnsi"/>
          <w:color w:val="000000" w:themeColor="text1"/>
          <w:sz w:val="22"/>
          <w:szCs w:val="22"/>
        </w:rPr>
        <w:t xml:space="preserve"> recommendations regarding</w:t>
      </w:r>
      <w:r w:rsidR="00FC5F3C" w:rsidRPr="00F35E01">
        <w:rPr>
          <w:rFonts w:cstheme="minorHAnsi"/>
          <w:color w:val="000000" w:themeColor="text1"/>
          <w:sz w:val="22"/>
          <w:szCs w:val="22"/>
        </w:rPr>
        <w:t xml:space="preserve"> consultation with “relevant groups” and “communities” </w:t>
      </w:r>
      <w:r w:rsidR="008D0A33" w:rsidRPr="00F35E01">
        <w:rPr>
          <w:rFonts w:cstheme="minorHAnsi"/>
          <w:color w:val="000000" w:themeColor="text1"/>
          <w:sz w:val="22"/>
          <w:szCs w:val="22"/>
        </w:rPr>
        <w:t xml:space="preserve">(Paragraphs 29, 39 and 40). </w:t>
      </w:r>
      <w:r w:rsidR="0060224E" w:rsidRPr="00F35E01">
        <w:rPr>
          <w:rFonts w:cstheme="minorHAnsi"/>
          <w:color w:val="000000" w:themeColor="text1"/>
          <w:sz w:val="22"/>
          <w:szCs w:val="22"/>
        </w:rPr>
        <w:t>This will ensure consistency with the obligations</w:t>
      </w:r>
      <w:r w:rsidR="0060224E" w:rsidRPr="00F35E01">
        <w:rPr>
          <w:rFonts w:cstheme="minorHAnsi"/>
          <w:color w:val="000000" w:themeColor="text1"/>
          <w:sz w:val="22"/>
          <w:szCs w:val="22"/>
          <w:lang w:val="en-US"/>
        </w:rPr>
        <w:t xml:space="preserve"> of States under the </w:t>
      </w:r>
      <w:r w:rsidR="00E669E1">
        <w:rPr>
          <w:rFonts w:cstheme="minorHAnsi"/>
          <w:color w:val="000000" w:themeColor="text1"/>
          <w:sz w:val="22"/>
          <w:szCs w:val="22"/>
          <w:lang w:val="en-US"/>
        </w:rPr>
        <w:t>CRPD</w:t>
      </w:r>
      <w:r w:rsidR="0060224E" w:rsidRPr="00F35E01">
        <w:rPr>
          <w:rFonts w:cstheme="minorHAnsi"/>
          <w:color w:val="000000" w:themeColor="text1"/>
          <w:sz w:val="22"/>
          <w:szCs w:val="22"/>
          <w:lang w:val="en-US"/>
        </w:rPr>
        <w:t xml:space="preserve"> to</w:t>
      </w:r>
      <w:r w:rsidR="008D0A33" w:rsidRPr="00F35E01">
        <w:rPr>
          <w:rFonts w:cstheme="minorHAnsi"/>
          <w:color w:val="000000" w:themeColor="text1"/>
          <w:sz w:val="22"/>
          <w:szCs w:val="22"/>
          <w:lang w:val="en-US"/>
        </w:rPr>
        <w:t xml:space="preserve"> </w:t>
      </w:r>
      <w:r w:rsidR="0060224E" w:rsidRPr="00F35E01">
        <w:rPr>
          <w:rFonts w:cstheme="minorHAnsi"/>
          <w:color w:val="000000" w:themeColor="text1"/>
          <w:sz w:val="22"/>
          <w:szCs w:val="22"/>
          <w:lang w:val="en-US"/>
        </w:rPr>
        <w:t>consult with and actively involve pe</w:t>
      </w:r>
      <w:r w:rsidR="00844C54">
        <w:rPr>
          <w:rFonts w:cstheme="minorHAnsi"/>
          <w:color w:val="000000" w:themeColor="text1"/>
          <w:sz w:val="22"/>
          <w:szCs w:val="22"/>
          <w:lang w:val="en-US"/>
        </w:rPr>
        <w:t>ople</w:t>
      </w:r>
      <w:r w:rsidR="0060224E" w:rsidRPr="00F35E01">
        <w:rPr>
          <w:rFonts w:cstheme="minorHAnsi"/>
          <w:color w:val="000000" w:themeColor="text1"/>
          <w:sz w:val="22"/>
          <w:szCs w:val="22"/>
          <w:lang w:val="en-US"/>
        </w:rPr>
        <w:t xml:space="preserve"> with disabilities</w:t>
      </w:r>
      <w:r w:rsidR="00E669E1">
        <w:rPr>
          <w:rFonts w:cstheme="minorHAnsi"/>
          <w:color w:val="000000" w:themeColor="text1"/>
          <w:sz w:val="22"/>
          <w:szCs w:val="22"/>
          <w:lang w:val="en-US"/>
        </w:rPr>
        <w:t xml:space="preserve"> </w:t>
      </w:r>
      <w:r w:rsidR="0060224E" w:rsidRPr="00F35E01">
        <w:rPr>
          <w:rFonts w:cstheme="minorHAnsi"/>
          <w:color w:val="000000" w:themeColor="text1"/>
          <w:sz w:val="22"/>
          <w:szCs w:val="22"/>
          <w:lang w:val="en-US"/>
        </w:rPr>
        <w:t>in decision-making processes concerning issues relating to pe</w:t>
      </w:r>
      <w:r w:rsidR="00844C54">
        <w:rPr>
          <w:rFonts w:cstheme="minorHAnsi"/>
          <w:color w:val="000000" w:themeColor="text1"/>
          <w:sz w:val="22"/>
          <w:szCs w:val="22"/>
          <w:lang w:val="en-US"/>
        </w:rPr>
        <w:t>ople</w:t>
      </w:r>
      <w:r w:rsidR="0060224E" w:rsidRPr="00F35E01">
        <w:rPr>
          <w:rFonts w:cstheme="minorHAnsi"/>
          <w:color w:val="000000" w:themeColor="text1"/>
          <w:sz w:val="22"/>
          <w:szCs w:val="22"/>
          <w:lang w:val="en-US"/>
        </w:rPr>
        <w:t xml:space="preserve"> with disabilities.</w:t>
      </w:r>
      <w:r w:rsidR="0060224E" w:rsidRPr="00F35E01">
        <w:rPr>
          <w:rStyle w:val="EndnoteReference"/>
          <w:rFonts w:cstheme="minorHAnsi"/>
          <w:color w:val="000000" w:themeColor="text1"/>
          <w:sz w:val="22"/>
          <w:szCs w:val="22"/>
          <w:lang w:val="en-US"/>
        </w:rPr>
        <w:endnoteReference w:id="9"/>
      </w:r>
      <w:r w:rsidR="0060224E" w:rsidRPr="00F35E01">
        <w:rPr>
          <w:rFonts w:cstheme="minorHAnsi"/>
          <w:color w:val="000000" w:themeColor="text1"/>
          <w:sz w:val="22"/>
          <w:szCs w:val="22"/>
          <w:lang w:val="en-US"/>
        </w:rPr>
        <w:t xml:space="preserve"> </w:t>
      </w:r>
      <w:r w:rsidRPr="00F35E01">
        <w:rPr>
          <w:rFonts w:cstheme="minorHAnsi"/>
          <w:color w:val="000000" w:themeColor="text1"/>
          <w:sz w:val="22"/>
          <w:szCs w:val="22"/>
          <w:lang w:val="en-US"/>
        </w:rPr>
        <w:t xml:space="preserve">This will also ensure that the adoption of </w:t>
      </w:r>
      <w:r w:rsidRPr="00F35E01">
        <w:rPr>
          <w:rFonts w:cstheme="minorHAnsi"/>
          <w:color w:val="000000" w:themeColor="text1"/>
          <w:sz w:val="22"/>
          <w:szCs w:val="22"/>
        </w:rPr>
        <w:t>community-centred approaches includes approaches of and for people with disability.</w:t>
      </w:r>
    </w:p>
    <w:p w14:paraId="22D9AC67" w14:textId="77777777" w:rsidR="00F522FC" w:rsidRDefault="00F522FC" w:rsidP="00F522FC">
      <w:pPr>
        <w:tabs>
          <w:tab w:val="left" w:pos="284"/>
        </w:tabs>
        <w:snapToGrid w:val="0"/>
        <w:ind w:right="567"/>
        <w:rPr>
          <w:rFonts w:cstheme="minorHAnsi"/>
          <w:color w:val="000000" w:themeColor="text1"/>
          <w:sz w:val="22"/>
          <w:szCs w:val="22"/>
        </w:rPr>
      </w:pPr>
    </w:p>
    <w:p w14:paraId="3B5C1188" w14:textId="77777777" w:rsidR="0060224E" w:rsidRPr="00F522FC" w:rsidRDefault="0060224E" w:rsidP="00F522FC">
      <w:pPr>
        <w:rPr>
          <w:rFonts w:cstheme="minorHAnsi"/>
          <w:b/>
          <w:bCs/>
          <w:color w:val="000000" w:themeColor="text1"/>
          <w:sz w:val="22"/>
          <w:szCs w:val="22"/>
          <w:u w:val="single"/>
        </w:rPr>
      </w:pPr>
      <w:r w:rsidRPr="00F522FC">
        <w:rPr>
          <w:rFonts w:cstheme="minorHAnsi"/>
          <w:b/>
          <w:bCs/>
          <w:color w:val="000000" w:themeColor="text1"/>
          <w:sz w:val="22"/>
          <w:szCs w:val="22"/>
          <w:u w:val="single"/>
        </w:rPr>
        <w:t>General comments to address the key priorities for women with disability</w:t>
      </w:r>
    </w:p>
    <w:p w14:paraId="56196818" w14:textId="77777777" w:rsidR="0060224E" w:rsidRPr="00F35E01" w:rsidRDefault="0060224E" w:rsidP="00F522FC">
      <w:pPr>
        <w:rPr>
          <w:rFonts w:cstheme="minorHAnsi"/>
          <w:color w:val="000000" w:themeColor="text1"/>
          <w:sz w:val="22"/>
          <w:szCs w:val="22"/>
        </w:rPr>
      </w:pPr>
    </w:p>
    <w:p w14:paraId="2F61F8E4" w14:textId="52A09A85" w:rsidR="00F15BD3" w:rsidRPr="00F35E01" w:rsidRDefault="00F15BD3" w:rsidP="00F522FC">
      <w:pPr>
        <w:rPr>
          <w:rFonts w:cstheme="minorHAnsi"/>
          <w:color w:val="000000" w:themeColor="text1"/>
          <w:sz w:val="22"/>
          <w:szCs w:val="22"/>
        </w:rPr>
      </w:pPr>
      <w:r w:rsidRPr="00F35E01">
        <w:rPr>
          <w:rFonts w:cstheme="minorHAnsi"/>
          <w:color w:val="000000" w:themeColor="text1"/>
          <w:sz w:val="22"/>
          <w:szCs w:val="22"/>
        </w:rPr>
        <w:t xml:space="preserve">In addition to the above thematic recommendations, we make the following comments for consideration by the Committee: </w:t>
      </w:r>
    </w:p>
    <w:p w14:paraId="2D1CEF32" w14:textId="77777777" w:rsidR="00F15BD3" w:rsidRPr="00F35E01" w:rsidRDefault="00F15BD3" w:rsidP="00F522FC">
      <w:pPr>
        <w:rPr>
          <w:rFonts w:cstheme="minorHAnsi"/>
          <w:color w:val="000000" w:themeColor="text1"/>
          <w:sz w:val="22"/>
          <w:szCs w:val="22"/>
        </w:rPr>
      </w:pPr>
    </w:p>
    <w:p w14:paraId="0B110C10" w14:textId="513B2287" w:rsidR="00F15BD3" w:rsidRPr="00F35E01" w:rsidRDefault="00E669E1" w:rsidP="00F522FC">
      <w:pPr>
        <w:pStyle w:val="ListParagraph"/>
        <w:numPr>
          <w:ilvl w:val="0"/>
          <w:numId w:val="27"/>
        </w:numPr>
        <w:rPr>
          <w:rFonts w:cstheme="minorHAnsi"/>
          <w:color w:val="000000" w:themeColor="text1"/>
          <w:sz w:val="22"/>
          <w:szCs w:val="22"/>
        </w:rPr>
      </w:pPr>
      <w:r>
        <w:rPr>
          <w:rFonts w:cstheme="minorHAnsi"/>
          <w:color w:val="000000" w:themeColor="text1"/>
          <w:sz w:val="22"/>
          <w:szCs w:val="22"/>
        </w:rPr>
        <w:t>In</w:t>
      </w:r>
      <w:r w:rsidR="00F15BD3" w:rsidRPr="00F35E01">
        <w:rPr>
          <w:rFonts w:cstheme="minorHAnsi"/>
          <w:color w:val="000000" w:themeColor="text1"/>
          <w:sz w:val="22"/>
          <w:szCs w:val="22"/>
        </w:rPr>
        <w:t xml:space="preserve"> relation to the impact of exclusion from access to documents or identification (Paragraph 10), </w:t>
      </w:r>
      <w:r>
        <w:rPr>
          <w:rFonts w:cstheme="minorHAnsi"/>
          <w:color w:val="000000" w:themeColor="text1"/>
          <w:sz w:val="22"/>
          <w:szCs w:val="22"/>
        </w:rPr>
        <w:t xml:space="preserve">include </w:t>
      </w:r>
      <w:r w:rsidR="00F15BD3" w:rsidRPr="00F35E01">
        <w:rPr>
          <w:rFonts w:cstheme="minorHAnsi"/>
          <w:color w:val="000000" w:themeColor="text1"/>
          <w:sz w:val="22"/>
          <w:szCs w:val="22"/>
        </w:rPr>
        <w:t>reference to the impacts of documentation on access to supports and services for disability. For example, access to funding schemes</w:t>
      </w:r>
      <w:r w:rsidR="00844C54">
        <w:rPr>
          <w:rFonts w:cstheme="minorHAnsi"/>
          <w:color w:val="000000" w:themeColor="text1"/>
          <w:sz w:val="22"/>
          <w:szCs w:val="22"/>
        </w:rPr>
        <w:t xml:space="preserve"> or social protections</w:t>
      </w:r>
      <w:r w:rsidR="00F15BD3" w:rsidRPr="00F35E01">
        <w:rPr>
          <w:rFonts w:cstheme="minorHAnsi"/>
          <w:color w:val="000000" w:themeColor="text1"/>
          <w:sz w:val="22"/>
          <w:szCs w:val="22"/>
        </w:rPr>
        <w:t xml:space="preserve"> for disability may require historical medical evidence which has been destroyed during conflict or disaster.</w:t>
      </w:r>
      <w:r w:rsidR="00F15BD3" w:rsidRPr="00F35E01">
        <w:rPr>
          <w:rFonts w:cstheme="minorHAnsi"/>
          <w:color w:val="000000" w:themeColor="text1"/>
          <w:sz w:val="22"/>
          <w:szCs w:val="22"/>
        </w:rPr>
        <w:br/>
      </w:r>
    </w:p>
    <w:p w14:paraId="29F8020D" w14:textId="5A6D90FD" w:rsidR="00F15BD3" w:rsidRPr="00F35E01" w:rsidRDefault="00E669E1" w:rsidP="00F522FC">
      <w:pPr>
        <w:pStyle w:val="ListParagraph"/>
        <w:numPr>
          <w:ilvl w:val="0"/>
          <w:numId w:val="27"/>
        </w:numPr>
        <w:rPr>
          <w:rFonts w:cstheme="minorHAnsi"/>
          <w:color w:val="000000" w:themeColor="text1"/>
          <w:sz w:val="22"/>
          <w:szCs w:val="22"/>
        </w:rPr>
      </w:pPr>
      <w:r>
        <w:rPr>
          <w:rFonts w:cstheme="minorHAnsi"/>
          <w:color w:val="000000" w:themeColor="text1"/>
          <w:sz w:val="22"/>
          <w:szCs w:val="22"/>
        </w:rPr>
        <w:t>In</w:t>
      </w:r>
      <w:r w:rsidR="00F15BD3" w:rsidRPr="00F35E01">
        <w:rPr>
          <w:rFonts w:cstheme="minorHAnsi"/>
          <w:color w:val="000000" w:themeColor="text1"/>
          <w:sz w:val="22"/>
          <w:szCs w:val="22"/>
        </w:rPr>
        <w:t xml:space="preserve"> relation to medical bias (Paragraph 12(d)),</w:t>
      </w:r>
      <w:r>
        <w:rPr>
          <w:rFonts w:cstheme="minorHAnsi"/>
          <w:color w:val="000000" w:themeColor="text1"/>
          <w:sz w:val="22"/>
          <w:szCs w:val="22"/>
        </w:rPr>
        <w:t xml:space="preserve"> address </w:t>
      </w:r>
      <w:r w:rsidR="00F15BD3" w:rsidRPr="00F35E01">
        <w:rPr>
          <w:rFonts w:cstheme="minorHAnsi"/>
          <w:color w:val="000000" w:themeColor="text1"/>
          <w:sz w:val="22"/>
          <w:szCs w:val="22"/>
        </w:rPr>
        <w:t>how racial discrimination and sex discrimination together produce unique barriers for women</w:t>
      </w:r>
      <w:r w:rsidR="00B101F9">
        <w:rPr>
          <w:rFonts w:cstheme="minorHAnsi"/>
          <w:color w:val="000000" w:themeColor="text1"/>
          <w:sz w:val="22"/>
          <w:szCs w:val="22"/>
        </w:rPr>
        <w:t xml:space="preserve">. </w:t>
      </w:r>
      <w:r w:rsidR="00F15BD3" w:rsidRPr="00F35E01">
        <w:rPr>
          <w:rFonts w:cstheme="minorHAnsi"/>
          <w:color w:val="000000" w:themeColor="text1"/>
          <w:sz w:val="22"/>
          <w:szCs w:val="22"/>
        </w:rPr>
        <w:t xml:space="preserve">For example, there are significant racial differences in the treatment of pain-related disabilities for Black women, including </w:t>
      </w:r>
      <w:r w:rsidR="00844C54">
        <w:rPr>
          <w:rFonts w:cstheme="minorHAnsi"/>
          <w:color w:val="000000" w:themeColor="text1"/>
          <w:sz w:val="22"/>
          <w:szCs w:val="22"/>
        </w:rPr>
        <w:t xml:space="preserve">racist </w:t>
      </w:r>
      <w:r w:rsidR="00F15BD3" w:rsidRPr="00F35E01">
        <w:rPr>
          <w:rFonts w:cstheme="minorHAnsi"/>
          <w:color w:val="000000" w:themeColor="text1"/>
          <w:sz w:val="22"/>
          <w:szCs w:val="22"/>
        </w:rPr>
        <w:t>assumptions that Black women with chronic pain are drug-seeking.</w:t>
      </w:r>
      <w:r w:rsidR="00F15BD3" w:rsidRPr="00F35E01">
        <w:rPr>
          <w:rFonts w:cstheme="minorHAnsi"/>
          <w:color w:val="000000" w:themeColor="text1"/>
          <w:sz w:val="22"/>
          <w:szCs w:val="22"/>
          <w:vertAlign w:val="superscript"/>
        </w:rPr>
        <w:endnoteReference w:id="10"/>
      </w:r>
      <w:r w:rsidR="00F15BD3" w:rsidRPr="00F35E01">
        <w:rPr>
          <w:rFonts w:cstheme="minorHAnsi"/>
          <w:color w:val="000000" w:themeColor="text1"/>
          <w:sz w:val="22"/>
          <w:szCs w:val="22"/>
        </w:rPr>
        <w:br/>
      </w:r>
    </w:p>
    <w:p w14:paraId="44513E3A" w14:textId="09F4EA5E" w:rsidR="00F15BD3" w:rsidRPr="00F35E01" w:rsidRDefault="00E669E1" w:rsidP="00F522FC">
      <w:pPr>
        <w:pStyle w:val="ListParagraph"/>
        <w:numPr>
          <w:ilvl w:val="0"/>
          <w:numId w:val="27"/>
        </w:numPr>
        <w:rPr>
          <w:rFonts w:cstheme="minorHAnsi"/>
          <w:color w:val="000000" w:themeColor="text1"/>
          <w:sz w:val="22"/>
          <w:szCs w:val="22"/>
        </w:rPr>
      </w:pPr>
      <w:r>
        <w:rPr>
          <w:rFonts w:cstheme="minorHAnsi"/>
          <w:color w:val="000000" w:themeColor="text1"/>
          <w:sz w:val="22"/>
          <w:szCs w:val="22"/>
        </w:rPr>
        <w:lastRenderedPageBreak/>
        <w:t>In</w:t>
      </w:r>
      <w:r w:rsidR="00F15BD3" w:rsidRPr="00F35E01">
        <w:rPr>
          <w:rFonts w:cstheme="minorHAnsi"/>
          <w:color w:val="000000" w:themeColor="text1"/>
          <w:sz w:val="22"/>
          <w:szCs w:val="22"/>
        </w:rPr>
        <w:t xml:space="preserve"> relation to artificial intelligence (</w:t>
      </w:r>
      <w:r w:rsidR="00F15BD3" w:rsidRPr="00F35E01">
        <w:rPr>
          <w:rFonts w:cstheme="minorHAnsi"/>
          <w:b/>
          <w:bCs/>
          <w:color w:val="000000" w:themeColor="text1"/>
          <w:sz w:val="22"/>
          <w:szCs w:val="22"/>
        </w:rPr>
        <w:t>AI</w:t>
      </w:r>
      <w:r w:rsidR="00F15BD3" w:rsidRPr="00F35E01">
        <w:rPr>
          <w:rFonts w:cstheme="minorHAnsi"/>
          <w:color w:val="000000" w:themeColor="text1"/>
          <w:sz w:val="22"/>
          <w:szCs w:val="22"/>
        </w:rPr>
        <w:t>) (Paragraph 13),</w:t>
      </w:r>
      <w:r>
        <w:rPr>
          <w:rFonts w:cstheme="minorHAnsi"/>
          <w:color w:val="000000" w:themeColor="text1"/>
          <w:sz w:val="22"/>
          <w:szCs w:val="22"/>
        </w:rPr>
        <w:t xml:space="preserve"> address</w:t>
      </w:r>
      <w:r w:rsidR="00F15BD3" w:rsidRPr="00F35E01">
        <w:rPr>
          <w:rFonts w:cstheme="minorHAnsi"/>
          <w:color w:val="000000" w:themeColor="text1"/>
          <w:sz w:val="22"/>
          <w:szCs w:val="22"/>
        </w:rPr>
        <w:t xml:space="preserve"> how AI-assisted decision-making also impacts the social determinants of health outside of healthcare settings</w:t>
      </w:r>
      <w:r w:rsidR="00B101F9">
        <w:rPr>
          <w:rFonts w:cstheme="minorHAnsi"/>
          <w:color w:val="000000" w:themeColor="text1"/>
          <w:sz w:val="22"/>
          <w:szCs w:val="22"/>
        </w:rPr>
        <w:t>.</w:t>
      </w:r>
      <w:r w:rsidR="00A16692">
        <w:rPr>
          <w:rStyle w:val="EndnoteReference"/>
          <w:rFonts w:cstheme="minorHAnsi"/>
          <w:color w:val="000000" w:themeColor="text1"/>
          <w:sz w:val="22"/>
          <w:szCs w:val="22"/>
        </w:rPr>
        <w:endnoteReference w:id="11"/>
      </w:r>
      <w:r w:rsidR="00B101F9">
        <w:rPr>
          <w:rFonts w:cstheme="minorHAnsi"/>
          <w:color w:val="000000" w:themeColor="text1"/>
          <w:sz w:val="22"/>
          <w:szCs w:val="22"/>
        </w:rPr>
        <w:t xml:space="preserve"> </w:t>
      </w:r>
      <w:r w:rsidR="00F15BD3" w:rsidRPr="00F35E01">
        <w:rPr>
          <w:rFonts w:cstheme="minorHAnsi"/>
          <w:color w:val="000000" w:themeColor="text1"/>
          <w:sz w:val="22"/>
          <w:szCs w:val="22"/>
        </w:rPr>
        <w:t>For example, AI-assisted recruitment practices have been found to</w:t>
      </w:r>
      <w:r w:rsidR="00B101F9">
        <w:rPr>
          <w:rFonts w:cstheme="minorHAnsi"/>
          <w:color w:val="000000" w:themeColor="text1"/>
          <w:sz w:val="22"/>
          <w:szCs w:val="22"/>
        </w:rPr>
        <w:t xml:space="preserve"> discriminate against candidates</w:t>
      </w:r>
      <w:r w:rsidR="00A16692">
        <w:rPr>
          <w:rFonts w:cstheme="minorHAnsi"/>
          <w:color w:val="000000" w:themeColor="text1"/>
          <w:sz w:val="22"/>
          <w:szCs w:val="22"/>
        </w:rPr>
        <w:t xml:space="preserve"> on the basis of ethnicity</w:t>
      </w:r>
      <w:r w:rsidR="00B101F9">
        <w:rPr>
          <w:rFonts w:cstheme="minorHAnsi"/>
          <w:color w:val="000000" w:themeColor="text1"/>
          <w:sz w:val="22"/>
          <w:szCs w:val="22"/>
        </w:rPr>
        <w:t>, and the</w:t>
      </w:r>
      <w:r w:rsidR="00F15BD3" w:rsidRPr="00F35E01">
        <w:rPr>
          <w:rFonts w:cstheme="minorHAnsi"/>
          <w:color w:val="000000" w:themeColor="text1"/>
          <w:sz w:val="22"/>
          <w:szCs w:val="22"/>
        </w:rPr>
        <w:t xml:space="preserve"> use of AI in the criminal justice system has been found to have detrimental impacts for racial and ethnic minorities.</w:t>
      </w:r>
      <w:r w:rsidR="00A16692">
        <w:rPr>
          <w:rStyle w:val="EndnoteReference"/>
          <w:rFonts w:cstheme="minorHAnsi"/>
          <w:color w:val="000000" w:themeColor="text1"/>
          <w:sz w:val="22"/>
          <w:szCs w:val="22"/>
        </w:rPr>
        <w:endnoteReference w:id="12"/>
      </w:r>
      <w:r w:rsidR="00F15BD3" w:rsidRPr="00F35E01">
        <w:rPr>
          <w:rFonts w:cstheme="minorHAnsi"/>
          <w:color w:val="000000" w:themeColor="text1"/>
          <w:sz w:val="22"/>
          <w:szCs w:val="22"/>
        </w:rPr>
        <w:t xml:space="preserve"> </w:t>
      </w:r>
      <w:r w:rsidR="00B101F9">
        <w:rPr>
          <w:rFonts w:cstheme="minorHAnsi"/>
          <w:color w:val="000000" w:themeColor="text1"/>
          <w:sz w:val="22"/>
          <w:szCs w:val="22"/>
          <w:lang w:val="en-US"/>
        </w:rPr>
        <w:t>Also i</w:t>
      </w:r>
      <w:r w:rsidR="00B101F9" w:rsidRPr="00F35E01">
        <w:rPr>
          <w:rFonts w:cstheme="minorHAnsi"/>
          <w:color w:val="000000" w:themeColor="text1"/>
          <w:sz w:val="22"/>
          <w:szCs w:val="22"/>
          <w:lang w:val="en-US"/>
        </w:rPr>
        <w:t xml:space="preserve">nclude, in recommending that States ensure compliance </w:t>
      </w:r>
      <w:r w:rsidR="00B101F9" w:rsidRPr="00F35E01">
        <w:rPr>
          <w:rFonts w:cstheme="minorHAnsi"/>
          <w:color w:val="000000" w:themeColor="text1"/>
          <w:sz w:val="22"/>
          <w:szCs w:val="22"/>
        </w:rPr>
        <w:t>of artificial intelligence with the prohibition of racial discrimination in health (Paragraph 41), a requirement that this extend to compliance more broadly in relation to the social determinants of health.</w:t>
      </w:r>
      <w:r w:rsidR="00F15BD3" w:rsidRPr="00F35E01">
        <w:rPr>
          <w:rFonts w:cstheme="minorHAnsi"/>
          <w:color w:val="000000" w:themeColor="text1"/>
          <w:sz w:val="22"/>
          <w:szCs w:val="22"/>
        </w:rPr>
        <w:br/>
      </w:r>
    </w:p>
    <w:p w14:paraId="6DD54255" w14:textId="06F840EE" w:rsidR="00F15BD3" w:rsidRPr="00F35E01" w:rsidRDefault="00E669E1" w:rsidP="00F522FC">
      <w:pPr>
        <w:pStyle w:val="ListParagraph"/>
        <w:numPr>
          <w:ilvl w:val="0"/>
          <w:numId w:val="27"/>
        </w:numPr>
        <w:rPr>
          <w:rFonts w:cstheme="minorHAnsi"/>
          <w:color w:val="000000" w:themeColor="text1"/>
          <w:sz w:val="22"/>
          <w:szCs w:val="22"/>
        </w:rPr>
      </w:pPr>
      <w:r>
        <w:rPr>
          <w:rFonts w:cstheme="minorHAnsi"/>
          <w:color w:val="000000" w:themeColor="text1"/>
          <w:sz w:val="22"/>
          <w:szCs w:val="22"/>
        </w:rPr>
        <w:t>In</w:t>
      </w:r>
      <w:r w:rsidR="00F15BD3" w:rsidRPr="00F35E01">
        <w:rPr>
          <w:rFonts w:cstheme="minorHAnsi"/>
          <w:color w:val="000000" w:themeColor="text1"/>
          <w:sz w:val="22"/>
          <w:szCs w:val="22"/>
        </w:rPr>
        <w:t xml:space="preserve"> relation to the impacts of climate change (Paragraph 15), </w:t>
      </w:r>
      <w:r>
        <w:rPr>
          <w:rFonts w:cstheme="minorHAnsi"/>
          <w:color w:val="000000" w:themeColor="text1"/>
          <w:sz w:val="22"/>
          <w:szCs w:val="22"/>
        </w:rPr>
        <w:t xml:space="preserve">include </w:t>
      </w:r>
      <w:r w:rsidR="00F15BD3" w:rsidRPr="00F35E01">
        <w:rPr>
          <w:rFonts w:cstheme="minorHAnsi"/>
          <w:color w:val="000000" w:themeColor="text1"/>
          <w:sz w:val="22"/>
          <w:szCs w:val="22"/>
        </w:rPr>
        <w:t xml:space="preserve">reference to gender and disability as exacerbating factors, noting evidence that the human rights </w:t>
      </w:r>
      <w:r w:rsidR="00B101F9">
        <w:rPr>
          <w:rFonts w:cstheme="minorHAnsi"/>
          <w:color w:val="000000" w:themeColor="text1"/>
          <w:sz w:val="22"/>
          <w:szCs w:val="22"/>
        </w:rPr>
        <w:t xml:space="preserve">and health </w:t>
      </w:r>
      <w:r w:rsidR="00F15BD3" w:rsidRPr="00F35E01">
        <w:rPr>
          <w:rFonts w:cstheme="minorHAnsi"/>
          <w:color w:val="000000" w:themeColor="text1"/>
          <w:sz w:val="22"/>
          <w:szCs w:val="22"/>
        </w:rPr>
        <w:t>of women and people with disability are disproportionately affected by the negative impacts of climate change</w:t>
      </w:r>
      <w:r w:rsidR="00B101F9">
        <w:rPr>
          <w:rFonts w:cstheme="minorHAnsi"/>
          <w:color w:val="000000" w:themeColor="text1"/>
          <w:sz w:val="22"/>
          <w:szCs w:val="22"/>
        </w:rPr>
        <w:t>.</w:t>
      </w:r>
      <w:r w:rsidR="00F15BD3" w:rsidRPr="00F35E01">
        <w:rPr>
          <w:rStyle w:val="EndnoteReference"/>
          <w:rFonts w:cstheme="minorHAnsi"/>
          <w:color w:val="000000" w:themeColor="text1"/>
          <w:sz w:val="22"/>
          <w:szCs w:val="22"/>
        </w:rPr>
        <w:endnoteReference w:id="13"/>
      </w:r>
      <w:r w:rsidR="00F15BD3" w:rsidRPr="00F35E01">
        <w:rPr>
          <w:rFonts w:cstheme="minorHAnsi"/>
          <w:color w:val="000000" w:themeColor="text1"/>
          <w:sz w:val="22"/>
          <w:szCs w:val="22"/>
        </w:rPr>
        <w:t xml:space="preserve"> </w:t>
      </w:r>
      <w:r w:rsidR="00F15BD3" w:rsidRPr="00F35E01">
        <w:rPr>
          <w:rFonts w:cstheme="minorHAnsi"/>
          <w:color w:val="000000" w:themeColor="text1"/>
          <w:sz w:val="22"/>
          <w:szCs w:val="22"/>
        </w:rPr>
        <w:br/>
      </w:r>
    </w:p>
    <w:p w14:paraId="184BDB3A" w14:textId="6D74942C" w:rsidR="00F15BD3" w:rsidRPr="00F35E01" w:rsidRDefault="00E669E1" w:rsidP="00F522FC">
      <w:pPr>
        <w:pStyle w:val="ListParagraph"/>
        <w:numPr>
          <w:ilvl w:val="0"/>
          <w:numId w:val="27"/>
        </w:numPr>
        <w:rPr>
          <w:rFonts w:cstheme="minorHAnsi"/>
          <w:color w:val="000000" w:themeColor="text1"/>
          <w:sz w:val="22"/>
          <w:szCs w:val="22"/>
        </w:rPr>
      </w:pPr>
      <w:r>
        <w:rPr>
          <w:rFonts w:cstheme="minorHAnsi"/>
          <w:color w:val="000000" w:themeColor="text1"/>
          <w:sz w:val="22"/>
          <w:szCs w:val="22"/>
        </w:rPr>
        <w:t>In</w:t>
      </w:r>
      <w:r w:rsidR="00F15BD3" w:rsidRPr="00F35E01">
        <w:rPr>
          <w:rFonts w:cstheme="minorHAnsi"/>
          <w:color w:val="000000" w:themeColor="text1"/>
          <w:sz w:val="22"/>
          <w:szCs w:val="22"/>
        </w:rPr>
        <w:t xml:space="preserve"> relation to the impacts of migration and visa status on access to health (Paragraph 16), </w:t>
      </w:r>
      <w:r>
        <w:rPr>
          <w:rFonts w:cstheme="minorHAnsi"/>
          <w:color w:val="000000" w:themeColor="text1"/>
          <w:sz w:val="22"/>
          <w:szCs w:val="22"/>
        </w:rPr>
        <w:t xml:space="preserve">include </w:t>
      </w:r>
      <w:r w:rsidR="00F15BD3" w:rsidRPr="00F35E01">
        <w:rPr>
          <w:rFonts w:cstheme="minorHAnsi"/>
          <w:color w:val="000000" w:themeColor="text1"/>
          <w:sz w:val="22"/>
          <w:szCs w:val="22"/>
        </w:rPr>
        <w:t xml:space="preserve">reference to non-citizens, migrants, refugees, asylum seekers and stateless persons with disability. The Committee should address the discriminatory laws that deny visa applications based on disability </w:t>
      </w:r>
      <w:r w:rsidR="00A31993" w:rsidRPr="00F35E01">
        <w:rPr>
          <w:rFonts w:cstheme="minorHAnsi"/>
          <w:color w:val="000000" w:themeColor="text1"/>
          <w:sz w:val="22"/>
          <w:szCs w:val="22"/>
        </w:rPr>
        <w:t>status and</w:t>
      </w:r>
      <w:r w:rsidR="00F15BD3" w:rsidRPr="00F35E01">
        <w:rPr>
          <w:rFonts w:cstheme="minorHAnsi"/>
          <w:color w:val="000000" w:themeColor="text1"/>
          <w:sz w:val="22"/>
          <w:szCs w:val="22"/>
        </w:rPr>
        <w:t xml:space="preserve"> prevent people with disability from accessing social protections due to residency requirements. </w:t>
      </w:r>
      <w:r w:rsidR="00AA18E0" w:rsidRPr="00F35E01">
        <w:rPr>
          <w:rFonts w:cstheme="minorHAnsi"/>
          <w:color w:val="000000" w:themeColor="text1"/>
          <w:sz w:val="22"/>
          <w:szCs w:val="22"/>
        </w:rPr>
        <w:br/>
      </w:r>
    </w:p>
    <w:p w14:paraId="32DE00FB" w14:textId="134F990C" w:rsidR="0060224E" w:rsidRPr="00F35E01" w:rsidRDefault="00E669E1" w:rsidP="00F522FC">
      <w:pPr>
        <w:pStyle w:val="ListParagraph"/>
        <w:numPr>
          <w:ilvl w:val="0"/>
          <w:numId w:val="27"/>
        </w:numPr>
        <w:rPr>
          <w:rFonts w:cstheme="minorHAnsi"/>
          <w:color w:val="000000" w:themeColor="text1"/>
          <w:sz w:val="22"/>
          <w:szCs w:val="22"/>
        </w:rPr>
      </w:pPr>
      <w:r>
        <w:rPr>
          <w:rFonts w:cstheme="minorHAnsi"/>
          <w:color w:val="000000" w:themeColor="text1"/>
          <w:sz w:val="22"/>
          <w:szCs w:val="22"/>
        </w:rPr>
        <w:t>In</w:t>
      </w:r>
      <w:r w:rsidR="00AA18E0" w:rsidRPr="00F35E01">
        <w:rPr>
          <w:rFonts w:cstheme="minorHAnsi"/>
          <w:color w:val="000000" w:themeColor="text1"/>
          <w:sz w:val="22"/>
          <w:szCs w:val="22"/>
        </w:rPr>
        <w:t xml:space="preserve"> relation to representation of groups within the purview of the Convention in health </w:t>
      </w:r>
      <w:r w:rsidR="00844C54">
        <w:rPr>
          <w:rFonts w:cstheme="minorHAnsi"/>
          <w:color w:val="000000" w:themeColor="text1"/>
          <w:sz w:val="22"/>
          <w:szCs w:val="22"/>
        </w:rPr>
        <w:t xml:space="preserve">systems </w:t>
      </w:r>
      <w:r w:rsidR="00AA18E0" w:rsidRPr="00F35E01">
        <w:rPr>
          <w:rFonts w:cstheme="minorHAnsi"/>
          <w:color w:val="000000" w:themeColor="text1"/>
          <w:sz w:val="22"/>
          <w:szCs w:val="22"/>
        </w:rPr>
        <w:t xml:space="preserve">(Paragraph 27), </w:t>
      </w:r>
      <w:r>
        <w:rPr>
          <w:rFonts w:cstheme="minorHAnsi"/>
          <w:color w:val="000000" w:themeColor="text1"/>
          <w:sz w:val="22"/>
          <w:szCs w:val="22"/>
        </w:rPr>
        <w:t xml:space="preserve">include </w:t>
      </w:r>
      <w:r w:rsidR="0060224E" w:rsidRPr="00F35E01">
        <w:rPr>
          <w:rFonts w:cstheme="minorHAnsi"/>
          <w:color w:val="000000" w:themeColor="text1"/>
          <w:sz w:val="22"/>
          <w:szCs w:val="22"/>
        </w:rPr>
        <w:t>representation of marginalised identities within racial and ethnic minorities</w:t>
      </w:r>
      <w:r w:rsidR="00AA18E0" w:rsidRPr="00F35E01">
        <w:rPr>
          <w:rFonts w:cstheme="minorHAnsi"/>
          <w:color w:val="000000" w:themeColor="text1"/>
          <w:sz w:val="22"/>
          <w:szCs w:val="22"/>
        </w:rPr>
        <w:t>, such as</w:t>
      </w:r>
      <w:r w:rsidR="0060224E" w:rsidRPr="00F35E01">
        <w:rPr>
          <w:rFonts w:cstheme="minorHAnsi"/>
          <w:color w:val="000000" w:themeColor="text1"/>
          <w:sz w:val="22"/>
          <w:szCs w:val="22"/>
        </w:rPr>
        <w:t xml:space="preserve"> women with disability. In our recent research on the experiences of culturally and linguistically diverse women with disabilities in accessing healthcare, </w:t>
      </w:r>
      <w:r w:rsidR="00B101F9">
        <w:rPr>
          <w:rFonts w:cstheme="minorHAnsi"/>
          <w:color w:val="000000" w:themeColor="text1"/>
          <w:sz w:val="22"/>
          <w:szCs w:val="22"/>
        </w:rPr>
        <w:t xml:space="preserve">participants considered that </w:t>
      </w:r>
      <w:r w:rsidR="00AA18E0" w:rsidRPr="00F35E01">
        <w:rPr>
          <w:rFonts w:cstheme="minorHAnsi"/>
          <w:color w:val="000000" w:themeColor="text1"/>
          <w:sz w:val="22"/>
          <w:szCs w:val="22"/>
        </w:rPr>
        <w:t xml:space="preserve">healthcare </w:t>
      </w:r>
      <w:r w:rsidR="0060224E" w:rsidRPr="00F35E01">
        <w:rPr>
          <w:rFonts w:cstheme="minorHAnsi"/>
          <w:color w:val="000000" w:themeColor="text1"/>
          <w:sz w:val="22"/>
          <w:szCs w:val="22"/>
        </w:rPr>
        <w:t xml:space="preserve">workers </w:t>
      </w:r>
      <w:r w:rsidR="00AA18E0" w:rsidRPr="00F35E01">
        <w:rPr>
          <w:rFonts w:cstheme="minorHAnsi"/>
          <w:color w:val="000000" w:themeColor="text1"/>
          <w:sz w:val="22"/>
          <w:szCs w:val="22"/>
        </w:rPr>
        <w:t xml:space="preserve">with </w:t>
      </w:r>
      <w:r w:rsidR="0060224E" w:rsidRPr="00F35E01">
        <w:rPr>
          <w:rFonts w:cstheme="minorHAnsi"/>
          <w:color w:val="000000" w:themeColor="text1"/>
          <w:sz w:val="22"/>
          <w:szCs w:val="22"/>
        </w:rPr>
        <w:t>lived experience</w:t>
      </w:r>
      <w:r w:rsidR="00AA18E0" w:rsidRPr="00F35E01">
        <w:rPr>
          <w:rFonts w:cstheme="minorHAnsi"/>
          <w:color w:val="000000" w:themeColor="text1"/>
          <w:sz w:val="22"/>
          <w:szCs w:val="22"/>
        </w:rPr>
        <w:t xml:space="preserve"> of disability and racial or ethnic minority status </w:t>
      </w:r>
      <w:r w:rsidR="0060224E" w:rsidRPr="00F35E01">
        <w:rPr>
          <w:rFonts w:cstheme="minorHAnsi"/>
          <w:color w:val="000000" w:themeColor="text1"/>
          <w:sz w:val="22"/>
          <w:szCs w:val="22"/>
        </w:rPr>
        <w:t xml:space="preserve">were </w:t>
      </w:r>
      <w:r w:rsidR="00AA18E0" w:rsidRPr="00F35E01">
        <w:rPr>
          <w:rFonts w:cstheme="minorHAnsi"/>
          <w:color w:val="000000" w:themeColor="text1"/>
          <w:sz w:val="22"/>
          <w:szCs w:val="22"/>
        </w:rPr>
        <w:t>crucial</w:t>
      </w:r>
      <w:r w:rsidR="0060224E" w:rsidRPr="00F35E01">
        <w:rPr>
          <w:rFonts w:cstheme="minorHAnsi"/>
          <w:color w:val="000000" w:themeColor="text1"/>
          <w:sz w:val="22"/>
          <w:szCs w:val="22"/>
        </w:rPr>
        <w:t xml:space="preserve"> to improving the accessibility of services, and trust in </w:t>
      </w:r>
      <w:r w:rsidR="00AA18E0" w:rsidRPr="00F35E01">
        <w:rPr>
          <w:rFonts w:cstheme="minorHAnsi"/>
          <w:color w:val="000000" w:themeColor="text1"/>
          <w:sz w:val="22"/>
          <w:szCs w:val="22"/>
        </w:rPr>
        <w:t xml:space="preserve">healthcare </w:t>
      </w:r>
      <w:r w:rsidR="0060224E" w:rsidRPr="00F35E01">
        <w:rPr>
          <w:rFonts w:cstheme="minorHAnsi"/>
          <w:color w:val="000000" w:themeColor="text1"/>
          <w:sz w:val="22"/>
          <w:szCs w:val="22"/>
        </w:rPr>
        <w:t>providers.</w:t>
      </w:r>
      <w:r w:rsidR="00AA18E0" w:rsidRPr="00F35E01">
        <w:rPr>
          <w:rFonts w:cstheme="minorHAnsi"/>
          <w:color w:val="000000" w:themeColor="text1"/>
          <w:sz w:val="22"/>
          <w:szCs w:val="22"/>
        </w:rPr>
        <w:br/>
      </w:r>
    </w:p>
    <w:p w14:paraId="5DD5BAAA" w14:textId="5571D9D4" w:rsidR="00F35E01" w:rsidRPr="00F25E34" w:rsidRDefault="00E669E1" w:rsidP="00F522FC">
      <w:pPr>
        <w:pStyle w:val="ListParagraph"/>
        <w:numPr>
          <w:ilvl w:val="0"/>
          <w:numId w:val="27"/>
        </w:numPr>
        <w:contextualSpacing w:val="0"/>
        <w:rPr>
          <w:rFonts w:cstheme="minorHAnsi"/>
          <w:color w:val="000000" w:themeColor="text1"/>
          <w:sz w:val="22"/>
          <w:szCs w:val="22"/>
        </w:rPr>
      </w:pPr>
      <w:r>
        <w:rPr>
          <w:rFonts w:cstheme="minorHAnsi"/>
          <w:color w:val="000000" w:themeColor="text1"/>
          <w:sz w:val="22"/>
          <w:szCs w:val="22"/>
        </w:rPr>
        <w:t>In</w:t>
      </w:r>
      <w:r w:rsidR="00AA18E0" w:rsidRPr="00F35E01">
        <w:rPr>
          <w:rFonts w:cstheme="minorHAnsi"/>
          <w:color w:val="000000" w:themeColor="text1"/>
          <w:sz w:val="22"/>
          <w:szCs w:val="22"/>
        </w:rPr>
        <w:t xml:space="preserve"> recommending that States adopt </w:t>
      </w:r>
      <w:r w:rsidR="00AA18E0" w:rsidRPr="00F35E01">
        <w:rPr>
          <w:rFonts w:cstheme="minorHAnsi"/>
          <w:color w:val="000000" w:themeColor="text1"/>
          <w:sz w:val="22"/>
          <w:szCs w:val="22"/>
          <w:lang w:val="en-GB"/>
        </w:rPr>
        <w:t>comprehensive legislation against racial discrimination in the right to health in civil, administrative and criminal law,</w:t>
      </w:r>
      <w:r w:rsidR="00AA18E0" w:rsidRPr="00F35E01">
        <w:rPr>
          <w:rFonts w:cstheme="minorHAnsi"/>
          <w:color w:val="000000" w:themeColor="text1"/>
          <w:sz w:val="22"/>
          <w:szCs w:val="22"/>
        </w:rPr>
        <w:t xml:space="preserve"> </w:t>
      </w:r>
      <w:r>
        <w:rPr>
          <w:rFonts w:cstheme="minorHAnsi"/>
          <w:color w:val="000000" w:themeColor="text1"/>
          <w:sz w:val="22"/>
          <w:szCs w:val="22"/>
        </w:rPr>
        <w:t xml:space="preserve">include </w:t>
      </w:r>
      <w:r w:rsidR="00AA18E0" w:rsidRPr="00F35E01">
        <w:rPr>
          <w:rFonts w:cstheme="minorHAnsi"/>
          <w:color w:val="000000" w:themeColor="text1"/>
          <w:sz w:val="22"/>
          <w:szCs w:val="22"/>
        </w:rPr>
        <w:t xml:space="preserve">a </w:t>
      </w:r>
      <w:r w:rsidR="00AA18E0" w:rsidRPr="00F35E01">
        <w:rPr>
          <w:rFonts w:cstheme="minorHAnsi"/>
          <w:b/>
          <w:bCs/>
          <w:color w:val="000000" w:themeColor="text1"/>
          <w:sz w:val="22"/>
          <w:szCs w:val="22"/>
        </w:rPr>
        <w:t>requirement</w:t>
      </w:r>
      <w:r w:rsidR="00AA18E0" w:rsidRPr="00F35E01">
        <w:rPr>
          <w:rFonts w:cstheme="minorHAnsi"/>
          <w:color w:val="000000" w:themeColor="text1"/>
          <w:sz w:val="22"/>
          <w:szCs w:val="22"/>
        </w:rPr>
        <w:t xml:space="preserve"> for States to explicitly reference intersectionality </w:t>
      </w:r>
      <w:r w:rsidR="00AA18E0" w:rsidRPr="00F35E01">
        <w:rPr>
          <w:rFonts w:cstheme="minorHAnsi"/>
          <w:color w:val="000000" w:themeColor="text1"/>
          <w:sz w:val="22"/>
          <w:szCs w:val="22"/>
          <w:lang w:val="en-GB"/>
        </w:rPr>
        <w:t xml:space="preserve">(Paragraph 38). </w:t>
      </w:r>
      <w:r w:rsidR="00F35E01" w:rsidRPr="00F25E34">
        <w:rPr>
          <w:rFonts w:cstheme="minorHAnsi"/>
          <w:color w:val="000000" w:themeColor="text1"/>
          <w:sz w:val="22"/>
          <w:szCs w:val="22"/>
        </w:rPr>
        <w:br/>
      </w:r>
    </w:p>
    <w:p w14:paraId="7134BF94" w14:textId="08A68778" w:rsidR="0060224E" w:rsidRPr="00F35E01" w:rsidRDefault="00E669E1" w:rsidP="00F522FC">
      <w:pPr>
        <w:pStyle w:val="ListParagraph"/>
        <w:numPr>
          <w:ilvl w:val="0"/>
          <w:numId w:val="27"/>
        </w:numPr>
        <w:tabs>
          <w:tab w:val="left" w:pos="284"/>
        </w:tabs>
        <w:snapToGrid w:val="0"/>
        <w:spacing w:after="240"/>
        <w:ind w:right="567"/>
        <w:rPr>
          <w:rFonts w:cstheme="minorHAnsi"/>
          <w:color w:val="000000" w:themeColor="text1"/>
          <w:sz w:val="22"/>
          <w:szCs w:val="22"/>
          <w:lang w:val="en-US"/>
        </w:rPr>
      </w:pPr>
      <w:r>
        <w:rPr>
          <w:rFonts w:cstheme="minorHAnsi"/>
          <w:color w:val="000000" w:themeColor="text1"/>
          <w:sz w:val="22"/>
          <w:szCs w:val="22"/>
        </w:rPr>
        <w:t>In</w:t>
      </w:r>
      <w:r w:rsidR="00F35E01" w:rsidRPr="00F35E01">
        <w:rPr>
          <w:rFonts w:cstheme="minorHAnsi"/>
          <w:color w:val="000000" w:themeColor="text1"/>
          <w:sz w:val="22"/>
          <w:szCs w:val="22"/>
        </w:rPr>
        <w:t xml:space="preserve"> relation to human rights education within healthcare settings (Paragraphs 48-50),</w:t>
      </w:r>
      <w:r>
        <w:rPr>
          <w:rFonts w:cstheme="minorHAnsi"/>
          <w:color w:val="000000" w:themeColor="text1"/>
          <w:sz w:val="22"/>
          <w:szCs w:val="22"/>
        </w:rPr>
        <w:t xml:space="preserve"> </w:t>
      </w:r>
      <w:r w:rsidR="00844C54">
        <w:rPr>
          <w:rFonts w:cstheme="minorHAnsi"/>
          <w:color w:val="000000" w:themeColor="text1"/>
          <w:sz w:val="22"/>
          <w:szCs w:val="22"/>
        </w:rPr>
        <w:t xml:space="preserve">clarify </w:t>
      </w:r>
      <w:r w:rsidR="0060224E" w:rsidRPr="00F35E01">
        <w:rPr>
          <w:rFonts w:cstheme="minorHAnsi"/>
          <w:color w:val="000000" w:themeColor="text1"/>
          <w:sz w:val="22"/>
          <w:szCs w:val="22"/>
          <w:lang w:val="en-US"/>
        </w:rPr>
        <w:t xml:space="preserve">that human rights education </w:t>
      </w:r>
      <w:r w:rsidR="00844C54">
        <w:rPr>
          <w:rFonts w:cstheme="minorHAnsi"/>
          <w:color w:val="000000" w:themeColor="text1"/>
          <w:sz w:val="22"/>
          <w:szCs w:val="22"/>
          <w:lang w:val="en-US"/>
        </w:rPr>
        <w:t xml:space="preserve">should </w:t>
      </w:r>
      <w:r w:rsidR="0060224E" w:rsidRPr="00F35E01">
        <w:rPr>
          <w:rFonts w:cstheme="minorHAnsi"/>
          <w:color w:val="000000" w:themeColor="text1"/>
          <w:sz w:val="22"/>
          <w:szCs w:val="22"/>
          <w:lang w:val="en-US"/>
        </w:rPr>
        <w:t xml:space="preserve">be based on international human rights obligations and not on States’ </w:t>
      </w:r>
      <w:r w:rsidR="00F35E01" w:rsidRPr="00F35E01">
        <w:rPr>
          <w:rFonts w:cstheme="minorHAnsi"/>
          <w:color w:val="000000" w:themeColor="text1"/>
          <w:sz w:val="22"/>
          <w:szCs w:val="22"/>
          <w:lang w:val="en-US"/>
        </w:rPr>
        <w:t>local</w:t>
      </w:r>
      <w:r w:rsidR="0060224E" w:rsidRPr="00F35E01">
        <w:rPr>
          <w:rFonts w:cstheme="minorHAnsi"/>
          <w:color w:val="000000" w:themeColor="text1"/>
          <w:sz w:val="22"/>
          <w:szCs w:val="22"/>
          <w:lang w:val="en-US"/>
        </w:rPr>
        <w:t xml:space="preserve"> approaches to human rights or discrimination. </w:t>
      </w:r>
      <w:r w:rsidR="00F35E01" w:rsidRPr="00F35E01">
        <w:rPr>
          <w:rFonts w:cstheme="minorHAnsi"/>
          <w:color w:val="000000" w:themeColor="text1"/>
          <w:sz w:val="22"/>
          <w:szCs w:val="22"/>
          <w:lang w:val="en-US"/>
        </w:rPr>
        <w:br/>
      </w:r>
    </w:p>
    <w:p w14:paraId="7C909CA6" w14:textId="24EDDBEA" w:rsidR="00F35E01" w:rsidRPr="00F35E01" w:rsidRDefault="00E669E1" w:rsidP="00F522FC">
      <w:pPr>
        <w:pStyle w:val="ListParagraph"/>
        <w:numPr>
          <w:ilvl w:val="0"/>
          <w:numId w:val="27"/>
        </w:numPr>
        <w:rPr>
          <w:rFonts w:cstheme="minorHAnsi"/>
          <w:color w:val="000000" w:themeColor="text1"/>
          <w:sz w:val="22"/>
          <w:szCs w:val="22"/>
          <w:lang w:val="en-US"/>
        </w:rPr>
      </w:pPr>
      <w:r>
        <w:rPr>
          <w:rFonts w:cstheme="minorHAnsi"/>
          <w:color w:val="000000" w:themeColor="text1"/>
          <w:sz w:val="22"/>
          <w:szCs w:val="22"/>
          <w:lang w:val="en-US"/>
        </w:rPr>
        <w:t>In</w:t>
      </w:r>
      <w:r w:rsidR="00F35E01" w:rsidRPr="00F35E01">
        <w:rPr>
          <w:rFonts w:cstheme="minorHAnsi"/>
          <w:color w:val="000000" w:themeColor="text1"/>
          <w:sz w:val="22"/>
          <w:szCs w:val="22"/>
          <w:lang w:val="en-US"/>
        </w:rPr>
        <w:t xml:space="preserve"> relation to establishing judicial and non-judicial mechanisms for accountability (Paragraph 59),</w:t>
      </w:r>
      <w:r>
        <w:rPr>
          <w:rFonts w:cstheme="minorHAnsi"/>
          <w:color w:val="000000" w:themeColor="text1"/>
          <w:sz w:val="22"/>
          <w:szCs w:val="22"/>
          <w:lang w:val="en-US"/>
        </w:rPr>
        <w:t xml:space="preserve"> include</w:t>
      </w:r>
      <w:r w:rsidR="00F35E01" w:rsidRPr="00F35E01">
        <w:rPr>
          <w:rFonts w:cstheme="minorHAnsi"/>
          <w:color w:val="000000" w:themeColor="text1"/>
          <w:sz w:val="22"/>
          <w:szCs w:val="22"/>
          <w:lang w:val="en-US"/>
        </w:rPr>
        <w:t xml:space="preserve"> a requirement to ensure that such mechanisms are accessible and take trauma-informed and intersectional approaches to redress. We note that in Australia, grievance mechanisms such as the Federal anti-discrimination frameworks require a person seeking redress for unlawful </w:t>
      </w:r>
      <w:r w:rsidR="00F35E01" w:rsidRPr="00F35E01">
        <w:rPr>
          <w:rFonts w:cstheme="minorHAnsi"/>
          <w:color w:val="000000" w:themeColor="text1"/>
          <w:sz w:val="22"/>
          <w:szCs w:val="22"/>
          <w:lang w:val="en-US"/>
        </w:rPr>
        <w:lastRenderedPageBreak/>
        <w:t xml:space="preserve">discrimination to identify a single attribute (such as race </w:t>
      </w:r>
      <w:r w:rsidR="00F35E01" w:rsidRPr="00F35E01">
        <w:rPr>
          <w:rFonts w:cstheme="minorHAnsi"/>
          <w:b/>
          <w:bCs/>
          <w:color w:val="000000" w:themeColor="text1"/>
          <w:sz w:val="22"/>
          <w:szCs w:val="22"/>
          <w:lang w:val="en-US"/>
        </w:rPr>
        <w:t>or</w:t>
      </w:r>
      <w:r w:rsidR="00F35E01" w:rsidRPr="00F35E01">
        <w:rPr>
          <w:rFonts w:cstheme="minorHAnsi"/>
          <w:color w:val="000000" w:themeColor="text1"/>
          <w:sz w:val="22"/>
          <w:szCs w:val="22"/>
          <w:lang w:val="en-US"/>
        </w:rPr>
        <w:t xml:space="preserve"> disability) as the basis for the unlawful discrimination. </w:t>
      </w:r>
    </w:p>
    <w:p w14:paraId="2BA347EB" w14:textId="77777777" w:rsidR="0060224E" w:rsidRPr="00B101F9" w:rsidRDefault="0060224E" w:rsidP="00F522FC">
      <w:pPr>
        <w:rPr>
          <w:rFonts w:ascii="Calibri" w:hAnsi="Calibri" w:cs="Calibri"/>
          <w:color w:val="000000" w:themeColor="text1"/>
          <w:sz w:val="22"/>
          <w:szCs w:val="22"/>
        </w:rPr>
      </w:pPr>
    </w:p>
    <w:p w14:paraId="320AC5E3" w14:textId="77777777" w:rsidR="0060224E" w:rsidRPr="00B101F9" w:rsidRDefault="0060224E" w:rsidP="00F522FC">
      <w:pPr>
        <w:rPr>
          <w:color w:val="000000" w:themeColor="text1"/>
          <w:sz w:val="22"/>
          <w:szCs w:val="22"/>
        </w:rPr>
      </w:pPr>
      <w:r w:rsidRPr="00B101F9">
        <w:rPr>
          <w:color w:val="000000" w:themeColor="text1"/>
          <w:sz w:val="22"/>
          <w:szCs w:val="22"/>
        </w:rPr>
        <w:t xml:space="preserve">Thank you again for the opportunity to provide this response. </w:t>
      </w:r>
    </w:p>
    <w:p w14:paraId="625652D4" w14:textId="77777777" w:rsidR="0060224E" w:rsidRPr="00F35E01" w:rsidRDefault="0060224E" w:rsidP="00F522FC">
      <w:pPr>
        <w:rPr>
          <w:color w:val="000000" w:themeColor="text1"/>
        </w:rPr>
      </w:pPr>
    </w:p>
    <w:p w14:paraId="3C0CF022" w14:textId="477CB9A8" w:rsidR="00251056" w:rsidRDefault="003719B1" w:rsidP="00F522FC">
      <w:pPr>
        <w:rPr>
          <w:rFonts w:cstheme="minorHAnsi"/>
          <w:color w:val="000000" w:themeColor="text1"/>
          <w:sz w:val="22"/>
          <w:szCs w:val="22"/>
        </w:rPr>
      </w:pPr>
      <w:r w:rsidRPr="00F35E01">
        <w:rPr>
          <w:rFonts w:cstheme="minorHAnsi"/>
          <w:color w:val="000000" w:themeColor="text1"/>
          <w:sz w:val="22"/>
          <w:szCs w:val="22"/>
        </w:rPr>
        <w:t>Your</w:t>
      </w:r>
      <w:r w:rsidR="00B31ED5" w:rsidRPr="00F35E01">
        <w:rPr>
          <w:rFonts w:cstheme="minorHAnsi"/>
          <w:color w:val="000000" w:themeColor="text1"/>
          <w:sz w:val="22"/>
          <w:szCs w:val="22"/>
        </w:rPr>
        <w:t>s</w:t>
      </w:r>
      <w:r w:rsidRPr="00F35E01">
        <w:rPr>
          <w:rFonts w:cstheme="minorHAnsi"/>
          <w:color w:val="000000" w:themeColor="text1"/>
          <w:sz w:val="22"/>
          <w:szCs w:val="22"/>
        </w:rPr>
        <w:t xml:space="preserve"> sincerely </w:t>
      </w:r>
    </w:p>
    <w:p w14:paraId="042DBACC" w14:textId="77777777" w:rsidR="00F522FC" w:rsidRDefault="00F522FC" w:rsidP="00F522FC">
      <w:pPr>
        <w:rPr>
          <w:rFonts w:cstheme="minorHAnsi"/>
          <w:color w:val="000000" w:themeColor="text1"/>
          <w:sz w:val="22"/>
          <w:szCs w:val="22"/>
        </w:rPr>
      </w:pPr>
    </w:p>
    <w:p w14:paraId="50F3FB9F" w14:textId="77777777" w:rsidR="004F3C24" w:rsidRPr="00033D60" w:rsidRDefault="004F3C24" w:rsidP="004F3C24">
      <w:pPr>
        <w:spacing w:line="276" w:lineRule="auto"/>
        <w:rPr>
          <w:rFonts w:ascii="Calibri" w:hAnsi="Calibri" w:cs="Calibri"/>
          <w:sz w:val="23"/>
          <w:szCs w:val="23"/>
        </w:rPr>
      </w:pPr>
    </w:p>
    <w:p w14:paraId="3B08F4F4" w14:textId="77777777" w:rsidR="004F3C24" w:rsidRPr="00CD684E" w:rsidRDefault="004F3C24" w:rsidP="004F3C24">
      <w:pPr>
        <w:spacing w:line="276" w:lineRule="auto"/>
        <w:jc w:val="both"/>
        <w:rPr>
          <w:rFonts w:ascii="Helvetica Neue" w:hAnsi="Helvetica Neue"/>
        </w:rPr>
      </w:pPr>
      <w:r w:rsidRPr="00CD684E">
        <w:rPr>
          <w:rFonts w:ascii="Helvetica Neue" w:hAnsi="Helvetica Neue"/>
          <w:noProof/>
          <w:lang w:val="en-US"/>
        </w:rPr>
        <w:drawing>
          <wp:inline distT="0" distB="0" distL="0" distR="0" wp14:anchorId="52F1E241" wp14:editId="2481AC82">
            <wp:extent cx="1294765" cy="475615"/>
            <wp:effectExtent l="0" t="0" r="635" b="635"/>
            <wp:docPr id="4" name="Picture 4" descr="A picture containing sketch, draw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ketch, drawing,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4765" cy="475615"/>
                    </a:xfrm>
                    <a:prstGeom prst="rect">
                      <a:avLst/>
                    </a:prstGeom>
                    <a:noFill/>
                    <a:ln>
                      <a:noFill/>
                    </a:ln>
                  </pic:spPr>
                </pic:pic>
              </a:graphicData>
            </a:graphic>
          </wp:inline>
        </w:drawing>
      </w:r>
    </w:p>
    <w:p w14:paraId="61AA0796" w14:textId="77777777" w:rsidR="004F3C24" w:rsidRPr="001F60DD" w:rsidRDefault="004F3C24" w:rsidP="004F3C24">
      <w:pPr>
        <w:spacing w:line="276" w:lineRule="auto"/>
        <w:jc w:val="both"/>
        <w:rPr>
          <w:rFonts w:ascii="Calibri" w:hAnsi="Calibri" w:cs="Calibri"/>
          <w:sz w:val="22"/>
          <w:szCs w:val="22"/>
        </w:rPr>
      </w:pPr>
    </w:p>
    <w:p w14:paraId="1B7D56E7" w14:textId="77777777" w:rsidR="003719B1" w:rsidRPr="0036083E" w:rsidRDefault="003719B1" w:rsidP="00F522FC">
      <w:pPr>
        <w:rPr>
          <w:rFonts w:cstheme="minorHAnsi"/>
          <w:color w:val="000000" w:themeColor="text1"/>
          <w:sz w:val="22"/>
          <w:szCs w:val="22"/>
        </w:rPr>
      </w:pPr>
      <w:r w:rsidRPr="0036083E">
        <w:rPr>
          <w:rFonts w:cstheme="minorHAnsi"/>
          <w:color w:val="000000" w:themeColor="text1"/>
          <w:sz w:val="22"/>
          <w:szCs w:val="22"/>
        </w:rPr>
        <w:t xml:space="preserve">Carolyn Frohmader </w:t>
      </w:r>
    </w:p>
    <w:p w14:paraId="59077F35" w14:textId="77777777" w:rsidR="00251056" w:rsidRPr="0036083E" w:rsidRDefault="003719B1" w:rsidP="00F522FC">
      <w:pPr>
        <w:rPr>
          <w:rFonts w:cstheme="minorHAnsi"/>
          <w:color w:val="000000" w:themeColor="text1"/>
          <w:sz w:val="22"/>
          <w:szCs w:val="22"/>
        </w:rPr>
      </w:pPr>
      <w:r w:rsidRPr="0036083E">
        <w:rPr>
          <w:rFonts w:cstheme="minorHAnsi"/>
          <w:color w:val="000000" w:themeColor="text1"/>
          <w:sz w:val="22"/>
          <w:szCs w:val="22"/>
        </w:rPr>
        <w:t xml:space="preserve">Executive Director </w:t>
      </w:r>
    </w:p>
    <w:p w14:paraId="327BA1D4" w14:textId="569AC77C" w:rsidR="003719B1" w:rsidRPr="0036083E" w:rsidRDefault="003719B1" w:rsidP="00F522FC">
      <w:pPr>
        <w:rPr>
          <w:rFonts w:cstheme="minorHAnsi"/>
          <w:color w:val="000000" w:themeColor="text1"/>
          <w:sz w:val="22"/>
          <w:szCs w:val="22"/>
        </w:rPr>
      </w:pPr>
      <w:r w:rsidRPr="0036083E">
        <w:rPr>
          <w:rFonts w:cstheme="minorHAnsi"/>
          <w:color w:val="000000" w:themeColor="text1"/>
          <w:sz w:val="22"/>
          <w:szCs w:val="22"/>
        </w:rPr>
        <w:t xml:space="preserve">Women With Disabilities Australia </w:t>
      </w:r>
      <w:r w:rsidR="004F3C24">
        <w:rPr>
          <w:rFonts w:cstheme="minorHAnsi"/>
          <w:color w:val="000000" w:themeColor="text1"/>
          <w:sz w:val="22"/>
          <w:szCs w:val="22"/>
        </w:rPr>
        <w:t>(WWDA)</w:t>
      </w:r>
    </w:p>
    <w:p w14:paraId="64584198" w14:textId="2A73DD97" w:rsidR="001D3640" w:rsidRPr="0036083E" w:rsidRDefault="001D3640" w:rsidP="00F522FC">
      <w:pPr>
        <w:rPr>
          <w:rFonts w:cstheme="minorHAnsi"/>
          <w:color w:val="000000" w:themeColor="text1"/>
          <w:sz w:val="22"/>
          <w:szCs w:val="22"/>
          <w:lang w:val="en-GB"/>
        </w:rPr>
      </w:pPr>
    </w:p>
    <w:p w14:paraId="1DBD9224" w14:textId="77777777" w:rsidR="00B83296" w:rsidRPr="004F3C24" w:rsidRDefault="00B83296" w:rsidP="00F522FC">
      <w:pPr>
        <w:rPr>
          <w:rFonts w:cstheme="minorHAnsi"/>
          <w:color w:val="000000" w:themeColor="text1"/>
          <w:sz w:val="18"/>
          <w:szCs w:val="18"/>
        </w:rPr>
      </w:pPr>
      <w:r w:rsidRPr="004F3C24">
        <w:rPr>
          <w:rFonts w:cstheme="minorHAnsi"/>
          <w:color w:val="000000" w:themeColor="text1"/>
          <w:sz w:val="18"/>
          <w:szCs w:val="18"/>
        </w:rPr>
        <w:t>Finalist, 100 Women of Influence Awards 2015</w:t>
      </w:r>
    </w:p>
    <w:p w14:paraId="0C9C43E7" w14:textId="77777777" w:rsidR="00B83296" w:rsidRPr="004F3C24" w:rsidRDefault="00B83296" w:rsidP="00F522FC">
      <w:pPr>
        <w:rPr>
          <w:rFonts w:cstheme="minorHAnsi"/>
          <w:color w:val="000000" w:themeColor="text1"/>
          <w:sz w:val="18"/>
          <w:szCs w:val="18"/>
        </w:rPr>
      </w:pPr>
      <w:r w:rsidRPr="004F3C24">
        <w:rPr>
          <w:rFonts w:cstheme="minorHAnsi"/>
          <w:color w:val="000000" w:themeColor="text1"/>
          <w:sz w:val="18"/>
          <w:szCs w:val="18"/>
        </w:rPr>
        <w:t>Australian Human Rights Award (Individual) 2013</w:t>
      </w:r>
    </w:p>
    <w:p w14:paraId="61E599B5" w14:textId="77777777" w:rsidR="00B83296" w:rsidRPr="004F3C24" w:rsidRDefault="00B83296" w:rsidP="00F522FC">
      <w:pPr>
        <w:rPr>
          <w:rFonts w:cstheme="minorHAnsi"/>
          <w:color w:val="000000" w:themeColor="text1"/>
          <w:sz w:val="18"/>
          <w:szCs w:val="18"/>
        </w:rPr>
      </w:pPr>
      <w:r w:rsidRPr="004F3C24">
        <w:rPr>
          <w:rFonts w:cstheme="minorHAnsi"/>
          <w:color w:val="000000" w:themeColor="text1"/>
          <w:sz w:val="18"/>
          <w:szCs w:val="18"/>
        </w:rPr>
        <w:t>State Finalist Australian of the Year 2010</w:t>
      </w:r>
    </w:p>
    <w:p w14:paraId="404695B6" w14:textId="77777777" w:rsidR="00B83296" w:rsidRPr="004F3C24" w:rsidRDefault="00B83296" w:rsidP="00F522FC">
      <w:pPr>
        <w:rPr>
          <w:rFonts w:cstheme="minorHAnsi"/>
          <w:color w:val="000000" w:themeColor="text1"/>
          <w:sz w:val="18"/>
          <w:szCs w:val="18"/>
        </w:rPr>
      </w:pPr>
      <w:r w:rsidRPr="004F3C24">
        <w:rPr>
          <w:rFonts w:cstheme="minorHAnsi"/>
          <w:color w:val="000000" w:themeColor="text1"/>
          <w:sz w:val="18"/>
          <w:szCs w:val="18"/>
        </w:rPr>
        <w:t>Inductee, Tasmanian Women’s Honour Roll 2009</w:t>
      </w:r>
    </w:p>
    <w:p w14:paraId="3CD26D70" w14:textId="09E954E4" w:rsidR="00251056" w:rsidRPr="004F3C24" w:rsidRDefault="00B83296" w:rsidP="00F522FC">
      <w:pPr>
        <w:rPr>
          <w:rFonts w:cstheme="minorHAnsi"/>
          <w:color w:val="000000" w:themeColor="text1"/>
          <w:sz w:val="18"/>
          <w:szCs w:val="18"/>
        </w:rPr>
      </w:pPr>
      <w:r w:rsidRPr="004F3C24">
        <w:rPr>
          <w:rFonts w:cstheme="minorHAnsi"/>
          <w:color w:val="000000" w:themeColor="text1"/>
          <w:sz w:val="18"/>
          <w:szCs w:val="18"/>
        </w:rPr>
        <w:t>Australian Capital Territory Woman of the Year Award 2001</w:t>
      </w:r>
    </w:p>
    <w:p w14:paraId="32BCBC7A" w14:textId="77777777" w:rsidR="00F522FC" w:rsidRPr="00F522FC" w:rsidRDefault="00F522FC" w:rsidP="00F522FC">
      <w:pPr>
        <w:rPr>
          <w:rFonts w:cstheme="minorHAnsi"/>
          <w:b/>
          <w:bCs/>
          <w:color w:val="000000" w:themeColor="text1"/>
          <w:sz w:val="22"/>
          <w:szCs w:val="22"/>
        </w:rPr>
      </w:pPr>
    </w:p>
    <w:sectPr w:rsidR="00F522FC" w:rsidRPr="00F522FC" w:rsidSect="00130961">
      <w:headerReference w:type="default" r:id="rId11"/>
      <w:footerReference w:type="even" r:id="rId12"/>
      <w:footerReference w:type="default" r:id="rId13"/>
      <w:endnotePr>
        <w:numFmt w:val="decimal"/>
      </w:endnotePr>
      <w:pgSz w:w="11900" w:h="16840"/>
      <w:pgMar w:top="851" w:right="1134" w:bottom="851"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C0FFD" w14:textId="77777777" w:rsidR="005577D9" w:rsidRDefault="005577D9" w:rsidP="00C52B71">
      <w:r>
        <w:separator/>
      </w:r>
    </w:p>
  </w:endnote>
  <w:endnote w:type="continuationSeparator" w:id="0">
    <w:p w14:paraId="57F51865" w14:textId="77777777" w:rsidR="005577D9" w:rsidRDefault="005577D9" w:rsidP="00C52B71">
      <w:r>
        <w:continuationSeparator/>
      </w:r>
    </w:p>
  </w:endnote>
  <w:endnote w:id="1">
    <w:p w14:paraId="49C6C66B" w14:textId="77777777" w:rsidR="00760698" w:rsidRPr="004F3C24" w:rsidRDefault="00760698" w:rsidP="00760698">
      <w:pPr>
        <w:pStyle w:val="EndnoteText"/>
        <w:rPr>
          <w:rFonts w:cstheme="minorHAnsi"/>
          <w:sz w:val="15"/>
          <w:szCs w:val="15"/>
        </w:rPr>
      </w:pPr>
      <w:r w:rsidRPr="004F3C24">
        <w:rPr>
          <w:rStyle w:val="EndnoteReference"/>
          <w:rFonts w:cstheme="minorHAnsi"/>
          <w:sz w:val="15"/>
          <w:szCs w:val="15"/>
        </w:rPr>
        <w:endnoteRef/>
      </w:r>
      <w:r w:rsidRPr="004F3C24">
        <w:rPr>
          <w:rFonts w:cstheme="minorHAnsi"/>
          <w:sz w:val="15"/>
          <w:szCs w:val="15"/>
        </w:rPr>
        <w:t xml:space="preserve"> Frohmader, C., Dowse, L., Didi, A. (2015) Preventing Violence against Women and Girls with Disabilities: Integrating A Human Rights Perspective. Women With Disabilities Australia (WWDA January 2015) 18. </w:t>
      </w:r>
    </w:p>
  </w:endnote>
  <w:endnote w:id="2">
    <w:p w14:paraId="58BE7462" w14:textId="61746EFB" w:rsidR="00DB1C10" w:rsidRPr="004F3C24" w:rsidRDefault="00DB1C10" w:rsidP="00DB1C10">
      <w:pPr>
        <w:pStyle w:val="EndnoteText"/>
        <w:rPr>
          <w:rFonts w:cstheme="minorHAnsi"/>
          <w:sz w:val="15"/>
          <w:szCs w:val="15"/>
        </w:rPr>
      </w:pPr>
      <w:r w:rsidRPr="004F3C24">
        <w:rPr>
          <w:rStyle w:val="EndnoteReference"/>
          <w:rFonts w:cstheme="minorHAnsi"/>
          <w:sz w:val="15"/>
          <w:szCs w:val="15"/>
        </w:rPr>
        <w:endnoteRef/>
      </w:r>
      <w:r w:rsidRPr="004F3C24">
        <w:rPr>
          <w:rFonts w:cstheme="minorHAnsi"/>
          <w:sz w:val="15"/>
          <w:szCs w:val="15"/>
        </w:rPr>
        <w:t xml:space="preserve"> </w:t>
      </w:r>
      <w:r w:rsidR="00000F7C" w:rsidRPr="004F3C24">
        <w:rPr>
          <w:rFonts w:cstheme="minorHAnsi"/>
          <w:color w:val="000000" w:themeColor="text1"/>
          <w:spacing w:val="4"/>
          <w:sz w:val="15"/>
          <w:szCs w:val="15"/>
        </w:rPr>
        <w:t>Committee on the Elimination of Discrimination against Women</w:t>
      </w:r>
      <w:r w:rsidR="00000F7C" w:rsidRPr="004F3C24">
        <w:rPr>
          <w:rFonts w:cstheme="minorHAnsi"/>
          <w:sz w:val="15"/>
          <w:szCs w:val="15"/>
          <w:lang w:val="en-US"/>
        </w:rPr>
        <w:t xml:space="preserve">, </w:t>
      </w:r>
      <w:r w:rsidR="00000F7C" w:rsidRPr="004F3C24">
        <w:rPr>
          <w:rFonts w:cstheme="minorHAnsi"/>
          <w:i/>
          <w:sz w:val="15"/>
          <w:szCs w:val="15"/>
          <w:lang w:val="en-US"/>
        </w:rPr>
        <w:t xml:space="preserve">General Recommendation No. 35 </w:t>
      </w:r>
      <w:r w:rsidR="00000F7C" w:rsidRPr="004F3C24">
        <w:rPr>
          <w:rFonts w:cstheme="minorHAnsi"/>
          <w:i/>
          <w:iCs/>
          <w:sz w:val="15"/>
          <w:szCs w:val="15"/>
        </w:rPr>
        <w:t>on gender-based violence against women, updating general recommendation No. 19</w:t>
      </w:r>
      <w:r w:rsidR="00000F7C" w:rsidRPr="004F3C24">
        <w:rPr>
          <w:rFonts w:cstheme="minorHAnsi"/>
          <w:i/>
          <w:sz w:val="15"/>
          <w:szCs w:val="15"/>
          <w:lang w:val="en-US"/>
        </w:rPr>
        <w:t>,</w:t>
      </w:r>
      <w:r w:rsidR="00000F7C" w:rsidRPr="004F3C24">
        <w:rPr>
          <w:rFonts w:cstheme="minorHAnsi"/>
          <w:sz w:val="15"/>
          <w:szCs w:val="15"/>
          <w:lang w:val="en-US"/>
        </w:rPr>
        <w:t xml:space="preserve"> (</w:t>
      </w:r>
      <w:r w:rsidR="00000F7C" w:rsidRPr="004F3C24">
        <w:rPr>
          <w:rFonts w:cstheme="minorHAnsi"/>
          <w:sz w:val="15"/>
          <w:szCs w:val="15"/>
        </w:rPr>
        <w:t>26 July 2017) [12].</w:t>
      </w:r>
    </w:p>
  </w:endnote>
  <w:endnote w:id="3">
    <w:p w14:paraId="27EB66F3" w14:textId="77777777" w:rsidR="00DB1C10" w:rsidRPr="004F3C24" w:rsidRDefault="00DB1C10" w:rsidP="00DB1C10">
      <w:pPr>
        <w:pStyle w:val="EndnoteText"/>
        <w:rPr>
          <w:rFonts w:cstheme="minorHAnsi"/>
          <w:sz w:val="15"/>
          <w:szCs w:val="15"/>
        </w:rPr>
      </w:pPr>
      <w:r w:rsidRPr="004F3C24">
        <w:rPr>
          <w:rStyle w:val="EndnoteReference"/>
          <w:rFonts w:cstheme="minorHAnsi"/>
          <w:sz w:val="15"/>
          <w:szCs w:val="15"/>
        </w:rPr>
        <w:endnoteRef/>
      </w:r>
      <w:r w:rsidRPr="004F3C24">
        <w:rPr>
          <w:rFonts w:cstheme="minorHAnsi"/>
          <w:sz w:val="15"/>
          <w:szCs w:val="15"/>
        </w:rPr>
        <w:t xml:space="preserve"> </w:t>
      </w:r>
      <w:r w:rsidRPr="004F3C24">
        <w:rPr>
          <w:rFonts w:cstheme="minorHAnsi"/>
          <w:color w:val="212121"/>
          <w:sz w:val="15"/>
          <w:szCs w:val="15"/>
          <w:shd w:val="clear" w:color="auto" w:fill="FFFFFF"/>
        </w:rPr>
        <w:t>Costello, K., &amp; Greenwald, B. D. (2022). Update on Domestic Violence and Traumatic Brain Injury: A Narrative Review. </w:t>
      </w:r>
      <w:r w:rsidRPr="004F3C24">
        <w:rPr>
          <w:rFonts w:cstheme="minorHAnsi"/>
          <w:i/>
          <w:iCs/>
          <w:color w:val="212121"/>
          <w:sz w:val="15"/>
          <w:szCs w:val="15"/>
          <w:shd w:val="clear" w:color="auto" w:fill="FFFFFF"/>
        </w:rPr>
        <w:t>Brain sciences</w:t>
      </w:r>
      <w:r w:rsidRPr="004F3C24">
        <w:rPr>
          <w:rFonts w:cstheme="minorHAnsi"/>
          <w:color w:val="212121"/>
          <w:sz w:val="15"/>
          <w:szCs w:val="15"/>
          <w:shd w:val="clear" w:color="auto" w:fill="FFFFFF"/>
        </w:rPr>
        <w:t>, </w:t>
      </w:r>
      <w:r w:rsidRPr="004F3C24">
        <w:rPr>
          <w:rFonts w:cstheme="minorHAnsi"/>
          <w:i/>
          <w:iCs/>
          <w:color w:val="212121"/>
          <w:sz w:val="15"/>
          <w:szCs w:val="15"/>
          <w:shd w:val="clear" w:color="auto" w:fill="FFFFFF"/>
        </w:rPr>
        <w:t>12</w:t>
      </w:r>
      <w:r w:rsidRPr="004F3C24">
        <w:rPr>
          <w:rFonts w:cstheme="minorHAnsi"/>
          <w:color w:val="212121"/>
          <w:sz w:val="15"/>
          <w:szCs w:val="15"/>
          <w:shd w:val="clear" w:color="auto" w:fill="FFFFFF"/>
        </w:rPr>
        <w:t>(1), 122. https://doi.org/10.3390/brainsci12010122</w:t>
      </w:r>
    </w:p>
  </w:endnote>
  <w:endnote w:id="4">
    <w:p w14:paraId="03E0139E" w14:textId="2702FDBD" w:rsidR="004839E2" w:rsidRPr="004F3C24" w:rsidRDefault="004839E2" w:rsidP="004839E2">
      <w:pPr>
        <w:pStyle w:val="EndnoteText"/>
        <w:rPr>
          <w:rFonts w:cstheme="minorHAnsi"/>
          <w:sz w:val="15"/>
          <w:szCs w:val="15"/>
        </w:rPr>
      </w:pPr>
      <w:r w:rsidRPr="004F3C24">
        <w:rPr>
          <w:rStyle w:val="EndnoteReference"/>
          <w:rFonts w:cstheme="minorHAnsi"/>
          <w:sz w:val="15"/>
          <w:szCs w:val="15"/>
        </w:rPr>
        <w:endnoteRef/>
      </w:r>
      <w:r w:rsidRPr="004F3C24">
        <w:rPr>
          <w:rFonts w:cstheme="minorHAnsi"/>
          <w:sz w:val="15"/>
          <w:szCs w:val="15"/>
        </w:rPr>
        <w:t xml:space="preserve"> Brain Injury Australia (August 11, 2015) Media Release: Every week in Australia, one woman is killed - the result of family violence. Every week in Australia, three women are hospitalised with a brain injury - the result of family violence. http://www.braininjuryaustralia.org.au/ See also: Gorman, G. (2019) ‘The terrible injury often overlooked in domestic violence’.</w:t>
      </w:r>
    </w:p>
  </w:endnote>
  <w:endnote w:id="5">
    <w:p w14:paraId="04559EC4" w14:textId="77777777" w:rsidR="0060224E" w:rsidRPr="004F3C24" w:rsidRDefault="0060224E" w:rsidP="0060224E">
      <w:pPr>
        <w:pStyle w:val="EndnoteText"/>
        <w:rPr>
          <w:rFonts w:cstheme="minorHAnsi"/>
          <w:sz w:val="15"/>
          <w:szCs w:val="15"/>
        </w:rPr>
      </w:pPr>
      <w:r w:rsidRPr="004F3C24">
        <w:rPr>
          <w:rStyle w:val="EndnoteReference"/>
          <w:rFonts w:cstheme="minorHAnsi"/>
          <w:sz w:val="15"/>
          <w:szCs w:val="15"/>
        </w:rPr>
        <w:endnoteRef/>
      </w:r>
      <w:r w:rsidRPr="004F3C24">
        <w:rPr>
          <w:rFonts w:cstheme="minorHAnsi"/>
          <w:sz w:val="15"/>
          <w:szCs w:val="15"/>
        </w:rPr>
        <w:t xml:space="preserve"> UN General Assembly (24 April 2017) Report of the Special Rapporteur on the human rights of migrants on his mission to Australia and the regional processing centres in Nauru. UN Doc. No. A/HRC/35/25/Add.3.</w:t>
      </w:r>
    </w:p>
  </w:endnote>
  <w:endnote w:id="6">
    <w:p w14:paraId="34BE769F" w14:textId="77777777" w:rsidR="0060224E" w:rsidRPr="004F3C24" w:rsidRDefault="0060224E" w:rsidP="0060224E">
      <w:pPr>
        <w:pStyle w:val="EndnoteText"/>
        <w:rPr>
          <w:rFonts w:cstheme="minorHAnsi"/>
          <w:sz w:val="15"/>
          <w:szCs w:val="15"/>
        </w:rPr>
      </w:pPr>
      <w:r w:rsidRPr="004F3C24">
        <w:rPr>
          <w:rStyle w:val="EndnoteReference"/>
          <w:rFonts w:cstheme="minorHAnsi"/>
          <w:sz w:val="15"/>
          <w:szCs w:val="15"/>
        </w:rPr>
        <w:endnoteRef/>
      </w:r>
      <w:r w:rsidRPr="004F3C24">
        <w:rPr>
          <w:rFonts w:cstheme="minorHAnsi"/>
          <w:sz w:val="15"/>
          <w:szCs w:val="15"/>
        </w:rPr>
        <w:t xml:space="preserve"> See for eg: OurWatch, Changing the picture: preventing violence against Aboriginal and Torres Strait Islander women.</w:t>
      </w:r>
    </w:p>
  </w:endnote>
  <w:endnote w:id="7">
    <w:p w14:paraId="211AF513" w14:textId="77777777" w:rsidR="00F25E34" w:rsidRPr="004F3C24" w:rsidRDefault="00F25E34" w:rsidP="00F25E34">
      <w:pPr>
        <w:pStyle w:val="EndnoteText"/>
        <w:rPr>
          <w:rFonts w:cstheme="minorHAnsi"/>
          <w:sz w:val="15"/>
          <w:szCs w:val="15"/>
        </w:rPr>
      </w:pPr>
      <w:r w:rsidRPr="004F3C24">
        <w:rPr>
          <w:rStyle w:val="EndnoteReference"/>
          <w:rFonts w:cstheme="minorHAnsi"/>
          <w:sz w:val="15"/>
          <w:szCs w:val="15"/>
        </w:rPr>
        <w:endnoteRef/>
      </w:r>
      <w:r w:rsidRPr="004F3C24">
        <w:rPr>
          <w:rFonts w:cstheme="minorHAnsi"/>
          <w:sz w:val="15"/>
          <w:szCs w:val="15"/>
        </w:rPr>
        <w:t xml:space="preserve"> </w:t>
      </w:r>
      <w:r w:rsidRPr="004F3C24">
        <w:rPr>
          <w:rStyle w:val="highlight"/>
          <w:rFonts w:cstheme="minorHAnsi"/>
          <w:sz w:val="15"/>
          <w:szCs w:val="15"/>
        </w:rPr>
        <w:t>Juan</w:t>
      </w:r>
      <w:r w:rsidRPr="004F3C24">
        <w:rPr>
          <w:rFonts w:cstheme="minorHAnsi"/>
          <w:sz w:val="15"/>
          <w:szCs w:val="15"/>
        </w:rPr>
        <w:t xml:space="preserve"> E Méndez, </w:t>
      </w:r>
      <w:r w:rsidRPr="004F3C24">
        <w:rPr>
          <w:rFonts w:cstheme="minorHAnsi"/>
          <w:i/>
          <w:sz w:val="15"/>
          <w:szCs w:val="15"/>
        </w:rPr>
        <w:t>Report of the Special Rapporteur on Torture and Other Cruel, Inhuman or Degrading Treatment or Punishment</w:t>
      </w:r>
      <w:r w:rsidRPr="004F3C24">
        <w:rPr>
          <w:rFonts w:cstheme="minorHAnsi"/>
          <w:sz w:val="15"/>
          <w:szCs w:val="15"/>
        </w:rPr>
        <w:t>, UN GAOR, 22nd sess, Agenda Item 3, UN Doc A/HRC/22/53 (1 February 2013) 11.</w:t>
      </w:r>
    </w:p>
  </w:endnote>
  <w:endnote w:id="8">
    <w:p w14:paraId="7F9C29D6" w14:textId="07DEE624" w:rsidR="00FC5F3C" w:rsidRPr="004F3C24" w:rsidRDefault="00FC5F3C">
      <w:pPr>
        <w:pStyle w:val="EndnoteText"/>
        <w:rPr>
          <w:rFonts w:cstheme="minorHAnsi"/>
          <w:sz w:val="15"/>
          <w:szCs w:val="15"/>
          <w:lang w:val="en-US"/>
        </w:rPr>
      </w:pPr>
      <w:r w:rsidRPr="004F3C24">
        <w:rPr>
          <w:rStyle w:val="EndnoteReference"/>
          <w:rFonts w:cstheme="minorHAnsi"/>
          <w:sz w:val="15"/>
          <w:szCs w:val="15"/>
        </w:rPr>
        <w:endnoteRef/>
      </w:r>
      <w:r w:rsidRPr="004F3C24">
        <w:rPr>
          <w:rFonts w:cstheme="minorHAnsi"/>
          <w:sz w:val="15"/>
          <w:szCs w:val="15"/>
        </w:rPr>
        <w:t xml:space="preserve"> </w:t>
      </w:r>
      <w:r w:rsidR="00000F7C" w:rsidRPr="004F3C24">
        <w:rPr>
          <w:rFonts w:cstheme="minorHAnsi"/>
          <w:i/>
          <w:sz w:val="15"/>
          <w:szCs w:val="15"/>
        </w:rPr>
        <w:t>Convention on the Rights of Persons with Disabilities</w:t>
      </w:r>
      <w:r w:rsidR="00000F7C" w:rsidRPr="004F3C24">
        <w:rPr>
          <w:rFonts w:cstheme="minorHAnsi"/>
          <w:sz w:val="15"/>
          <w:szCs w:val="15"/>
        </w:rPr>
        <w:t>, [2008] ATS 12, article 12.</w:t>
      </w:r>
    </w:p>
  </w:endnote>
  <w:endnote w:id="9">
    <w:p w14:paraId="7FBDB00E" w14:textId="20D9602F" w:rsidR="0060224E" w:rsidRPr="004F3C24" w:rsidRDefault="0060224E" w:rsidP="00000F7C">
      <w:pPr>
        <w:pStyle w:val="EndnoteText"/>
        <w:rPr>
          <w:rFonts w:cstheme="minorHAnsi"/>
          <w:sz w:val="15"/>
          <w:szCs w:val="15"/>
          <w:lang w:val="en-US"/>
        </w:rPr>
      </w:pPr>
      <w:r w:rsidRPr="004F3C24">
        <w:rPr>
          <w:rStyle w:val="EndnoteReference"/>
          <w:rFonts w:cstheme="minorHAnsi"/>
          <w:sz w:val="15"/>
          <w:szCs w:val="15"/>
        </w:rPr>
        <w:endnoteRef/>
      </w:r>
      <w:r w:rsidRPr="004F3C24">
        <w:rPr>
          <w:rFonts w:cstheme="minorHAnsi"/>
          <w:sz w:val="15"/>
          <w:szCs w:val="15"/>
        </w:rPr>
        <w:t xml:space="preserve"> </w:t>
      </w:r>
      <w:r w:rsidR="00000F7C" w:rsidRPr="004F3C24">
        <w:rPr>
          <w:rFonts w:cstheme="minorHAnsi"/>
          <w:i/>
          <w:sz w:val="15"/>
          <w:szCs w:val="15"/>
        </w:rPr>
        <w:t>Convention on the Rights of Persons with Disabilities</w:t>
      </w:r>
      <w:r w:rsidR="00000F7C" w:rsidRPr="004F3C24">
        <w:rPr>
          <w:rFonts w:cstheme="minorHAnsi"/>
          <w:sz w:val="15"/>
          <w:szCs w:val="15"/>
        </w:rPr>
        <w:t>, [2008] ATS 12, article 4.</w:t>
      </w:r>
    </w:p>
  </w:endnote>
  <w:endnote w:id="10">
    <w:p w14:paraId="2940DF0D" w14:textId="38CCF2E2" w:rsidR="00F15BD3" w:rsidRPr="004F3C24" w:rsidRDefault="00F15BD3" w:rsidP="00F15BD3">
      <w:pPr>
        <w:pStyle w:val="EndnoteText"/>
        <w:rPr>
          <w:rFonts w:cstheme="minorHAnsi"/>
          <w:sz w:val="15"/>
          <w:szCs w:val="15"/>
        </w:rPr>
      </w:pPr>
      <w:r w:rsidRPr="004F3C24">
        <w:rPr>
          <w:rStyle w:val="EndnoteReference"/>
          <w:rFonts w:cstheme="minorHAnsi"/>
          <w:sz w:val="15"/>
          <w:szCs w:val="15"/>
        </w:rPr>
        <w:endnoteRef/>
      </w:r>
      <w:r w:rsidRPr="004F3C24">
        <w:rPr>
          <w:rFonts w:cstheme="minorHAnsi"/>
          <w:sz w:val="15"/>
          <w:szCs w:val="15"/>
        </w:rPr>
        <w:t xml:space="preserve"> </w:t>
      </w:r>
      <w:r w:rsidRPr="004F3C24">
        <w:rPr>
          <w:rFonts w:cstheme="minorHAnsi"/>
          <w:color w:val="212121"/>
          <w:sz w:val="15"/>
          <w:szCs w:val="15"/>
          <w:shd w:val="clear" w:color="auto" w:fill="FFFFFF"/>
        </w:rPr>
        <w:t>Cousin, L., Johnson-Mallard, V., &amp; Booker, S. Q. (2022). "Be Strong My Sista'": Sentiments of Strength From Black Women With Chronic Pain Living in the Deep South. </w:t>
      </w:r>
      <w:r w:rsidRPr="004F3C24">
        <w:rPr>
          <w:rFonts w:cstheme="minorHAnsi"/>
          <w:i/>
          <w:iCs/>
          <w:color w:val="212121"/>
          <w:sz w:val="15"/>
          <w:szCs w:val="15"/>
          <w:shd w:val="clear" w:color="auto" w:fill="FFFFFF"/>
        </w:rPr>
        <w:t>ANS. Advances in nursing science</w:t>
      </w:r>
      <w:r w:rsidRPr="004F3C24">
        <w:rPr>
          <w:rFonts w:cstheme="minorHAnsi"/>
          <w:color w:val="212121"/>
          <w:sz w:val="15"/>
          <w:szCs w:val="15"/>
          <w:shd w:val="clear" w:color="auto" w:fill="FFFFFF"/>
        </w:rPr>
        <w:t>, </w:t>
      </w:r>
      <w:r w:rsidRPr="004F3C24">
        <w:rPr>
          <w:rFonts w:cstheme="minorHAnsi"/>
          <w:i/>
          <w:iCs/>
          <w:color w:val="212121"/>
          <w:sz w:val="15"/>
          <w:szCs w:val="15"/>
          <w:shd w:val="clear" w:color="auto" w:fill="FFFFFF"/>
        </w:rPr>
        <w:t>45</w:t>
      </w:r>
      <w:r w:rsidRPr="004F3C24">
        <w:rPr>
          <w:rFonts w:cstheme="minorHAnsi"/>
          <w:color w:val="212121"/>
          <w:sz w:val="15"/>
          <w:szCs w:val="15"/>
          <w:shd w:val="clear" w:color="auto" w:fill="FFFFFF"/>
        </w:rPr>
        <w:t xml:space="preserve">(2), 127–142. </w:t>
      </w:r>
    </w:p>
  </w:endnote>
  <w:endnote w:id="11">
    <w:p w14:paraId="63C565E0" w14:textId="6EB4BEA7" w:rsidR="00A16692" w:rsidRPr="004F3C24" w:rsidRDefault="00A16692">
      <w:pPr>
        <w:pStyle w:val="EndnoteText"/>
        <w:rPr>
          <w:sz w:val="15"/>
          <w:szCs w:val="15"/>
        </w:rPr>
      </w:pPr>
      <w:r w:rsidRPr="004F3C24">
        <w:rPr>
          <w:rStyle w:val="EndnoteReference"/>
          <w:sz w:val="15"/>
          <w:szCs w:val="15"/>
        </w:rPr>
        <w:endnoteRef/>
      </w:r>
      <w:r w:rsidRPr="004F3C24">
        <w:rPr>
          <w:sz w:val="15"/>
          <w:szCs w:val="15"/>
        </w:rPr>
        <w:t xml:space="preserve"> United Nations General Assembly (18 June 2020) Report of the Special Rapporteur on contemporary forms of racism, racial discrimination, xenophobia and related intolerance UN Doc A/HRC/44/57.</w:t>
      </w:r>
    </w:p>
  </w:endnote>
  <w:endnote w:id="12">
    <w:p w14:paraId="13CFD0B9" w14:textId="45768383" w:rsidR="00A16692" w:rsidRPr="004F3C24" w:rsidRDefault="00A16692">
      <w:pPr>
        <w:pStyle w:val="EndnoteText"/>
        <w:rPr>
          <w:sz w:val="15"/>
          <w:szCs w:val="15"/>
        </w:rPr>
      </w:pPr>
      <w:r w:rsidRPr="004F3C24">
        <w:rPr>
          <w:rStyle w:val="EndnoteReference"/>
          <w:sz w:val="15"/>
          <w:szCs w:val="15"/>
        </w:rPr>
        <w:endnoteRef/>
      </w:r>
      <w:r w:rsidRPr="004F3C24">
        <w:rPr>
          <w:sz w:val="15"/>
          <w:szCs w:val="15"/>
        </w:rPr>
        <w:t xml:space="preserve"> United Nations General Assembly (18 June 2020) Report of the Special Rapporteur on contemporary forms of racism, racial discrimination, xenophobia and related intolerance UN Doc A/HRC/44/57.</w:t>
      </w:r>
    </w:p>
  </w:endnote>
  <w:endnote w:id="13">
    <w:p w14:paraId="0DD43A17" w14:textId="77777777" w:rsidR="00F15BD3" w:rsidRPr="004F3C24" w:rsidRDefault="00F15BD3" w:rsidP="00F15BD3">
      <w:pPr>
        <w:pStyle w:val="EndnoteText"/>
        <w:rPr>
          <w:rFonts w:cstheme="minorHAnsi"/>
          <w:sz w:val="15"/>
          <w:szCs w:val="15"/>
        </w:rPr>
      </w:pPr>
      <w:r w:rsidRPr="004F3C24">
        <w:rPr>
          <w:rStyle w:val="EndnoteReference"/>
          <w:rFonts w:cstheme="minorHAnsi"/>
          <w:sz w:val="15"/>
          <w:szCs w:val="15"/>
        </w:rPr>
        <w:endnoteRef/>
      </w:r>
      <w:r w:rsidRPr="004F3C24">
        <w:rPr>
          <w:rFonts w:cstheme="minorHAnsi"/>
          <w:sz w:val="15"/>
          <w:szCs w:val="15"/>
        </w:rPr>
        <w:t xml:space="preserve"> United Nations General Assembly Human Rights Council (2021) Human Rights and Climate Change, Human Rights Council 41</w:t>
      </w:r>
      <w:r w:rsidRPr="004F3C24">
        <w:rPr>
          <w:rFonts w:cstheme="minorHAnsi"/>
          <w:sz w:val="15"/>
          <w:szCs w:val="15"/>
          <w:vertAlign w:val="superscript"/>
        </w:rPr>
        <w:t>st</w:t>
      </w:r>
      <w:r w:rsidRPr="004F3C24">
        <w:rPr>
          <w:rFonts w:cstheme="minorHAnsi"/>
          <w:sz w:val="15"/>
          <w:szCs w:val="15"/>
        </w:rPr>
        <w:t xml:space="preserve"> Session, Agenda Item 3, UN Doc A/HRC/RES/41/2 (12 July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3945538"/>
      <w:docPartObj>
        <w:docPartGallery w:val="Page Numbers (Bottom of Page)"/>
        <w:docPartUnique/>
      </w:docPartObj>
    </w:sdtPr>
    <w:sdtContent>
      <w:p w14:paraId="310D05B8" w14:textId="38D65E3B" w:rsidR="00CE33E6" w:rsidRDefault="00CE33E6" w:rsidP="001D2A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8124C7C" w14:textId="77777777" w:rsidR="00CE33E6" w:rsidRDefault="00CE33E6" w:rsidP="00CE33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BDC1" w14:textId="63308D4F" w:rsidR="00CE33E6" w:rsidRDefault="003719B1" w:rsidP="00CE33E6">
    <w:pPr>
      <w:pStyle w:val="Footer"/>
      <w:ind w:right="360"/>
    </w:pPr>
    <w:r>
      <w:rPr>
        <w:noProof/>
      </w:rPr>
      <w:drawing>
        <wp:anchor distT="0" distB="0" distL="114300" distR="114300" simplePos="0" relativeHeight="251661312" behindDoc="0" locked="0" layoutInCell="1" allowOverlap="1" wp14:anchorId="58AA0BB4" wp14:editId="55F63A01">
          <wp:simplePos x="0" y="0"/>
          <wp:positionH relativeFrom="column">
            <wp:posOffset>-922867</wp:posOffset>
          </wp:positionH>
          <wp:positionV relativeFrom="page">
            <wp:posOffset>9549553</wp:posOffset>
          </wp:positionV>
          <wp:extent cx="7581900" cy="121031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54F9" w14:textId="77777777" w:rsidR="005577D9" w:rsidRDefault="005577D9" w:rsidP="00C52B71">
      <w:r>
        <w:separator/>
      </w:r>
    </w:p>
  </w:footnote>
  <w:footnote w:type="continuationSeparator" w:id="0">
    <w:p w14:paraId="7458B4BC" w14:textId="77777777" w:rsidR="005577D9" w:rsidRDefault="005577D9" w:rsidP="00C52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38AE" w14:textId="723B0298" w:rsidR="003719B1" w:rsidRDefault="003719B1">
    <w:pPr>
      <w:pStyle w:val="Header"/>
    </w:pPr>
    <w:r>
      <w:rPr>
        <w:noProof/>
      </w:rPr>
      <w:drawing>
        <wp:anchor distT="0" distB="0" distL="114300" distR="114300" simplePos="0" relativeHeight="251659264" behindDoc="1" locked="0" layoutInCell="1" allowOverlap="1" wp14:anchorId="5CDF6E03" wp14:editId="31314D2C">
          <wp:simplePos x="0" y="0"/>
          <wp:positionH relativeFrom="column">
            <wp:posOffset>-758194</wp:posOffset>
          </wp:positionH>
          <wp:positionV relativeFrom="paragraph">
            <wp:posOffset>-457835</wp:posOffset>
          </wp:positionV>
          <wp:extent cx="7581900" cy="3270885"/>
          <wp:effectExtent l="0" t="0" r="0" b="5715"/>
          <wp:wrapTight wrapText="bothSides">
            <wp:wrapPolygon edited="0">
              <wp:start x="0" y="0"/>
              <wp:lineTo x="0" y="15348"/>
              <wp:lineTo x="9914" y="16103"/>
              <wp:lineTo x="9914" y="16186"/>
              <wp:lineTo x="21238" y="21554"/>
              <wp:lineTo x="21347" y="21554"/>
              <wp:lineTo x="21564" y="21554"/>
              <wp:lineTo x="21564" y="0"/>
              <wp:lineTo x="0" y="0"/>
            </wp:wrapPolygon>
          </wp:wrapTight>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1900" cy="3270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093D"/>
    <w:multiLevelType w:val="hybridMultilevel"/>
    <w:tmpl w:val="54CA4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24621"/>
    <w:multiLevelType w:val="hybridMultilevel"/>
    <w:tmpl w:val="0476A2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8D6802"/>
    <w:multiLevelType w:val="hybridMultilevel"/>
    <w:tmpl w:val="66F88E8C"/>
    <w:lvl w:ilvl="0" w:tplc="22C41B80">
      <w:start w:val="5"/>
      <w:numFmt w:val="bullet"/>
      <w:lvlText w:val="-"/>
      <w:lvlJc w:val="left"/>
      <w:pPr>
        <w:ind w:left="720" w:hanging="360"/>
      </w:pPr>
      <w:rPr>
        <w:rFonts w:ascii="Proxima Nova" w:eastAsiaTheme="minorHAnsi" w:hAnsi="Proxima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24FF1"/>
    <w:multiLevelType w:val="hybridMultilevel"/>
    <w:tmpl w:val="1DA4871C"/>
    <w:lvl w:ilvl="0" w:tplc="08090017">
      <w:start w:val="1"/>
      <w:numFmt w:val="lowerLetter"/>
      <w:lvlText w:val="%1)"/>
      <w:lvlJc w:val="left"/>
      <w:pPr>
        <w:ind w:left="-1095" w:hanging="360"/>
      </w:pPr>
    </w:lvl>
    <w:lvl w:ilvl="1" w:tplc="08090019" w:tentative="1">
      <w:start w:val="1"/>
      <w:numFmt w:val="lowerLetter"/>
      <w:lvlText w:val="%2."/>
      <w:lvlJc w:val="left"/>
      <w:pPr>
        <w:ind w:left="-375" w:hanging="360"/>
      </w:pPr>
    </w:lvl>
    <w:lvl w:ilvl="2" w:tplc="0809001B" w:tentative="1">
      <w:start w:val="1"/>
      <w:numFmt w:val="lowerRoman"/>
      <w:lvlText w:val="%3."/>
      <w:lvlJc w:val="right"/>
      <w:pPr>
        <w:ind w:left="345" w:hanging="180"/>
      </w:pPr>
    </w:lvl>
    <w:lvl w:ilvl="3" w:tplc="0809000F" w:tentative="1">
      <w:start w:val="1"/>
      <w:numFmt w:val="decimal"/>
      <w:lvlText w:val="%4."/>
      <w:lvlJc w:val="left"/>
      <w:pPr>
        <w:ind w:left="1065" w:hanging="360"/>
      </w:pPr>
    </w:lvl>
    <w:lvl w:ilvl="4" w:tplc="08090019" w:tentative="1">
      <w:start w:val="1"/>
      <w:numFmt w:val="lowerLetter"/>
      <w:lvlText w:val="%5."/>
      <w:lvlJc w:val="left"/>
      <w:pPr>
        <w:ind w:left="1785" w:hanging="360"/>
      </w:pPr>
    </w:lvl>
    <w:lvl w:ilvl="5" w:tplc="0809001B" w:tentative="1">
      <w:start w:val="1"/>
      <w:numFmt w:val="lowerRoman"/>
      <w:lvlText w:val="%6."/>
      <w:lvlJc w:val="right"/>
      <w:pPr>
        <w:ind w:left="2505" w:hanging="180"/>
      </w:pPr>
    </w:lvl>
    <w:lvl w:ilvl="6" w:tplc="0809000F" w:tentative="1">
      <w:start w:val="1"/>
      <w:numFmt w:val="decimal"/>
      <w:lvlText w:val="%7."/>
      <w:lvlJc w:val="left"/>
      <w:pPr>
        <w:ind w:left="3225" w:hanging="360"/>
      </w:pPr>
    </w:lvl>
    <w:lvl w:ilvl="7" w:tplc="08090019" w:tentative="1">
      <w:start w:val="1"/>
      <w:numFmt w:val="lowerLetter"/>
      <w:lvlText w:val="%8."/>
      <w:lvlJc w:val="left"/>
      <w:pPr>
        <w:ind w:left="3945" w:hanging="360"/>
      </w:pPr>
    </w:lvl>
    <w:lvl w:ilvl="8" w:tplc="0809001B" w:tentative="1">
      <w:start w:val="1"/>
      <w:numFmt w:val="lowerRoman"/>
      <w:lvlText w:val="%9."/>
      <w:lvlJc w:val="right"/>
      <w:pPr>
        <w:ind w:left="4665" w:hanging="180"/>
      </w:pPr>
    </w:lvl>
  </w:abstractNum>
  <w:abstractNum w:abstractNumId="4" w15:restartNumberingAfterBreak="0">
    <w:nsid w:val="167F42F3"/>
    <w:multiLevelType w:val="hybridMultilevel"/>
    <w:tmpl w:val="A27CD7C0"/>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030D00"/>
    <w:multiLevelType w:val="multilevel"/>
    <w:tmpl w:val="CC14B4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70A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AB6537"/>
    <w:multiLevelType w:val="multilevel"/>
    <w:tmpl w:val="914225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715262"/>
    <w:multiLevelType w:val="hybridMultilevel"/>
    <w:tmpl w:val="BAA611C2"/>
    <w:lvl w:ilvl="0" w:tplc="EE56F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F7210"/>
    <w:multiLevelType w:val="hybridMultilevel"/>
    <w:tmpl w:val="4ED00E7A"/>
    <w:lvl w:ilvl="0" w:tplc="874626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26ACC"/>
    <w:multiLevelType w:val="multilevel"/>
    <w:tmpl w:val="0610D044"/>
    <w:lvl w:ilvl="0">
      <w:start w:val="4"/>
      <w:numFmt w:val="decimal"/>
      <w:lvlText w:val="%1"/>
      <w:lvlJc w:val="left"/>
      <w:pPr>
        <w:ind w:left="430" w:hanging="430"/>
      </w:pPr>
      <w:rPr>
        <w:rFonts w:hint="default"/>
        <w:color w:val="000000" w:themeColor="text1"/>
      </w:rPr>
    </w:lvl>
    <w:lvl w:ilvl="1">
      <w:start w:val="26"/>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1" w15:restartNumberingAfterBreak="0">
    <w:nsid w:val="3C107B23"/>
    <w:multiLevelType w:val="multilevel"/>
    <w:tmpl w:val="7EE45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1E0BF1"/>
    <w:multiLevelType w:val="hybridMultilevel"/>
    <w:tmpl w:val="A27CD7C0"/>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462EF0"/>
    <w:multiLevelType w:val="hybridMultilevel"/>
    <w:tmpl w:val="41385DBA"/>
    <w:lvl w:ilvl="0" w:tplc="CCF8CABC">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06F78"/>
    <w:multiLevelType w:val="hybridMultilevel"/>
    <w:tmpl w:val="58D410CE"/>
    <w:lvl w:ilvl="0" w:tplc="5024DBFE">
      <w:start w:val="5"/>
      <w:numFmt w:val="bullet"/>
      <w:lvlText w:val="-"/>
      <w:lvlJc w:val="left"/>
      <w:pPr>
        <w:ind w:left="720" w:hanging="360"/>
      </w:pPr>
      <w:rPr>
        <w:rFonts w:ascii="Proxima Nova" w:eastAsiaTheme="minorHAnsi" w:hAnsi="Proxima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FC5BCC"/>
    <w:multiLevelType w:val="hybridMultilevel"/>
    <w:tmpl w:val="F418F66A"/>
    <w:lvl w:ilvl="0" w:tplc="8746264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84D54"/>
    <w:multiLevelType w:val="hybridMultilevel"/>
    <w:tmpl w:val="95DCBB5E"/>
    <w:lvl w:ilvl="0" w:tplc="874626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C49BA"/>
    <w:multiLevelType w:val="hybridMultilevel"/>
    <w:tmpl w:val="DE24B7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BC3395"/>
    <w:multiLevelType w:val="hybridMultilevel"/>
    <w:tmpl w:val="09C40ACC"/>
    <w:lvl w:ilvl="0" w:tplc="9092C0EE">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C1534"/>
    <w:multiLevelType w:val="hybridMultilevel"/>
    <w:tmpl w:val="A27CD7C0"/>
    <w:lvl w:ilvl="0" w:tplc="0E3C8AB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0B7940"/>
    <w:multiLevelType w:val="hybridMultilevel"/>
    <w:tmpl w:val="CE1C95B2"/>
    <w:lvl w:ilvl="0" w:tplc="874626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0678E"/>
    <w:multiLevelType w:val="multilevel"/>
    <w:tmpl w:val="B76AE6DA"/>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6E5121"/>
    <w:multiLevelType w:val="hybridMultilevel"/>
    <w:tmpl w:val="181A1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3118DF"/>
    <w:multiLevelType w:val="hybridMultilevel"/>
    <w:tmpl w:val="F5C8C530"/>
    <w:lvl w:ilvl="0" w:tplc="7F2E885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75213B"/>
    <w:multiLevelType w:val="hybridMultilevel"/>
    <w:tmpl w:val="0CBE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36A18"/>
    <w:multiLevelType w:val="hybridMultilevel"/>
    <w:tmpl w:val="F5FC82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4C0F25"/>
    <w:multiLevelType w:val="hybridMultilevel"/>
    <w:tmpl w:val="5D3A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381664">
    <w:abstractNumId w:val="13"/>
  </w:num>
  <w:num w:numId="2" w16cid:durableId="1239830195">
    <w:abstractNumId w:val="24"/>
  </w:num>
  <w:num w:numId="3" w16cid:durableId="1413887801">
    <w:abstractNumId w:val="18"/>
  </w:num>
  <w:num w:numId="4" w16cid:durableId="792333226">
    <w:abstractNumId w:val="6"/>
  </w:num>
  <w:num w:numId="5" w16cid:durableId="1138229578">
    <w:abstractNumId w:val="2"/>
  </w:num>
  <w:num w:numId="6" w16cid:durableId="1225799564">
    <w:abstractNumId w:val="14"/>
  </w:num>
  <w:num w:numId="7" w16cid:durableId="1706716907">
    <w:abstractNumId w:val="19"/>
  </w:num>
  <w:num w:numId="8" w16cid:durableId="1344866462">
    <w:abstractNumId w:val="12"/>
  </w:num>
  <w:num w:numId="9" w16cid:durableId="356392336">
    <w:abstractNumId w:val="4"/>
  </w:num>
  <w:num w:numId="10" w16cid:durableId="873005060">
    <w:abstractNumId w:val="23"/>
  </w:num>
  <w:num w:numId="11" w16cid:durableId="1846552397">
    <w:abstractNumId w:val="26"/>
  </w:num>
  <w:num w:numId="12" w16cid:durableId="1097099372">
    <w:abstractNumId w:val="7"/>
  </w:num>
  <w:num w:numId="13" w16cid:durableId="594099718">
    <w:abstractNumId w:val="22"/>
  </w:num>
  <w:num w:numId="14" w16cid:durableId="796487700">
    <w:abstractNumId w:val="17"/>
  </w:num>
  <w:num w:numId="15" w16cid:durableId="1287077901">
    <w:abstractNumId w:val="25"/>
  </w:num>
  <w:num w:numId="16" w16cid:durableId="1260983880">
    <w:abstractNumId w:val="8"/>
  </w:num>
  <w:num w:numId="17" w16cid:durableId="1107237581">
    <w:abstractNumId w:val="15"/>
  </w:num>
  <w:num w:numId="18" w16cid:durableId="1711221719">
    <w:abstractNumId w:val="3"/>
  </w:num>
  <w:num w:numId="19" w16cid:durableId="153952590">
    <w:abstractNumId w:val="16"/>
  </w:num>
  <w:num w:numId="20" w16cid:durableId="1682243622">
    <w:abstractNumId w:val="20"/>
  </w:num>
  <w:num w:numId="21" w16cid:durableId="1693914564">
    <w:abstractNumId w:val="9"/>
  </w:num>
  <w:num w:numId="22" w16cid:durableId="1105423365">
    <w:abstractNumId w:val="11"/>
  </w:num>
  <w:num w:numId="23" w16cid:durableId="536240794">
    <w:abstractNumId w:val="1"/>
  </w:num>
  <w:num w:numId="24" w16cid:durableId="252326903">
    <w:abstractNumId w:val="5"/>
  </w:num>
  <w:num w:numId="25" w16cid:durableId="449519058">
    <w:abstractNumId w:val="10"/>
  </w:num>
  <w:num w:numId="26" w16cid:durableId="200436037">
    <w:abstractNumId w:val="21"/>
  </w:num>
  <w:num w:numId="27" w16cid:durableId="721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73"/>
    <w:rsid w:val="00000F7C"/>
    <w:rsid w:val="000050C1"/>
    <w:rsid w:val="00014493"/>
    <w:rsid w:val="00042D3C"/>
    <w:rsid w:val="00051F82"/>
    <w:rsid w:val="000624CC"/>
    <w:rsid w:val="0006683B"/>
    <w:rsid w:val="00092966"/>
    <w:rsid w:val="000952FA"/>
    <w:rsid w:val="000964B7"/>
    <w:rsid w:val="000A20CC"/>
    <w:rsid w:val="000A5B24"/>
    <w:rsid w:val="000A6856"/>
    <w:rsid w:val="000B01B3"/>
    <w:rsid w:val="000B440E"/>
    <w:rsid w:val="000D5AFE"/>
    <w:rsid w:val="000D6892"/>
    <w:rsid w:val="000E1AF4"/>
    <w:rsid w:val="000F2B6D"/>
    <w:rsid w:val="000F33F4"/>
    <w:rsid w:val="0010458F"/>
    <w:rsid w:val="00111103"/>
    <w:rsid w:val="00130961"/>
    <w:rsid w:val="00131D45"/>
    <w:rsid w:val="00150F7B"/>
    <w:rsid w:val="0015490C"/>
    <w:rsid w:val="00164729"/>
    <w:rsid w:val="00174FCB"/>
    <w:rsid w:val="001A55CA"/>
    <w:rsid w:val="001C569E"/>
    <w:rsid w:val="001D3640"/>
    <w:rsid w:val="002061B4"/>
    <w:rsid w:val="00207CF3"/>
    <w:rsid w:val="0021085E"/>
    <w:rsid w:val="00232ADA"/>
    <w:rsid w:val="002366A2"/>
    <w:rsid w:val="002408D3"/>
    <w:rsid w:val="0024176A"/>
    <w:rsid w:val="0024534C"/>
    <w:rsid w:val="00251056"/>
    <w:rsid w:val="002538F8"/>
    <w:rsid w:val="00254CA0"/>
    <w:rsid w:val="002631DE"/>
    <w:rsid w:val="00275576"/>
    <w:rsid w:val="002A5618"/>
    <w:rsid w:val="002D4EBF"/>
    <w:rsid w:val="002F289E"/>
    <w:rsid w:val="003003D0"/>
    <w:rsid w:val="00305ED6"/>
    <w:rsid w:val="00320128"/>
    <w:rsid w:val="003271A8"/>
    <w:rsid w:val="00335CF5"/>
    <w:rsid w:val="00347517"/>
    <w:rsid w:val="00347A73"/>
    <w:rsid w:val="0036083E"/>
    <w:rsid w:val="00362DA5"/>
    <w:rsid w:val="003719B1"/>
    <w:rsid w:val="00396167"/>
    <w:rsid w:val="00396470"/>
    <w:rsid w:val="003A5BF7"/>
    <w:rsid w:val="003B40B0"/>
    <w:rsid w:val="003C115D"/>
    <w:rsid w:val="003C70FA"/>
    <w:rsid w:val="003E2ECA"/>
    <w:rsid w:val="003E4B79"/>
    <w:rsid w:val="003E6698"/>
    <w:rsid w:val="003F4712"/>
    <w:rsid w:val="00401D2D"/>
    <w:rsid w:val="00403E1E"/>
    <w:rsid w:val="004268C3"/>
    <w:rsid w:val="00435D91"/>
    <w:rsid w:val="00441C57"/>
    <w:rsid w:val="00451FEA"/>
    <w:rsid w:val="0046136C"/>
    <w:rsid w:val="004618F0"/>
    <w:rsid w:val="004619E4"/>
    <w:rsid w:val="00481F14"/>
    <w:rsid w:val="004839E2"/>
    <w:rsid w:val="00491BC0"/>
    <w:rsid w:val="004942BA"/>
    <w:rsid w:val="004A5BCA"/>
    <w:rsid w:val="004B2416"/>
    <w:rsid w:val="004B354D"/>
    <w:rsid w:val="004B47EA"/>
    <w:rsid w:val="004D114B"/>
    <w:rsid w:val="004E27D4"/>
    <w:rsid w:val="004E2BAD"/>
    <w:rsid w:val="004E6883"/>
    <w:rsid w:val="004F3C24"/>
    <w:rsid w:val="00506EB4"/>
    <w:rsid w:val="005173C6"/>
    <w:rsid w:val="005253EE"/>
    <w:rsid w:val="005277D8"/>
    <w:rsid w:val="00552B6E"/>
    <w:rsid w:val="005577D9"/>
    <w:rsid w:val="00575C5F"/>
    <w:rsid w:val="0058576E"/>
    <w:rsid w:val="005A7BCD"/>
    <w:rsid w:val="005D2634"/>
    <w:rsid w:val="005F5E8D"/>
    <w:rsid w:val="00601517"/>
    <w:rsid w:val="0060224E"/>
    <w:rsid w:val="0060592A"/>
    <w:rsid w:val="00611C09"/>
    <w:rsid w:val="00616981"/>
    <w:rsid w:val="00621297"/>
    <w:rsid w:val="00623B83"/>
    <w:rsid w:val="00653521"/>
    <w:rsid w:val="006767CC"/>
    <w:rsid w:val="00685E32"/>
    <w:rsid w:val="006C2411"/>
    <w:rsid w:val="006C2EC0"/>
    <w:rsid w:val="006C43C5"/>
    <w:rsid w:val="006C6E8B"/>
    <w:rsid w:val="006E4A8E"/>
    <w:rsid w:val="006F2998"/>
    <w:rsid w:val="006F7D6F"/>
    <w:rsid w:val="007325FB"/>
    <w:rsid w:val="00743467"/>
    <w:rsid w:val="00746BBB"/>
    <w:rsid w:val="00760698"/>
    <w:rsid w:val="00787FEF"/>
    <w:rsid w:val="007978E1"/>
    <w:rsid w:val="007A197E"/>
    <w:rsid w:val="007A689E"/>
    <w:rsid w:val="007B1539"/>
    <w:rsid w:val="007B684E"/>
    <w:rsid w:val="007C3266"/>
    <w:rsid w:val="007F7C43"/>
    <w:rsid w:val="00810865"/>
    <w:rsid w:val="00844C54"/>
    <w:rsid w:val="00846718"/>
    <w:rsid w:val="00854C14"/>
    <w:rsid w:val="008A375D"/>
    <w:rsid w:val="008D0A33"/>
    <w:rsid w:val="008D4ED7"/>
    <w:rsid w:val="008D5948"/>
    <w:rsid w:val="008E73E1"/>
    <w:rsid w:val="008F169D"/>
    <w:rsid w:val="008F61EC"/>
    <w:rsid w:val="009118E1"/>
    <w:rsid w:val="0092050A"/>
    <w:rsid w:val="00940065"/>
    <w:rsid w:val="0094267C"/>
    <w:rsid w:val="00942DC0"/>
    <w:rsid w:val="009571E5"/>
    <w:rsid w:val="00957FA3"/>
    <w:rsid w:val="00973E76"/>
    <w:rsid w:val="009B4A41"/>
    <w:rsid w:val="009E444E"/>
    <w:rsid w:val="00A000B8"/>
    <w:rsid w:val="00A03064"/>
    <w:rsid w:val="00A138D9"/>
    <w:rsid w:val="00A16692"/>
    <w:rsid w:val="00A31993"/>
    <w:rsid w:val="00A365A5"/>
    <w:rsid w:val="00A4512C"/>
    <w:rsid w:val="00A46296"/>
    <w:rsid w:val="00A55800"/>
    <w:rsid w:val="00A60E58"/>
    <w:rsid w:val="00A6208A"/>
    <w:rsid w:val="00A907B4"/>
    <w:rsid w:val="00AA18E0"/>
    <w:rsid w:val="00AA3B8C"/>
    <w:rsid w:val="00AA62D6"/>
    <w:rsid w:val="00AB4BCD"/>
    <w:rsid w:val="00AB5E93"/>
    <w:rsid w:val="00B01EF1"/>
    <w:rsid w:val="00B101F9"/>
    <w:rsid w:val="00B20FD4"/>
    <w:rsid w:val="00B31ED5"/>
    <w:rsid w:val="00B530D4"/>
    <w:rsid w:val="00B67A90"/>
    <w:rsid w:val="00B7236D"/>
    <w:rsid w:val="00B72A42"/>
    <w:rsid w:val="00B83296"/>
    <w:rsid w:val="00B85E84"/>
    <w:rsid w:val="00B978D4"/>
    <w:rsid w:val="00BB4AFF"/>
    <w:rsid w:val="00BB5991"/>
    <w:rsid w:val="00BD29F9"/>
    <w:rsid w:val="00BF22E4"/>
    <w:rsid w:val="00BF52CD"/>
    <w:rsid w:val="00C06CE4"/>
    <w:rsid w:val="00C15620"/>
    <w:rsid w:val="00C25FB1"/>
    <w:rsid w:val="00C369A4"/>
    <w:rsid w:val="00C41832"/>
    <w:rsid w:val="00C52B71"/>
    <w:rsid w:val="00C536EA"/>
    <w:rsid w:val="00C61142"/>
    <w:rsid w:val="00C75B31"/>
    <w:rsid w:val="00C87838"/>
    <w:rsid w:val="00C92745"/>
    <w:rsid w:val="00C939E9"/>
    <w:rsid w:val="00CB10A5"/>
    <w:rsid w:val="00CD7DA0"/>
    <w:rsid w:val="00CE33E6"/>
    <w:rsid w:val="00CF0EC2"/>
    <w:rsid w:val="00CF4EBC"/>
    <w:rsid w:val="00D01180"/>
    <w:rsid w:val="00D24C04"/>
    <w:rsid w:val="00D55211"/>
    <w:rsid w:val="00D767B6"/>
    <w:rsid w:val="00D917AC"/>
    <w:rsid w:val="00DB1C10"/>
    <w:rsid w:val="00DB69ED"/>
    <w:rsid w:val="00DC73B7"/>
    <w:rsid w:val="00DD17AE"/>
    <w:rsid w:val="00DF37DB"/>
    <w:rsid w:val="00DF66D6"/>
    <w:rsid w:val="00E35087"/>
    <w:rsid w:val="00E41FC2"/>
    <w:rsid w:val="00E61C0C"/>
    <w:rsid w:val="00E626E1"/>
    <w:rsid w:val="00E669E1"/>
    <w:rsid w:val="00E76C4C"/>
    <w:rsid w:val="00E95767"/>
    <w:rsid w:val="00EA3CA8"/>
    <w:rsid w:val="00EB10B1"/>
    <w:rsid w:val="00EC57BE"/>
    <w:rsid w:val="00ED7EDE"/>
    <w:rsid w:val="00EF14AA"/>
    <w:rsid w:val="00F15BD3"/>
    <w:rsid w:val="00F173FE"/>
    <w:rsid w:val="00F20238"/>
    <w:rsid w:val="00F22D66"/>
    <w:rsid w:val="00F25E34"/>
    <w:rsid w:val="00F32E0C"/>
    <w:rsid w:val="00F35E01"/>
    <w:rsid w:val="00F374AF"/>
    <w:rsid w:val="00F522FC"/>
    <w:rsid w:val="00F64FA8"/>
    <w:rsid w:val="00F72A41"/>
    <w:rsid w:val="00F737FB"/>
    <w:rsid w:val="00F86C3D"/>
    <w:rsid w:val="00F97A62"/>
    <w:rsid w:val="00FC4927"/>
    <w:rsid w:val="00FC5F3C"/>
    <w:rsid w:val="00FC6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C5AE"/>
  <w15:chartTrackingRefBased/>
  <w15:docId w15:val="{45E78FC6-A57F-974F-BBCA-5C4693FE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E1"/>
  </w:style>
  <w:style w:type="paragraph" w:styleId="Heading1">
    <w:name w:val="heading 1"/>
    <w:basedOn w:val="Normal"/>
    <w:next w:val="Normal"/>
    <w:link w:val="Heading1Char"/>
    <w:uiPriority w:val="9"/>
    <w:qFormat/>
    <w:rsid w:val="003C11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3C115D"/>
    <w:pPr>
      <w:ind w:left="720"/>
      <w:contextualSpacing/>
    </w:pPr>
  </w:style>
  <w:style w:type="character" w:styleId="Hyperlink">
    <w:name w:val="Hyperlink"/>
    <w:basedOn w:val="DefaultParagraphFont"/>
    <w:uiPriority w:val="99"/>
    <w:unhideWhenUsed/>
    <w:rsid w:val="003C115D"/>
    <w:rPr>
      <w:color w:val="0563C1" w:themeColor="hyperlink"/>
      <w:u w:val="single"/>
    </w:rPr>
  </w:style>
  <w:style w:type="character" w:styleId="UnresolvedMention">
    <w:name w:val="Unresolved Mention"/>
    <w:basedOn w:val="DefaultParagraphFont"/>
    <w:uiPriority w:val="99"/>
    <w:semiHidden/>
    <w:unhideWhenUsed/>
    <w:rsid w:val="003C115D"/>
    <w:rPr>
      <w:color w:val="605E5C"/>
      <w:shd w:val="clear" w:color="auto" w:fill="E1DFDD"/>
    </w:rPr>
  </w:style>
  <w:style w:type="character" w:customStyle="1" w:styleId="Heading1Char">
    <w:name w:val="Heading 1 Char"/>
    <w:basedOn w:val="DefaultParagraphFont"/>
    <w:link w:val="Heading1"/>
    <w:uiPriority w:val="9"/>
    <w:rsid w:val="003C115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nhideWhenUsed/>
    <w:rsid w:val="00C52B71"/>
    <w:rPr>
      <w:sz w:val="20"/>
      <w:szCs w:val="20"/>
    </w:rPr>
  </w:style>
  <w:style w:type="character" w:customStyle="1" w:styleId="FootnoteTextChar">
    <w:name w:val="Footnote Text Char"/>
    <w:basedOn w:val="DefaultParagraphFont"/>
    <w:link w:val="FootnoteText"/>
    <w:rsid w:val="00C52B71"/>
    <w:rPr>
      <w:sz w:val="20"/>
      <w:szCs w:val="20"/>
    </w:rPr>
  </w:style>
  <w:style w:type="character" w:styleId="FootnoteReference">
    <w:name w:val="footnote reference"/>
    <w:basedOn w:val="DefaultParagraphFont"/>
    <w:semiHidden/>
    <w:unhideWhenUsed/>
    <w:rsid w:val="00C52B71"/>
    <w:rPr>
      <w:vertAlign w:val="superscript"/>
    </w:rPr>
  </w:style>
  <w:style w:type="paragraph" w:styleId="EndnoteText">
    <w:name w:val="endnote text"/>
    <w:aliases w:val="2_G"/>
    <w:basedOn w:val="Normal"/>
    <w:link w:val="EndnoteTextChar"/>
    <w:uiPriority w:val="99"/>
    <w:unhideWhenUsed/>
    <w:qFormat/>
    <w:rsid w:val="00552B6E"/>
    <w:rPr>
      <w:sz w:val="20"/>
      <w:szCs w:val="20"/>
    </w:rPr>
  </w:style>
  <w:style w:type="character" w:customStyle="1" w:styleId="EndnoteTextChar">
    <w:name w:val="Endnote Text Char"/>
    <w:aliases w:val="2_G Char"/>
    <w:basedOn w:val="DefaultParagraphFont"/>
    <w:link w:val="EndnoteText"/>
    <w:uiPriority w:val="99"/>
    <w:rsid w:val="00552B6E"/>
    <w:rPr>
      <w:sz w:val="20"/>
      <w:szCs w:val="20"/>
    </w:rPr>
  </w:style>
  <w:style w:type="character" w:styleId="EndnoteReference">
    <w:name w:val="endnote reference"/>
    <w:aliases w:val="1_G"/>
    <w:basedOn w:val="DefaultParagraphFont"/>
    <w:uiPriority w:val="99"/>
    <w:unhideWhenUsed/>
    <w:qFormat/>
    <w:rsid w:val="00552B6E"/>
    <w:rPr>
      <w:vertAlign w:val="superscript"/>
    </w:rPr>
  </w:style>
  <w:style w:type="character" w:styleId="FollowedHyperlink">
    <w:name w:val="FollowedHyperlink"/>
    <w:basedOn w:val="DefaultParagraphFont"/>
    <w:uiPriority w:val="99"/>
    <w:semiHidden/>
    <w:unhideWhenUsed/>
    <w:rsid w:val="00441C57"/>
    <w:rPr>
      <w:color w:val="954F72" w:themeColor="followedHyperlink"/>
      <w:u w:val="single"/>
    </w:rPr>
  </w:style>
  <w:style w:type="paragraph" w:styleId="Footer">
    <w:name w:val="footer"/>
    <w:basedOn w:val="Normal"/>
    <w:link w:val="FooterChar"/>
    <w:uiPriority w:val="99"/>
    <w:unhideWhenUsed/>
    <w:rsid w:val="00CE33E6"/>
    <w:pPr>
      <w:tabs>
        <w:tab w:val="center" w:pos="4513"/>
        <w:tab w:val="right" w:pos="9026"/>
      </w:tabs>
    </w:pPr>
  </w:style>
  <w:style w:type="character" w:customStyle="1" w:styleId="FooterChar">
    <w:name w:val="Footer Char"/>
    <w:basedOn w:val="DefaultParagraphFont"/>
    <w:link w:val="Footer"/>
    <w:uiPriority w:val="99"/>
    <w:rsid w:val="00CE33E6"/>
  </w:style>
  <w:style w:type="character" w:styleId="PageNumber">
    <w:name w:val="page number"/>
    <w:basedOn w:val="DefaultParagraphFont"/>
    <w:uiPriority w:val="99"/>
    <w:semiHidden/>
    <w:unhideWhenUsed/>
    <w:rsid w:val="00CE33E6"/>
  </w:style>
  <w:style w:type="paragraph" w:styleId="Header">
    <w:name w:val="header"/>
    <w:basedOn w:val="Normal"/>
    <w:link w:val="HeaderChar"/>
    <w:uiPriority w:val="99"/>
    <w:unhideWhenUsed/>
    <w:rsid w:val="00CE33E6"/>
    <w:pPr>
      <w:tabs>
        <w:tab w:val="center" w:pos="4513"/>
        <w:tab w:val="right" w:pos="9026"/>
      </w:tabs>
    </w:pPr>
  </w:style>
  <w:style w:type="character" w:customStyle="1" w:styleId="HeaderChar">
    <w:name w:val="Header Char"/>
    <w:basedOn w:val="DefaultParagraphFont"/>
    <w:link w:val="Header"/>
    <w:uiPriority w:val="99"/>
    <w:rsid w:val="00CE33E6"/>
  </w:style>
  <w:style w:type="paragraph" w:styleId="Revision">
    <w:name w:val="Revision"/>
    <w:hidden/>
    <w:uiPriority w:val="99"/>
    <w:semiHidden/>
    <w:rsid w:val="00CF4EBC"/>
  </w:style>
  <w:style w:type="paragraph" w:customStyle="1" w:styleId="Default">
    <w:name w:val="Default"/>
    <w:rsid w:val="00396167"/>
    <w:pPr>
      <w:autoSpaceDE w:val="0"/>
      <w:autoSpaceDN w:val="0"/>
      <w:adjustRightInd w:val="0"/>
    </w:pPr>
    <w:rPr>
      <w:rFonts w:ascii="Times New Roman" w:hAnsi="Times New Roman" w:cs="Times New Roman"/>
      <w:color w:val="000000"/>
      <w:lang w:val="en-US"/>
    </w:rPr>
  </w:style>
  <w:style w:type="character" w:styleId="CommentReference">
    <w:name w:val="annotation reference"/>
    <w:basedOn w:val="DefaultParagraphFont"/>
    <w:uiPriority w:val="99"/>
    <w:semiHidden/>
    <w:unhideWhenUsed/>
    <w:rsid w:val="00FC6041"/>
    <w:rPr>
      <w:sz w:val="16"/>
      <w:szCs w:val="16"/>
    </w:rPr>
  </w:style>
  <w:style w:type="paragraph" w:styleId="CommentText">
    <w:name w:val="annotation text"/>
    <w:basedOn w:val="Normal"/>
    <w:link w:val="CommentTextChar"/>
    <w:uiPriority w:val="99"/>
    <w:semiHidden/>
    <w:unhideWhenUsed/>
    <w:rsid w:val="00FC604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C6041"/>
    <w:rPr>
      <w:rFonts w:ascii="Times New Roman" w:eastAsia="Times New Roman" w:hAnsi="Times New Roman" w:cs="Times New Roman"/>
      <w:sz w:val="20"/>
      <w:szCs w:val="20"/>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FC6041"/>
  </w:style>
  <w:style w:type="paragraph" w:styleId="CommentSubject">
    <w:name w:val="annotation subject"/>
    <w:basedOn w:val="CommentText"/>
    <w:next w:val="CommentText"/>
    <w:link w:val="CommentSubjectChar"/>
    <w:uiPriority w:val="99"/>
    <w:semiHidden/>
    <w:unhideWhenUsed/>
    <w:rsid w:val="00C536EA"/>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36E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47517"/>
    <w:rPr>
      <w:rFonts w:ascii="Times New Roman" w:hAnsi="Times New Roman" w:cs="Times New Roman"/>
    </w:rPr>
  </w:style>
  <w:style w:type="paragraph" w:customStyle="1" w:styleId="SingleTxt">
    <w:name w:val="__Single Txt"/>
    <w:basedOn w:val="Normal"/>
    <w:rsid w:val="0009296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character" w:customStyle="1" w:styleId="highlight">
    <w:name w:val="highlight"/>
    <w:basedOn w:val="DefaultParagraphFont"/>
    <w:rsid w:val="006F2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6337">
      <w:bodyDiv w:val="1"/>
      <w:marLeft w:val="0"/>
      <w:marRight w:val="0"/>
      <w:marTop w:val="0"/>
      <w:marBottom w:val="0"/>
      <w:divBdr>
        <w:top w:val="none" w:sz="0" w:space="0" w:color="auto"/>
        <w:left w:val="none" w:sz="0" w:space="0" w:color="auto"/>
        <w:bottom w:val="none" w:sz="0" w:space="0" w:color="auto"/>
        <w:right w:val="none" w:sz="0" w:space="0" w:color="auto"/>
      </w:divBdr>
      <w:divsChild>
        <w:div w:id="269747467">
          <w:marLeft w:val="0"/>
          <w:marRight w:val="0"/>
          <w:marTop w:val="0"/>
          <w:marBottom w:val="0"/>
          <w:divBdr>
            <w:top w:val="none" w:sz="0" w:space="0" w:color="auto"/>
            <w:left w:val="none" w:sz="0" w:space="0" w:color="auto"/>
            <w:bottom w:val="none" w:sz="0" w:space="0" w:color="auto"/>
            <w:right w:val="none" w:sz="0" w:space="0" w:color="auto"/>
          </w:divBdr>
          <w:divsChild>
            <w:div w:id="1670133631">
              <w:marLeft w:val="0"/>
              <w:marRight w:val="0"/>
              <w:marTop w:val="0"/>
              <w:marBottom w:val="0"/>
              <w:divBdr>
                <w:top w:val="none" w:sz="0" w:space="0" w:color="auto"/>
                <w:left w:val="none" w:sz="0" w:space="0" w:color="auto"/>
                <w:bottom w:val="none" w:sz="0" w:space="0" w:color="auto"/>
                <w:right w:val="none" w:sz="0" w:space="0" w:color="auto"/>
              </w:divBdr>
              <w:divsChild>
                <w:div w:id="7268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4910">
      <w:bodyDiv w:val="1"/>
      <w:marLeft w:val="0"/>
      <w:marRight w:val="0"/>
      <w:marTop w:val="0"/>
      <w:marBottom w:val="0"/>
      <w:divBdr>
        <w:top w:val="none" w:sz="0" w:space="0" w:color="auto"/>
        <w:left w:val="none" w:sz="0" w:space="0" w:color="auto"/>
        <w:bottom w:val="none" w:sz="0" w:space="0" w:color="auto"/>
        <w:right w:val="none" w:sz="0" w:space="0" w:color="auto"/>
      </w:divBdr>
    </w:div>
    <w:div w:id="715466253">
      <w:bodyDiv w:val="1"/>
      <w:marLeft w:val="0"/>
      <w:marRight w:val="0"/>
      <w:marTop w:val="0"/>
      <w:marBottom w:val="0"/>
      <w:divBdr>
        <w:top w:val="none" w:sz="0" w:space="0" w:color="auto"/>
        <w:left w:val="none" w:sz="0" w:space="0" w:color="auto"/>
        <w:bottom w:val="none" w:sz="0" w:space="0" w:color="auto"/>
        <w:right w:val="none" w:sz="0" w:space="0" w:color="auto"/>
      </w:divBdr>
    </w:div>
    <w:div w:id="901254237">
      <w:bodyDiv w:val="1"/>
      <w:marLeft w:val="0"/>
      <w:marRight w:val="0"/>
      <w:marTop w:val="0"/>
      <w:marBottom w:val="0"/>
      <w:divBdr>
        <w:top w:val="none" w:sz="0" w:space="0" w:color="auto"/>
        <w:left w:val="none" w:sz="0" w:space="0" w:color="auto"/>
        <w:bottom w:val="none" w:sz="0" w:space="0" w:color="auto"/>
        <w:right w:val="none" w:sz="0" w:space="0" w:color="auto"/>
      </w:divBdr>
    </w:div>
    <w:div w:id="910458216">
      <w:bodyDiv w:val="1"/>
      <w:marLeft w:val="0"/>
      <w:marRight w:val="0"/>
      <w:marTop w:val="0"/>
      <w:marBottom w:val="0"/>
      <w:divBdr>
        <w:top w:val="none" w:sz="0" w:space="0" w:color="auto"/>
        <w:left w:val="none" w:sz="0" w:space="0" w:color="auto"/>
        <w:bottom w:val="none" w:sz="0" w:space="0" w:color="auto"/>
        <w:right w:val="none" w:sz="0" w:space="0" w:color="auto"/>
      </w:divBdr>
      <w:divsChild>
        <w:div w:id="736316416">
          <w:marLeft w:val="0"/>
          <w:marRight w:val="0"/>
          <w:marTop w:val="0"/>
          <w:marBottom w:val="0"/>
          <w:divBdr>
            <w:top w:val="none" w:sz="0" w:space="0" w:color="auto"/>
            <w:left w:val="none" w:sz="0" w:space="0" w:color="auto"/>
            <w:bottom w:val="none" w:sz="0" w:space="0" w:color="auto"/>
            <w:right w:val="none" w:sz="0" w:space="0" w:color="auto"/>
          </w:divBdr>
          <w:divsChild>
            <w:div w:id="1522549923">
              <w:marLeft w:val="0"/>
              <w:marRight w:val="0"/>
              <w:marTop w:val="0"/>
              <w:marBottom w:val="0"/>
              <w:divBdr>
                <w:top w:val="none" w:sz="0" w:space="0" w:color="auto"/>
                <w:left w:val="none" w:sz="0" w:space="0" w:color="auto"/>
                <w:bottom w:val="none" w:sz="0" w:space="0" w:color="auto"/>
                <w:right w:val="none" w:sz="0" w:space="0" w:color="auto"/>
              </w:divBdr>
              <w:divsChild>
                <w:div w:id="11557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64446">
      <w:bodyDiv w:val="1"/>
      <w:marLeft w:val="0"/>
      <w:marRight w:val="0"/>
      <w:marTop w:val="0"/>
      <w:marBottom w:val="0"/>
      <w:divBdr>
        <w:top w:val="none" w:sz="0" w:space="0" w:color="auto"/>
        <w:left w:val="none" w:sz="0" w:space="0" w:color="auto"/>
        <w:bottom w:val="none" w:sz="0" w:space="0" w:color="auto"/>
        <w:right w:val="none" w:sz="0" w:space="0" w:color="auto"/>
      </w:divBdr>
    </w:div>
    <w:div w:id="1403142567">
      <w:bodyDiv w:val="1"/>
      <w:marLeft w:val="0"/>
      <w:marRight w:val="0"/>
      <w:marTop w:val="0"/>
      <w:marBottom w:val="0"/>
      <w:divBdr>
        <w:top w:val="none" w:sz="0" w:space="0" w:color="auto"/>
        <w:left w:val="none" w:sz="0" w:space="0" w:color="auto"/>
        <w:bottom w:val="none" w:sz="0" w:space="0" w:color="auto"/>
        <w:right w:val="none" w:sz="0" w:space="0" w:color="auto"/>
      </w:divBdr>
      <w:divsChild>
        <w:div w:id="1871184118">
          <w:marLeft w:val="0"/>
          <w:marRight w:val="0"/>
          <w:marTop w:val="0"/>
          <w:marBottom w:val="0"/>
          <w:divBdr>
            <w:top w:val="none" w:sz="0" w:space="0" w:color="auto"/>
            <w:left w:val="none" w:sz="0" w:space="0" w:color="auto"/>
            <w:bottom w:val="none" w:sz="0" w:space="0" w:color="auto"/>
            <w:right w:val="none" w:sz="0" w:space="0" w:color="auto"/>
          </w:divBdr>
          <w:divsChild>
            <w:div w:id="372534222">
              <w:marLeft w:val="0"/>
              <w:marRight w:val="0"/>
              <w:marTop w:val="0"/>
              <w:marBottom w:val="0"/>
              <w:divBdr>
                <w:top w:val="none" w:sz="0" w:space="0" w:color="auto"/>
                <w:left w:val="none" w:sz="0" w:space="0" w:color="auto"/>
                <w:bottom w:val="none" w:sz="0" w:space="0" w:color="auto"/>
                <w:right w:val="none" w:sz="0" w:space="0" w:color="auto"/>
              </w:divBdr>
              <w:divsChild>
                <w:div w:id="19479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4548">
      <w:bodyDiv w:val="1"/>
      <w:marLeft w:val="0"/>
      <w:marRight w:val="0"/>
      <w:marTop w:val="0"/>
      <w:marBottom w:val="0"/>
      <w:divBdr>
        <w:top w:val="none" w:sz="0" w:space="0" w:color="auto"/>
        <w:left w:val="none" w:sz="0" w:space="0" w:color="auto"/>
        <w:bottom w:val="none" w:sz="0" w:space="0" w:color="auto"/>
        <w:right w:val="none" w:sz="0" w:space="0" w:color="auto"/>
      </w:divBdr>
    </w:div>
    <w:div w:id="1632009016">
      <w:bodyDiv w:val="1"/>
      <w:marLeft w:val="0"/>
      <w:marRight w:val="0"/>
      <w:marTop w:val="0"/>
      <w:marBottom w:val="0"/>
      <w:divBdr>
        <w:top w:val="none" w:sz="0" w:space="0" w:color="auto"/>
        <w:left w:val="none" w:sz="0" w:space="0" w:color="auto"/>
        <w:bottom w:val="none" w:sz="0" w:space="0" w:color="auto"/>
        <w:right w:val="none" w:sz="0" w:space="0" w:color="auto"/>
      </w:divBdr>
    </w:div>
    <w:div w:id="1676571716">
      <w:bodyDiv w:val="1"/>
      <w:marLeft w:val="0"/>
      <w:marRight w:val="0"/>
      <w:marTop w:val="0"/>
      <w:marBottom w:val="0"/>
      <w:divBdr>
        <w:top w:val="none" w:sz="0" w:space="0" w:color="auto"/>
        <w:left w:val="none" w:sz="0" w:space="0" w:color="auto"/>
        <w:bottom w:val="none" w:sz="0" w:space="0" w:color="auto"/>
        <w:right w:val="none" w:sz="0" w:space="0" w:color="auto"/>
      </w:divBdr>
    </w:div>
    <w:div w:id="171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8138795">
          <w:marLeft w:val="0"/>
          <w:marRight w:val="0"/>
          <w:marTop w:val="0"/>
          <w:marBottom w:val="0"/>
          <w:divBdr>
            <w:top w:val="none" w:sz="0" w:space="0" w:color="auto"/>
            <w:left w:val="none" w:sz="0" w:space="0" w:color="auto"/>
            <w:bottom w:val="none" w:sz="0" w:space="0" w:color="auto"/>
            <w:right w:val="none" w:sz="0" w:space="0" w:color="auto"/>
          </w:divBdr>
          <w:divsChild>
            <w:div w:id="1707872260">
              <w:marLeft w:val="0"/>
              <w:marRight w:val="0"/>
              <w:marTop w:val="0"/>
              <w:marBottom w:val="0"/>
              <w:divBdr>
                <w:top w:val="none" w:sz="0" w:space="0" w:color="auto"/>
                <w:left w:val="none" w:sz="0" w:space="0" w:color="auto"/>
                <w:bottom w:val="none" w:sz="0" w:space="0" w:color="auto"/>
                <w:right w:val="none" w:sz="0" w:space="0" w:color="auto"/>
              </w:divBdr>
              <w:divsChild>
                <w:div w:id="9033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chr-cerd-gr37@un.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da.org.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80AA-E154-6648-BD64-5E44009D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 Paglia | Women With Disabilities Australia</dc:creator>
  <cp:keywords/>
  <dc:description/>
  <cp:lastModifiedBy>Sophie Cusworth | Women With Disabilities Australia</cp:lastModifiedBy>
  <cp:revision>14</cp:revision>
  <dcterms:created xsi:type="dcterms:W3CDTF">2023-07-31T04:14:00Z</dcterms:created>
  <dcterms:modified xsi:type="dcterms:W3CDTF">2023-07-31T07:44:00Z</dcterms:modified>
</cp:coreProperties>
</file>