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837414749"/>
        <w:docPartObj>
          <w:docPartGallery w:val="Cover Pages"/>
          <w:docPartUnique/>
        </w:docPartObj>
      </w:sdtPr>
      <w:sdtEndPr>
        <w:rPr>
          <w:rFonts w:asciiTheme="majorHAnsi" w:eastAsiaTheme="majorEastAsia" w:hAnsiTheme="majorHAnsi" w:cstheme="majorBidi"/>
          <w:color w:val="632E62" w:themeColor="text2"/>
          <w:spacing w:val="30"/>
          <w:kern w:val="28"/>
          <w:sz w:val="72"/>
          <w:szCs w:val="48"/>
        </w:rPr>
      </w:sdtEndPr>
      <w:sdtContent>
        <w:p w14:paraId="6248DCC8" w14:textId="24F56E31" w:rsidR="00F1528E" w:rsidRDefault="00905161" w:rsidP="00905161">
          <w:pPr>
            <w:ind w:left="8540"/>
          </w:pPr>
          <w:r>
            <w:rPr>
              <w:noProof/>
              <w:lang w:eastAsia="zh-CN"/>
            </w:rPr>
            <mc:AlternateContent>
              <mc:Choice Requires="wps">
                <w:drawing>
                  <wp:inline distT="0" distB="0" distL="0" distR="0" wp14:anchorId="76910AB7" wp14:editId="3555022C">
                    <wp:extent cx="594360" cy="987552"/>
                    <wp:effectExtent l="0" t="0" r="2540" b="3175"/>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2-01-01T00:00:00Z">
                                    <w:dateFormat w:val="yyyy"/>
                                    <w:lid w:val="en-US"/>
                                    <w:storeMappedDataAs w:val="dateTime"/>
                                    <w:calendar w:val="gregorian"/>
                                  </w:date>
                                </w:sdtPr>
                                <w:sdtEndPr/>
                                <w:sdtContent>
                                  <w:p w14:paraId="485FF98D" w14:textId="77777777" w:rsidR="00905161" w:rsidRDefault="00905161" w:rsidP="00905161">
                                    <w:pPr>
                                      <w:pStyle w:val="NoSpacing"/>
                                      <w:jc w:val="right"/>
                                      <w:rPr>
                                        <w:color w:val="FFFFFF" w:themeColor="background1"/>
                                        <w:sz w:val="24"/>
                                        <w:szCs w:val="24"/>
                                      </w:rPr>
                                    </w:pPr>
                                    <w:r>
                                      <w:rPr>
                                        <w:color w:val="FFFFFF" w:themeColor="background1"/>
                                        <w:sz w:val="24"/>
                                        <w:szCs w:val="24"/>
                                      </w:rPr>
                                      <w:t>2022</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inline>
                </w:drawing>
              </mc:Choice>
              <mc:Fallback>
                <w:pict>
                  <v:rect w14:anchorId="76910AB7" id="Rectangle 132" o:spid="_x0000_s1026" style="width:46.8pt;height:77.7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" fillcolor="#92278f [3204]" stroked="f" strokeweight="1p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2-01-01T00:00:00Z">
                              <w:dateFormat w:val="yyyy"/>
                              <w:lid w:val="en-US"/>
                              <w:storeMappedDataAs w:val="dateTime"/>
                              <w:calendar w:val="gregorian"/>
                            </w:date>
                          </w:sdtPr>
                          <w:sdtEndPr/>
                          <w:sdtContent>
                            <w:p w14:paraId="485FF98D" w14:textId="77777777" w:rsidR="00905161" w:rsidRDefault="00905161" w:rsidP="00905161">
                              <w:pPr>
                                <w:pStyle w:val="NoSpacing"/>
                                <w:jc w:val="right"/>
                                <w:rPr>
                                  <w:color w:val="FFFFFF" w:themeColor="background1"/>
                                  <w:sz w:val="24"/>
                                  <w:szCs w:val="24"/>
                                </w:rPr>
                              </w:pPr>
                              <w:r>
                                <w:rPr>
                                  <w:color w:val="FFFFFF" w:themeColor="background1"/>
                                  <w:sz w:val="24"/>
                                  <w:szCs w:val="24"/>
                                </w:rPr>
                                <w:t>2022</w:t>
                              </w:r>
                            </w:p>
                          </w:sdtContent>
                        </w:sdt>
                      </w:txbxContent>
                    </v:textbox>
                    <w10:anchorlock/>
                  </v:rect>
                </w:pict>
              </mc:Fallback>
            </mc:AlternateContent>
          </w:r>
        </w:p>
        <w:p w14:paraId="6649F9C1" w14:textId="2B771349" w:rsidR="00102714" w:rsidRDefault="00102714"/>
        <w:p w14:paraId="122BB209" w14:textId="701A6438" w:rsidR="00102714" w:rsidRDefault="00102714"/>
        <w:p w14:paraId="3F83B121" w14:textId="3A2F1156" w:rsidR="00102714" w:rsidRDefault="00102714"/>
        <w:p w14:paraId="3AB8DB9F" w14:textId="60CE3242" w:rsidR="00102714" w:rsidRDefault="00102714"/>
        <w:p w14:paraId="616B0376" w14:textId="6170BEE0" w:rsidR="00102714" w:rsidRDefault="00102714"/>
        <w:p w14:paraId="3D577EA0" w14:textId="60A1A580" w:rsidR="00102714" w:rsidRDefault="00102714"/>
        <w:p w14:paraId="3457167D" w14:textId="0C067DF9" w:rsidR="00102714" w:rsidRDefault="00102714"/>
        <w:p w14:paraId="701B74A6" w14:textId="6856F12C" w:rsidR="00102714" w:rsidRDefault="00102714"/>
        <w:p w14:paraId="6A6F2256" w14:textId="44853906" w:rsidR="00102714" w:rsidRDefault="00102714"/>
        <w:p w14:paraId="45E977B7" w14:textId="77777777" w:rsidR="00102714" w:rsidRDefault="00102714"/>
        <w:p w14:paraId="4AE83AC1" w14:textId="384C1331" w:rsidR="00F1528E" w:rsidRDefault="00F1528E" w:rsidP="00102714">
          <w:pPr>
            <w:spacing w:after="200" w:line="276" w:lineRule="auto"/>
            <w:ind w:left="1134"/>
            <w:rPr>
              <w:rFonts w:asciiTheme="majorHAnsi" w:eastAsiaTheme="majorEastAsia" w:hAnsiTheme="majorHAnsi" w:cstheme="majorBidi"/>
              <w:color w:val="632E62" w:themeColor="text2"/>
              <w:spacing w:val="30"/>
              <w:kern w:val="28"/>
              <w:sz w:val="72"/>
              <w:szCs w:val="48"/>
            </w:rPr>
          </w:pPr>
          <w:r>
            <w:rPr>
              <w:noProof/>
              <w:lang w:eastAsia="zh-CN"/>
            </w:rPr>
            <mc:AlternateContent>
              <mc:Choice Requires="wps">
                <w:drawing>
                  <wp:inline distT="0" distB="0" distL="0" distR="0" wp14:anchorId="7212B66C" wp14:editId="4B3840E8">
                    <wp:extent cx="4686300" cy="6720840"/>
                    <wp:effectExtent l="0" t="0" r="0" b="635"/>
                    <wp:docPr id="131" name="Text Box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6CAC97" w14:textId="56B08342" w:rsidR="00F1528E" w:rsidRDefault="0071194D" w:rsidP="00102714">
                                <w:pPr>
                                  <w:pStyle w:val="NoSpacing"/>
                                  <w:spacing w:before="40" w:after="560" w:line="216" w:lineRule="auto"/>
                                  <w:rPr>
                                    <w:color w:val="92278F" w:themeColor="accent1"/>
                                    <w:sz w:val="72"/>
                                    <w:szCs w:val="72"/>
                                  </w:rPr>
                                </w:pPr>
                                <w:sdt>
                                  <w:sdtPr>
                                    <w:rPr>
                                      <w:color w:val="92278F"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4C1865">
                                      <w:rPr>
                                        <w:color w:val="92278F" w:themeColor="accent1"/>
                                        <w:sz w:val="72"/>
                                        <w:szCs w:val="72"/>
                                      </w:rPr>
                                      <w:t>Young Women’s Report</w:t>
                                    </w:r>
                                  </w:sdtContent>
                                </w:sdt>
                              </w:p>
                              <w:sdt>
                                <w:sdtPr>
                                  <w:rPr>
                                    <w:rFonts w:eastAsiaTheme="majorEastAsia" w:cstheme="majorBidi"/>
                                    <w:iCs/>
                                    <w:color w:val="632E62" w:themeColor="text2"/>
                                    <w:sz w:val="40"/>
                                    <w:szCs w:val="24"/>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6125D92C" w14:textId="1F5BD2A4" w:rsidR="00F1528E" w:rsidRDefault="00F1528E" w:rsidP="00102714">
                                    <w:pPr>
                                      <w:pStyle w:val="NoSpacing"/>
                                      <w:spacing w:before="40" w:after="40"/>
                                      <w:rPr>
                                        <w:caps/>
                                        <w:color w:val="0D558B" w:themeColor="accent5" w:themeShade="80"/>
                                        <w:sz w:val="28"/>
                                        <w:szCs w:val="28"/>
                                      </w:rPr>
                                    </w:pPr>
                                    <w:r w:rsidRPr="00F1528E">
                                      <w:rPr>
                                        <w:rFonts w:eastAsiaTheme="majorEastAsia" w:cstheme="majorBidi"/>
                                        <w:iCs/>
                                        <w:color w:val="632E62" w:themeColor="text2"/>
                                        <w:sz w:val="40"/>
                                        <w:szCs w:val="24"/>
                                      </w:rPr>
                                      <w:t>A report of the Young Women and Non-Binary People’s Forum 7 July 2021 and AWAVA’s Young Women Survey 2021.</w:t>
                                    </w:r>
                                  </w:p>
                                </w:sdtContent>
                              </w:sdt>
                              <w:sdt>
                                <w:sdtPr>
                                  <w:rPr>
                                    <w:caps/>
                                    <w:color w:val="6D1D6A" w:themeColor="accent1" w:themeShade="BF"/>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04094F4B" w14:textId="4107E2F1" w:rsidR="00F1528E" w:rsidRDefault="004C1865" w:rsidP="00102714">
                                    <w:pPr>
                                      <w:pStyle w:val="NoSpacing"/>
                                      <w:spacing w:before="80" w:after="40"/>
                                      <w:rPr>
                                        <w:caps/>
                                        <w:color w:val="45A5ED" w:themeColor="accent5"/>
                                        <w:sz w:val="24"/>
                                        <w:szCs w:val="24"/>
                                      </w:rPr>
                                    </w:pPr>
                                    <w:r w:rsidRPr="00905161">
                                      <w:rPr>
                                        <w:caps/>
                                        <w:color w:val="6D1D6A" w:themeColor="accent1" w:themeShade="BF"/>
                                        <w:sz w:val="24"/>
                                        <w:szCs w:val="24"/>
                                      </w:rPr>
                                      <w:t>The Australian women against violence alliance (AWAVA)</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type w14:anchorId="7212B66C" id="_x0000_t202" coordsize="21600,21600" o:spt="202" path="m,l,21600r21600,l21600,xe">
                    <v:stroke joinstyle="miter"/>
                    <v:path gradientshapeok="t" o:connecttype="rect"/>
                  </v:shapetype>
                  <v:shape id="Text Box 131" o:spid="_x0000_s1027" type="#_x0000_t202" style="width:369pt;height:52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" filled="f" stroked="f" strokeweight=".5pt">
                    <v:textbox style="mso-fit-shape-to-text:t" inset="0,0,0,0">
                      <w:txbxContent>
                        <w:p w14:paraId="216CAC97" w14:textId="56B08342" w:rsidR="00F1528E" w:rsidRDefault="00043DFC" w:rsidP="00102714">
                          <w:pPr>
                            <w:pStyle w:val="NoSpacing"/>
                            <w:spacing w:before="40" w:after="560" w:line="216" w:lineRule="auto"/>
                            <w:rPr>
                              <w:color w:val="92278F" w:themeColor="accent1"/>
                              <w:sz w:val="72"/>
                              <w:szCs w:val="72"/>
                            </w:rPr>
                          </w:pPr>
                          <w:sdt>
                            <w:sdtPr>
                              <w:rPr>
                                <w:color w:val="92278F"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4C1865">
                                <w:rPr>
                                  <w:color w:val="92278F" w:themeColor="accent1"/>
                                  <w:sz w:val="72"/>
                                  <w:szCs w:val="72"/>
                                </w:rPr>
                                <w:t>Young Women’s Report</w:t>
                              </w:r>
                            </w:sdtContent>
                          </w:sdt>
                        </w:p>
                        <w:sdt>
                          <w:sdtPr>
                            <w:rPr>
                              <w:rFonts w:eastAsiaTheme="majorEastAsia" w:cstheme="majorBidi"/>
                              <w:iCs/>
                              <w:color w:val="632E62" w:themeColor="text2"/>
                              <w:sz w:val="40"/>
                              <w:szCs w:val="24"/>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6125D92C" w14:textId="1F5BD2A4" w:rsidR="00F1528E" w:rsidRDefault="00F1528E" w:rsidP="00102714">
                              <w:pPr>
                                <w:pStyle w:val="NoSpacing"/>
                                <w:spacing w:before="40" w:after="40"/>
                                <w:rPr>
                                  <w:caps/>
                                  <w:color w:val="0D558B" w:themeColor="accent5" w:themeShade="80"/>
                                  <w:sz w:val="28"/>
                                  <w:szCs w:val="28"/>
                                </w:rPr>
                              </w:pPr>
                              <w:r w:rsidRPr="00F1528E">
                                <w:rPr>
                                  <w:rFonts w:eastAsiaTheme="majorEastAsia" w:cstheme="majorBidi"/>
                                  <w:iCs/>
                                  <w:color w:val="632E62" w:themeColor="text2"/>
                                  <w:sz w:val="40"/>
                                  <w:szCs w:val="24"/>
                                </w:rPr>
                                <w:t>A report of the Young Women and Non-Binary People’s Forum 7 July 2021 and AWAVA’s Young Women Survey 2021.</w:t>
                              </w:r>
                            </w:p>
                          </w:sdtContent>
                        </w:sdt>
                        <w:sdt>
                          <w:sdtPr>
                            <w:rPr>
                              <w:caps/>
                              <w:color w:val="6D1D6A" w:themeColor="accent1" w:themeShade="BF"/>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04094F4B" w14:textId="4107E2F1" w:rsidR="00F1528E" w:rsidRDefault="004C1865" w:rsidP="00102714">
                              <w:pPr>
                                <w:pStyle w:val="NoSpacing"/>
                                <w:spacing w:before="80" w:after="40"/>
                                <w:rPr>
                                  <w:caps/>
                                  <w:color w:val="45A5ED" w:themeColor="accent5"/>
                                  <w:sz w:val="24"/>
                                  <w:szCs w:val="24"/>
                                </w:rPr>
                              </w:pPr>
                              <w:r w:rsidRPr="00905161">
                                <w:rPr>
                                  <w:caps/>
                                  <w:color w:val="6D1D6A" w:themeColor="accent1" w:themeShade="BF"/>
                                  <w:sz w:val="24"/>
                                  <w:szCs w:val="24"/>
                                </w:rPr>
                                <w:t>The Australian women against violence alliance (AWAVA)</w:t>
                              </w:r>
                            </w:p>
                          </w:sdtContent>
                        </w:sdt>
                      </w:txbxContent>
                    </v:textbox>
                    <w10:anchorlock/>
                  </v:shape>
                </w:pict>
              </mc:Fallback>
            </mc:AlternateContent>
          </w:r>
          <w:r>
            <w:rPr>
              <w:rFonts w:asciiTheme="majorHAnsi" w:eastAsiaTheme="majorEastAsia" w:hAnsiTheme="majorHAnsi" w:cstheme="majorBidi"/>
              <w:color w:val="632E62" w:themeColor="text2"/>
              <w:spacing w:val="30"/>
              <w:kern w:val="28"/>
              <w:sz w:val="72"/>
              <w:szCs w:val="48"/>
            </w:rPr>
            <w:br w:type="page"/>
          </w:r>
        </w:p>
      </w:sdtContent>
    </w:sdt>
    <w:p w14:paraId="348565E3" w14:textId="7C37D1DD" w:rsidR="005A0296" w:rsidRPr="009A5B8A" w:rsidRDefault="00F1528E" w:rsidP="009A5B8A">
      <w:pPr>
        <w:pStyle w:val="Heading2"/>
      </w:pPr>
      <w:bookmarkStart w:id="0" w:name="_Toc96091327"/>
      <w:bookmarkStart w:id="1" w:name="_Toc96091475"/>
      <w:bookmarkStart w:id="2" w:name="_Toc96092044"/>
      <w:r w:rsidRPr="009A5B8A">
        <w:lastRenderedPageBreak/>
        <w:t>ACKNOWLEDGEMENTS</w:t>
      </w:r>
      <w:bookmarkEnd w:id="0"/>
      <w:bookmarkEnd w:id="1"/>
      <w:bookmarkEnd w:id="2"/>
    </w:p>
    <w:p w14:paraId="57FC6260" w14:textId="77777777" w:rsidR="00990C65" w:rsidRPr="00990C65" w:rsidRDefault="00990C65" w:rsidP="00990C65"/>
    <w:p w14:paraId="600411F0" w14:textId="77777777" w:rsidR="005A0296" w:rsidRPr="00CE2F22" w:rsidRDefault="005A0296" w:rsidP="003150C1">
      <w:pPr>
        <w:pStyle w:val="BodyText"/>
        <w:rPr>
          <w:lang w:val="en-AU"/>
        </w:rPr>
      </w:pPr>
      <w:r w:rsidRPr="00CE2F22">
        <w:rPr>
          <w:lang w:val="en-AU"/>
        </w:rPr>
        <w:t>This report was written by:</w:t>
      </w:r>
    </w:p>
    <w:p w14:paraId="17311316" w14:textId="77777777" w:rsidR="005A0296" w:rsidRPr="00CE2F22" w:rsidRDefault="005A0296" w:rsidP="003150C1">
      <w:pPr>
        <w:pStyle w:val="BodyText"/>
        <w:numPr>
          <w:ilvl w:val="0"/>
          <w:numId w:val="3"/>
        </w:numPr>
        <w:rPr>
          <w:lang w:val="en-AU"/>
        </w:rPr>
      </w:pPr>
      <w:r w:rsidRPr="00CE2F22">
        <w:rPr>
          <w:lang w:val="en-AU"/>
        </w:rPr>
        <w:t>Kit Muirhead</w:t>
      </w:r>
    </w:p>
    <w:p w14:paraId="50B5DFE0" w14:textId="77777777" w:rsidR="005A0296" w:rsidRPr="00CE2F22" w:rsidRDefault="005A0296" w:rsidP="003150C1">
      <w:pPr>
        <w:pStyle w:val="BodyText"/>
        <w:numPr>
          <w:ilvl w:val="0"/>
          <w:numId w:val="3"/>
        </w:numPr>
        <w:rPr>
          <w:lang w:val="en-AU"/>
        </w:rPr>
      </w:pPr>
      <w:r w:rsidRPr="00CE2F22">
        <w:rPr>
          <w:lang w:val="en-AU"/>
        </w:rPr>
        <w:t>Jennifer Bushell</w:t>
      </w:r>
    </w:p>
    <w:p w14:paraId="6C5A66A5" w14:textId="77777777" w:rsidR="005A0296" w:rsidRPr="00CE2F22" w:rsidRDefault="005A0296" w:rsidP="003150C1">
      <w:pPr>
        <w:pStyle w:val="BodyText"/>
        <w:numPr>
          <w:ilvl w:val="0"/>
          <w:numId w:val="3"/>
        </w:numPr>
        <w:rPr>
          <w:lang w:val="en-AU"/>
        </w:rPr>
      </w:pPr>
      <w:r w:rsidRPr="00CE2F22">
        <w:rPr>
          <w:lang w:val="en-AU"/>
        </w:rPr>
        <w:t>Karen Bentley</w:t>
      </w:r>
    </w:p>
    <w:p w14:paraId="6320B2B6" w14:textId="77777777" w:rsidR="005A0296" w:rsidRPr="00CE2F22" w:rsidRDefault="005A0296" w:rsidP="003150C1">
      <w:pPr>
        <w:pStyle w:val="BodyText"/>
        <w:numPr>
          <w:ilvl w:val="0"/>
          <w:numId w:val="3"/>
        </w:numPr>
        <w:rPr>
          <w:lang w:val="en-AU"/>
        </w:rPr>
      </w:pPr>
      <w:r w:rsidRPr="00CE2F22">
        <w:rPr>
          <w:lang w:val="en-AU"/>
        </w:rPr>
        <w:t>Vanamali Hermans</w:t>
      </w:r>
    </w:p>
    <w:p w14:paraId="23E39775" w14:textId="6CD3CFEF" w:rsidR="005A0296" w:rsidRPr="00CE2F22" w:rsidRDefault="005A0296" w:rsidP="003150C1">
      <w:pPr>
        <w:pStyle w:val="BodyText"/>
        <w:numPr>
          <w:ilvl w:val="0"/>
          <w:numId w:val="3"/>
        </w:numPr>
        <w:rPr>
          <w:lang w:val="en-AU"/>
        </w:rPr>
      </w:pPr>
      <w:r w:rsidRPr="00CE2F22">
        <w:rPr>
          <w:lang w:val="en-AU"/>
        </w:rPr>
        <w:t>Sumithri Venketasubramanian</w:t>
      </w:r>
    </w:p>
    <w:p w14:paraId="14DD0275" w14:textId="21098EF6" w:rsidR="005A0296" w:rsidRPr="00CE2F22" w:rsidRDefault="005A0296" w:rsidP="003150C1">
      <w:pPr>
        <w:pStyle w:val="BodyText"/>
        <w:rPr>
          <w:lang w:val="en-AU"/>
        </w:rPr>
      </w:pPr>
    </w:p>
    <w:p w14:paraId="7023C3EB" w14:textId="7F938E83" w:rsidR="005A0296" w:rsidRPr="00CE2F22" w:rsidRDefault="005A0296" w:rsidP="003150C1">
      <w:pPr>
        <w:pStyle w:val="BodyText"/>
        <w:rPr>
          <w:lang w:val="en-AU"/>
        </w:rPr>
      </w:pPr>
      <w:r w:rsidRPr="00CE2F22">
        <w:rPr>
          <w:lang w:val="en-AU"/>
        </w:rPr>
        <w:t>Design and infographics by Lina Orozco Munera of WESNET.</w:t>
      </w:r>
    </w:p>
    <w:p w14:paraId="5ACF2476" w14:textId="77777777" w:rsidR="005A0296" w:rsidRPr="00CE2F22" w:rsidRDefault="005A0296" w:rsidP="003150C1">
      <w:pPr>
        <w:pStyle w:val="BodyText"/>
        <w:rPr>
          <w:lang w:val="en-AU"/>
        </w:rPr>
      </w:pPr>
    </w:p>
    <w:p w14:paraId="2BA0DC3A" w14:textId="57B699DC" w:rsidR="005A0296" w:rsidRPr="00CE2F22" w:rsidRDefault="005A0296" w:rsidP="003150C1">
      <w:pPr>
        <w:pStyle w:val="BodyText"/>
        <w:rPr>
          <w:lang w:val="en-AU"/>
        </w:rPr>
      </w:pPr>
      <w:r w:rsidRPr="00CE2F22">
        <w:rPr>
          <w:lang w:val="en-AU"/>
        </w:rPr>
        <w:t>We want to thank the following people for their time and feedback which contributed to this project:</w:t>
      </w:r>
    </w:p>
    <w:p w14:paraId="695A4C93" w14:textId="77777777" w:rsidR="005A0296" w:rsidRPr="00CE2F22" w:rsidRDefault="005A0296" w:rsidP="003150C1">
      <w:pPr>
        <w:pStyle w:val="BodyText"/>
        <w:numPr>
          <w:ilvl w:val="0"/>
          <w:numId w:val="4"/>
        </w:numPr>
        <w:rPr>
          <w:lang w:val="en-AU"/>
        </w:rPr>
      </w:pPr>
      <w:r w:rsidRPr="00CE2F22">
        <w:rPr>
          <w:lang w:val="en-AU"/>
        </w:rPr>
        <w:t>Merrindahl Andrews</w:t>
      </w:r>
    </w:p>
    <w:p w14:paraId="48388363" w14:textId="77777777" w:rsidR="005A0296" w:rsidRPr="00CE2F22" w:rsidRDefault="005A0296" w:rsidP="003150C1">
      <w:pPr>
        <w:pStyle w:val="BodyText"/>
        <w:numPr>
          <w:ilvl w:val="0"/>
          <w:numId w:val="4"/>
        </w:numPr>
        <w:rPr>
          <w:lang w:val="en-AU"/>
        </w:rPr>
      </w:pPr>
      <w:r w:rsidRPr="00CE2F22">
        <w:rPr>
          <w:lang w:val="en-AU"/>
        </w:rPr>
        <w:t>Sophia Cao</w:t>
      </w:r>
    </w:p>
    <w:p w14:paraId="3B153A97" w14:textId="77777777" w:rsidR="005A0296" w:rsidRPr="00CE2F22" w:rsidRDefault="005A0296" w:rsidP="003150C1">
      <w:pPr>
        <w:pStyle w:val="BodyText"/>
        <w:numPr>
          <w:ilvl w:val="0"/>
          <w:numId w:val="4"/>
        </w:numPr>
        <w:rPr>
          <w:lang w:val="en-AU"/>
        </w:rPr>
      </w:pPr>
      <w:r w:rsidRPr="00CE2F22">
        <w:rPr>
          <w:lang w:val="en-AU"/>
        </w:rPr>
        <w:t>Professor Sandra Creamer</w:t>
      </w:r>
    </w:p>
    <w:p w14:paraId="38759397" w14:textId="77777777" w:rsidR="005A0296" w:rsidRPr="00CE2F22" w:rsidRDefault="005A0296" w:rsidP="003150C1">
      <w:pPr>
        <w:pStyle w:val="BodyText"/>
        <w:numPr>
          <w:ilvl w:val="0"/>
          <w:numId w:val="4"/>
        </w:numPr>
        <w:rPr>
          <w:lang w:val="en-AU"/>
        </w:rPr>
      </w:pPr>
      <w:r w:rsidRPr="00CE2F22">
        <w:rPr>
          <w:lang w:val="en-AU"/>
        </w:rPr>
        <w:t>Tina Dixson</w:t>
      </w:r>
    </w:p>
    <w:p w14:paraId="11ABCE71" w14:textId="77777777" w:rsidR="005A0296" w:rsidRPr="00CE2F22" w:rsidRDefault="005A0296" w:rsidP="003150C1">
      <w:pPr>
        <w:pStyle w:val="BodyText"/>
        <w:numPr>
          <w:ilvl w:val="0"/>
          <w:numId w:val="4"/>
        </w:numPr>
        <w:rPr>
          <w:lang w:val="en-AU"/>
        </w:rPr>
      </w:pPr>
      <w:r w:rsidRPr="00CE2F22">
        <w:rPr>
          <w:lang w:val="en-AU"/>
        </w:rPr>
        <w:t>Mikaela French</w:t>
      </w:r>
    </w:p>
    <w:p w14:paraId="071B7C94" w14:textId="77777777" w:rsidR="005A0296" w:rsidRPr="00CE2F22" w:rsidRDefault="005A0296" w:rsidP="003150C1">
      <w:pPr>
        <w:pStyle w:val="BodyText"/>
        <w:numPr>
          <w:ilvl w:val="0"/>
          <w:numId w:val="4"/>
        </w:numPr>
        <w:rPr>
          <w:lang w:val="en-AU"/>
        </w:rPr>
      </w:pPr>
      <w:r w:rsidRPr="00CE2F22">
        <w:rPr>
          <w:lang w:val="en-AU"/>
        </w:rPr>
        <w:t>Vicki Lachlan</w:t>
      </w:r>
    </w:p>
    <w:p w14:paraId="4486DDBB" w14:textId="77777777" w:rsidR="005A0296" w:rsidRPr="00CE2F22" w:rsidRDefault="005A0296" w:rsidP="003150C1">
      <w:pPr>
        <w:pStyle w:val="BodyText"/>
        <w:numPr>
          <w:ilvl w:val="0"/>
          <w:numId w:val="4"/>
        </w:numPr>
        <w:rPr>
          <w:lang w:val="en-AU"/>
        </w:rPr>
      </w:pPr>
      <w:r w:rsidRPr="00CE2F22">
        <w:rPr>
          <w:lang w:val="en-AU"/>
        </w:rPr>
        <w:t>Katrina Marson</w:t>
      </w:r>
    </w:p>
    <w:p w14:paraId="04F52FF8" w14:textId="77777777" w:rsidR="005A0296" w:rsidRPr="00CE2F22" w:rsidRDefault="005A0296" w:rsidP="003150C1">
      <w:pPr>
        <w:pStyle w:val="BodyText"/>
        <w:numPr>
          <w:ilvl w:val="0"/>
          <w:numId w:val="4"/>
        </w:numPr>
        <w:rPr>
          <w:lang w:val="en-AU"/>
        </w:rPr>
      </w:pPr>
      <w:r w:rsidRPr="00CE2F22">
        <w:rPr>
          <w:lang w:val="en-AU"/>
        </w:rPr>
        <w:t>Georgette Mouawad</w:t>
      </w:r>
    </w:p>
    <w:p w14:paraId="4D3DF930" w14:textId="77777777" w:rsidR="005A0296" w:rsidRPr="00CE2F22" w:rsidRDefault="005A0296" w:rsidP="003150C1">
      <w:pPr>
        <w:pStyle w:val="BodyText"/>
        <w:numPr>
          <w:ilvl w:val="0"/>
          <w:numId w:val="4"/>
        </w:numPr>
        <w:rPr>
          <w:lang w:val="en-AU"/>
        </w:rPr>
      </w:pPr>
      <w:r w:rsidRPr="00CE2F22">
        <w:rPr>
          <w:lang w:val="en-AU"/>
        </w:rPr>
        <w:t>Emma Rowland</w:t>
      </w:r>
    </w:p>
    <w:p w14:paraId="5D8D73D6" w14:textId="77777777" w:rsidR="005A0296" w:rsidRPr="00CE2F22" w:rsidRDefault="005A0296" w:rsidP="003150C1">
      <w:pPr>
        <w:pStyle w:val="BodyText"/>
        <w:numPr>
          <w:ilvl w:val="0"/>
          <w:numId w:val="4"/>
        </w:numPr>
        <w:rPr>
          <w:lang w:val="en-AU"/>
        </w:rPr>
      </w:pPr>
      <w:r w:rsidRPr="00CE2F22">
        <w:rPr>
          <w:lang w:val="en-AU"/>
        </w:rPr>
        <w:t>Pam Rugkhla</w:t>
      </w:r>
    </w:p>
    <w:p w14:paraId="16A1CAF0" w14:textId="77777777" w:rsidR="005A0296" w:rsidRPr="00CE2F22" w:rsidRDefault="005A0296" w:rsidP="003150C1">
      <w:pPr>
        <w:pStyle w:val="BodyText"/>
        <w:numPr>
          <w:ilvl w:val="0"/>
          <w:numId w:val="4"/>
        </w:numPr>
        <w:rPr>
          <w:lang w:val="en-AU"/>
        </w:rPr>
      </w:pPr>
      <w:r w:rsidRPr="00CE2F22">
        <w:rPr>
          <w:lang w:val="en-AU"/>
        </w:rPr>
        <w:t>Ajar Sana</w:t>
      </w:r>
    </w:p>
    <w:p w14:paraId="57F305C5" w14:textId="77777777" w:rsidR="005A0296" w:rsidRPr="00CE2F22" w:rsidRDefault="005A0296" w:rsidP="003150C1">
      <w:pPr>
        <w:pStyle w:val="BodyText"/>
        <w:numPr>
          <w:ilvl w:val="0"/>
          <w:numId w:val="4"/>
        </w:numPr>
        <w:rPr>
          <w:lang w:val="en-AU"/>
        </w:rPr>
      </w:pPr>
      <w:r w:rsidRPr="00CE2F22">
        <w:rPr>
          <w:lang w:val="en-AU"/>
        </w:rPr>
        <w:t>Dakshata Sharma</w:t>
      </w:r>
    </w:p>
    <w:p w14:paraId="21313354" w14:textId="2EC2BB28" w:rsidR="005A0296" w:rsidRPr="00CE2F22" w:rsidRDefault="005A0296" w:rsidP="003150C1">
      <w:pPr>
        <w:pStyle w:val="BodyText"/>
        <w:numPr>
          <w:ilvl w:val="0"/>
          <w:numId w:val="4"/>
        </w:numPr>
        <w:rPr>
          <w:lang w:val="en-AU"/>
        </w:rPr>
      </w:pPr>
      <w:r w:rsidRPr="00CE2F22">
        <w:rPr>
          <w:lang w:val="en-AU"/>
        </w:rPr>
        <w:t>Meredith Turnbull</w:t>
      </w:r>
    </w:p>
    <w:p w14:paraId="695B59A0" w14:textId="77777777" w:rsidR="009A5B8A" w:rsidRDefault="009A5B8A" w:rsidP="009A5B8A">
      <w:pPr>
        <w:pStyle w:val="Heading2"/>
      </w:pPr>
      <w:bookmarkStart w:id="3" w:name="_Toc96091328"/>
      <w:bookmarkStart w:id="4" w:name="_Toc96091476"/>
    </w:p>
    <w:p w14:paraId="7F92B4A2" w14:textId="09ADBDE9" w:rsidR="003150C1" w:rsidRPr="009A5B8A" w:rsidRDefault="003150C1" w:rsidP="009A5B8A">
      <w:pPr>
        <w:pStyle w:val="Heading2"/>
      </w:pPr>
      <w:bookmarkStart w:id="5" w:name="_Toc96092045"/>
      <w:r w:rsidRPr="009A5B8A">
        <w:t>Citation suggestion</w:t>
      </w:r>
      <w:bookmarkEnd w:id="3"/>
      <w:bookmarkEnd w:id="4"/>
      <w:bookmarkEnd w:id="5"/>
    </w:p>
    <w:p w14:paraId="05D01AE5" w14:textId="77777777" w:rsidR="003150C1" w:rsidRPr="003150C1" w:rsidRDefault="0071194D" w:rsidP="003150C1">
      <w:pPr>
        <w:widowControl w:val="0"/>
        <w:tabs>
          <w:tab w:val="left" w:pos="648"/>
        </w:tabs>
        <w:autoSpaceDE w:val="0"/>
        <w:autoSpaceDN w:val="0"/>
        <w:spacing w:before="81" w:after="0" w:line="256" w:lineRule="exact"/>
        <w:rPr>
          <w:rStyle w:val="Hyperlink"/>
        </w:rPr>
      </w:pPr>
      <w:hyperlink r:id="rId9">
        <w:r w:rsidR="003150C1" w:rsidRPr="003150C1">
          <w:rPr>
            <w:rStyle w:val="Hyperlink"/>
          </w:rPr>
          <w:t>Australian Woman Against Violence Alliance (2022). Young Women’s Report. Canberra, WESNET.</w:t>
        </w:r>
      </w:hyperlink>
      <w:r w:rsidR="003150C1" w:rsidRPr="003150C1">
        <w:rPr>
          <w:rStyle w:val="Hyperlink"/>
        </w:rPr>
        <w:t xml:space="preserve"> </w:t>
      </w:r>
      <w:hyperlink r:id="rId10">
        <w:r w:rsidR="003150C1" w:rsidRPr="003150C1">
          <w:rPr>
            <w:rStyle w:val="Hyperlink"/>
          </w:rPr>
          <w:t>Available for download at https://awava.org.au/</w:t>
        </w:r>
      </w:hyperlink>
    </w:p>
    <w:p w14:paraId="4890DF42" w14:textId="5FFBAB6A" w:rsidR="003150C1" w:rsidRPr="00CE2F22" w:rsidRDefault="003150C1" w:rsidP="003150C1">
      <w:pPr>
        <w:widowControl w:val="0"/>
        <w:tabs>
          <w:tab w:val="left" w:pos="648"/>
        </w:tabs>
        <w:autoSpaceDE w:val="0"/>
        <w:autoSpaceDN w:val="0"/>
        <w:spacing w:before="81" w:after="0" w:line="256" w:lineRule="exact"/>
      </w:pPr>
    </w:p>
    <w:p w14:paraId="60F6A7BD" w14:textId="77777777" w:rsidR="003150C1" w:rsidRPr="00CE2F22" w:rsidRDefault="003150C1" w:rsidP="003150C1">
      <w:pPr>
        <w:pStyle w:val="Heading1"/>
      </w:pPr>
    </w:p>
    <w:p w14:paraId="7A578A8F" w14:textId="77777777" w:rsidR="00085404" w:rsidRDefault="00085404">
      <w:pPr>
        <w:spacing w:after="200" w:line="276" w:lineRule="auto"/>
        <w:rPr>
          <w:rFonts w:asciiTheme="majorHAnsi" w:eastAsiaTheme="majorEastAsia" w:hAnsiTheme="majorHAnsi" w:cstheme="majorBidi"/>
          <w:bCs/>
          <w:color w:val="92278F" w:themeColor="accent1"/>
          <w:spacing w:val="20"/>
          <w:sz w:val="32"/>
          <w:szCs w:val="28"/>
        </w:rPr>
      </w:pPr>
      <w:r>
        <w:br w:type="page"/>
      </w:r>
    </w:p>
    <w:p w14:paraId="54EBF98B" w14:textId="0F9C4D8B" w:rsidR="003150C1" w:rsidRPr="009A5B8A" w:rsidRDefault="003150C1" w:rsidP="009A5B8A">
      <w:pPr>
        <w:pStyle w:val="Heading2"/>
      </w:pPr>
      <w:bookmarkStart w:id="6" w:name="_Toc96091329"/>
      <w:bookmarkStart w:id="7" w:name="_Toc96091477"/>
      <w:bookmarkStart w:id="8" w:name="_Toc96092046"/>
      <w:r w:rsidRPr="009A5B8A">
        <w:lastRenderedPageBreak/>
        <w:t>About AWAVA</w:t>
      </w:r>
      <w:bookmarkEnd w:id="6"/>
      <w:bookmarkEnd w:id="7"/>
      <w:bookmarkEnd w:id="8"/>
    </w:p>
    <w:p w14:paraId="2A0FA99C" w14:textId="77777777" w:rsidR="003150C1" w:rsidRPr="00CE2F22" w:rsidRDefault="003150C1" w:rsidP="003150C1"/>
    <w:p w14:paraId="4BFDCF87" w14:textId="0EA43A1C" w:rsidR="003150C1" w:rsidRPr="00CE2F22" w:rsidRDefault="003150C1" w:rsidP="00B81CAC">
      <w:pPr>
        <w:pStyle w:val="BodyText"/>
        <w:rPr>
          <w:lang w:val="en-AU"/>
        </w:rPr>
      </w:pPr>
      <w:r w:rsidRPr="00CE2F22">
        <w:rPr>
          <w:lang w:val="en-AU"/>
        </w:rPr>
        <w:t>Australian Women Against Violence Alliance (AWAVA) brings together women’s organisations and individuals across Australia to share information, identify issues and contribute to solutions. AWAVA’s focus is on responding to and preventing violence against women and their children. AWAVA’s role</w:t>
      </w:r>
      <w:r w:rsidR="00B81CAC" w:rsidRPr="00CE2F22">
        <w:rPr>
          <w:lang w:val="en-AU"/>
        </w:rPr>
        <w:t xml:space="preserve"> </w:t>
      </w:r>
      <w:r w:rsidRPr="00CE2F22">
        <w:rPr>
          <w:lang w:val="en-AU"/>
        </w:rPr>
        <w:t>is to ensure that women’s voices, and particularly marginalised women’s voices, are heard by Government, and to amplify the work of its member organisations and Friends and Supporters. AWAVA’s members include organisations from every state and territory in Australia, representing domestic and family violence services, sexual assault services, women’s health services, services for women in the sex industry and women’s legal services, as well as organisations representing Aboriginal and Torres Strait Islander women, young women, women educators</w:t>
      </w:r>
      <w:r w:rsidR="00157D58">
        <w:rPr>
          <w:lang w:val="en-AU"/>
        </w:rPr>
        <w:t>,</w:t>
      </w:r>
      <w:r w:rsidRPr="00CE2F22">
        <w:rPr>
          <w:lang w:val="en-AU"/>
        </w:rPr>
        <w:t xml:space="preserve"> and other groups.</w:t>
      </w:r>
    </w:p>
    <w:p w14:paraId="03127236" w14:textId="77777777" w:rsidR="009A5B8A" w:rsidRDefault="009A5B8A" w:rsidP="009A5B8A">
      <w:pPr>
        <w:pStyle w:val="Heading2"/>
      </w:pPr>
      <w:bookmarkStart w:id="9" w:name="_Toc96091330"/>
      <w:bookmarkStart w:id="10" w:name="_Toc96091478"/>
    </w:p>
    <w:p w14:paraId="057610FE" w14:textId="708A41FD" w:rsidR="003150C1" w:rsidRPr="009A5B8A" w:rsidRDefault="003150C1" w:rsidP="009A5B8A">
      <w:pPr>
        <w:pStyle w:val="Heading2"/>
      </w:pPr>
      <w:bookmarkStart w:id="11" w:name="_Toc96092047"/>
      <w:r w:rsidRPr="009A5B8A">
        <w:t>About NATSIWA</w:t>
      </w:r>
      <w:bookmarkEnd w:id="9"/>
      <w:bookmarkEnd w:id="10"/>
      <w:bookmarkEnd w:id="11"/>
    </w:p>
    <w:p w14:paraId="00F12491" w14:textId="05812CD8" w:rsidR="003150C1" w:rsidRPr="00CE2F22" w:rsidRDefault="003150C1" w:rsidP="00B81CAC">
      <w:pPr>
        <w:pStyle w:val="BodyText"/>
        <w:rPr>
          <w:lang w:val="en-AU"/>
        </w:rPr>
      </w:pPr>
    </w:p>
    <w:p w14:paraId="176D13F3" w14:textId="2CFB9190" w:rsidR="003150C1" w:rsidRPr="00CE2F22" w:rsidRDefault="003150C1" w:rsidP="00B81CAC">
      <w:pPr>
        <w:pStyle w:val="BodyText"/>
        <w:rPr>
          <w:lang w:val="en-AU"/>
        </w:rPr>
      </w:pPr>
      <w:r w:rsidRPr="00CE2F22">
        <w:rPr>
          <w:lang w:val="en-AU"/>
        </w:rPr>
        <w:t>The National Aboriginal and Torres Strait Islander Women’s Alliance (NATSIWA) is the peak body for Aboriginal and Torres Strait Islander women in Australia, established in 2009 to empower Aboriginal and Torres Strait Islander women to have a strong and effective voice in the domestic and</w:t>
      </w:r>
      <w:r w:rsidR="00B81CAC" w:rsidRPr="00CE2F22">
        <w:rPr>
          <w:lang w:val="en-AU"/>
        </w:rPr>
        <w:t xml:space="preserve"> </w:t>
      </w:r>
      <w:r w:rsidRPr="00CE2F22">
        <w:rPr>
          <w:lang w:val="en-AU"/>
        </w:rPr>
        <w:t>international policy advocacy process. The leadership team of Directors are Indigenous women each representing States and Territory across Australia, with the</w:t>
      </w:r>
      <w:r w:rsidR="00B81CAC" w:rsidRPr="00CE2F22">
        <w:rPr>
          <w:lang w:val="en-AU"/>
        </w:rPr>
        <w:t xml:space="preserve"> </w:t>
      </w:r>
      <w:r w:rsidRPr="00CE2F22">
        <w:rPr>
          <w:lang w:val="en-AU"/>
        </w:rPr>
        <w:t>vision to protect the health, human rights and fundamental freedoms that are significant to Aboriginal and Torres Strait Islander Women through cultural preservation, health education and coalition building. NATSIWA comprises individual members who are Aboriginal and Torres Strait Islander women and organisational members</w:t>
      </w:r>
      <w:r w:rsidR="00B81CAC" w:rsidRPr="00CE2F22">
        <w:rPr>
          <w:lang w:val="en-AU"/>
        </w:rPr>
        <w:t xml:space="preserve"> </w:t>
      </w:r>
      <w:r w:rsidRPr="00CE2F22">
        <w:rPr>
          <w:lang w:val="en-AU"/>
        </w:rPr>
        <w:t>that represent the interests of Aboriginal and Torres Strait Islander women at a regional, state or territory, or national level.</w:t>
      </w:r>
    </w:p>
    <w:p w14:paraId="1E06A427" w14:textId="77777777" w:rsidR="009A5B8A" w:rsidRDefault="009A5B8A" w:rsidP="009A5B8A">
      <w:pPr>
        <w:pStyle w:val="Heading2"/>
      </w:pPr>
      <w:bookmarkStart w:id="12" w:name="_Toc96091331"/>
      <w:bookmarkStart w:id="13" w:name="_Toc96091479"/>
    </w:p>
    <w:p w14:paraId="6F2C444B" w14:textId="75B43949" w:rsidR="003150C1" w:rsidRPr="009A5B8A" w:rsidRDefault="003150C1" w:rsidP="009A5B8A">
      <w:pPr>
        <w:pStyle w:val="Heading2"/>
      </w:pPr>
      <w:bookmarkStart w:id="14" w:name="_Toc96092048"/>
      <w:r w:rsidRPr="009A5B8A">
        <w:t>About WWDA</w:t>
      </w:r>
      <w:bookmarkEnd w:id="12"/>
      <w:bookmarkEnd w:id="13"/>
      <w:bookmarkEnd w:id="14"/>
    </w:p>
    <w:p w14:paraId="0B1BE898" w14:textId="77777777" w:rsidR="009A5B8A" w:rsidRDefault="009A5B8A" w:rsidP="00B81CAC">
      <w:pPr>
        <w:pStyle w:val="BodyText"/>
        <w:rPr>
          <w:lang w:val="en-AU"/>
        </w:rPr>
      </w:pPr>
    </w:p>
    <w:p w14:paraId="6CD9003B" w14:textId="7FD435AB" w:rsidR="003150C1" w:rsidRPr="00CE2F22" w:rsidRDefault="003150C1" w:rsidP="00B81CAC">
      <w:pPr>
        <w:pStyle w:val="BodyText"/>
        <w:rPr>
          <w:lang w:val="en-AU"/>
        </w:rPr>
      </w:pPr>
      <w:r w:rsidRPr="00CE2F22">
        <w:rPr>
          <w:lang w:val="en-AU"/>
        </w:rPr>
        <w:t>Women With Disabilities Australia (WWDA) is the award winning, national Disabled People’s Organisation (DPO) and National Women’s Alliance (NWA) for women, girls, feminine identifying, and non-binary people with disabilities in Australia.</w:t>
      </w:r>
      <w:r w:rsidR="00B81CAC" w:rsidRPr="00CE2F22">
        <w:rPr>
          <w:lang w:val="en-AU"/>
        </w:rPr>
        <w:t xml:space="preserve"> </w:t>
      </w:r>
      <w:r w:rsidRPr="00CE2F22">
        <w:rPr>
          <w:lang w:val="en-AU"/>
        </w:rPr>
        <w:t>WWDA represents more than two million individuals in Australia, with affiliate organisations and networks in most states and territories. To promote the rights of women and girls with disability, WWDA takes part in a range of system advocacy activities. WWDA’s work seeks to support and empower individuals, while also creating greater awareness among governments and other relevant institutions about their obligations to do so.</w:t>
      </w:r>
    </w:p>
    <w:p w14:paraId="38BC9789" w14:textId="77777777" w:rsidR="00085404" w:rsidRDefault="00085404">
      <w:pPr>
        <w:spacing w:after="200" w:line="276" w:lineRule="auto"/>
        <w:rPr>
          <w:rFonts w:asciiTheme="majorHAnsi" w:eastAsiaTheme="majorEastAsia" w:hAnsiTheme="majorHAnsi" w:cstheme="majorBidi"/>
          <w:bCs/>
          <w:color w:val="92278F" w:themeColor="accent1"/>
          <w:spacing w:val="20"/>
          <w:sz w:val="32"/>
          <w:szCs w:val="28"/>
        </w:rPr>
      </w:pPr>
      <w:r>
        <w:br w:type="page"/>
      </w:r>
    </w:p>
    <w:p w14:paraId="724AF122" w14:textId="0B6B9194" w:rsidR="003150C1" w:rsidRPr="009A5B8A" w:rsidRDefault="003150C1" w:rsidP="009A5B8A">
      <w:pPr>
        <w:pStyle w:val="Heading2"/>
      </w:pPr>
      <w:bookmarkStart w:id="15" w:name="_Toc96091332"/>
      <w:bookmarkStart w:id="16" w:name="_Toc96091480"/>
      <w:bookmarkStart w:id="17" w:name="_Toc96092049"/>
      <w:r w:rsidRPr="009A5B8A">
        <w:lastRenderedPageBreak/>
        <w:t>Abbreviations</w:t>
      </w:r>
      <w:bookmarkEnd w:id="15"/>
      <w:bookmarkEnd w:id="16"/>
      <w:bookmarkEnd w:id="17"/>
    </w:p>
    <w:p w14:paraId="4CB7E305" w14:textId="77777777" w:rsidR="003150C1" w:rsidRPr="00CE2F22" w:rsidRDefault="003150C1" w:rsidP="003150C1"/>
    <w:tbl>
      <w:tblPr>
        <w:tblStyle w:val="TableGrid"/>
        <w:tblW w:w="0" w:type="auto"/>
        <w:tblLook w:val="04A0" w:firstRow="1" w:lastRow="0" w:firstColumn="1" w:lastColumn="0" w:noHBand="0" w:noVBand="1"/>
      </w:tblPr>
      <w:tblGrid>
        <w:gridCol w:w="1838"/>
        <w:gridCol w:w="7512"/>
      </w:tblGrid>
      <w:tr w:rsidR="003150C1" w:rsidRPr="00CE2F22" w14:paraId="35026234" w14:textId="77777777" w:rsidTr="003150C1">
        <w:tc>
          <w:tcPr>
            <w:tcW w:w="1838" w:type="dxa"/>
          </w:tcPr>
          <w:p w14:paraId="2893D0D1" w14:textId="62871CCC" w:rsidR="003150C1" w:rsidRPr="00CE2F22" w:rsidRDefault="003150C1" w:rsidP="00B81CAC">
            <w:pPr>
              <w:pStyle w:val="BodyText"/>
              <w:rPr>
                <w:lang w:val="en-AU"/>
              </w:rPr>
            </w:pPr>
            <w:r w:rsidRPr="00CE2F22">
              <w:rPr>
                <w:lang w:val="en-AU"/>
              </w:rPr>
              <w:t>AWAVA</w:t>
            </w:r>
            <w:r w:rsidRPr="00CE2F22">
              <w:rPr>
                <w:lang w:val="en-AU"/>
              </w:rPr>
              <w:tab/>
            </w:r>
          </w:p>
        </w:tc>
        <w:tc>
          <w:tcPr>
            <w:tcW w:w="7512" w:type="dxa"/>
          </w:tcPr>
          <w:p w14:paraId="49BEBA6A" w14:textId="591520F7" w:rsidR="003150C1" w:rsidRPr="00CE2F22" w:rsidRDefault="003150C1" w:rsidP="00B81CAC">
            <w:pPr>
              <w:pStyle w:val="BodyText"/>
              <w:rPr>
                <w:lang w:val="en-AU"/>
              </w:rPr>
            </w:pPr>
            <w:r w:rsidRPr="00CE2F22">
              <w:rPr>
                <w:lang w:val="en-AU"/>
              </w:rPr>
              <w:t>Australian Women Against Violence Alliance</w:t>
            </w:r>
          </w:p>
        </w:tc>
      </w:tr>
      <w:tr w:rsidR="003150C1" w:rsidRPr="00CE2F22" w14:paraId="55C85112" w14:textId="77777777" w:rsidTr="003150C1">
        <w:tc>
          <w:tcPr>
            <w:tcW w:w="1838" w:type="dxa"/>
          </w:tcPr>
          <w:p w14:paraId="377E3BBC" w14:textId="5C7F19D7" w:rsidR="003150C1" w:rsidRPr="00CE2F22" w:rsidRDefault="003150C1" w:rsidP="00B81CAC">
            <w:pPr>
              <w:pStyle w:val="BodyText"/>
              <w:rPr>
                <w:lang w:val="en-AU"/>
              </w:rPr>
            </w:pPr>
            <w:r w:rsidRPr="00CE2F22">
              <w:rPr>
                <w:lang w:val="en-AU"/>
              </w:rPr>
              <w:t>CALD</w:t>
            </w:r>
          </w:p>
        </w:tc>
        <w:tc>
          <w:tcPr>
            <w:tcW w:w="7512" w:type="dxa"/>
          </w:tcPr>
          <w:p w14:paraId="00C662C8" w14:textId="0095A453" w:rsidR="003150C1" w:rsidRPr="00CE2F22" w:rsidRDefault="003150C1" w:rsidP="00B81CAC">
            <w:pPr>
              <w:pStyle w:val="BodyText"/>
              <w:rPr>
                <w:lang w:val="en-AU"/>
              </w:rPr>
            </w:pPr>
            <w:r w:rsidRPr="00CE2F22">
              <w:rPr>
                <w:lang w:val="en-AU"/>
              </w:rPr>
              <w:t>Culturally and Linguistically Diverse</w:t>
            </w:r>
          </w:p>
        </w:tc>
      </w:tr>
      <w:tr w:rsidR="003150C1" w:rsidRPr="00CE2F22" w14:paraId="4324B415" w14:textId="77777777" w:rsidTr="003150C1">
        <w:tc>
          <w:tcPr>
            <w:tcW w:w="1838" w:type="dxa"/>
          </w:tcPr>
          <w:p w14:paraId="00DB0526" w14:textId="49904302" w:rsidR="003150C1" w:rsidRPr="00CE2F22" w:rsidRDefault="003150C1" w:rsidP="00B81CAC">
            <w:pPr>
              <w:pStyle w:val="BodyText"/>
              <w:rPr>
                <w:lang w:val="en-AU"/>
              </w:rPr>
            </w:pPr>
            <w:r w:rsidRPr="00CE2F22">
              <w:rPr>
                <w:lang w:val="en-AU"/>
              </w:rPr>
              <w:t>LGBTQI+</w:t>
            </w:r>
          </w:p>
        </w:tc>
        <w:tc>
          <w:tcPr>
            <w:tcW w:w="7512" w:type="dxa"/>
          </w:tcPr>
          <w:p w14:paraId="6D612711" w14:textId="11B0D638" w:rsidR="003150C1" w:rsidRPr="00CE2F22" w:rsidRDefault="003150C1" w:rsidP="00B81CAC">
            <w:pPr>
              <w:pStyle w:val="BodyText"/>
              <w:rPr>
                <w:lang w:val="en-AU"/>
              </w:rPr>
            </w:pPr>
            <w:r w:rsidRPr="00CE2F22">
              <w:rPr>
                <w:lang w:val="en-AU"/>
              </w:rPr>
              <w:t>Lesbian, Gay, Bisexual,</w:t>
            </w:r>
            <w:r w:rsidR="00075256" w:rsidRPr="00CE2F22">
              <w:rPr>
                <w:lang w:val="en-AU"/>
              </w:rPr>
              <w:t xml:space="preserve"> </w:t>
            </w:r>
            <w:r w:rsidRPr="00CE2F22">
              <w:rPr>
                <w:lang w:val="en-AU"/>
              </w:rPr>
              <w:t>Transgender, Queer, Intersex, and Asexual</w:t>
            </w:r>
          </w:p>
        </w:tc>
      </w:tr>
      <w:tr w:rsidR="003150C1" w:rsidRPr="00CE2F22" w14:paraId="399FECA0" w14:textId="77777777" w:rsidTr="003150C1">
        <w:tc>
          <w:tcPr>
            <w:tcW w:w="1838" w:type="dxa"/>
          </w:tcPr>
          <w:p w14:paraId="721D6736" w14:textId="75A3DFAC" w:rsidR="003150C1" w:rsidRPr="00CE2F22" w:rsidRDefault="003150C1" w:rsidP="00B81CAC">
            <w:pPr>
              <w:pStyle w:val="BodyText"/>
              <w:rPr>
                <w:lang w:val="en-AU"/>
              </w:rPr>
            </w:pPr>
            <w:r w:rsidRPr="00CE2F22">
              <w:rPr>
                <w:lang w:val="en-AU"/>
              </w:rPr>
              <w:t>NAIDOC</w:t>
            </w:r>
          </w:p>
        </w:tc>
        <w:tc>
          <w:tcPr>
            <w:tcW w:w="7512" w:type="dxa"/>
          </w:tcPr>
          <w:p w14:paraId="6D0D7DCC" w14:textId="5D4C26C0" w:rsidR="003150C1" w:rsidRPr="00CE2F22" w:rsidRDefault="003150C1" w:rsidP="00B81CAC">
            <w:pPr>
              <w:pStyle w:val="BodyText"/>
              <w:rPr>
                <w:lang w:val="en-AU"/>
              </w:rPr>
            </w:pPr>
            <w:r w:rsidRPr="00CE2F22">
              <w:rPr>
                <w:lang w:val="en-AU"/>
              </w:rPr>
              <w:t>National Aborigines and Islanders Day Observance Committee</w:t>
            </w:r>
          </w:p>
        </w:tc>
      </w:tr>
      <w:tr w:rsidR="003150C1" w:rsidRPr="00CE2F22" w14:paraId="3D6CA650" w14:textId="77777777" w:rsidTr="003150C1">
        <w:tc>
          <w:tcPr>
            <w:tcW w:w="1838" w:type="dxa"/>
          </w:tcPr>
          <w:p w14:paraId="47459728" w14:textId="00F2909F" w:rsidR="003150C1" w:rsidRPr="00CE2F22" w:rsidRDefault="003150C1" w:rsidP="00B81CAC">
            <w:pPr>
              <w:pStyle w:val="BodyText"/>
              <w:rPr>
                <w:lang w:val="en-AU"/>
              </w:rPr>
            </w:pPr>
            <w:r w:rsidRPr="00CE2F22">
              <w:rPr>
                <w:lang w:val="en-AU"/>
              </w:rPr>
              <w:t>NATSIWA</w:t>
            </w:r>
          </w:p>
        </w:tc>
        <w:tc>
          <w:tcPr>
            <w:tcW w:w="7512" w:type="dxa"/>
          </w:tcPr>
          <w:p w14:paraId="53C4BBFC" w14:textId="4A60B83A" w:rsidR="003150C1" w:rsidRPr="00CE2F22" w:rsidRDefault="003150C1" w:rsidP="00B81CAC">
            <w:pPr>
              <w:pStyle w:val="BodyText"/>
              <w:rPr>
                <w:lang w:val="en-AU"/>
              </w:rPr>
            </w:pPr>
            <w:r w:rsidRPr="00CE2F22">
              <w:rPr>
                <w:lang w:val="en-AU"/>
              </w:rPr>
              <w:t>National Aboriginal and Torres Strait Islander Women’s Alliance</w:t>
            </w:r>
          </w:p>
        </w:tc>
      </w:tr>
      <w:tr w:rsidR="003150C1" w:rsidRPr="00CE2F22" w14:paraId="25B6B7B1" w14:textId="77777777" w:rsidTr="003150C1">
        <w:tc>
          <w:tcPr>
            <w:tcW w:w="1838" w:type="dxa"/>
          </w:tcPr>
          <w:p w14:paraId="0C3516E5" w14:textId="53C063CF" w:rsidR="003150C1" w:rsidRPr="00CE2F22" w:rsidRDefault="003150C1" w:rsidP="00B81CAC">
            <w:pPr>
              <w:pStyle w:val="BodyText"/>
              <w:rPr>
                <w:lang w:val="en-AU"/>
              </w:rPr>
            </w:pPr>
            <w:r w:rsidRPr="00CE2F22">
              <w:rPr>
                <w:lang w:val="en-AU"/>
              </w:rPr>
              <w:t>RRR</w:t>
            </w:r>
          </w:p>
        </w:tc>
        <w:tc>
          <w:tcPr>
            <w:tcW w:w="7512" w:type="dxa"/>
          </w:tcPr>
          <w:p w14:paraId="6BBBFBC5" w14:textId="3655A29C" w:rsidR="003150C1" w:rsidRPr="00CE2F22" w:rsidRDefault="003150C1" w:rsidP="00B81CAC">
            <w:pPr>
              <w:pStyle w:val="BodyText"/>
              <w:rPr>
                <w:lang w:val="en-AU"/>
              </w:rPr>
            </w:pPr>
            <w:r w:rsidRPr="00CE2F22">
              <w:rPr>
                <w:lang w:val="en-AU"/>
              </w:rPr>
              <w:t>Rural, Regional, and Remote</w:t>
            </w:r>
          </w:p>
        </w:tc>
      </w:tr>
      <w:tr w:rsidR="003150C1" w:rsidRPr="00CE2F22" w14:paraId="130CAA19" w14:textId="77777777" w:rsidTr="003150C1">
        <w:tc>
          <w:tcPr>
            <w:tcW w:w="1838" w:type="dxa"/>
          </w:tcPr>
          <w:p w14:paraId="6DB3B05E" w14:textId="25D8D9D8" w:rsidR="003150C1" w:rsidRPr="00CE2F22" w:rsidRDefault="003150C1" w:rsidP="00B81CAC">
            <w:pPr>
              <w:pStyle w:val="BodyText"/>
              <w:rPr>
                <w:lang w:val="en-AU"/>
              </w:rPr>
            </w:pPr>
            <w:r w:rsidRPr="00CE2F22">
              <w:rPr>
                <w:lang w:val="en-AU"/>
              </w:rPr>
              <w:t>WWDA</w:t>
            </w:r>
          </w:p>
        </w:tc>
        <w:tc>
          <w:tcPr>
            <w:tcW w:w="7512" w:type="dxa"/>
          </w:tcPr>
          <w:p w14:paraId="2181FE7C" w14:textId="46A73D15" w:rsidR="003150C1" w:rsidRPr="00CE2F22" w:rsidRDefault="003150C1" w:rsidP="00B81CAC">
            <w:pPr>
              <w:pStyle w:val="BodyText"/>
              <w:rPr>
                <w:lang w:val="en-AU"/>
              </w:rPr>
            </w:pPr>
            <w:r w:rsidRPr="00CE2F22">
              <w:rPr>
                <w:lang w:val="en-AU"/>
              </w:rPr>
              <w:t>Women With Disabilities Australia</w:t>
            </w:r>
          </w:p>
        </w:tc>
      </w:tr>
      <w:tr w:rsidR="003150C1" w:rsidRPr="00CE2F22" w14:paraId="30BA7CA2" w14:textId="77777777" w:rsidTr="003150C1">
        <w:tc>
          <w:tcPr>
            <w:tcW w:w="1838" w:type="dxa"/>
          </w:tcPr>
          <w:p w14:paraId="02E9FED7" w14:textId="6A09F126" w:rsidR="003150C1" w:rsidRPr="00CE2F22" w:rsidRDefault="003150C1" w:rsidP="00B81CAC">
            <w:pPr>
              <w:pStyle w:val="BodyText"/>
              <w:rPr>
                <w:lang w:val="en-AU"/>
              </w:rPr>
            </w:pPr>
            <w:r w:rsidRPr="00CE2F22">
              <w:rPr>
                <w:lang w:val="en-AU"/>
              </w:rPr>
              <w:t>VAW</w:t>
            </w:r>
          </w:p>
        </w:tc>
        <w:tc>
          <w:tcPr>
            <w:tcW w:w="7512" w:type="dxa"/>
          </w:tcPr>
          <w:p w14:paraId="65E22BE2" w14:textId="1C30A11B" w:rsidR="003150C1" w:rsidRPr="00CE2F22" w:rsidRDefault="003150C1" w:rsidP="00B81CAC">
            <w:pPr>
              <w:pStyle w:val="BodyText"/>
              <w:rPr>
                <w:lang w:val="en-AU"/>
              </w:rPr>
            </w:pPr>
            <w:r w:rsidRPr="00CE2F22">
              <w:rPr>
                <w:lang w:val="en-AU"/>
              </w:rPr>
              <w:t>Violence Against Women</w:t>
            </w:r>
          </w:p>
        </w:tc>
      </w:tr>
    </w:tbl>
    <w:p w14:paraId="5FE23D28" w14:textId="4CF051CF" w:rsidR="003150C1" w:rsidRPr="003150C1" w:rsidRDefault="003150C1" w:rsidP="003150C1"/>
    <w:p w14:paraId="63297B8D" w14:textId="6DC224E6" w:rsidR="003150C1" w:rsidRPr="009A5B8A" w:rsidRDefault="003150C1" w:rsidP="009A5B8A">
      <w:pPr>
        <w:pStyle w:val="Heading2"/>
      </w:pPr>
      <w:bookmarkStart w:id="18" w:name="_Toc96091333"/>
      <w:bookmarkStart w:id="19" w:name="_Toc96091481"/>
      <w:bookmarkStart w:id="20" w:name="_Toc96092050"/>
      <w:r w:rsidRPr="009A5B8A">
        <w:t>Glossary</w:t>
      </w:r>
      <w:bookmarkEnd w:id="18"/>
      <w:bookmarkEnd w:id="19"/>
      <w:bookmarkEnd w:id="20"/>
    </w:p>
    <w:p w14:paraId="4C0E7FEB" w14:textId="77777777" w:rsidR="003150C1" w:rsidRPr="00CE2F22" w:rsidRDefault="003150C1" w:rsidP="003150C1"/>
    <w:tbl>
      <w:tblPr>
        <w:tblStyle w:val="TableGrid"/>
        <w:tblW w:w="0" w:type="auto"/>
        <w:tblLook w:val="04A0" w:firstRow="1" w:lastRow="0" w:firstColumn="1" w:lastColumn="0" w:noHBand="0" w:noVBand="1"/>
      </w:tblPr>
      <w:tblGrid>
        <w:gridCol w:w="1838"/>
        <w:gridCol w:w="7512"/>
      </w:tblGrid>
      <w:tr w:rsidR="003150C1" w:rsidRPr="00CE2F22" w14:paraId="25232D27" w14:textId="77777777" w:rsidTr="009A5B8A">
        <w:tc>
          <w:tcPr>
            <w:tcW w:w="1838" w:type="dxa"/>
          </w:tcPr>
          <w:p w14:paraId="7759AD24" w14:textId="6F066040" w:rsidR="003150C1" w:rsidRPr="00CE2F22" w:rsidRDefault="003150C1" w:rsidP="00B81CAC">
            <w:pPr>
              <w:pStyle w:val="BodyText"/>
              <w:rPr>
                <w:lang w:val="en-AU"/>
              </w:rPr>
            </w:pPr>
            <w:r w:rsidRPr="00CE2F22">
              <w:rPr>
                <w:lang w:val="en-AU"/>
              </w:rPr>
              <w:t>Cis-gendered</w:t>
            </w:r>
          </w:p>
        </w:tc>
        <w:tc>
          <w:tcPr>
            <w:tcW w:w="7512" w:type="dxa"/>
          </w:tcPr>
          <w:p w14:paraId="4654252E" w14:textId="2989CD70" w:rsidR="003150C1" w:rsidRPr="00CE2F22" w:rsidRDefault="003150C1" w:rsidP="00B81CAC">
            <w:pPr>
              <w:pStyle w:val="BodyText"/>
              <w:rPr>
                <w:lang w:val="en-AU"/>
              </w:rPr>
            </w:pPr>
            <w:r w:rsidRPr="00CE2F22">
              <w:rPr>
                <w:lang w:val="en-AU"/>
              </w:rPr>
              <w:t>Relating to a person or people whose sense of personal identity and gender corresponds with their birth sex.</w:t>
            </w:r>
          </w:p>
        </w:tc>
      </w:tr>
      <w:tr w:rsidR="003150C1" w:rsidRPr="00CE2F22" w14:paraId="70B04ADD" w14:textId="77777777" w:rsidTr="009A5B8A">
        <w:tc>
          <w:tcPr>
            <w:tcW w:w="1838" w:type="dxa"/>
          </w:tcPr>
          <w:p w14:paraId="51880A08" w14:textId="121D7E26" w:rsidR="003150C1" w:rsidRPr="00CE2F22" w:rsidRDefault="003150C1" w:rsidP="00B81CAC">
            <w:pPr>
              <w:pStyle w:val="BodyText"/>
              <w:rPr>
                <w:lang w:val="en-AU"/>
              </w:rPr>
            </w:pPr>
            <w:r w:rsidRPr="00CE2F22">
              <w:rPr>
                <w:lang w:val="en-AU"/>
              </w:rPr>
              <w:t>First Nations</w:t>
            </w:r>
          </w:p>
        </w:tc>
        <w:tc>
          <w:tcPr>
            <w:tcW w:w="7512" w:type="dxa"/>
          </w:tcPr>
          <w:p w14:paraId="6AF5BF14" w14:textId="4489658A" w:rsidR="003150C1" w:rsidRPr="00CE2F22" w:rsidRDefault="003150C1" w:rsidP="00B81CAC">
            <w:pPr>
              <w:pStyle w:val="BodyText"/>
              <w:rPr>
                <w:lang w:val="en-AU"/>
              </w:rPr>
            </w:pPr>
            <w:r w:rsidRPr="00CE2F22">
              <w:rPr>
                <w:lang w:val="en-AU"/>
              </w:rPr>
              <w:t>Aboriginal and Torres Strait Islander peoples are the first peoples of Australia, meaning they were here for thousands of years prior to colonisation.</w:t>
            </w:r>
          </w:p>
        </w:tc>
      </w:tr>
      <w:tr w:rsidR="003150C1" w:rsidRPr="00CE2F22" w14:paraId="109117F2" w14:textId="77777777" w:rsidTr="009A5B8A">
        <w:tc>
          <w:tcPr>
            <w:tcW w:w="1838" w:type="dxa"/>
          </w:tcPr>
          <w:p w14:paraId="3634F001" w14:textId="4C357C54" w:rsidR="003150C1" w:rsidRPr="00CE2F22" w:rsidRDefault="003150C1" w:rsidP="00B81CAC">
            <w:pPr>
              <w:pStyle w:val="BodyText"/>
              <w:rPr>
                <w:lang w:val="en-AU"/>
              </w:rPr>
            </w:pPr>
            <w:r w:rsidRPr="00CE2F22">
              <w:rPr>
                <w:lang w:val="en-AU"/>
              </w:rPr>
              <w:t>Gender-Based Violence (GBV)</w:t>
            </w:r>
          </w:p>
        </w:tc>
        <w:tc>
          <w:tcPr>
            <w:tcW w:w="7512" w:type="dxa"/>
          </w:tcPr>
          <w:p w14:paraId="27E8299C" w14:textId="581CA51F" w:rsidR="003150C1" w:rsidRPr="00CE2F22" w:rsidRDefault="003150C1" w:rsidP="00B81CAC">
            <w:pPr>
              <w:pStyle w:val="BodyText"/>
              <w:rPr>
                <w:lang w:val="en-AU"/>
              </w:rPr>
            </w:pPr>
            <w:r w:rsidRPr="00CE2F22">
              <w:rPr>
                <w:lang w:val="en-AU"/>
              </w:rPr>
              <w:t>Violence directed at a person because of that person’s gender or violence that affects persons of a particular gender disproportionately.</w:t>
            </w:r>
          </w:p>
        </w:tc>
      </w:tr>
      <w:tr w:rsidR="003150C1" w:rsidRPr="00CE2F22" w14:paraId="597E8CAE" w14:textId="77777777" w:rsidTr="009A5B8A">
        <w:tc>
          <w:tcPr>
            <w:tcW w:w="1838" w:type="dxa"/>
          </w:tcPr>
          <w:p w14:paraId="29506353" w14:textId="52D9B535" w:rsidR="003150C1" w:rsidRPr="00CE2F22" w:rsidRDefault="003150C1" w:rsidP="00B81CAC">
            <w:pPr>
              <w:pStyle w:val="BodyText"/>
              <w:rPr>
                <w:lang w:val="en-AU"/>
              </w:rPr>
            </w:pPr>
            <w:r w:rsidRPr="00CE2F22">
              <w:rPr>
                <w:lang w:val="en-AU"/>
              </w:rPr>
              <w:t>Heteronormative</w:t>
            </w:r>
          </w:p>
        </w:tc>
        <w:tc>
          <w:tcPr>
            <w:tcW w:w="7512" w:type="dxa"/>
          </w:tcPr>
          <w:p w14:paraId="0BFF3AC7" w14:textId="579B1976" w:rsidR="003150C1" w:rsidRPr="00CE2F22" w:rsidRDefault="003150C1" w:rsidP="00B81CAC">
            <w:pPr>
              <w:pStyle w:val="BodyText"/>
              <w:rPr>
                <w:lang w:val="en-AU"/>
              </w:rPr>
            </w:pPr>
            <w:r w:rsidRPr="00CE2F22">
              <w:rPr>
                <w:lang w:val="en-AU"/>
              </w:rPr>
              <w:t>A world view or perspective that promotes or assumes heterosexuality as the usual or default sexual orientation.</w:t>
            </w:r>
          </w:p>
        </w:tc>
      </w:tr>
    </w:tbl>
    <w:p w14:paraId="1E77DCAD" w14:textId="2880111F" w:rsidR="003150C1" w:rsidRPr="00CE2F22" w:rsidRDefault="003150C1" w:rsidP="003150C1">
      <w:r w:rsidRPr="00CE2F22">
        <w:br/>
      </w:r>
      <w:r w:rsidRPr="00CE2F22">
        <w:br/>
      </w:r>
    </w:p>
    <w:p w14:paraId="541D9E3D" w14:textId="0F4C6B0C" w:rsidR="003150C1" w:rsidRPr="00CE2F22" w:rsidRDefault="003150C1" w:rsidP="003150C1"/>
    <w:p w14:paraId="01B35985" w14:textId="587DF298" w:rsidR="003150C1" w:rsidRPr="00CE2F22" w:rsidRDefault="003150C1">
      <w:pPr>
        <w:spacing w:after="200" w:line="276" w:lineRule="auto"/>
      </w:pPr>
      <w:r w:rsidRPr="00CE2F22">
        <w:br w:type="page"/>
      </w:r>
    </w:p>
    <w:p w14:paraId="6AB3687F" w14:textId="3F9B4855" w:rsidR="003150C1" w:rsidRPr="009A5B8A" w:rsidRDefault="003150C1" w:rsidP="009A5B8A">
      <w:pPr>
        <w:pStyle w:val="Heading2"/>
      </w:pPr>
      <w:bookmarkStart w:id="21" w:name="_Toc96091334"/>
      <w:bookmarkStart w:id="22" w:name="_Toc96091482"/>
      <w:bookmarkStart w:id="23" w:name="_Toc96092051"/>
      <w:r w:rsidRPr="009A5B8A">
        <w:lastRenderedPageBreak/>
        <w:t xml:space="preserve">Acknowledgement </w:t>
      </w:r>
      <w:bookmarkEnd w:id="21"/>
      <w:bookmarkEnd w:id="22"/>
      <w:r w:rsidR="009A5B8A" w:rsidRPr="009A5B8A">
        <w:t>of Country</w:t>
      </w:r>
      <w:bookmarkEnd w:id="23"/>
    </w:p>
    <w:p w14:paraId="7ACC8AE4" w14:textId="7CAF5DF8" w:rsidR="003150C1" w:rsidRPr="00CE2F22" w:rsidRDefault="003150C1" w:rsidP="00B81CAC">
      <w:pPr>
        <w:pStyle w:val="BodyText"/>
        <w:rPr>
          <w:lang w:val="en-AU"/>
        </w:rPr>
      </w:pPr>
      <w:r w:rsidRPr="00CE2F22">
        <w:rPr>
          <w:lang w:val="en-AU"/>
        </w:rPr>
        <w:t>AWAVA acknowledges the Ancestors and Elders of the land on which this publication was produced, Ngunnawal and Ngambri Country, and extends our respects to all other community members and Elders, past and present.</w:t>
      </w:r>
    </w:p>
    <w:p w14:paraId="6EB4DE50" w14:textId="77777777" w:rsidR="00B81CAC" w:rsidRPr="00CE2F22" w:rsidRDefault="00B81CAC" w:rsidP="00B81CAC">
      <w:pPr>
        <w:pStyle w:val="BodyText"/>
        <w:rPr>
          <w:lang w:val="en-AU"/>
        </w:rPr>
      </w:pPr>
    </w:p>
    <w:p w14:paraId="13F944F1" w14:textId="2BC1A092" w:rsidR="003150C1" w:rsidRPr="00CE2F22" w:rsidRDefault="003150C1" w:rsidP="00B81CAC">
      <w:pPr>
        <w:pStyle w:val="BodyText"/>
        <w:rPr>
          <w:lang w:val="en-AU"/>
        </w:rPr>
      </w:pPr>
      <w:r w:rsidRPr="00CE2F22">
        <w:rPr>
          <w:lang w:val="en-AU"/>
        </w:rPr>
        <w:t>In the context of settler-colonial Australia and ongoing genocide, AWAVA acknowledges the specific forms of gender-based violence First Nations women and non-binary people continue to experience, fuelled by colonial concepts of race and gender.</w:t>
      </w:r>
    </w:p>
    <w:p w14:paraId="3E39BE1B" w14:textId="77777777" w:rsidR="00B81CAC" w:rsidRPr="00CE2F22" w:rsidRDefault="00B81CAC" w:rsidP="00B81CAC">
      <w:pPr>
        <w:pStyle w:val="BodyText"/>
        <w:rPr>
          <w:lang w:val="en-AU"/>
        </w:rPr>
      </w:pPr>
    </w:p>
    <w:p w14:paraId="5CD68B9E" w14:textId="77777777" w:rsidR="003150C1" w:rsidRPr="00CE2F22" w:rsidRDefault="003150C1" w:rsidP="00B81CAC">
      <w:pPr>
        <w:pStyle w:val="BodyText"/>
        <w:rPr>
          <w:lang w:val="en-AU"/>
        </w:rPr>
      </w:pPr>
      <w:r w:rsidRPr="00CE2F22">
        <w:rPr>
          <w:lang w:val="en-AU"/>
        </w:rPr>
        <w:t>We stand in solidarity with our colleagues at NATSIWA and all other Aboriginal and Torres Strait Islander women and non-binary advocates leading primary prevention and transformative justice efforts. There is no gender justice without First Nations justice.</w:t>
      </w:r>
    </w:p>
    <w:p w14:paraId="68C57954" w14:textId="76B0EC64" w:rsidR="003150C1" w:rsidRPr="00CE2F22" w:rsidRDefault="003150C1" w:rsidP="003150C1"/>
    <w:p w14:paraId="427847B1" w14:textId="50C9AC08" w:rsidR="003150C1" w:rsidRPr="009A5B8A" w:rsidRDefault="003150C1" w:rsidP="009A5B8A">
      <w:pPr>
        <w:pStyle w:val="Heading2"/>
      </w:pPr>
      <w:bookmarkStart w:id="24" w:name="_Toc96091335"/>
      <w:bookmarkStart w:id="25" w:name="_Toc96091483"/>
      <w:bookmarkStart w:id="26" w:name="_Toc96092052"/>
      <w:r w:rsidRPr="009A5B8A">
        <w:t>Acknowledgement of victim-survivors</w:t>
      </w:r>
      <w:bookmarkEnd w:id="24"/>
      <w:bookmarkEnd w:id="25"/>
      <w:bookmarkEnd w:id="26"/>
    </w:p>
    <w:p w14:paraId="50618981" w14:textId="2CADD7A7" w:rsidR="003150C1" w:rsidRPr="00CE2F22" w:rsidRDefault="003150C1" w:rsidP="00B81CAC">
      <w:pPr>
        <w:pStyle w:val="BodyText"/>
        <w:rPr>
          <w:lang w:val="en-AU"/>
        </w:rPr>
      </w:pPr>
      <w:r w:rsidRPr="00CE2F22">
        <w:rPr>
          <w:lang w:val="en-AU"/>
        </w:rPr>
        <w:t>We wish to acknowledge the experiences of all young victim-survivors of gender-based violence who trusted AWAVA by sharing their story as part of this project.</w:t>
      </w:r>
    </w:p>
    <w:p w14:paraId="2436E734" w14:textId="77777777" w:rsidR="00B81CAC" w:rsidRPr="00CE2F22" w:rsidRDefault="00B81CAC" w:rsidP="00B81CAC">
      <w:pPr>
        <w:pStyle w:val="BodyText"/>
        <w:rPr>
          <w:lang w:val="en-AU"/>
        </w:rPr>
      </w:pPr>
    </w:p>
    <w:p w14:paraId="48E4FC8B" w14:textId="77777777" w:rsidR="003150C1" w:rsidRPr="00CE2F22" w:rsidRDefault="003150C1" w:rsidP="00B81CAC">
      <w:pPr>
        <w:pStyle w:val="BodyText"/>
        <w:rPr>
          <w:lang w:val="en-AU"/>
        </w:rPr>
      </w:pPr>
      <w:r w:rsidRPr="00CE2F22">
        <w:rPr>
          <w:lang w:val="en-AU"/>
        </w:rPr>
        <w:t>We acknowledge the primary ethical imperative to hear and respond to voices of people interpreting their own situations and making sense of the violence inflicted upon them, which may be in ways that challenge or complicate understandings of gender inequality as they have been conceived within existing power structures.</w:t>
      </w:r>
    </w:p>
    <w:p w14:paraId="0EBF9404" w14:textId="77777777" w:rsidR="009A5B8A" w:rsidRDefault="009A5B8A" w:rsidP="009A5B8A">
      <w:pPr>
        <w:pStyle w:val="Heading2"/>
      </w:pPr>
      <w:bookmarkStart w:id="27" w:name="_Toc96091336"/>
      <w:bookmarkStart w:id="28" w:name="_Toc96091484"/>
    </w:p>
    <w:p w14:paraId="72DAA520" w14:textId="4332CBC1" w:rsidR="003150C1" w:rsidRPr="00CE2F22" w:rsidRDefault="003150C1" w:rsidP="009A5B8A">
      <w:pPr>
        <w:pStyle w:val="Heading2"/>
        <w:rPr>
          <w:spacing w:val="-4"/>
        </w:rPr>
      </w:pPr>
      <w:bookmarkStart w:id="29" w:name="_Toc96092053"/>
      <w:r w:rsidRPr="00CE2F22">
        <w:t>Acknowledgement</w:t>
      </w:r>
      <w:r w:rsidRPr="00CE2F22">
        <w:rPr>
          <w:spacing w:val="-35"/>
        </w:rPr>
        <w:t xml:space="preserve"> </w:t>
      </w:r>
      <w:r w:rsidRPr="00CE2F22">
        <w:rPr>
          <w:spacing w:val="-4"/>
        </w:rPr>
        <w:t>of</w:t>
      </w:r>
      <w:r w:rsidRPr="00CE2F22">
        <w:rPr>
          <w:spacing w:val="-35"/>
        </w:rPr>
        <w:t xml:space="preserve"> </w:t>
      </w:r>
      <w:r w:rsidRPr="00CE2F22">
        <w:rPr>
          <w:spacing w:val="-4"/>
        </w:rPr>
        <w:t>funding</w:t>
      </w:r>
      <w:bookmarkEnd w:id="27"/>
      <w:bookmarkEnd w:id="28"/>
      <w:bookmarkEnd w:id="29"/>
    </w:p>
    <w:p w14:paraId="6743CD3C" w14:textId="3980F4EC" w:rsidR="003150C1" w:rsidRPr="00CE2F22" w:rsidRDefault="003150C1" w:rsidP="00B81CAC">
      <w:pPr>
        <w:pStyle w:val="BodyText"/>
        <w:rPr>
          <w:lang w:val="en-AU"/>
        </w:rPr>
      </w:pPr>
      <w:r w:rsidRPr="00CE2F22">
        <w:rPr>
          <w:lang w:val="en-AU"/>
        </w:rPr>
        <w:t>This project was made possible through the Australian Government funding to AWAVA, as a National Women’s Alliance, and funding/in-kind time from WESNET and WWDA.</w:t>
      </w:r>
    </w:p>
    <w:p w14:paraId="57A8B39F" w14:textId="77777777" w:rsidR="003150C1" w:rsidRPr="00CE2F22" w:rsidRDefault="003150C1" w:rsidP="003150C1">
      <w:pPr>
        <w:pStyle w:val="Heading1"/>
      </w:pPr>
    </w:p>
    <w:p w14:paraId="59B41C18" w14:textId="77777777" w:rsidR="003150C1" w:rsidRPr="00CE2F22" w:rsidRDefault="003150C1" w:rsidP="003150C1">
      <w:pPr>
        <w:pStyle w:val="Heading1"/>
      </w:pPr>
    </w:p>
    <w:p w14:paraId="2D2619B9" w14:textId="32207E29" w:rsidR="003150C1" w:rsidRPr="00CE2F22" w:rsidRDefault="003150C1" w:rsidP="003150C1">
      <w:pPr>
        <w:pStyle w:val="Heading1"/>
      </w:pPr>
      <w:r w:rsidRPr="00CE2F22">
        <w:br/>
      </w:r>
    </w:p>
    <w:p w14:paraId="21E03A12" w14:textId="1B77A70D" w:rsidR="003150C1" w:rsidRPr="00CE2F22" w:rsidRDefault="003150C1" w:rsidP="003150C1">
      <w:pPr>
        <w:spacing w:after="200" w:line="276" w:lineRule="auto"/>
        <w:rPr>
          <w:rFonts w:asciiTheme="majorHAnsi" w:eastAsiaTheme="majorEastAsia" w:hAnsiTheme="majorHAnsi" w:cstheme="majorBidi"/>
          <w:bCs/>
          <w:color w:val="92278F" w:themeColor="accent1"/>
          <w:spacing w:val="20"/>
          <w:sz w:val="32"/>
          <w:szCs w:val="28"/>
        </w:rPr>
      </w:pPr>
      <w:r w:rsidRPr="00CE2F22">
        <w:br w:type="page"/>
      </w:r>
    </w:p>
    <w:sdt>
      <w:sdtPr>
        <w:rPr>
          <w:rFonts w:asciiTheme="minorHAnsi" w:eastAsiaTheme="minorHAnsi" w:hAnsiTheme="minorHAnsi" w:cstheme="minorBidi"/>
          <w:b w:val="0"/>
          <w:bCs w:val="0"/>
          <w:color w:val="auto"/>
          <w:spacing w:val="0"/>
          <w:sz w:val="21"/>
          <w:szCs w:val="22"/>
        </w:rPr>
        <w:id w:val="327024335"/>
        <w:docPartObj>
          <w:docPartGallery w:val="Table of Contents"/>
          <w:docPartUnique/>
        </w:docPartObj>
      </w:sdtPr>
      <w:sdtEndPr>
        <w:rPr>
          <w:noProof/>
        </w:rPr>
      </w:sdtEndPr>
      <w:sdtContent>
        <w:p w14:paraId="7026B6B4" w14:textId="53B06A78" w:rsidR="004C1865" w:rsidRDefault="004C1865" w:rsidP="004C1865">
          <w:pPr>
            <w:pStyle w:val="TOCHeading"/>
            <w:rPr>
              <w:rFonts w:eastAsiaTheme="minorEastAsia" w:cstheme="minorBidi"/>
              <w:b w:val="0"/>
              <w:bCs w:val="0"/>
              <w:i/>
              <w:iCs/>
              <w:noProof/>
            </w:rPr>
          </w:pPr>
          <w:r>
            <w:t>TABLE OF CONTENTS</w:t>
          </w:r>
          <w:r w:rsidR="009A5B8A">
            <w:rPr>
              <w:i/>
              <w:iCs/>
              <w:sz w:val="24"/>
              <w:szCs w:val="24"/>
            </w:rPr>
            <w:fldChar w:fldCharType="begin"/>
          </w:r>
          <w:r w:rsidR="009A5B8A">
            <w:rPr>
              <w:i/>
              <w:iCs/>
              <w:sz w:val="24"/>
              <w:szCs w:val="24"/>
            </w:rPr>
            <w:instrText xml:space="preserve"> TOC \o "1-3" \h \z \u </w:instrText>
          </w:r>
          <w:r w:rsidR="009A5B8A">
            <w:rPr>
              <w:i/>
              <w:iCs/>
              <w:sz w:val="24"/>
              <w:szCs w:val="24"/>
            </w:rPr>
            <w:fldChar w:fldCharType="separate"/>
          </w:r>
        </w:p>
        <w:p w14:paraId="2097A468" w14:textId="4E9613D3" w:rsidR="009A5B8A" w:rsidRDefault="0071194D">
          <w:pPr>
            <w:pStyle w:val="TOC1"/>
            <w:tabs>
              <w:tab w:val="right" w:leader="dot" w:pos="9350"/>
            </w:tabs>
            <w:rPr>
              <w:rFonts w:eastAsiaTheme="minorEastAsia" w:cstheme="minorBidi"/>
              <w:b w:val="0"/>
              <w:bCs w:val="0"/>
              <w:i w:val="0"/>
              <w:iCs w:val="0"/>
              <w:noProof/>
            </w:rPr>
          </w:pPr>
          <w:hyperlink w:anchor="_Toc96092057" w:history="1">
            <w:r w:rsidR="009A5B8A" w:rsidRPr="00CF65F6">
              <w:rPr>
                <w:rStyle w:val="Hyperlink"/>
                <w:noProof/>
              </w:rPr>
              <w:t>INTRODUCTION</w:t>
            </w:r>
            <w:r w:rsidR="009A5B8A">
              <w:rPr>
                <w:noProof/>
                <w:webHidden/>
              </w:rPr>
              <w:tab/>
            </w:r>
            <w:r w:rsidR="009A5B8A">
              <w:rPr>
                <w:noProof/>
                <w:webHidden/>
              </w:rPr>
              <w:fldChar w:fldCharType="begin"/>
            </w:r>
            <w:r w:rsidR="009A5B8A">
              <w:rPr>
                <w:noProof/>
                <w:webHidden/>
              </w:rPr>
              <w:instrText xml:space="preserve"> PAGEREF _Toc96092057 \h </w:instrText>
            </w:r>
            <w:r w:rsidR="009A5B8A">
              <w:rPr>
                <w:noProof/>
                <w:webHidden/>
              </w:rPr>
            </w:r>
            <w:r w:rsidR="009A5B8A">
              <w:rPr>
                <w:noProof/>
                <w:webHidden/>
              </w:rPr>
              <w:fldChar w:fldCharType="separate"/>
            </w:r>
            <w:r w:rsidR="009A5B8A">
              <w:rPr>
                <w:noProof/>
                <w:webHidden/>
              </w:rPr>
              <w:t>1</w:t>
            </w:r>
            <w:r w:rsidR="009A5B8A">
              <w:rPr>
                <w:noProof/>
                <w:webHidden/>
              </w:rPr>
              <w:fldChar w:fldCharType="end"/>
            </w:r>
          </w:hyperlink>
        </w:p>
        <w:p w14:paraId="748AF861" w14:textId="26405472" w:rsidR="009A5B8A" w:rsidRDefault="0071194D">
          <w:pPr>
            <w:pStyle w:val="TOC1"/>
            <w:tabs>
              <w:tab w:val="right" w:leader="dot" w:pos="9350"/>
            </w:tabs>
            <w:rPr>
              <w:rFonts w:eastAsiaTheme="minorEastAsia" w:cstheme="minorBidi"/>
              <w:b w:val="0"/>
              <w:bCs w:val="0"/>
              <w:i w:val="0"/>
              <w:iCs w:val="0"/>
              <w:noProof/>
            </w:rPr>
          </w:pPr>
          <w:hyperlink w:anchor="_Toc96092058" w:history="1">
            <w:r w:rsidR="009A5B8A" w:rsidRPr="00CF65F6">
              <w:rPr>
                <w:rStyle w:val="Hyperlink"/>
                <w:noProof/>
              </w:rPr>
              <w:t>KEY FINDINGS</w:t>
            </w:r>
            <w:r w:rsidR="009A5B8A">
              <w:rPr>
                <w:noProof/>
                <w:webHidden/>
              </w:rPr>
              <w:tab/>
            </w:r>
            <w:r w:rsidR="009A5B8A">
              <w:rPr>
                <w:noProof/>
                <w:webHidden/>
              </w:rPr>
              <w:fldChar w:fldCharType="begin"/>
            </w:r>
            <w:r w:rsidR="009A5B8A">
              <w:rPr>
                <w:noProof/>
                <w:webHidden/>
              </w:rPr>
              <w:instrText xml:space="preserve"> PAGEREF _Toc96092058 \h </w:instrText>
            </w:r>
            <w:r w:rsidR="009A5B8A">
              <w:rPr>
                <w:noProof/>
                <w:webHidden/>
              </w:rPr>
            </w:r>
            <w:r w:rsidR="009A5B8A">
              <w:rPr>
                <w:noProof/>
                <w:webHidden/>
              </w:rPr>
              <w:fldChar w:fldCharType="separate"/>
            </w:r>
            <w:r w:rsidR="009A5B8A">
              <w:rPr>
                <w:noProof/>
                <w:webHidden/>
              </w:rPr>
              <w:t>2</w:t>
            </w:r>
            <w:r w:rsidR="009A5B8A">
              <w:rPr>
                <w:noProof/>
                <w:webHidden/>
              </w:rPr>
              <w:fldChar w:fldCharType="end"/>
            </w:r>
          </w:hyperlink>
        </w:p>
        <w:p w14:paraId="12678FD6" w14:textId="44435770" w:rsidR="009A5B8A" w:rsidRDefault="0071194D">
          <w:pPr>
            <w:pStyle w:val="TOC2"/>
            <w:tabs>
              <w:tab w:val="right" w:leader="dot" w:pos="9350"/>
            </w:tabs>
            <w:rPr>
              <w:rFonts w:eastAsiaTheme="minorEastAsia" w:cstheme="minorBidi"/>
              <w:b w:val="0"/>
              <w:bCs w:val="0"/>
              <w:noProof/>
              <w:sz w:val="24"/>
              <w:szCs w:val="24"/>
            </w:rPr>
          </w:pPr>
          <w:hyperlink w:anchor="_Toc96092059" w:history="1">
            <w:r w:rsidR="009A5B8A" w:rsidRPr="00CF65F6">
              <w:rPr>
                <w:rStyle w:val="Hyperlink"/>
                <w:noProof/>
              </w:rPr>
              <w:t>High levels and diverse forms of violence</w:t>
            </w:r>
            <w:r w:rsidR="009A5B8A">
              <w:rPr>
                <w:noProof/>
                <w:webHidden/>
              </w:rPr>
              <w:tab/>
            </w:r>
            <w:r w:rsidR="009A5B8A">
              <w:rPr>
                <w:noProof/>
                <w:webHidden/>
              </w:rPr>
              <w:fldChar w:fldCharType="begin"/>
            </w:r>
            <w:r w:rsidR="009A5B8A">
              <w:rPr>
                <w:noProof/>
                <w:webHidden/>
              </w:rPr>
              <w:instrText xml:space="preserve"> PAGEREF _Toc96092059 \h </w:instrText>
            </w:r>
            <w:r w:rsidR="009A5B8A">
              <w:rPr>
                <w:noProof/>
                <w:webHidden/>
              </w:rPr>
            </w:r>
            <w:r w:rsidR="009A5B8A">
              <w:rPr>
                <w:noProof/>
                <w:webHidden/>
              </w:rPr>
              <w:fldChar w:fldCharType="separate"/>
            </w:r>
            <w:r w:rsidR="009A5B8A">
              <w:rPr>
                <w:noProof/>
                <w:webHidden/>
              </w:rPr>
              <w:t>2</w:t>
            </w:r>
            <w:r w:rsidR="009A5B8A">
              <w:rPr>
                <w:noProof/>
                <w:webHidden/>
              </w:rPr>
              <w:fldChar w:fldCharType="end"/>
            </w:r>
          </w:hyperlink>
        </w:p>
        <w:p w14:paraId="2A05BC1E" w14:textId="5D9D4955" w:rsidR="009A5B8A" w:rsidRDefault="0071194D">
          <w:pPr>
            <w:pStyle w:val="TOC2"/>
            <w:tabs>
              <w:tab w:val="right" w:leader="dot" w:pos="9350"/>
            </w:tabs>
            <w:rPr>
              <w:rFonts w:eastAsiaTheme="minorEastAsia" w:cstheme="minorBidi"/>
              <w:b w:val="0"/>
              <w:bCs w:val="0"/>
              <w:noProof/>
              <w:sz w:val="24"/>
              <w:szCs w:val="24"/>
            </w:rPr>
          </w:pPr>
          <w:hyperlink w:anchor="_Toc96092060" w:history="1">
            <w:r w:rsidR="009A5B8A" w:rsidRPr="00CF65F6">
              <w:rPr>
                <w:rStyle w:val="Hyperlink"/>
                <w:noProof/>
              </w:rPr>
              <w:t>Fear of not being believed</w:t>
            </w:r>
            <w:r w:rsidR="009A5B8A">
              <w:rPr>
                <w:noProof/>
                <w:webHidden/>
              </w:rPr>
              <w:tab/>
            </w:r>
            <w:r w:rsidR="009A5B8A">
              <w:rPr>
                <w:noProof/>
                <w:webHidden/>
              </w:rPr>
              <w:fldChar w:fldCharType="begin"/>
            </w:r>
            <w:r w:rsidR="009A5B8A">
              <w:rPr>
                <w:noProof/>
                <w:webHidden/>
              </w:rPr>
              <w:instrText xml:space="preserve"> PAGEREF _Toc96092060 \h </w:instrText>
            </w:r>
            <w:r w:rsidR="009A5B8A">
              <w:rPr>
                <w:noProof/>
                <w:webHidden/>
              </w:rPr>
            </w:r>
            <w:r w:rsidR="009A5B8A">
              <w:rPr>
                <w:noProof/>
                <w:webHidden/>
              </w:rPr>
              <w:fldChar w:fldCharType="separate"/>
            </w:r>
            <w:r w:rsidR="009A5B8A">
              <w:rPr>
                <w:noProof/>
                <w:webHidden/>
              </w:rPr>
              <w:t>2</w:t>
            </w:r>
            <w:r w:rsidR="009A5B8A">
              <w:rPr>
                <w:noProof/>
                <w:webHidden/>
              </w:rPr>
              <w:fldChar w:fldCharType="end"/>
            </w:r>
          </w:hyperlink>
        </w:p>
        <w:p w14:paraId="390E874B" w14:textId="2C29B70F" w:rsidR="009A5B8A" w:rsidRDefault="0071194D">
          <w:pPr>
            <w:pStyle w:val="TOC2"/>
            <w:tabs>
              <w:tab w:val="right" w:leader="dot" w:pos="9350"/>
            </w:tabs>
            <w:rPr>
              <w:rFonts w:eastAsiaTheme="minorEastAsia" w:cstheme="minorBidi"/>
              <w:b w:val="0"/>
              <w:bCs w:val="0"/>
              <w:noProof/>
              <w:sz w:val="24"/>
              <w:szCs w:val="24"/>
            </w:rPr>
          </w:pPr>
          <w:hyperlink w:anchor="_Toc96092061" w:history="1">
            <w:r w:rsidR="009A5B8A" w:rsidRPr="00CF65F6">
              <w:rPr>
                <w:rStyle w:val="Hyperlink"/>
                <w:noProof/>
              </w:rPr>
              <w:t>Barriers to support</w:t>
            </w:r>
            <w:r w:rsidR="009A5B8A">
              <w:rPr>
                <w:noProof/>
                <w:webHidden/>
              </w:rPr>
              <w:tab/>
            </w:r>
            <w:r w:rsidR="009A5B8A">
              <w:rPr>
                <w:noProof/>
                <w:webHidden/>
              </w:rPr>
              <w:fldChar w:fldCharType="begin"/>
            </w:r>
            <w:r w:rsidR="009A5B8A">
              <w:rPr>
                <w:noProof/>
                <w:webHidden/>
              </w:rPr>
              <w:instrText xml:space="preserve"> PAGEREF _Toc96092061 \h </w:instrText>
            </w:r>
            <w:r w:rsidR="009A5B8A">
              <w:rPr>
                <w:noProof/>
                <w:webHidden/>
              </w:rPr>
            </w:r>
            <w:r w:rsidR="009A5B8A">
              <w:rPr>
                <w:noProof/>
                <w:webHidden/>
              </w:rPr>
              <w:fldChar w:fldCharType="separate"/>
            </w:r>
            <w:r w:rsidR="009A5B8A">
              <w:rPr>
                <w:noProof/>
                <w:webHidden/>
              </w:rPr>
              <w:t>2</w:t>
            </w:r>
            <w:r w:rsidR="009A5B8A">
              <w:rPr>
                <w:noProof/>
                <w:webHidden/>
              </w:rPr>
              <w:fldChar w:fldCharType="end"/>
            </w:r>
          </w:hyperlink>
        </w:p>
        <w:p w14:paraId="7D690B27" w14:textId="7AD80475" w:rsidR="009A5B8A" w:rsidRDefault="0071194D">
          <w:pPr>
            <w:pStyle w:val="TOC2"/>
            <w:tabs>
              <w:tab w:val="right" w:leader="dot" w:pos="9350"/>
            </w:tabs>
            <w:rPr>
              <w:rFonts w:eastAsiaTheme="minorEastAsia" w:cstheme="minorBidi"/>
              <w:b w:val="0"/>
              <w:bCs w:val="0"/>
              <w:noProof/>
              <w:sz w:val="24"/>
              <w:szCs w:val="24"/>
            </w:rPr>
          </w:pPr>
          <w:hyperlink w:anchor="_Toc96092062" w:history="1">
            <w:r w:rsidR="009A5B8A" w:rsidRPr="00CF65F6">
              <w:rPr>
                <w:rStyle w:val="Hyperlink"/>
                <w:noProof/>
              </w:rPr>
              <w:t>Primary prevention</w:t>
            </w:r>
            <w:r w:rsidR="009A5B8A">
              <w:rPr>
                <w:noProof/>
                <w:webHidden/>
              </w:rPr>
              <w:tab/>
            </w:r>
            <w:r w:rsidR="009A5B8A">
              <w:rPr>
                <w:noProof/>
                <w:webHidden/>
              </w:rPr>
              <w:fldChar w:fldCharType="begin"/>
            </w:r>
            <w:r w:rsidR="009A5B8A">
              <w:rPr>
                <w:noProof/>
                <w:webHidden/>
              </w:rPr>
              <w:instrText xml:space="preserve"> PAGEREF _Toc96092062 \h </w:instrText>
            </w:r>
            <w:r w:rsidR="009A5B8A">
              <w:rPr>
                <w:noProof/>
                <w:webHidden/>
              </w:rPr>
            </w:r>
            <w:r w:rsidR="009A5B8A">
              <w:rPr>
                <w:noProof/>
                <w:webHidden/>
              </w:rPr>
              <w:fldChar w:fldCharType="separate"/>
            </w:r>
            <w:r w:rsidR="009A5B8A">
              <w:rPr>
                <w:noProof/>
                <w:webHidden/>
              </w:rPr>
              <w:t>2</w:t>
            </w:r>
            <w:r w:rsidR="009A5B8A">
              <w:rPr>
                <w:noProof/>
                <w:webHidden/>
              </w:rPr>
              <w:fldChar w:fldCharType="end"/>
            </w:r>
          </w:hyperlink>
        </w:p>
        <w:p w14:paraId="41DDDF3D" w14:textId="15886F80" w:rsidR="009A5B8A" w:rsidRDefault="0071194D">
          <w:pPr>
            <w:pStyle w:val="TOC2"/>
            <w:tabs>
              <w:tab w:val="right" w:leader="dot" w:pos="9350"/>
            </w:tabs>
            <w:rPr>
              <w:rFonts w:eastAsiaTheme="minorEastAsia" w:cstheme="minorBidi"/>
              <w:b w:val="0"/>
              <w:bCs w:val="0"/>
              <w:noProof/>
              <w:sz w:val="24"/>
              <w:szCs w:val="24"/>
            </w:rPr>
          </w:pPr>
          <w:hyperlink w:anchor="_Toc96092063" w:history="1">
            <w:r w:rsidR="009A5B8A" w:rsidRPr="00CF65F6">
              <w:rPr>
                <w:rStyle w:val="Hyperlink"/>
                <w:noProof/>
              </w:rPr>
              <w:t>Access to justice</w:t>
            </w:r>
            <w:r w:rsidR="009A5B8A">
              <w:rPr>
                <w:noProof/>
                <w:webHidden/>
              </w:rPr>
              <w:tab/>
            </w:r>
            <w:r w:rsidR="009A5B8A">
              <w:rPr>
                <w:noProof/>
                <w:webHidden/>
              </w:rPr>
              <w:fldChar w:fldCharType="begin"/>
            </w:r>
            <w:r w:rsidR="009A5B8A">
              <w:rPr>
                <w:noProof/>
                <w:webHidden/>
              </w:rPr>
              <w:instrText xml:space="preserve"> PAGEREF _Toc96092063 \h </w:instrText>
            </w:r>
            <w:r w:rsidR="009A5B8A">
              <w:rPr>
                <w:noProof/>
                <w:webHidden/>
              </w:rPr>
            </w:r>
            <w:r w:rsidR="009A5B8A">
              <w:rPr>
                <w:noProof/>
                <w:webHidden/>
              </w:rPr>
              <w:fldChar w:fldCharType="separate"/>
            </w:r>
            <w:r w:rsidR="009A5B8A">
              <w:rPr>
                <w:noProof/>
                <w:webHidden/>
              </w:rPr>
              <w:t>3</w:t>
            </w:r>
            <w:r w:rsidR="009A5B8A">
              <w:rPr>
                <w:noProof/>
                <w:webHidden/>
              </w:rPr>
              <w:fldChar w:fldCharType="end"/>
            </w:r>
          </w:hyperlink>
        </w:p>
        <w:p w14:paraId="77C9FB9A" w14:textId="6C3CAAFB" w:rsidR="009A5B8A" w:rsidRDefault="0071194D">
          <w:pPr>
            <w:pStyle w:val="TOC1"/>
            <w:tabs>
              <w:tab w:val="right" w:leader="dot" w:pos="9350"/>
            </w:tabs>
            <w:rPr>
              <w:rFonts w:eastAsiaTheme="minorEastAsia" w:cstheme="minorBidi"/>
              <w:b w:val="0"/>
              <w:bCs w:val="0"/>
              <w:i w:val="0"/>
              <w:iCs w:val="0"/>
              <w:noProof/>
            </w:rPr>
          </w:pPr>
          <w:hyperlink w:anchor="_Toc96092064" w:history="1">
            <w:r w:rsidR="009A5B8A" w:rsidRPr="00CF65F6">
              <w:rPr>
                <w:rStyle w:val="Hyperlink"/>
                <w:noProof/>
              </w:rPr>
              <w:t>WHO PARTICIPATED IN OUR SURVEY?</w:t>
            </w:r>
            <w:r w:rsidR="009A5B8A">
              <w:rPr>
                <w:noProof/>
                <w:webHidden/>
              </w:rPr>
              <w:tab/>
            </w:r>
            <w:r w:rsidR="009A5B8A">
              <w:rPr>
                <w:noProof/>
                <w:webHidden/>
              </w:rPr>
              <w:fldChar w:fldCharType="begin"/>
            </w:r>
            <w:r w:rsidR="009A5B8A">
              <w:rPr>
                <w:noProof/>
                <w:webHidden/>
              </w:rPr>
              <w:instrText xml:space="preserve"> PAGEREF _Toc96092064 \h </w:instrText>
            </w:r>
            <w:r w:rsidR="009A5B8A">
              <w:rPr>
                <w:noProof/>
                <w:webHidden/>
              </w:rPr>
            </w:r>
            <w:r w:rsidR="009A5B8A">
              <w:rPr>
                <w:noProof/>
                <w:webHidden/>
              </w:rPr>
              <w:fldChar w:fldCharType="separate"/>
            </w:r>
            <w:r w:rsidR="009A5B8A">
              <w:rPr>
                <w:noProof/>
                <w:webHidden/>
              </w:rPr>
              <w:t>4</w:t>
            </w:r>
            <w:r w:rsidR="009A5B8A">
              <w:rPr>
                <w:noProof/>
                <w:webHidden/>
              </w:rPr>
              <w:fldChar w:fldCharType="end"/>
            </w:r>
          </w:hyperlink>
        </w:p>
        <w:p w14:paraId="1AC637FC" w14:textId="1D455561" w:rsidR="009A5B8A" w:rsidRDefault="0071194D">
          <w:pPr>
            <w:pStyle w:val="TOC2"/>
            <w:tabs>
              <w:tab w:val="right" w:leader="dot" w:pos="9350"/>
            </w:tabs>
            <w:rPr>
              <w:rFonts w:eastAsiaTheme="minorEastAsia" w:cstheme="minorBidi"/>
              <w:b w:val="0"/>
              <w:bCs w:val="0"/>
              <w:noProof/>
              <w:sz w:val="24"/>
              <w:szCs w:val="24"/>
            </w:rPr>
          </w:pPr>
          <w:hyperlink w:anchor="_Toc96092065" w:history="1">
            <w:r w:rsidR="009A5B8A" w:rsidRPr="00CF65F6">
              <w:rPr>
                <w:rStyle w:val="Hyperlink"/>
                <w:noProof/>
              </w:rPr>
              <w:t>Respondents</w:t>
            </w:r>
            <w:r w:rsidR="009A5B8A">
              <w:rPr>
                <w:noProof/>
                <w:webHidden/>
              </w:rPr>
              <w:tab/>
            </w:r>
            <w:r w:rsidR="009A5B8A">
              <w:rPr>
                <w:noProof/>
                <w:webHidden/>
              </w:rPr>
              <w:fldChar w:fldCharType="begin"/>
            </w:r>
            <w:r w:rsidR="009A5B8A">
              <w:rPr>
                <w:noProof/>
                <w:webHidden/>
              </w:rPr>
              <w:instrText xml:space="preserve"> PAGEREF _Toc96092065 \h </w:instrText>
            </w:r>
            <w:r w:rsidR="009A5B8A">
              <w:rPr>
                <w:noProof/>
                <w:webHidden/>
              </w:rPr>
            </w:r>
            <w:r w:rsidR="009A5B8A">
              <w:rPr>
                <w:noProof/>
                <w:webHidden/>
              </w:rPr>
              <w:fldChar w:fldCharType="separate"/>
            </w:r>
            <w:r w:rsidR="009A5B8A">
              <w:rPr>
                <w:noProof/>
                <w:webHidden/>
              </w:rPr>
              <w:t>4</w:t>
            </w:r>
            <w:r w:rsidR="009A5B8A">
              <w:rPr>
                <w:noProof/>
                <w:webHidden/>
              </w:rPr>
              <w:fldChar w:fldCharType="end"/>
            </w:r>
          </w:hyperlink>
        </w:p>
        <w:p w14:paraId="415E8DE5" w14:textId="0DB8835E" w:rsidR="009A5B8A" w:rsidRDefault="0071194D">
          <w:pPr>
            <w:pStyle w:val="TOC2"/>
            <w:tabs>
              <w:tab w:val="right" w:leader="dot" w:pos="9350"/>
            </w:tabs>
            <w:rPr>
              <w:rFonts w:eastAsiaTheme="minorEastAsia" w:cstheme="minorBidi"/>
              <w:b w:val="0"/>
              <w:bCs w:val="0"/>
              <w:noProof/>
              <w:sz w:val="24"/>
              <w:szCs w:val="24"/>
            </w:rPr>
          </w:pPr>
          <w:hyperlink w:anchor="_Toc96092066" w:history="1">
            <w:r w:rsidR="009A5B8A" w:rsidRPr="00CF65F6">
              <w:rPr>
                <w:rStyle w:val="Hyperlink"/>
                <w:noProof/>
              </w:rPr>
              <w:t>Location</w:t>
            </w:r>
            <w:r w:rsidR="009A5B8A">
              <w:rPr>
                <w:noProof/>
                <w:webHidden/>
              </w:rPr>
              <w:tab/>
            </w:r>
            <w:r w:rsidR="009A5B8A">
              <w:rPr>
                <w:noProof/>
                <w:webHidden/>
              </w:rPr>
              <w:fldChar w:fldCharType="begin"/>
            </w:r>
            <w:r w:rsidR="009A5B8A">
              <w:rPr>
                <w:noProof/>
                <w:webHidden/>
              </w:rPr>
              <w:instrText xml:space="preserve"> PAGEREF _Toc96092066 \h </w:instrText>
            </w:r>
            <w:r w:rsidR="009A5B8A">
              <w:rPr>
                <w:noProof/>
                <w:webHidden/>
              </w:rPr>
            </w:r>
            <w:r w:rsidR="009A5B8A">
              <w:rPr>
                <w:noProof/>
                <w:webHidden/>
              </w:rPr>
              <w:fldChar w:fldCharType="separate"/>
            </w:r>
            <w:r w:rsidR="009A5B8A">
              <w:rPr>
                <w:noProof/>
                <w:webHidden/>
              </w:rPr>
              <w:t>5</w:t>
            </w:r>
            <w:r w:rsidR="009A5B8A">
              <w:rPr>
                <w:noProof/>
                <w:webHidden/>
              </w:rPr>
              <w:fldChar w:fldCharType="end"/>
            </w:r>
          </w:hyperlink>
        </w:p>
        <w:p w14:paraId="637671BE" w14:textId="6A424FF8" w:rsidR="009A5B8A" w:rsidRDefault="0071194D">
          <w:pPr>
            <w:pStyle w:val="TOC3"/>
            <w:tabs>
              <w:tab w:val="right" w:leader="dot" w:pos="9350"/>
            </w:tabs>
            <w:rPr>
              <w:rFonts w:eastAsiaTheme="minorEastAsia" w:cstheme="minorBidi"/>
              <w:noProof/>
              <w:sz w:val="24"/>
              <w:szCs w:val="24"/>
            </w:rPr>
          </w:pPr>
          <w:hyperlink w:anchor="_Toc96092067" w:history="1">
            <w:r w:rsidR="009A5B8A" w:rsidRPr="00CF65F6">
              <w:rPr>
                <w:rStyle w:val="Hyperlink"/>
                <w:noProof/>
              </w:rPr>
              <w:t>State or territory</w:t>
            </w:r>
            <w:r w:rsidR="009A5B8A">
              <w:rPr>
                <w:noProof/>
                <w:webHidden/>
              </w:rPr>
              <w:tab/>
            </w:r>
            <w:r w:rsidR="009A5B8A">
              <w:rPr>
                <w:noProof/>
                <w:webHidden/>
              </w:rPr>
              <w:fldChar w:fldCharType="begin"/>
            </w:r>
            <w:r w:rsidR="009A5B8A">
              <w:rPr>
                <w:noProof/>
                <w:webHidden/>
              </w:rPr>
              <w:instrText xml:space="preserve"> PAGEREF _Toc96092067 \h </w:instrText>
            </w:r>
            <w:r w:rsidR="009A5B8A">
              <w:rPr>
                <w:noProof/>
                <w:webHidden/>
              </w:rPr>
            </w:r>
            <w:r w:rsidR="009A5B8A">
              <w:rPr>
                <w:noProof/>
                <w:webHidden/>
              </w:rPr>
              <w:fldChar w:fldCharType="separate"/>
            </w:r>
            <w:r w:rsidR="009A5B8A">
              <w:rPr>
                <w:noProof/>
                <w:webHidden/>
              </w:rPr>
              <w:t>5</w:t>
            </w:r>
            <w:r w:rsidR="009A5B8A">
              <w:rPr>
                <w:noProof/>
                <w:webHidden/>
              </w:rPr>
              <w:fldChar w:fldCharType="end"/>
            </w:r>
          </w:hyperlink>
        </w:p>
        <w:p w14:paraId="51F660E9" w14:textId="14A9C5D7" w:rsidR="009A5B8A" w:rsidRDefault="0071194D">
          <w:pPr>
            <w:pStyle w:val="TOC3"/>
            <w:tabs>
              <w:tab w:val="right" w:leader="dot" w:pos="9350"/>
            </w:tabs>
            <w:rPr>
              <w:rFonts w:eastAsiaTheme="minorEastAsia" w:cstheme="minorBidi"/>
              <w:noProof/>
              <w:sz w:val="24"/>
              <w:szCs w:val="24"/>
            </w:rPr>
          </w:pPr>
          <w:hyperlink w:anchor="_Toc96092068" w:history="1">
            <w:r w:rsidR="009A5B8A" w:rsidRPr="00CF65F6">
              <w:rPr>
                <w:rStyle w:val="Hyperlink"/>
                <w:noProof/>
              </w:rPr>
              <w:t>Remoteness</w:t>
            </w:r>
            <w:r w:rsidR="009A5B8A">
              <w:rPr>
                <w:noProof/>
                <w:webHidden/>
              </w:rPr>
              <w:tab/>
            </w:r>
            <w:r w:rsidR="009A5B8A">
              <w:rPr>
                <w:noProof/>
                <w:webHidden/>
              </w:rPr>
              <w:fldChar w:fldCharType="begin"/>
            </w:r>
            <w:r w:rsidR="009A5B8A">
              <w:rPr>
                <w:noProof/>
                <w:webHidden/>
              </w:rPr>
              <w:instrText xml:space="preserve"> PAGEREF _Toc96092068 \h </w:instrText>
            </w:r>
            <w:r w:rsidR="009A5B8A">
              <w:rPr>
                <w:noProof/>
                <w:webHidden/>
              </w:rPr>
            </w:r>
            <w:r w:rsidR="009A5B8A">
              <w:rPr>
                <w:noProof/>
                <w:webHidden/>
              </w:rPr>
              <w:fldChar w:fldCharType="separate"/>
            </w:r>
            <w:r w:rsidR="009A5B8A">
              <w:rPr>
                <w:noProof/>
                <w:webHidden/>
              </w:rPr>
              <w:t>5</w:t>
            </w:r>
            <w:r w:rsidR="009A5B8A">
              <w:rPr>
                <w:noProof/>
                <w:webHidden/>
              </w:rPr>
              <w:fldChar w:fldCharType="end"/>
            </w:r>
          </w:hyperlink>
        </w:p>
        <w:p w14:paraId="73F0B125" w14:textId="33E25E47" w:rsidR="009A5B8A" w:rsidRDefault="0071194D">
          <w:pPr>
            <w:pStyle w:val="TOC2"/>
            <w:tabs>
              <w:tab w:val="right" w:leader="dot" w:pos="9350"/>
            </w:tabs>
            <w:rPr>
              <w:rFonts w:eastAsiaTheme="minorEastAsia" w:cstheme="minorBidi"/>
              <w:b w:val="0"/>
              <w:bCs w:val="0"/>
              <w:noProof/>
              <w:sz w:val="24"/>
              <w:szCs w:val="24"/>
            </w:rPr>
          </w:pPr>
          <w:hyperlink w:anchor="_Toc96092069" w:history="1">
            <w:r w:rsidR="009A5B8A" w:rsidRPr="00CF65F6">
              <w:rPr>
                <w:rStyle w:val="Hyperlink"/>
                <w:noProof/>
              </w:rPr>
              <w:t>Living arrangements</w:t>
            </w:r>
            <w:r w:rsidR="009A5B8A">
              <w:rPr>
                <w:noProof/>
                <w:webHidden/>
              </w:rPr>
              <w:tab/>
            </w:r>
            <w:r w:rsidR="009A5B8A">
              <w:rPr>
                <w:noProof/>
                <w:webHidden/>
              </w:rPr>
              <w:fldChar w:fldCharType="begin"/>
            </w:r>
            <w:r w:rsidR="009A5B8A">
              <w:rPr>
                <w:noProof/>
                <w:webHidden/>
              </w:rPr>
              <w:instrText xml:space="preserve"> PAGEREF _Toc96092069 \h </w:instrText>
            </w:r>
            <w:r w:rsidR="009A5B8A">
              <w:rPr>
                <w:noProof/>
                <w:webHidden/>
              </w:rPr>
            </w:r>
            <w:r w:rsidR="009A5B8A">
              <w:rPr>
                <w:noProof/>
                <w:webHidden/>
              </w:rPr>
              <w:fldChar w:fldCharType="separate"/>
            </w:r>
            <w:r w:rsidR="009A5B8A">
              <w:rPr>
                <w:noProof/>
                <w:webHidden/>
              </w:rPr>
              <w:t>6</w:t>
            </w:r>
            <w:r w:rsidR="009A5B8A">
              <w:rPr>
                <w:noProof/>
                <w:webHidden/>
              </w:rPr>
              <w:fldChar w:fldCharType="end"/>
            </w:r>
          </w:hyperlink>
        </w:p>
        <w:p w14:paraId="73C8C4DC" w14:textId="621064F8" w:rsidR="009A5B8A" w:rsidRDefault="0071194D">
          <w:pPr>
            <w:pStyle w:val="TOC2"/>
            <w:tabs>
              <w:tab w:val="right" w:leader="dot" w:pos="9350"/>
            </w:tabs>
            <w:rPr>
              <w:rFonts w:eastAsiaTheme="minorEastAsia" w:cstheme="minorBidi"/>
              <w:b w:val="0"/>
              <w:bCs w:val="0"/>
              <w:noProof/>
              <w:sz w:val="24"/>
              <w:szCs w:val="24"/>
            </w:rPr>
          </w:pPr>
          <w:hyperlink w:anchor="_Toc96092070" w:history="1">
            <w:r w:rsidR="009A5B8A" w:rsidRPr="00CF65F6">
              <w:rPr>
                <w:rStyle w:val="Hyperlink"/>
                <w:noProof/>
              </w:rPr>
              <w:t>Average annual income</w:t>
            </w:r>
            <w:r w:rsidR="009A5B8A">
              <w:rPr>
                <w:noProof/>
                <w:webHidden/>
              </w:rPr>
              <w:tab/>
            </w:r>
            <w:r w:rsidR="009A5B8A">
              <w:rPr>
                <w:noProof/>
                <w:webHidden/>
              </w:rPr>
              <w:fldChar w:fldCharType="begin"/>
            </w:r>
            <w:r w:rsidR="009A5B8A">
              <w:rPr>
                <w:noProof/>
                <w:webHidden/>
              </w:rPr>
              <w:instrText xml:space="preserve"> PAGEREF _Toc96092070 \h </w:instrText>
            </w:r>
            <w:r w:rsidR="009A5B8A">
              <w:rPr>
                <w:noProof/>
                <w:webHidden/>
              </w:rPr>
            </w:r>
            <w:r w:rsidR="009A5B8A">
              <w:rPr>
                <w:noProof/>
                <w:webHidden/>
              </w:rPr>
              <w:fldChar w:fldCharType="separate"/>
            </w:r>
            <w:r w:rsidR="009A5B8A">
              <w:rPr>
                <w:noProof/>
                <w:webHidden/>
              </w:rPr>
              <w:t>6</w:t>
            </w:r>
            <w:r w:rsidR="009A5B8A">
              <w:rPr>
                <w:noProof/>
                <w:webHidden/>
              </w:rPr>
              <w:fldChar w:fldCharType="end"/>
            </w:r>
          </w:hyperlink>
        </w:p>
        <w:p w14:paraId="783525D4" w14:textId="68E87FE0" w:rsidR="009A5B8A" w:rsidRDefault="0071194D">
          <w:pPr>
            <w:pStyle w:val="TOC2"/>
            <w:tabs>
              <w:tab w:val="right" w:leader="dot" w:pos="9350"/>
            </w:tabs>
            <w:rPr>
              <w:rFonts w:eastAsiaTheme="minorEastAsia" w:cstheme="minorBidi"/>
              <w:b w:val="0"/>
              <w:bCs w:val="0"/>
              <w:noProof/>
              <w:sz w:val="24"/>
              <w:szCs w:val="24"/>
            </w:rPr>
          </w:pPr>
          <w:hyperlink w:anchor="_Toc96092071" w:history="1">
            <w:r w:rsidR="009A5B8A" w:rsidRPr="00CF65F6">
              <w:rPr>
                <w:rStyle w:val="Hyperlink"/>
                <w:noProof/>
              </w:rPr>
              <w:t>Children</w:t>
            </w:r>
            <w:r w:rsidR="009A5B8A">
              <w:rPr>
                <w:noProof/>
                <w:webHidden/>
              </w:rPr>
              <w:tab/>
            </w:r>
            <w:r w:rsidR="009A5B8A">
              <w:rPr>
                <w:noProof/>
                <w:webHidden/>
              </w:rPr>
              <w:fldChar w:fldCharType="begin"/>
            </w:r>
            <w:r w:rsidR="009A5B8A">
              <w:rPr>
                <w:noProof/>
                <w:webHidden/>
              </w:rPr>
              <w:instrText xml:space="preserve"> PAGEREF _Toc96092071 \h </w:instrText>
            </w:r>
            <w:r w:rsidR="009A5B8A">
              <w:rPr>
                <w:noProof/>
                <w:webHidden/>
              </w:rPr>
            </w:r>
            <w:r w:rsidR="009A5B8A">
              <w:rPr>
                <w:noProof/>
                <w:webHidden/>
              </w:rPr>
              <w:fldChar w:fldCharType="separate"/>
            </w:r>
            <w:r w:rsidR="009A5B8A">
              <w:rPr>
                <w:noProof/>
                <w:webHidden/>
              </w:rPr>
              <w:t>7</w:t>
            </w:r>
            <w:r w:rsidR="009A5B8A">
              <w:rPr>
                <w:noProof/>
                <w:webHidden/>
              </w:rPr>
              <w:fldChar w:fldCharType="end"/>
            </w:r>
          </w:hyperlink>
        </w:p>
        <w:p w14:paraId="29F9243D" w14:textId="25296A71" w:rsidR="009A5B8A" w:rsidRDefault="0071194D">
          <w:pPr>
            <w:pStyle w:val="TOC2"/>
            <w:tabs>
              <w:tab w:val="right" w:leader="dot" w:pos="9350"/>
            </w:tabs>
            <w:rPr>
              <w:rFonts w:eastAsiaTheme="minorEastAsia" w:cstheme="minorBidi"/>
              <w:b w:val="0"/>
              <w:bCs w:val="0"/>
              <w:noProof/>
              <w:sz w:val="24"/>
              <w:szCs w:val="24"/>
            </w:rPr>
          </w:pPr>
          <w:hyperlink w:anchor="_Toc96092072" w:history="1">
            <w:r w:rsidR="009A5B8A" w:rsidRPr="00CF65F6">
              <w:rPr>
                <w:rStyle w:val="Hyperlink"/>
                <w:noProof/>
              </w:rPr>
              <w:t>Employment status</w:t>
            </w:r>
            <w:r w:rsidR="009A5B8A">
              <w:rPr>
                <w:noProof/>
                <w:webHidden/>
              </w:rPr>
              <w:tab/>
            </w:r>
            <w:r w:rsidR="009A5B8A">
              <w:rPr>
                <w:noProof/>
                <w:webHidden/>
              </w:rPr>
              <w:fldChar w:fldCharType="begin"/>
            </w:r>
            <w:r w:rsidR="009A5B8A">
              <w:rPr>
                <w:noProof/>
                <w:webHidden/>
              </w:rPr>
              <w:instrText xml:space="preserve"> PAGEREF _Toc96092072 \h </w:instrText>
            </w:r>
            <w:r w:rsidR="009A5B8A">
              <w:rPr>
                <w:noProof/>
                <w:webHidden/>
              </w:rPr>
            </w:r>
            <w:r w:rsidR="009A5B8A">
              <w:rPr>
                <w:noProof/>
                <w:webHidden/>
              </w:rPr>
              <w:fldChar w:fldCharType="separate"/>
            </w:r>
            <w:r w:rsidR="009A5B8A">
              <w:rPr>
                <w:noProof/>
                <w:webHidden/>
              </w:rPr>
              <w:t>7</w:t>
            </w:r>
            <w:r w:rsidR="009A5B8A">
              <w:rPr>
                <w:noProof/>
                <w:webHidden/>
              </w:rPr>
              <w:fldChar w:fldCharType="end"/>
            </w:r>
          </w:hyperlink>
        </w:p>
        <w:p w14:paraId="55EFF321" w14:textId="5E6183D7" w:rsidR="009A5B8A" w:rsidRDefault="0071194D">
          <w:pPr>
            <w:pStyle w:val="TOC2"/>
            <w:tabs>
              <w:tab w:val="right" w:leader="dot" w:pos="9350"/>
            </w:tabs>
            <w:rPr>
              <w:rFonts w:eastAsiaTheme="minorEastAsia" w:cstheme="minorBidi"/>
              <w:b w:val="0"/>
              <w:bCs w:val="0"/>
              <w:noProof/>
              <w:sz w:val="24"/>
              <w:szCs w:val="24"/>
            </w:rPr>
          </w:pPr>
          <w:hyperlink w:anchor="_Toc96092073" w:history="1">
            <w:r w:rsidR="009A5B8A" w:rsidRPr="00CF65F6">
              <w:rPr>
                <w:rStyle w:val="Hyperlink"/>
                <w:noProof/>
              </w:rPr>
              <w:t>Student status</w:t>
            </w:r>
            <w:r w:rsidR="009A5B8A">
              <w:rPr>
                <w:noProof/>
                <w:webHidden/>
              </w:rPr>
              <w:tab/>
            </w:r>
            <w:r w:rsidR="009A5B8A">
              <w:rPr>
                <w:noProof/>
                <w:webHidden/>
              </w:rPr>
              <w:fldChar w:fldCharType="begin"/>
            </w:r>
            <w:r w:rsidR="009A5B8A">
              <w:rPr>
                <w:noProof/>
                <w:webHidden/>
              </w:rPr>
              <w:instrText xml:space="preserve"> PAGEREF _Toc96092073 \h </w:instrText>
            </w:r>
            <w:r w:rsidR="009A5B8A">
              <w:rPr>
                <w:noProof/>
                <w:webHidden/>
              </w:rPr>
            </w:r>
            <w:r w:rsidR="009A5B8A">
              <w:rPr>
                <w:noProof/>
                <w:webHidden/>
              </w:rPr>
              <w:fldChar w:fldCharType="separate"/>
            </w:r>
            <w:r w:rsidR="009A5B8A">
              <w:rPr>
                <w:noProof/>
                <w:webHidden/>
              </w:rPr>
              <w:t>8</w:t>
            </w:r>
            <w:r w:rsidR="009A5B8A">
              <w:rPr>
                <w:noProof/>
                <w:webHidden/>
              </w:rPr>
              <w:fldChar w:fldCharType="end"/>
            </w:r>
          </w:hyperlink>
        </w:p>
        <w:p w14:paraId="714F10F4" w14:textId="65382E11" w:rsidR="009A5B8A" w:rsidRDefault="0071194D">
          <w:pPr>
            <w:pStyle w:val="TOC1"/>
            <w:tabs>
              <w:tab w:val="right" w:leader="dot" w:pos="9350"/>
            </w:tabs>
            <w:rPr>
              <w:rFonts w:eastAsiaTheme="minorEastAsia" w:cstheme="minorBidi"/>
              <w:b w:val="0"/>
              <w:bCs w:val="0"/>
              <w:i w:val="0"/>
              <w:iCs w:val="0"/>
              <w:noProof/>
            </w:rPr>
          </w:pPr>
          <w:hyperlink w:anchor="_Toc96092074" w:history="1">
            <w:r w:rsidR="009A5B8A" w:rsidRPr="00CF65F6">
              <w:rPr>
                <w:rStyle w:val="Hyperlink"/>
                <w:noProof/>
              </w:rPr>
              <w:t>WHAT TYPES OF VIOLENCE ARE YOUNG WOMEN AND NON-BINARY PEOPLE EXPERIENCING?</w:t>
            </w:r>
            <w:r w:rsidR="009A5B8A">
              <w:rPr>
                <w:noProof/>
                <w:webHidden/>
              </w:rPr>
              <w:tab/>
            </w:r>
            <w:r w:rsidR="009A5B8A">
              <w:rPr>
                <w:noProof/>
                <w:webHidden/>
              </w:rPr>
              <w:fldChar w:fldCharType="begin"/>
            </w:r>
            <w:r w:rsidR="009A5B8A">
              <w:rPr>
                <w:noProof/>
                <w:webHidden/>
              </w:rPr>
              <w:instrText xml:space="preserve"> PAGEREF _Toc96092074 \h </w:instrText>
            </w:r>
            <w:r w:rsidR="009A5B8A">
              <w:rPr>
                <w:noProof/>
                <w:webHidden/>
              </w:rPr>
            </w:r>
            <w:r w:rsidR="009A5B8A">
              <w:rPr>
                <w:noProof/>
                <w:webHidden/>
              </w:rPr>
              <w:fldChar w:fldCharType="separate"/>
            </w:r>
            <w:r w:rsidR="009A5B8A">
              <w:rPr>
                <w:noProof/>
                <w:webHidden/>
              </w:rPr>
              <w:t>9</w:t>
            </w:r>
            <w:r w:rsidR="009A5B8A">
              <w:rPr>
                <w:noProof/>
                <w:webHidden/>
              </w:rPr>
              <w:fldChar w:fldCharType="end"/>
            </w:r>
          </w:hyperlink>
        </w:p>
        <w:p w14:paraId="014A43ED" w14:textId="154BB5D4" w:rsidR="009A5B8A" w:rsidRDefault="0071194D">
          <w:pPr>
            <w:pStyle w:val="TOC1"/>
            <w:tabs>
              <w:tab w:val="right" w:leader="dot" w:pos="9350"/>
            </w:tabs>
            <w:rPr>
              <w:rFonts w:eastAsiaTheme="minorEastAsia" w:cstheme="minorBidi"/>
              <w:b w:val="0"/>
              <w:bCs w:val="0"/>
              <w:i w:val="0"/>
              <w:iCs w:val="0"/>
              <w:noProof/>
            </w:rPr>
          </w:pPr>
          <w:hyperlink w:anchor="_Toc96092075" w:history="1">
            <w:r w:rsidR="009A5B8A" w:rsidRPr="00CF65F6">
              <w:rPr>
                <w:rStyle w:val="Hyperlink"/>
                <w:noProof/>
              </w:rPr>
              <w:t>REPORTING VIOLENCE</w:t>
            </w:r>
            <w:r w:rsidR="009A5B8A">
              <w:rPr>
                <w:noProof/>
                <w:webHidden/>
              </w:rPr>
              <w:tab/>
            </w:r>
            <w:r w:rsidR="009A5B8A">
              <w:rPr>
                <w:noProof/>
                <w:webHidden/>
              </w:rPr>
              <w:fldChar w:fldCharType="begin"/>
            </w:r>
            <w:r w:rsidR="009A5B8A">
              <w:rPr>
                <w:noProof/>
                <w:webHidden/>
              </w:rPr>
              <w:instrText xml:space="preserve"> PAGEREF _Toc96092075 \h </w:instrText>
            </w:r>
            <w:r w:rsidR="009A5B8A">
              <w:rPr>
                <w:noProof/>
                <w:webHidden/>
              </w:rPr>
            </w:r>
            <w:r w:rsidR="009A5B8A">
              <w:rPr>
                <w:noProof/>
                <w:webHidden/>
              </w:rPr>
              <w:fldChar w:fldCharType="separate"/>
            </w:r>
            <w:r w:rsidR="009A5B8A">
              <w:rPr>
                <w:noProof/>
                <w:webHidden/>
              </w:rPr>
              <w:t>10</w:t>
            </w:r>
            <w:r w:rsidR="009A5B8A">
              <w:rPr>
                <w:noProof/>
                <w:webHidden/>
              </w:rPr>
              <w:fldChar w:fldCharType="end"/>
            </w:r>
          </w:hyperlink>
        </w:p>
        <w:p w14:paraId="191C8223" w14:textId="0C708420" w:rsidR="009A5B8A" w:rsidRDefault="0071194D">
          <w:pPr>
            <w:pStyle w:val="TOC2"/>
            <w:tabs>
              <w:tab w:val="right" w:leader="dot" w:pos="9350"/>
            </w:tabs>
            <w:rPr>
              <w:rFonts w:eastAsiaTheme="minorEastAsia" w:cstheme="minorBidi"/>
              <w:b w:val="0"/>
              <w:bCs w:val="0"/>
              <w:noProof/>
              <w:sz w:val="24"/>
              <w:szCs w:val="24"/>
            </w:rPr>
          </w:pPr>
          <w:hyperlink w:anchor="_Toc96092076" w:history="1">
            <w:r w:rsidR="009A5B8A" w:rsidRPr="00CF65F6">
              <w:rPr>
                <w:rStyle w:val="Hyperlink"/>
                <w:noProof/>
              </w:rPr>
              <w:t>Reporting Violence</w:t>
            </w:r>
            <w:r w:rsidR="009A5B8A">
              <w:rPr>
                <w:noProof/>
                <w:webHidden/>
              </w:rPr>
              <w:tab/>
            </w:r>
            <w:r w:rsidR="009A5B8A">
              <w:rPr>
                <w:noProof/>
                <w:webHidden/>
              </w:rPr>
              <w:fldChar w:fldCharType="begin"/>
            </w:r>
            <w:r w:rsidR="009A5B8A">
              <w:rPr>
                <w:noProof/>
                <w:webHidden/>
              </w:rPr>
              <w:instrText xml:space="preserve"> PAGEREF _Toc96092076 \h </w:instrText>
            </w:r>
            <w:r w:rsidR="009A5B8A">
              <w:rPr>
                <w:noProof/>
                <w:webHidden/>
              </w:rPr>
            </w:r>
            <w:r w:rsidR="009A5B8A">
              <w:rPr>
                <w:noProof/>
                <w:webHidden/>
              </w:rPr>
              <w:fldChar w:fldCharType="separate"/>
            </w:r>
            <w:r w:rsidR="009A5B8A">
              <w:rPr>
                <w:noProof/>
                <w:webHidden/>
              </w:rPr>
              <w:t>10</w:t>
            </w:r>
            <w:r w:rsidR="009A5B8A">
              <w:rPr>
                <w:noProof/>
                <w:webHidden/>
              </w:rPr>
              <w:fldChar w:fldCharType="end"/>
            </w:r>
          </w:hyperlink>
        </w:p>
        <w:p w14:paraId="75B9448A" w14:textId="6DF5D899" w:rsidR="009A5B8A" w:rsidRDefault="0071194D">
          <w:pPr>
            <w:pStyle w:val="TOC2"/>
            <w:tabs>
              <w:tab w:val="right" w:leader="dot" w:pos="9350"/>
            </w:tabs>
            <w:rPr>
              <w:rFonts w:eastAsiaTheme="minorEastAsia" w:cstheme="minorBidi"/>
              <w:b w:val="0"/>
              <w:bCs w:val="0"/>
              <w:noProof/>
              <w:sz w:val="24"/>
              <w:szCs w:val="24"/>
            </w:rPr>
          </w:pPr>
          <w:hyperlink w:anchor="_Toc96092077" w:history="1">
            <w:r w:rsidR="009A5B8A" w:rsidRPr="00CF65F6">
              <w:rPr>
                <w:rStyle w:val="Hyperlink"/>
                <w:noProof/>
              </w:rPr>
              <w:t>Barriers that delayed/prevented people from reporting violence</w:t>
            </w:r>
            <w:r w:rsidR="009A5B8A">
              <w:rPr>
                <w:noProof/>
                <w:webHidden/>
              </w:rPr>
              <w:tab/>
            </w:r>
            <w:r w:rsidR="009A5B8A">
              <w:rPr>
                <w:noProof/>
                <w:webHidden/>
              </w:rPr>
              <w:fldChar w:fldCharType="begin"/>
            </w:r>
            <w:r w:rsidR="009A5B8A">
              <w:rPr>
                <w:noProof/>
                <w:webHidden/>
              </w:rPr>
              <w:instrText xml:space="preserve"> PAGEREF _Toc96092077 \h </w:instrText>
            </w:r>
            <w:r w:rsidR="009A5B8A">
              <w:rPr>
                <w:noProof/>
                <w:webHidden/>
              </w:rPr>
            </w:r>
            <w:r w:rsidR="009A5B8A">
              <w:rPr>
                <w:noProof/>
                <w:webHidden/>
              </w:rPr>
              <w:fldChar w:fldCharType="separate"/>
            </w:r>
            <w:r w:rsidR="009A5B8A">
              <w:rPr>
                <w:noProof/>
                <w:webHidden/>
              </w:rPr>
              <w:t>12</w:t>
            </w:r>
            <w:r w:rsidR="009A5B8A">
              <w:rPr>
                <w:noProof/>
                <w:webHidden/>
              </w:rPr>
              <w:fldChar w:fldCharType="end"/>
            </w:r>
          </w:hyperlink>
        </w:p>
        <w:p w14:paraId="5F8766F1" w14:textId="36810B99" w:rsidR="009A5B8A" w:rsidRDefault="0071194D">
          <w:pPr>
            <w:pStyle w:val="TOC2"/>
            <w:tabs>
              <w:tab w:val="right" w:leader="dot" w:pos="9350"/>
            </w:tabs>
            <w:rPr>
              <w:rFonts w:eastAsiaTheme="minorEastAsia" w:cstheme="minorBidi"/>
              <w:b w:val="0"/>
              <w:bCs w:val="0"/>
              <w:noProof/>
              <w:sz w:val="24"/>
              <w:szCs w:val="24"/>
            </w:rPr>
          </w:pPr>
          <w:hyperlink w:anchor="_Toc96092078" w:history="1">
            <w:r w:rsidR="009A5B8A" w:rsidRPr="00CF65F6">
              <w:rPr>
                <w:rStyle w:val="Hyperlink"/>
                <w:noProof/>
              </w:rPr>
              <w:t>Barriers that young victim-survivors experienced when reporting violence</w:t>
            </w:r>
            <w:r w:rsidR="009A5B8A">
              <w:rPr>
                <w:noProof/>
                <w:webHidden/>
              </w:rPr>
              <w:tab/>
            </w:r>
            <w:r w:rsidR="009A5B8A">
              <w:rPr>
                <w:noProof/>
                <w:webHidden/>
              </w:rPr>
              <w:fldChar w:fldCharType="begin"/>
            </w:r>
            <w:r w:rsidR="009A5B8A">
              <w:rPr>
                <w:noProof/>
                <w:webHidden/>
              </w:rPr>
              <w:instrText xml:space="preserve"> PAGEREF _Toc96092078 \h </w:instrText>
            </w:r>
            <w:r w:rsidR="009A5B8A">
              <w:rPr>
                <w:noProof/>
                <w:webHidden/>
              </w:rPr>
            </w:r>
            <w:r w:rsidR="009A5B8A">
              <w:rPr>
                <w:noProof/>
                <w:webHidden/>
              </w:rPr>
              <w:fldChar w:fldCharType="separate"/>
            </w:r>
            <w:r w:rsidR="009A5B8A">
              <w:rPr>
                <w:noProof/>
                <w:webHidden/>
              </w:rPr>
              <w:t>13</w:t>
            </w:r>
            <w:r w:rsidR="009A5B8A">
              <w:rPr>
                <w:noProof/>
                <w:webHidden/>
              </w:rPr>
              <w:fldChar w:fldCharType="end"/>
            </w:r>
          </w:hyperlink>
        </w:p>
        <w:p w14:paraId="68851712" w14:textId="2C303A06" w:rsidR="009A5B8A" w:rsidRDefault="0071194D">
          <w:pPr>
            <w:pStyle w:val="TOC3"/>
            <w:tabs>
              <w:tab w:val="left" w:pos="840"/>
              <w:tab w:val="right" w:leader="dot" w:pos="9350"/>
            </w:tabs>
            <w:rPr>
              <w:rFonts w:eastAsiaTheme="minorEastAsia" w:cstheme="minorBidi"/>
              <w:noProof/>
              <w:sz w:val="24"/>
              <w:szCs w:val="24"/>
            </w:rPr>
          </w:pPr>
          <w:hyperlink w:anchor="_Toc96092079" w:history="1">
            <w:r w:rsidR="009A5B8A" w:rsidRPr="00CF65F6">
              <w:rPr>
                <w:rStyle w:val="Hyperlink"/>
                <w:noProof/>
              </w:rPr>
              <w:t>A)</w:t>
            </w:r>
            <w:r w:rsidR="009A5B8A">
              <w:rPr>
                <w:rFonts w:eastAsiaTheme="minorEastAsia" w:cstheme="minorBidi"/>
                <w:noProof/>
                <w:sz w:val="24"/>
                <w:szCs w:val="24"/>
              </w:rPr>
              <w:tab/>
            </w:r>
            <w:r w:rsidR="009A5B8A" w:rsidRPr="00CF65F6">
              <w:rPr>
                <w:rStyle w:val="Hyperlink"/>
                <w:noProof/>
              </w:rPr>
              <w:t>Not being believed when reporting violence</w:t>
            </w:r>
            <w:r w:rsidR="009A5B8A">
              <w:rPr>
                <w:noProof/>
                <w:webHidden/>
              </w:rPr>
              <w:tab/>
            </w:r>
            <w:r w:rsidR="009A5B8A">
              <w:rPr>
                <w:noProof/>
                <w:webHidden/>
              </w:rPr>
              <w:fldChar w:fldCharType="begin"/>
            </w:r>
            <w:r w:rsidR="009A5B8A">
              <w:rPr>
                <w:noProof/>
                <w:webHidden/>
              </w:rPr>
              <w:instrText xml:space="preserve"> PAGEREF _Toc96092079 \h </w:instrText>
            </w:r>
            <w:r w:rsidR="009A5B8A">
              <w:rPr>
                <w:noProof/>
                <w:webHidden/>
              </w:rPr>
            </w:r>
            <w:r w:rsidR="009A5B8A">
              <w:rPr>
                <w:noProof/>
                <w:webHidden/>
              </w:rPr>
              <w:fldChar w:fldCharType="separate"/>
            </w:r>
            <w:r w:rsidR="009A5B8A">
              <w:rPr>
                <w:noProof/>
                <w:webHidden/>
              </w:rPr>
              <w:t>13</w:t>
            </w:r>
            <w:r w:rsidR="009A5B8A">
              <w:rPr>
                <w:noProof/>
                <w:webHidden/>
              </w:rPr>
              <w:fldChar w:fldCharType="end"/>
            </w:r>
          </w:hyperlink>
        </w:p>
        <w:p w14:paraId="54D3007A" w14:textId="5727FC21" w:rsidR="009A5B8A" w:rsidRDefault="0071194D">
          <w:pPr>
            <w:pStyle w:val="TOC3"/>
            <w:tabs>
              <w:tab w:val="left" w:pos="840"/>
              <w:tab w:val="right" w:leader="dot" w:pos="9350"/>
            </w:tabs>
            <w:rPr>
              <w:rFonts w:eastAsiaTheme="minorEastAsia" w:cstheme="minorBidi"/>
              <w:noProof/>
              <w:sz w:val="24"/>
              <w:szCs w:val="24"/>
            </w:rPr>
          </w:pPr>
          <w:hyperlink w:anchor="_Toc96092080" w:history="1">
            <w:r w:rsidR="009A5B8A" w:rsidRPr="00CF65F6">
              <w:rPr>
                <w:rStyle w:val="Hyperlink"/>
                <w:noProof/>
              </w:rPr>
              <w:t>B)</w:t>
            </w:r>
            <w:r w:rsidR="009A5B8A">
              <w:rPr>
                <w:rFonts w:eastAsiaTheme="minorEastAsia" w:cstheme="minorBidi"/>
                <w:noProof/>
                <w:sz w:val="24"/>
                <w:szCs w:val="24"/>
              </w:rPr>
              <w:tab/>
            </w:r>
            <w:r w:rsidR="009A5B8A" w:rsidRPr="00CF65F6">
              <w:rPr>
                <w:rStyle w:val="Hyperlink"/>
                <w:noProof/>
              </w:rPr>
              <w:t>Being required to repeat your story</w:t>
            </w:r>
            <w:r w:rsidR="009A5B8A">
              <w:rPr>
                <w:noProof/>
                <w:webHidden/>
              </w:rPr>
              <w:tab/>
            </w:r>
            <w:r w:rsidR="009A5B8A">
              <w:rPr>
                <w:noProof/>
                <w:webHidden/>
              </w:rPr>
              <w:fldChar w:fldCharType="begin"/>
            </w:r>
            <w:r w:rsidR="009A5B8A">
              <w:rPr>
                <w:noProof/>
                <w:webHidden/>
              </w:rPr>
              <w:instrText xml:space="preserve"> PAGEREF _Toc96092080 \h </w:instrText>
            </w:r>
            <w:r w:rsidR="009A5B8A">
              <w:rPr>
                <w:noProof/>
                <w:webHidden/>
              </w:rPr>
            </w:r>
            <w:r w:rsidR="009A5B8A">
              <w:rPr>
                <w:noProof/>
                <w:webHidden/>
              </w:rPr>
              <w:fldChar w:fldCharType="separate"/>
            </w:r>
            <w:r w:rsidR="009A5B8A">
              <w:rPr>
                <w:noProof/>
                <w:webHidden/>
              </w:rPr>
              <w:t>14</w:t>
            </w:r>
            <w:r w:rsidR="009A5B8A">
              <w:rPr>
                <w:noProof/>
                <w:webHidden/>
              </w:rPr>
              <w:fldChar w:fldCharType="end"/>
            </w:r>
          </w:hyperlink>
        </w:p>
        <w:p w14:paraId="3DC63A96" w14:textId="52C13397" w:rsidR="009A5B8A" w:rsidRDefault="0071194D">
          <w:pPr>
            <w:pStyle w:val="TOC3"/>
            <w:tabs>
              <w:tab w:val="left" w:pos="840"/>
              <w:tab w:val="right" w:leader="dot" w:pos="9350"/>
            </w:tabs>
            <w:rPr>
              <w:rFonts w:eastAsiaTheme="minorEastAsia" w:cstheme="minorBidi"/>
              <w:noProof/>
              <w:sz w:val="24"/>
              <w:szCs w:val="24"/>
            </w:rPr>
          </w:pPr>
          <w:hyperlink w:anchor="_Toc96092081" w:history="1">
            <w:r w:rsidR="009A5B8A" w:rsidRPr="00CF65F6">
              <w:rPr>
                <w:rStyle w:val="Hyperlink"/>
                <w:noProof/>
              </w:rPr>
              <w:t>C)</w:t>
            </w:r>
            <w:r w:rsidR="009A5B8A">
              <w:rPr>
                <w:rFonts w:eastAsiaTheme="minorEastAsia" w:cstheme="minorBidi"/>
                <w:noProof/>
                <w:sz w:val="24"/>
                <w:szCs w:val="24"/>
              </w:rPr>
              <w:tab/>
            </w:r>
            <w:r w:rsidR="009A5B8A" w:rsidRPr="00CF65F6">
              <w:rPr>
                <w:rStyle w:val="Hyperlink"/>
                <w:noProof/>
              </w:rPr>
              <w:t>Discrimination</w:t>
            </w:r>
            <w:r w:rsidR="009A5B8A">
              <w:rPr>
                <w:noProof/>
                <w:webHidden/>
              </w:rPr>
              <w:tab/>
            </w:r>
            <w:r w:rsidR="009A5B8A">
              <w:rPr>
                <w:noProof/>
                <w:webHidden/>
              </w:rPr>
              <w:fldChar w:fldCharType="begin"/>
            </w:r>
            <w:r w:rsidR="009A5B8A">
              <w:rPr>
                <w:noProof/>
                <w:webHidden/>
              </w:rPr>
              <w:instrText xml:space="preserve"> PAGEREF _Toc96092081 \h </w:instrText>
            </w:r>
            <w:r w:rsidR="009A5B8A">
              <w:rPr>
                <w:noProof/>
                <w:webHidden/>
              </w:rPr>
            </w:r>
            <w:r w:rsidR="009A5B8A">
              <w:rPr>
                <w:noProof/>
                <w:webHidden/>
              </w:rPr>
              <w:fldChar w:fldCharType="separate"/>
            </w:r>
            <w:r w:rsidR="009A5B8A">
              <w:rPr>
                <w:noProof/>
                <w:webHidden/>
              </w:rPr>
              <w:t>15</w:t>
            </w:r>
            <w:r w:rsidR="009A5B8A">
              <w:rPr>
                <w:noProof/>
                <w:webHidden/>
              </w:rPr>
              <w:fldChar w:fldCharType="end"/>
            </w:r>
          </w:hyperlink>
        </w:p>
        <w:p w14:paraId="78C26667" w14:textId="3A024847" w:rsidR="009A5B8A" w:rsidRDefault="0071194D">
          <w:pPr>
            <w:pStyle w:val="TOC3"/>
            <w:tabs>
              <w:tab w:val="left" w:pos="1050"/>
              <w:tab w:val="right" w:leader="dot" w:pos="9350"/>
            </w:tabs>
            <w:rPr>
              <w:rFonts w:eastAsiaTheme="minorEastAsia" w:cstheme="minorBidi"/>
              <w:noProof/>
              <w:sz w:val="24"/>
              <w:szCs w:val="24"/>
            </w:rPr>
          </w:pPr>
          <w:hyperlink w:anchor="_Toc96092082" w:history="1">
            <w:r w:rsidR="009A5B8A" w:rsidRPr="00CF65F6">
              <w:rPr>
                <w:rStyle w:val="Hyperlink"/>
                <w:noProof/>
              </w:rPr>
              <w:t>D)</w:t>
            </w:r>
            <w:r w:rsidR="009A5B8A">
              <w:rPr>
                <w:rFonts w:eastAsiaTheme="minorEastAsia" w:cstheme="minorBidi"/>
                <w:noProof/>
                <w:sz w:val="24"/>
                <w:szCs w:val="24"/>
              </w:rPr>
              <w:tab/>
            </w:r>
            <w:r w:rsidR="009A5B8A" w:rsidRPr="00CF65F6">
              <w:rPr>
                <w:rStyle w:val="Hyperlink"/>
                <w:noProof/>
              </w:rPr>
              <w:t>Lack of information</w:t>
            </w:r>
            <w:r w:rsidR="009A5B8A">
              <w:rPr>
                <w:noProof/>
                <w:webHidden/>
              </w:rPr>
              <w:tab/>
            </w:r>
            <w:r w:rsidR="009A5B8A">
              <w:rPr>
                <w:noProof/>
                <w:webHidden/>
              </w:rPr>
              <w:fldChar w:fldCharType="begin"/>
            </w:r>
            <w:r w:rsidR="009A5B8A">
              <w:rPr>
                <w:noProof/>
                <w:webHidden/>
              </w:rPr>
              <w:instrText xml:space="preserve"> PAGEREF _Toc96092082 \h </w:instrText>
            </w:r>
            <w:r w:rsidR="009A5B8A">
              <w:rPr>
                <w:noProof/>
                <w:webHidden/>
              </w:rPr>
            </w:r>
            <w:r w:rsidR="009A5B8A">
              <w:rPr>
                <w:noProof/>
                <w:webHidden/>
              </w:rPr>
              <w:fldChar w:fldCharType="separate"/>
            </w:r>
            <w:r w:rsidR="009A5B8A">
              <w:rPr>
                <w:noProof/>
                <w:webHidden/>
              </w:rPr>
              <w:t>15</w:t>
            </w:r>
            <w:r w:rsidR="009A5B8A">
              <w:rPr>
                <w:noProof/>
                <w:webHidden/>
              </w:rPr>
              <w:fldChar w:fldCharType="end"/>
            </w:r>
          </w:hyperlink>
        </w:p>
        <w:p w14:paraId="54DF7C6C" w14:textId="714D83DD" w:rsidR="009A5B8A" w:rsidRDefault="0071194D">
          <w:pPr>
            <w:pStyle w:val="TOC2"/>
            <w:tabs>
              <w:tab w:val="right" w:leader="dot" w:pos="9350"/>
            </w:tabs>
            <w:rPr>
              <w:rFonts w:eastAsiaTheme="minorEastAsia" w:cstheme="minorBidi"/>
              <w:b w:val="0"/>
              <w:bCs w:val="0"/>
              <w:noProof/>
              <w:sz w:val="24"/>
              <w:szCs w:val="24"/>
            </w:rPr>
          </w:pPr>
          <w:hyperlink w:anchor="_Toc96092083" w:history="1">
            <w:r w:rsidR="009A5B8A" w:rsidRPr="00CF65F6">
              <w:rPr>
                <w:rStyle w:val="Hyperlink"/>
                <w:noProof/>
              </w:rPr>
              <w:t>Reporting violence outcomes</w:t>
            </w:r>
            <w:r w:rsidR="009A5B8A">
              <w:rPr>
                <w:noProof/>
                <w:webHidden/>
              </w:rPr>
              <w:tab/>
            </w:r>
            <w:r w:rsidR="009A5B8A">
              <w:rPr>
                <w:noProof/>
                <w:webHidden/>
              </w:rPr>
              <w:fldChar w:fldCharType="begin"/>
            </w:r>
            <w:r w:rsidR="009A5B8A">
              <w:rPr>
                <w:noProof/>
                <w:webHidden/>
              </w:rPr>
              <w:instrText xml:space="preserve"> PAGEREF _Toc96092083 \h </w:instrText>
            </w:r>
            <w:r w:rsidR="009A5B8A">
              <w:rPr>
                <w:noProof/>
                <w:webHidden/>
              </w:rPr>
            </w:r>
            <w:r w:rsidR="009A5B8A">
              <w:rPr>
                <w:noProof/>
                <w:webHidden/>
              </w:rPr>
              <w:fldChar w:fldCharType="separate"/>
            </w:r>
            <w:r w:rsidR="009A5B8A">
              <w:rPr>
                <w:noProof/>
                <w:webHidden/>
              </w:rPr>
              <w:t>15</w:t>
            </w:r>
            <w:r w:rsidR="009A5B8A">
              <w:rPr>
                <w:noProof/>
                <w:webHidden/>
              </w:rPr>
              <w:fldChar w:fldCharType="end"/>
            </w:r>
          </w:hyperlink>
        </w:p>
        <w:p w14:paraId="1CB51095" w14:textId="4928EFD1" w:rsidR="009A5B8A" w:rsidRDefault="0071194D">
          <w:pPr>
            <w:pStyle w:val="TOC2"/>
            <w:tabs>
              <w:tab w:val="right" w:leader="dot" w:pos="9350"/>
            </w:tabs>
            <w:rPr>
              <w:rFonts w:eastAsiaTheme="minorEastAsia" w:cstheme="minorBidi"/>
              <w:b w:val="0"/>
              <w:bCs w:val="0"/>
              <w:noProof/>
              <w:sz w:val="24"/>
              <w:szCs w:val="24"/>
            </w:rPr>
          </w:pPr>
          <w:hyperlink w:anchor="_Toc96092084" w:history="1">
            <w:r w:rsidR="009A5B8A" w:rsidRPr="00CF65F6">
              <w:rPr>
                <w:rStyle w:val="Hyperlink"/>
                <w:noProof/>
              </w:rPr>
              <w:t>How to improve reporting mechanism</w:t>
            </w:r>
            <w:r w:rsidR="009A5B8A">
              <w:rPr>
                <w:noProof/>
                <w:webHidden/>
              </w:rPr>
              <w:tab/>
            </w:r>
            <w:r w:rsidR="009A5B8A">
              <w:rPr>
                <w:noProof/>
                <w:webHidden/>
              </w:rPr>
              <w:fldChar w:fldCharType="begin"/>
            </w:r>
            <w:r w:rsidR="009A5B8A">
              <w:rPr>
                <w:noProof/>
                <w:webHidden/>
              </w:rPr>
              <w:instrText xml:space="preserve"> PAGEREF _Toc96092084 \h </w:instrText>
            </w:r>
            <w:r w:rsidR="009A5B8A">
              <w:rPr>
                <w:noProof/>
                <w:webHidden/>
              </w:rPr>
            </w:r>
            <w:r w:rsidR="009A5B8A">
              <w:rPr>
                <w:noProof/>
                <w:webHidden/>
              </w:rPr>
              <w:fldChar w:fldCharType="separate"/>
            </w:r>
            <w:r w:rsidR="009A5B8A">
              <w:rPr>
                <w:noProof/>
                <w:webHidden/>
              </w:rPr>
              <w:t>18</w:t>
            </w:r>
            <w:r w:rsidR="009A5B8A">
              <w:rPr>
                <w:noProof/>
                <w:webHidden/>
              </w:rPr>
              <w:fldChar w:fldCharType="end"/>
            </w:r>
          </w:hyperlink>
        </w:p>
        <w:p w14:paraId="6949D355" w14:textId="18BA230C" w:rsidR="009A5B8A" w:rsidRDefault="0071194D">
          <w:pPr>
            <w:pStyle w:val="TOC3"/>
            <w:tabs>
              <w:tab w:val="left" w:pos="840"/>
              <w:tab w:val="right" w:leader="dot" w:pos="9350"/>
            </w:tabs>
            <w:rPr>
              <w:rFonts w:eastAsiaTheme="minorEastAsia" w:cstheme="minorBidi"/>
              <w:noProof/>
              <w:sz w:val="24"/>
              <w:szCs w:val="24"/>
            </w:rPr>
          </w:pPr>
          <w:hyperlink w:anchor="_Toc96092085" w:history="1">
            <w:r w:rsidR="009A5B8A" w:rsidRPr="00CF65F6">
              <w:rPr>
                <w:rStyle w:val="Hyperlink"/>
                <w:noProof/>
              </w:rPr>
              <w:t>1.</w:t>
            </w:r>
            <w:r w:rsidR="009A5B8A">
              <w:rPr>
                <w:rFonts w:eastAsiaTheme="minorEastAsia" w:cstheme="minorBidi"/>
                <w:noProof/>
                <w:sz w:val="24"/>
                <w:szCs w:val="24"/>
              </w:rPr>
              <w:tab/>
            </w:r>
            <w:r w:rsidR="009A5B8A" w:rsidRPr="00CF65F6">
              <w:rPr>
                <w:rStyle w:val="Hyperlink"/>
                <w:noProof/>
              </w:rPr>
              <w:t>Design reporting avenues separated from police</w:t>
            </w:r>
            <w:r w:rsidR="009A5B8A">
              <w:rPr>
                <w:noProof/>
                <w:webHidden/>
              </w:rPr>
              <w:tab/>
            </w:r>
            <w:r w:rsidR="009A5B8A">
              <w:rPr>
                <w:noProof/>
                <w:webHidden/>
              </w:rPr>
              <w:fldChar w:fldCharType="begin"/>
            </w:r>
            <w:r w:rsidR="009A5B8A">
              <w:rPr>
                <w:noProof/>
                <w:webHidden/>
              </w:rPr>
              <w:instrText xml:space="preserve"> PAGEREF _Toc96092085 \h </w:instrText>
            </w:r>
            <w:r w:rsidR="009A5B8A">
              <w:rPr>
                <w:noProof/>
                <w:webHidden/>
              </w:rPr>
            </w:r>
            <w:r w:rsidR="009A5B8A">
              <w:rPr>
                <w:noProof/>
                <w:webHidden/>
              </w:rPr>
              <w:fldChar w:fldCharType="separate"/>
            </w:r>
            <w:r w:rsidR="009A5B8A">
              <w:rPr>
                <w:noProof/>
                <w:webHidden/>
              </w:rPr>
              <w:t>18</w:t>
            </w:r>
            <w:r w:rsidR="009A5B8A">
              <w:rPr>
                <w:noProof/>
                <w:webHidden/>
              </w:rPr>
              <w:fldChar w:fldCharType="end"/>
            </w:r>
          </w:hyperlink>
        </w:p>
        <w:p w14:paraId="503D4E5A" w14:textId="060531A6" w:rsidR="009A5B8A" w:rsidRDefault="0071194D">
          <w:pPr>
            <w:pStyle w:val="TOC3"/>
            <w:tabs>
              <w:tab w:val="left" w:pos="840"/>
              <w:tab w:val="right" w:leader="dot" w:pos="9350"/>
            </w:tabs>
            <w:rPr>
              <w:rFonts w:eastAsiaTheme="minorEastAsia" w:cstheme="minorBidi"/>
              <w:noProof/>
              <w:sz w:val="24"/>
              <w:szCs w:val="24"/>
            </w:rPr>
          </w:pPr>
          <w:hyperlink w:anchor="_Toc96092086" w:history="1">
            <w:r w:rsidR="009A5B8A" w:rsidRPr="00CF65F6">
              <w:rPr>
                <w:rStyle w:val="Hyperlink"/>
                <w:noProof/>
              </w:rPr>
              <w:t>2.</w:t>
            </w:r>
            <w:r w:rsidR="009A5B8A">
              <w:rPr>
                <w:rFonts w:eastAsiaTheme="minorEastAsia" w:cstheme="minorBidi"/>
                <w:noProof/>
                <w:sz w:val="24"/>
                <w:szCs w:val="24"/>
              </w:rPr>
              <w:tab/>
            </w:r>
            <w:r w:rsidR="009A5B8A" w:rsidRPr="00CF65F6">
              <w:rPr>
                <w:rStyle w:val="Hyperlink"/>
                <w:noProof/>
              </w:rPr>
              <w:t>Improve police responses</w:t>
            </w:r>
            <w:r w:rsidR="009A5B8A">
              <w:rPr>
                <w:noProof/>
                <w:webHidden/>
              </w:rPr>
              <w:tab/>
            </w:r>
            <w:r w:rsidR="009A5B8A">
              <w:rPr>
                <w:noProof/>
                <w:webHidden/>
              </w:rPr>
              <w:fldChar w:fldCharType="begin"/>
            </w:r>
            <w:r w:rsidR="009A5B8A">
              <w:rPr>
                <w:noProof/>
                <w:webHidden/>
              </w:rPr>
              <w:instrText xml:space="preserve"> PAGEREF _Toc96092086 \h </w:instrText>
            </w:r>
            <w:r w:rsidR="009A5B8A">
              <w:rPr>
                <w:noProof/>
                <w:webHidden/>
              </w:rPr>
            </w:r>
            <w:r w:rsidR="009A5B8A">
              <w:rPr>
                <w:noProof/>
                <w:webHidden/>
              </w:rPr>
              <w:fldChar w:fldCharType="separate"/>
            </w:r>
            <w:r w:rsidR="009A5B8A">
              <w:rPr>
                <w:noProof/>
                <w:webHidden/>
              </w:rPr>
              <w:t>19</w:t>
            </w:r>
            <w:r w:rsidR="009A5B8A">
              <w:rPr>
                <w:noProof/>
                <w:webHidden/>
              </w:rPr>
              <w:fldChar w:fldCharType="end"/>
            </w:r>
          </w:hyperlink>
        </w:p>
        <w:p w14:paraId="5AF3B0CE" w14:textId="4A245016" w:rsidR="009A5B8A" w:rsidRDefault="0071194D">
          <w:pPr>
            <w:pStyle w:val="TOC3"/>
            <w:tabs>
              <w:tab w:val="left" w:pos="840"/>
              <w:tab w:val="right" w:leader="dot" w:pos="9350"/>
            </w:tabs>
            <w:rPr>
              <w:rFonts w:eastAsiaTheme="minorEastAsia" w:cstheme="minorBidi"/>
              <w:noProof/>
              <w:sz w:val="24"/>
              <w:szCs w:val="24"/>
            </w:rPr>
          </w:pPr>
          <w:hyperlink w:anchor="_Toc96092087" w:history="1">
            <w:r w:rsidR="009A5B8A" w:rsidRPr="00CF65F6">
              <w:rPr>
                <w:rStyle w:val="Hyperlink"/>
                <w:noProof/>
              </w:rPr>
              <w:t>3.</w:t>
            </w:r>
            <w:r w:rsidR="009A5B8A">
              <w:rPr>
                <w:rFonts w:eastAsiaTheme="minorEastAsia" w:cstheme="minorBidi"/>
                <w:noProof/>
                <w:sz w:val="24"/>
                <w:szCs w:val="24"/>
              </w:rPr>
              <w:tab/>
            </w:r>
            <w:r w:rsidR="009A5B8A" w:rsidRPr="00CF65F6">
              <w:rPr>
                <w:rStyle w:val="Hyperlink"/>
                <w:noProof/>
              </w:rPr>
              <w:t>Changing blame culture</w:t>
            </w:r>
            <w:r w:rsidR="009A5B8A">
              <w:rPr>
                <w:noProof/>
                <w:webHidden/>
              </w:rPr>
              <w:tab/>
            </w:r>
            <w:r w:rsidR="009A5B8A">
              <w:rPr>
                <w:noProof/>
                <w:webHidden/>
              </w:rPr>
              <w:fldChar w:fldCharType="begin"/>
            </w:r>
            <w:r w:rsidR="009A5B8A">
              <w:rPr>
                <w:noProof/>
                <w:webHidden/>
              </w:rPr>
              <w:instrText xml:space="preserve"> PAGEREF _Toc96092087 \h </w:instrText>
            </w:r>
            <w:r w:rsidR="009A5B8A">
              <w:rPr>
                <w:noProof/>
                <w:webHidden/>
              </w:rPr>
            </w:r>
            <w:r w:rsidR="009A5B8A">
              <w:rPr>
                <w:noProof/>
                <w:webHidden/>
              </w:rPr>
              <w:fldChar w:fldCharType="separate"/>
            </w:r>
            <w:r w:rsidR="009A5B8A">
              <w:rPr>
                <w:noProof/>
                <w:webHidden/>
              </w:rPr>
              <w:t>20</w:t>
            </w:r>
            <w:r w:rsidR="009A5B8A">
              <w:rPr>
                <w:noProof/>
                <w:webHidden/>
              </w:rPr>
              <w:fldChar w:fldCharType="end"/>
            </w:r>
          </w:hyperlink>
        </w:p>
        <w:p w14:paraId="51D2AE12" w14:textId="6005BBC2" w:rsidR="009A5B8A" w:rsidRDefault="0071194D">
          <w:pPr>
            <w:pStyle w:val="TOC3"/>
            <w:tabs>
              <w:tab w:val="left" w:pos="840"/>
              <w:tab w:val="right" w:leader="dot" w:pos="9350"/>
            </w:tabs>
            <w:rPr>
              <w:rFonts w:eastAsiaTheme="minorEastAsia" w:cstheme="minorBidi"/>
              <w:noProof/>
              <w:sz w:val="24"/>
              <w:szCs w:val="24"/>
            </w:rPr>
          </w:pPr>
          <w:hyperlink w:anchor="_Toc96092088" w:history="1">
            <w:r w:rsidR="009A5B8A" w:rsidRPr="00CF65F6">
              <w:rPr>
                <w:rStyle w:val="Hyperlink"/>
                <w:noProof/>
              </w:rPr>
              <w:t>4.</w:t>
            </w:r>
            <w:r w:rsidR="009A5B8A">
              <w:rPr>
                <w:rFonts w:eastAsiaTheme="minorEastAsia" w:cstheme="minorBidi"/>
                <w:noProof/>
                <w:sz w:val="24"/>
                <w:szCs w:val="24"/>
              </w:rPr>
              <w:tab/>
            </w:r>
            <w:r w:rsidR="009A5B8A" w:rsidRPr="00CF65F6">
              <w:rPr>
                <w:rStyle w:val="Hyperlink"/>
                <w:noProof/>
              </w:rPr>
              <w:t>Education</w:t>
            </w:r>
            <w:r w:rsidR="009A5B8A">
              <w:rPr>
                <w:noProof/>
                <w:webHidden/>
              </w:rPr>
              <w:tab/>
            </w:r>
            <w:r w:rsidR="009A5B8A">
              <w:rPr>
                <w:noProof/>
                <w:webHidden/>
              </w:rPr>
              <w:fldChar w:fldCharType="begin"/>
            </w:r>
            <w:r w:rsidR="009A5B8A">
              <w:rPr>
                <w:noProof/>
                <w:webHidden/>
              </w:rPr>
              <w:instrText xml:space="preserve"> PAGEREF _Toc96092088 \h </w:instrText>
            </w:r>
            <w:r w:rsidR="009A5B8A">
              <w:rPr>
                <w:noProof/>
                <w:webHidden/>
              </w:rPr>
            </w:r>
            <w:r w:rsidR="009A5B8A">
              <w:rPr>
                <w:noProof/>
                <w:webHidden/>
              </w:rPr>
              <w:fldChar w:fldCharType="separate"/>
            </w:r>
            <w:r w:rsidR="009A5B8A">
              <w:rPr>
                <w:noProof/>
                <w:webHidden/>
              </w:rPr>
              <w:t>20</w:t>
            </w:r>
            <w:r w:rsidR="009A5B8A">
              <w:rPr>
                <w:noProof/>
                <w:webHidden/>
              </w:rPr>
              <w:fldChar w:fldCharType="end"/>
            </w:r>
          </w:hyperlink>
        </w:p>
        <w:p w14:paraId="1A6CBD36" w14:textId="45D91BB4" w:rsidR="009A5B8A" w:rsidRDefault="0071194D">
          <w:pPr>
            <w:pStyle w:val="TOC3"/>
            <w:tabs>
              <w:tab w:val="left" w:pos="840"/>
              <w:tab w:val="right" w:leader="dot" w:pos="9350"/>
            </w:tabs>
            <w:rPr>
              <w:rFonts w:eastAsiaTheme="minorEastAsia" w:cstheme="minorBidi"/>
              <w:noProof/>
              <w:sz w:val="24"/>
              <w:szCs w:val="24"/>
            </w:rPr>
          </w:pPr>
          <w:hyperlink w:anchor="_Toc96092089" w:history="1">
            <w:r w:rsidR="009A5B8A" w:rsidRPr="00CF65F6">
              <w:rPr>
                <w:rStyle w:val="Hyperlink"/>
                <w:noProof/>
              </w:rPr>
              <w:t>5.</w:t>
            </w:r>
            <w:r w:rsidR="009A5B8A">
              <w:rPr>
                <w:rFonts w:eastAsiaTheme="minorEastAsia" w:cstheme="minorBidi"/>
                <w:noProof/>
                <w:sz w:val="24"/>
                <w:szCs w:val="24"/>
              </w:rPr>
              <w:tab/>
            </w:r>
            <w:r w:rsidR="009A5B8A" w:rsidRPr="00CF65F6">
              <w:rPr>
                <w:rStyle w:val="Hyperlink"/>
                <w:noProof/>
              </w:rPr>
              <w:t>Sector collaboration</w:t>
            </w:r>
            <w:r w:rsidR="009A5B8A">
              <w:rPr>
                <w:noProof/>
                <w:webHidden/>
              </w:rPr>
              <w:tab/>
            </w:r>
            <w:r w:rsidR="009A5B8A">
              <w:rPr>
                <w:noProof/>
                <w:webHidden/>
              </w:rPr>
              <w:fldChar w:fldCharType="begin"/>
            </w:r>
            <w:r w:rsidR="009A5B8A">
              <w:rPr>
                <w:noProof/>
                <w:webHidden/>
              </w:rPr>
              <w:instrText xml:space="preserve"> PAGEREF _Toc96092089 \h </w:instrText>
            </w:r>
            <w:r w:rsidR="009A5B8A">
              <w:rPr>
                <w:noProof/>
                <w:webHidden/>
              </w:rPr>
            </w:r>
            <w:r w:rsidR="009A5B8A">
              <w:rPr>
                <w:noProof/>
                <w:webHidden/>
              </w:rPr>
              <w:fldChar w:fldCharType="separate"/>
            </w:r>
            <w:r w:rsidR="009A5B8A">
              <w:rPr>
                <w:noProof/>
                <w:webHidden/>
              </w:rPr>
              <w:t>21</w:t>
            </w:r>
            <w:r w:rsidR="009A5B8A">
              <w:rPr>
                <w:noProof/>
                <w:webHidden/>
              </w:rPr>
              <w:fldChar w:fldCharType="end"/>
            </w:r>
          </w:hyperlink>
        </w:p>
        <w:p w14:paraId="58A37DD5" w14:textId="4D3808B4" w:rsidR="009A5B8A" w:rsidRDefault="0071194D">
          <w:pPr>
            <w:pStyle w:val="TOC1"/>
            <w:tabs>
              <w:tab w:val="right" w:leader="dot" w:pos="9350"/>
            </w:tabs>
            <w:rPr>
              <w:rFonts w:eastAsiaTheme="minorEastAsia" w:cstheme="minorBidi"/>
              <w:b w:val="0"/>
              <w:bCs w:val="0"/>
              <w:i w:val="0"/>
              <w:iCs w:val="0"/>
              <w:noProof/>
            </w:rPr>
          </w:pPr>
          <w:hyperlink w:anchor="_Toc96092090" w:history="1">
            <w:r w:rsidR="009A5B8A" w:rsidRPr="00CF65F6">
              <w:rPr>
                <w:rStyle w:val="Hyperlink"/>
                <w:noProof/>
              </w:rPr>
              <w:t>RECEIVING SUPPORT</w:t>
            </w:r>
            <w:r w:rsidR="009A5B8A">
              <w:rPr>
                <w:noProof/>
                <w:webHidden/>
              </w:rPr>
              <w:tab/>
            </w:r>
            <w:r w:rsidR="009A5B8A">
              <w:rPr>
                <w:noProof/>
                <w:webHidden/>
              </w:rPr>
              <w:fldChar w:fldCharType="begin"/>
            </w:r>
            <w:r w:rsidR="009A5B8A">
              <w:rPr>
                <w:noProof/>
                <w:webHidden/>
              </w:rPr>
              <w:instrText xml:space="preserve"> PAGEREF _Toc96092090 \h </w:instrText>
            </w:r>
            <w:r w:rsidR="009A5B8A">
              <w:rPr>
                <w:noProof/>
                <w:webHidden/>
              </w:rPr>
            </w:r>
            <w:r w:rsidR="009A5B8A">
              <w:rPr>
                <w:noProof/>
                <w:webHidden/>
              </w:rPr>
              <w:fldChar w:fldCharType="separate"/>
            </w:r>
            <w:r w:rsidR="009A5B8A">
              <w:rPr>
                <w:noProof/>
                <w:webHidden/>
              </w:rPr>
              <w:t>22</w:t>
            </w:r>
            <w:r w:rsidR="009A5B8A">
              <w:rPr>
                <w:noProof/>
                <w:webHidden/>
              </w:rPr>
              <w:fldChar w:fldCharType="end"/>
            </w:r>
          </w:hyperlink>
        </w:p>
        <w:p w14:paraId="131F3D95" w14:textId="13879584" w:rsidR="009A5B8A" w:rsidRDefault="0071194D">
          <w:pPr>
            <w:pStyle w:val="TOC2"/>
            <w:tabs>
              <w:tab w:val="right" w:leader="dot" w:pos="9350"/>
            </w:tabs>
            <w:rPr>
              <w:rFonts w:eastAsiaTheme="minorEastAsia" w:cstheme="minorBidi"/>
              <w:b w:val="0"/>
              <w:bCs w:val="0"/>
              <w:noProof/>
              <w:sz w:val="24"/>
              <w:szCs w:val="24"/>
            </w:rPr>
          </w:pPr>
          <w:hyperlink w:anchor="_Toc96092091" w:history="1">
            <w:r w:rsidR="009A5B8A" w:rsidRPr="00CF65F6">
              <w:rPr>
                <w:rStyle w:val="Hyperlink"/>
                <w:noProof/>
              </w:rPr>
              <w:t>Where are young victim-survivors accessing support?</w:t>
            </w:r>
            <w:r w:rsidR="009A5B8A">
              <w:rPr>
                <w:noProof/>
                <w:webHidden/>
              </w:rPr>
              <w:tab/>
            </w:r>
            <w:r w:rsidR="009A5B8A">
              <w:rPr>
                <w:noProof/>
                <w:webHidden/>
              </w:rPr>
              <w:fldChar w:fldCharType="begin"/>
            </w:r>
            <w:r w:rsidR="009A5B8A">
              <w:rPr>
                <w:noProof/>
                <w:webHidden/>
              </w:rPr>
              <w:instrText xml:space="preserve"> PAGEREF _Toc96092091 \h </w:instrText>
            </w:r>
            <w:r w:rsidR="009A5B8A">
              <w:rPr>
                <w:noProof/>
                <w:webHidden/>
              </w:rPr>
            </w:r>
            <w:r w:rsidR="009A5B8A">
              <w:rPr>
                <w:noProof/>
                <w:webHidden/>
              </w:rPr>
              <w:fldChar w:fldCharType="separate"/>
            </w:r>
            <w:r w:rsidR="009A5B8A">
              <w:rPr>
                <w:noProof/>
                <w:webHidden/>
              </w:rPr>
              <w:t>22</w:t>
            </w:r>
            <w:r w:rsidR="009A5B8A">
              <w:rPr>
                <w:noProof/>
                <w:webHidden/>
              </w:rPr>
              <w:fldChar w:fldCharType="end"/>
            </w:r>
          </w:hyperlink>
        </w:p>
        <w:p w14:paraId="308A3181" w14:textId="3ED41DDF" w:rsidR="009A5B8A" w:rsidRDefault="0071194D">
          <w:pPr>
            <w:pStyle w:val="TOC2"/>
            <w:tabs>
              <w:tab w:val="right" w:leader="dot" w:pos="9350"/>
            </w:tabs>
            <w:rPr>
              <w:rFonts w:eastAsiaTheme="minorEastAsia" w:cstheme="minorBidi"/>
              <w:b w:val="0"/>
              <w:bCs w:val="0"/>
              <w:noProof/>
              <w:sz w:val="24"/>
              <w:szCs w:val="24"/>
            </w:rPr>
          </w:pPr>
          <w:hyperlink w:anchor="_Toc96092092" w:history="1">
            <w:r w:rsidR="009A5B8A" w:rsidRPr="00CF65F6">
              <w:rPr>
                <w:rStyle w:val="Hyperlink"/>
                <w:noProof/>
              </w:rPr>
              <w:t>What type of supports are young victim-survivors accessing?</w:t>
            </w:r>
            <w:r w:rsidR="009A5B8A">
              <w:rPr>
                <w:noProof/>
                <w:webHidden/>
              </w:rPr>
              <w:tab/>
            </w:r>
            <w:r w:rsidR="009A5B8A">
              <w:rPr>
                <w:noProof/>
                <w:webHidden/>
              </w:rPr>
              <w:fldChar w:fldCharType="begin"/>
            </w:r>
            <w:r w:rsidR="009A5B8A">
              <w:rPr>
                <w:noProof/>
                <w:webHidden/>
              </w:rPr>
              <w:instrText xml:space="preserve"> PAGEREF _Toc96092092 \h </w:instrText>
            </w:r>
            <w:r w:rsidR="009A5B8A">
              <w:rPr>
                <w:noProof/>
                <w:webHidden/>
              </w:rPr>
            </w:r>
            <w:r w:rsidR="009A5B8A">
              <w:rPr>
                <w:noProof/>
                <w:webHidden/>
              </w:rPr>
              <w:fldChar w:fldCharType="separate"/>
            </w:r>
            <w:r w:rsidR="009A5B8A">
              <w:rPr>
                <w:noProof/>
                <w:webHidden/>
              </w:rPr>
              <w:t>23</w:t>
            </w:r>
            <w:r w:rsidR="009A5B8A">
              <w:rPr>
                <w:noProof/>
                <w:webHidden/>
              </w:rPr>
              <w:fldChar w:fldCharType="end"/>
            </w:r>
          </w:hyperlink>
        </w:p>
        <w:p w14:paraId="4099FA6E" w14:textId="6564D2DC" w:rsidR="009A5B8A" w:rsidRDefault="0071194D">
          <w:pPr>
            <w:pStyle w:val="TOC3"/>
            <w:tabs>
              <w:tab w:val="right" w:leader="dot" w:pos="9350"/>
            </w:tabs>
            <w:rPr>
              <w:rFonts w:eastAsiaTheme="minorEastAsia" w:cstheme="minorBidi"/>
              <w:noProof/>
              <w:sz w:val="24"/>
              <w:szCs w:val="24"/>
            </w:rPr>
          </w:pPr>
          <w:hyperlink w:anchor="_Toc96092093" w:history="1">
            <w:r w:rsidR="009A5B8A" w:rsidRPr="00CF65F6">
              <w:rPr>
                <w:rStyle w:val="Hyperlink"/>
                <w:noProof/>
              </w:rPr>
              <w:t>Barriers to accessing support</w:t>
            </w:r>
            <w:r w:rsidR="009A5B8A">
              <w:rPr>
                <w:noProof/>
                <w:webHidden/>
              </w:rPr>
              <w:tab/>
            </w:r>
            <w:r w:rsidR="009A5B8A">
              <w:rPr>
                <w:noProof/>
                <w:webHidden/>
              </w:rPr>
              <w:fldChar w:fldCharType="begin"/>
            </w:r>
            <w:r w:rsidR="009A5B8A">
              <w:rPr>
                <w:noProof/>
                <w:webHidden/>
              </w:rPr>
              <w:instrText xml:space="preserve"> PAGEREF _Toc96092093 \h </w:instrText>
            </w:r>
            <w:r w:rsidR="009A5B8A">
              <w:rPr>
                <w:noProof/>
                <w:webHidden/>
              </w:rPr>
            </w:r>
            <w:r w:rsidR="009A5B8A">
              <w:rPr>
                <w:noProof/>
                <w:webHidden/>
              </w:rPr>
              <w:fldChar w:fldCharType="separate"/>
            </w:r>
            <w:r w:rsidR="009A5B8A">
              <w:rPr>
                <w:noProof/>
                <w:webHidden/>
              </w:rPr>
              <w:t>24</w:t>
            </w:r>
            <w:r w:rsidR="009A5B8A">
              <w:rPr>
                <w:noProof/>
                <w:webHidden/>
              </w:rPr>
              <w:fldChar w:fldCharType="end"/>
            </w:r>
          </w:hyperlink>
        </w:p>
        <w:p w14:paraId="6E291C42" w14:textId="2CA1D0D9" w:rsidR="009A5B8A" w:rsidRDefault="0071194D">
          <w:pPr>
            <w:pStyle w:val="TOC1"/>
            <w:tabs>
              <w:tab w:val="right" w:leader="dot" w:pos="9350"/>
            </w:tabs>
            <w:rPr>
              <w:rFonts w:eastAsiaTheme="minorEastAsia" w:cstheme="minorBidi"/>
              <w:b w:val="0"/>
              <w:bCs w:val="0"/>
              <w:i w:val="0"/>
              <w:iCs w:val="0"/>
              <w:noProof/>
            </w:rPr>
          </w:pPr>
          <w:hyperlink w:anchor="_Toc96092094" w:history="1">
            <w:r w:rsidR="009A5B8A" w:rsidRPr="00CF65F6">
              <w:rPr>
                <w:rStyle w:val="Hyperlink"/>
                <w:noProof/>
              </w:rPr>
              <w:t>PRIMARY PREVENTION</w:t>
            </w:r>
            <w:r w:rsidR="009A5B8A">
              <w:rPr>
                <w:noProof/>
                <w:webHidden/>
              </w:rPr>
              <w:tab/>
            </w:r>
            <w:r w:rsidR="009A5B8A">
              <w:rPr>
                <w:noProof/>
                <w:webHidden/>
              </w:rPr>
              <w:fldChar w:fldCharType="begin"/>
            </w:r>
            <w:r w:rsidR="009A5B8A">
              <w:rPr>
                <w:noProof/>
                <w:webHidden/>
              </w:rPr>
              <w:instrText xml:space="preserve"> PAGEREF _Toc96092094 \h </w:instrText>
            </w:r>
            <w:r w:rsidR="009A5B8A">
              <w:rPr>
                <w:noProof/>
                <w:webHidden/>
              </w:rPr>
            </w:r>
            <w:r w:rsidR="009A5B8A">
              <w:rPr>
                <w:noProof/>
                <w:webHidden/>
              </w:rPr>
              <w:fldChar w:fldCharType="separate"/>
            </w:r>
            <w:r w:rsidR="009A5B8A">
              <w:rPr>
                <w:noProof/>
                <w:webHidden/>
              </w:rPr>
              <w:t>32</w:t>
            </w:r>
            <w:r w:rsidR="009A5B8A">
              <w:rPr>
                <w:noProof/>
                <w:webHidden/>
              </w:rPr>
              <w:fldChar w:fldCharType="end"/>
            </w:r>
          </w:hyperlink>
        </w:p>
        <w:p w14:paraId="3A2E0910" w14:textId="3488B91E" w:rsidR="009A5B8A" w:rsidRDefault="0071194D">
          <w:pPr>
            <w:pStyle w:val="TOC2"/>
            <w:tabs>
              <w:tab w:val="right" w:leader="dot" w:pos="9350"/>
            </w:tabs>
            <w:rPr>
              <w:rFonts w:eastAsiaTheme="minorEastAsia" w:cstheme="minorBidi"/>
              <w:b w:val="0"/>
              <w:bCs w:val="0"/>
              <w:noProof/>
              <w:sz w:val="24"/>
              <w:szCs w:val="24"/>
            </w:rPr>
          </w:pPr>
          <w:hyperlink w:anchor="_Toc96092095" w:history="1">
            <w:r w:rsidR="009A5B8A" w:rsidRPr="00CF65F6">
              <w:rPr>
                <w:rStyle w:val="Hyperlink"/>
                <w:noProof/>
              </w:rPr>
              <w:t>What is primary prevention?</w:t>
            </w:r>
            <w:r w:rsidR="009A5B8A">
              <w:rPr>
                <w:noProof/>
                <w:webHidden/>
              </w:rPr>
              <w:tab/>
            </w:r>
            <w:r w:rsidR="009A5B8A">
              <w:rPr>
                <w:noProof/>
                <w:webHidden/>
              </w:rPr>
              <w:fldChar w:fldCharType="begin"/>
            </w:r>
            <w:r w:rsidR="009A5B8A">
              <w:rPr>
                <w:noProof/>
                <w:webHidden/>
              </w:rPr>
              <w:instrText xml:space="preserve"> PAGEREF _Toc96092095 \h </w:instrText>
            </w:r>
            <w:r w:rsidR="009A5B8A">
              <w:rPr>
                <w:noProof/>
                <w:webHidden/>
              </w:rPr>
            </w:r>
            <w:r w:rsidR="009A5B8A">
              <w:rPr>
                <w:noProof/>
                <w:webHidden/>
              </w:rPr>
              <w:fldChar w:fldCharType="separate"/>
            </w:r>
            <w:r w:rsidR="009A5B8A">
              <w:rPr>
                <w:noProof/>
                <w:webHidden/>
              </w:rPr>
              <w:t>32</w:t>
            </w:r>
            <w:r w:rsidR="009A5B8A">
              <w:rPr>
                <w:noProof/>
                <w:webHidden/>
              </w:rPr>
              <w:fldChar w:fldCharType="end"/>
            </w:r>
          </w:hyperlink>
        </w:p>
        <w:p w14:paraId="131E72AC" w14:textId="33D7AEC0" w:rsidR="009A5B8A" w:rsidRDefault="0071194D">
          <w:pPr>
            <w:pStyle w:val="TOC3"/>
            <w:tabs>
              <w:tab w:val="right" w:leader="dot" w:pos="9350"/>
            </w:tabs>
            <w:rPr>
              <w:rFonts w:eastAsiaTheme="minorEastAsia" w:cstheme="minorBidi"/>
              <w:noProof/>
              <w:sz w:val="24"/>
              <w:szCs w:val="24"/>
            </w:rPr>
          </w:pPr>
          <w:hyperlink w:anchor="_Toc96092096" w:history="1">
            <w:r w:rsidR="009A5B8A" w:rsidRPr="00CF65F6">
              <w:rPr>
                <w:rStyle w:val="Hyperlink"/>
                <w:noProof/>
              </w:rPr>
              <w:t>Core gendered driers of violence</w:t>
            </w:r>
            <w:r w:rsidR="009A5B8A">
              <w:rPr>
                <w:noProof/>
                <w:webHidden/>
              </w:rPr>
              <w:tab/>
            </w:r>
            <w:r w:rsidR="009A5B8A">
              <w:rPr>
                <w:noProof/>
                <w:webHidden/>
              </w:rPr>
              <w:fldChar w:fldCharType="begin"/>
            </w:r>
            <w:r w:rsidR="009A5B8A">
              <w:rPr>
                <w:noProof/>
                <w:webHidden/>
              </w:rPr>
              <w:instrText xml:space="preserve"> PAGEREF _Toc96092096 \h </w:instrText>
            </w:r>
            <w:r w:rsidR="009A5B8A">
              <w:rPr>
                <w:noProof/>
                <w:webHidden/>
              </w:rPr>
            </w:r>
            <w:r w:rsidR="009A5B8A">
              <w:rPr>
                <w:noProof/>
                <w:webHidden/>
              </w:rPr>
              <w:fldChar w:fldCharType="separate"/>
            </w:r>
            <w:r w:rsidR="009A5B8A">
              <w:rPr>
                <w:noProof/>
                <w:webHidden/>
              </w:rPr>
              <w:t>32</w:t>
            </w:r>
            <w:r w:rsidR="009A5B8A">
              <w:rPr>
                <w:noProof/>
                <w:webHidden/>
              </w:rPr>
              <w:fldChar w:fldCharType="end"/>
            </w:r>
          </w:hyperlink>
        </w:p>
        <w:p w14:paraId="1221EB62" w14:textId="71188F58" w:rsidR="009A5B8A" w:rsidRDefault="0071194D">
          <w:pPr>
            <w:pStyle w:val="TOC3"/>
            <w:tabs>
              <w:tab w:val="right" w:leader="dot" w:pos="9350"/>
            </w:tabs>
            <w:rPr>
              <w:rFonts w:eastAsiaTheme="minorEastAsia" w:cstheme="minorBidi"/>
              <w:noProof/>
              <w:sz w:val="24"/>
              <w:szCs w:val="24"/>
            </w:rPr>
          </w:pPr>
          <w:hyperlink w:anchor="_Toc96092097" w:history="1">
            <w:r w:rsidR="009A5B8A" w:rsidRPr="00CF65F6">
              <w:rPr>
                <w:rStyle w:val="Hyperlink"/>
                <w:noProof/>
              </w:rPr>
              <w:t>How do young women and non-binary people understand primary prevention?</w:t>
            </w:r>
            <w:r w:rsidR="009A5B8A">
              <w:rPr>
                <w:noProof/>
                <w:webHidden/>
              </w:rPr>
              <w:tab/>
            </w:r>
            <w:r w:rsidR="009A5B8A">
              <w:rPr>
                <w:noProof/>
                <w:webHidden/>
              </w:rPr>
              <w:fldChar w:fldCharType="begin"/>
            </w:r>
            <w:r w:rsidR="009A5B8A">
              <w:rPr>
                <w:noProof/>
                <w:webHidden/>
              </w:rPr>
              <w:instrText xml:space="preserve"> PAGEREF _Toc96092097 \h </w:instrText>
            </w:r>
            <w:r w:rsidR="009A5B8A">
              <w:rPr>
                <w:noProof/>
                <w:webHidden/>
              </w:rPr>
            </w:r>
            <w:r w:rsidR="009A5B8A">
              <w:rPr>
                <w:noProof/>
                <w:webHidden/>
              </w:rPr>
              <w:fldChar w:fldCharType="separate"/>
            </w:r>
            <w:r w:rsidR="009A5B8A">
              <w:rPr>
                <w:noProof/>
                <w:webHidden/>
              </w:rPr>
              <w:t>33</w:t>
            </w:r>
            <w:r w:rsidR="009A5B8A">
              <w:rPr>
                <w:noProof/>
                <w:webHidden/>
              </w:rPr>
              <w:fldChar w:fldCharType="end"/>
            </w:r>
          </w:hyperlink>
        </w:p>
        <w:p w14:paraId="3A4FB93D" w14:textId="42485934" w:rsidR="009A5B8A" w:rsidRDefault="0071194D">
          <w:pPr>
            <w:pStyle w:val="TOC2"/>
            <w:tabs>
              <w:tab w:val="right" w:leader="dot" w:pos="9350"/>
            </w:tabs>
            <w:rPr>
              <w:rFonts w:eastAsiaTheme="minorEastAsia" w:cstheme="minorBidi"/>
              <w:b w:val="0"/>
              <w:bCs w:val="0"/>
              <w:noProof/>
              <w:sz w:val="24"/>
              <w:szCs w:val="24"/>
            </w:rPr>
          </w:pPr>
          <w:hyperlink w:anchor="_Toc96092098" w:history="1">
            <w:r w:rsidR="009A5B8A" w:rsidRPr="00CF65F6">
              <w:rPr>
                <w:rStyle w:val="Hyperlink"/>
                <w:noProof/>
              </w:rPr>
              <w:t>What needs to change to improve primary prevention</w:t>
            </w:r>
            <w:r w:rsidR="009A5B8A">
              <w:rPr>
                <w:noProof/>
                <w:webHidden/>
              </w:rPr>
              <w:tab/>
            </w:r>
            <w:r w:rsidR="009A5B8A">
              <w:rPr>
                <w:noProof/>
                <w:webHidden/>
              </w:rPr>
              <w:fldChar w:fldCharType="begin"/>
            </w:r>
            <w:r w:rsidR="009A5B8A">
              <w:rPr>
                <w:noProof/>
                <w:webHidden/>
              </w:rPr>
              <w:instrText xml:space="preserve"> PAGEREF _Toc96092098 \h </w:instrText>
            </w:r>
            <w:r w:rsidR="009A5B8A">
              <w:rPr>
                <w:noProof/>
                <w:webHidden/>
              </w:rPr>
            </w:r>
            <w:r w:rsidR="009A5B8A">
              <w:rPr>
                <w:noProof/>
                <w:webHidden/>
              </w:rPr>
              <w:fldChar w:fldCharType="separate"/>
            </w:r>
            <w:r w:rsidR="009A5B8A">
              <w:rPr>
                <w:noProof/>
                <w:webHidden/>
              </w:rPr>
              <w:t>33</w:t>
            </w:r>
            <w:r w:rsidR="009A5B8A">
              <w:rPr>
                <w:noProof/>
                <w:webHidden/>
              </w:rPr>
              <w:fldChar w:fldCharType="end"/>
            </w:r>
          </w:hyperlink>
        </w:p>
        <w:p w14:paraId="1F821A33" w14:textId="7DC937ED" w:rsidR="009A5B8A" w:rsidRDefault="0071194D">
          <w:pPr>
            <w:pStyle w:val="TOC3"/>
            <w:tabs>
              <w:tab w:val="left" w:pos="840"/>
              <w:tab w:val="right" w:leader="dot" w:pos="9350"/>
            </w:tabs>
            <w:rPr>
              <w:rFonts w:eastAsiaTheme="minorEastAsia" w:cstheme="minorBidi"/>
              <w:noProof/>
              <w:sz w:val="24"/>
              <w:szCs w:val="24"/>
            </w:rPr>
          </w:pPr>
          <w:hyperlink w:anchor="_Toc96092099" w:history="1">
            <w:r w:rsidR="009A5B8A" w:rsidRPr="00CF65F6">
              <w:rPr>
                <w:rStyle w:val="Hyperlink"/>
                <w:noProof/>
              </w:rPr>
              <w:t>1.</w:t>
            </w:r>
            <w:r w:rsidR="009A5B8A">
              <w:rPr>
                <w:rFonts w:eastAsiaTheme="minorEastAsia" w:cstheme="minorBidi"/>
                <w:noProof/>
                <w:sz w:val="24"/>
                <w:szCs w:val="24"/>
              </w:rPr>
              <w:tab/>
            </w:r>
            <w:r w:rsidR="009A5B8A" w:rsidRPr="00CF65F6">
              <w:rPr>
                <w:rStyle w:val="Hyperlink"/>
                <w:noProof/>
              </w:rPr>
              <w:t>Consent and respectful relationships education</w:t>
            </w:r>
            <w:r w:rsidR="009A5B8A">
              <w:rPr>
                <w:noProof/>
                <w:webHidden/>
              </w:rPr>
              <w:tab/>
            </w:r>
            <w:r w:rsidR="009A5B8A">
              <w:rPr>
                <w:noProof/>
                <w:webHidden/>
              </w:rPr>
              <w:fldChar w:fldCharType="begin"/>
            </w:r>
            <w:r w:rsidR="009A5B8A">
              <w:rPr>
                <w:noProof/>
                <w:webHidden/>
              </w:rPr>
              <w:instrText xml:space="preserve"> PAGEREF _Toc96092099 \h </w:instrText>
            </w:r>
            <w:r w:rsidR="009A5B8A">
              <w:rPr>
                <w:noProof/>
                <w:webHidden/>
              </w:rPr>
            </w:r>
            <w:r w:rsidR="009A5B8A">
              <w:rPr>
                <w:noProof/>
                <w:webHidden/>
              </w:rPr>
              <w:fldChar w:fldCharType="separate"/>
            </w:r>
            <w:r w:rsidR="009A5B8A">
              <w:rPr>
                <w:noProof/>
                <w:webHidden/>
              </w:rPr>
              <w:t>33</w:t>
            </w:r>
            <w:r w:rsidR="009A5B8A">
              <w:rPr>
                <w:noProof/>
                <w:webHidden/>
              </w:rPr>
              <w:fldChar w:fldCharType="end"/>
            </w:r>
          </w:hyperlink>
        </w:p>
        <w:p w14:paraId="5D33E37A" w14:textId="0B467EFA" w:rsidR="009A5B8A" w:rsidRDefault="0071194D">
          <w:pPr>
            <w:pStyle w:val="TOC3"/>
            <w:tabs>
              <w:tab w:val="left" w:pos="840"/>
              <w:tab w:val="right" w:leader="dot" w:pos="9350"/>
            </w:tabs>
            <w:rPr>
              <w:rFonts w:eastAsiaTheme="minorEastAsia" w:cstheme="minorBidi"/>
              <w:noProof/>
              <w:sz w:val="24"/>
              <w:szCs w:val="24"/>
            </w:rPr>
          </w:pPr>
          <w:hyperlink w:anchor="_Toc96092100" w:history="1">
            <w:r w:rsidR="009A5B8A" w:rsidRPr="00CF65F6">
              <w:rPr>
                <w:rStyle w:val="Hyperlink"/>
                <w:noProof/>
              </w:rPr>
              <w:t>2.</w:t>
            </w:r>
            <w:r w:rsidR="009A5B8A">
              <w:rPr>
                <w:rFonts w:eastAsiaTheme="minorEastAsia" w:cstheme="minorBidi"/>
                <w:noProof/>
                <w:sz w:val="24"/>
                <w:szCs w:val="24"/>
              </w:rPr>
              <w:tab/>
            </w:r>
            <w:r w:rsidR="009A5B8A" w:rsidRPr="00CF65F6">
              <w:rPr>
                <w:rStyle w:val="Hyperlink"/>
                <w:noProof/>
              </w:rPr>
              <w:t>Engaging and supporting young men as role models for change</w:t>
            </w:r>
            <w:r w:rsidR="009A5B8A">
              <w:rPr>
                <w:noProof/>
                <w:webHidden/>
              </w:rPr>
              <w:tab/>
            </w:r>
            <w:r w:rsidR="009A5B8A">
              <w:rPr>
                <w:noProof/>
                <w:webHidden/>
              </w:rPr>
              <w:fldChar w:fldCharType="begin"/>
            </w:r>
            <w:r w:rsidR="009A5B8A">
              <w:rPr>
                <w:noProof/>
                <w:webHidden/>
              </w:rPr>
              <w:instrText xml:space="preserve"> PAGEREF _Toc96092100 \h </w:instrText>
            </w:r>
            <w:r w:rsidR="009A5B8A">
              <w:rPr>
                <w:noProof/>
                <w:webHidden/>
              </w:rPr>
            </w:r>
            <w:r w:rsidR="009A5B8A">
              <w:rPr>
                <w:noProof/>
                <w:webHidden/>
              </w:rPr>
              <w:fldChar w:fldCharType="separate"/>
            </w:r>
            <w:r w:rsidR="009A5B8A">
              <w:rPr>
                <w:noProof/>
                <w:webHidden/>
              </w:rPr>
              <w:t>35</w:t>
            </w:r>
            <w:r w:rsidR="009A5B8A">
              <w:rPr>
                <w:noProof/>
                <w:webHidden/>
              </w:rPr>
              <w:fldChar w:fldCharType="end"/>
            </w:r>
          </w:hyperlink>
        </w:p>
        <w:p w14:paraId="2AAAAE11" w14:textId="2E5145D6" w:rsidR="009A5B8A" w:rsidRDefault="0071194D">
          <w:pPr>
            <w:pStyle w:val="TOC3"/>
            <w:tabs>
              <w:tab w:val="left" w:pos="840"/>
              <w:tab w:val="right" w:leader="dot" w:pos="9350"/>
            </w:tabs>
            <w:rPr>
              <w:rFonts w:eastAsiaTheme="minorEastAsia" w:cstheme="minorBidi"/>
              <w:noProof/>
              <w:sz w:val="24"/>
              <w:szCs w:val="24"/>
            </w:rPr>
          </w:pPr>
          <w:hyperlink w:anchor="_Toc96092101" w:history="1">
            <w:r w:rsidR="009A5B8A" w:rsidRPr="00CF65F6">
              <w:rPr>
                <w:rStyle w:val="Hyperlink"/>
                <w:noProof/>
              </w:rPr>
              <w:t>1.</w:t>
            </w:r>
            <w:r w:rsidR="009A5B8A">
              <w:rPr>
                <w:rFonts w:eastAsiaTheme="minorEastAsia" w:cstheme="minorBidi"/>
                <w:noProof/>
                <w:sz w:val="24"/>
                <w:szCs w:val="24"/>
              </w:rPr>
              <w:tab/>
            </w:r>
            <w:r w:rsidR="009A5B8A" w:rsidRPr="00CF65F6">
              <w:rPr>
                <w:rStyle w:val="Hyperlink"/>
                <w:noProof/>
              </w:rPr>
              <w:t>Improving intersectionality in primary prevention</w:t>
            </w:r>
            <w:r w:rsidR="009A5B8A">
              <w:rPr>
                <w:noProof/>
                <w:webHidden/>
              </w:rPr>
              <w:tab/>
            </w:r>
            <w:r w:rsidR="009A5B8A">
              <w:rPr>
                <w:noProof/>
                <w:webHidden/>
              </w:rPr>
              <w:fldChar w:fldCharType="begin"/>
            </w:r>
            <w:r w:rsidR="009A5B8A">
              <w:rPr>
                <w:noProof/>
                <w:webHidden/>
              </w:rPr>
              <w:instrText xml:space="preserve"> PAGEREF _Toc96092101 \h </w:instrText>
            </w:r>
            <w:r w:rsidR="009A5B8A">
              <w:rPr>
                <w:noProof/>
                <w:webHidden/>
              </w:rPr>
            </w:r>
            <w:r w:rsidR="009A5B8A">
              <w:rPr>
                <w:noProof/>
                <w:webHidden/>
              </w:rPr>
              <w:fldChar w:fldCharType="separate"/>
            </w:r>
            <w:r w:rsidR="009A5B8A">
              <w:rPr>
                <w:noProof/>
                <w:webHidden/>
              </w:rPr>
              <w:t>36</w:t>
            </w:r>
            <w:r w:rsidR="009A5B8A">
              <w:rPr>
                <w:noProof/>
                <w:webHidden/>
              </w:rPr>
              <w:fldChar w:fldCharType="end"/>
            </w:r>
          </w:hyperlink>
        </w:p>
        <w:p w14:paraId="70E4877B" w14:textId="032D63E1" w:rsidR="009A5B8A" w:rsidRDefault="0071194D">
          <w:pPr>
            <w:pStyle w:val="TOC3"/>
            <w:tabs>
              <w:tab w:val="left" w:pos="840"/>
              <w:tab w:val="right" w:leader="dot" w:pos="9350"/>
            </w:tabs>
            <w:rPr>
              <w:rFonts w:eastAsiaTheme="minorEastAsia" w:cstheme="minorBidi"/>
              <w:noProof/>
              <w:sz w:val="24"/>
              <w:szCs w:val="24"/>
            </w:rPr>
          </w:pPr>
          <w:hyperlink w:anchor="_Toc96092102" w:history="1">
            <w:r w:rsidR="009A5B8A" w:rsidRPr="00CF65F6">
              <w:rPr>
                <w:rStyle w:val="Hyperlink"/>
                <w:noProof/>
              </w:rPr>
              <w:t>4.</w:t>
            </w:r>
            <w:r w:rsidR="009A5B8A">
              <w:rPr>
                <w:rFonts w:eastAsiaTheme="minorEastAsia" w:cstheme="minorBidi"/>
                <w:noProof/>
                <w:sz w:val="24"/>
                <w:szCs w:val="24"/>
              </w:rPr>
              <w:tab/>
            </w:r>
            <w:r w:rsidR="009A5B8A" w:rsidRPr="00CF65F6">
              <w:rPr>
                <w:rStyle w:val="Hyperlink"/>
                <w:noProof/>
              </w:rPr>
              <w:t>Recognising children as victim-survivors in their own right</w:t>
            </w:r>
            <w:r w:rsidR="009A5B8A">
              <w:rPr>
                <w:noProof/>
                <w:webHidden/>
              </w:rPr>
              <w:tab/>
            </w:r>
            <w:r w:rsidR="009A5B8A">
              <w:rPr>
                <w:noProof/>
                <w:webHidden/>
              </w:rPr>
              <w:fldChar w:fldCharType="begin"/>
            </w:r>
            <w:r w:rsidR="009A5B8A">
              <w:rPr>
                <w:noProof/>
                <w:webHidden/>
              </w:rPr>
              <w:instrText xml:space="preserve"> PAGEREF _Toc96092102 \h </w:instrText>
            </w:r>
            <w:r w:rsidR="009A5B8A">
              <w:rPr>
                <w:noProof/>
                <w:webHidden/>
              </w:rPr>
            </w:r>
            <w:r w:rsidR="009A5B8A">
              <w:rPr>
                <w:noProof/>
                <w:webHidden/>
              </w:rPr>
              <w:fldChar w:fldCharType="separate"/>
            </w:r>
            <w:r w:rsidR="009A5B8A">
              <w:rPr>
                <w:noProof/>
                <w:webHidden/>
              </w:rPr>
              <w:t>36</w:t>
            </w:r>
            <w:r w:rsidR="009A5B8A">
              <w:rPr>
                <w:noProof/>
                <w:webHidden/>
              </w:rPr>
              <w:fldChar w:fldCharType="end"/>
            </w:r>
          </w:hyperlink>
        </w:p>
        <w:p w14:paraId="0A2E7A90" w14:textId="6D6D14E1" w:rsidR="009A5B8A" w:rsidRDefault="0071194D">
          <w:pPr>
            <w:pStyle w:val="TOC1"/>
            <w:tabs>
              <w:tab w:val="right" w:leader="dot" w:pos="9350"/>
            </w:tabs>
            <w:rPr>
              <w:rFonts w:eastAsiaTheme="minorEastAsia" w:cstheme="minorBidi"/>
              <w:b w:val="0"/>
              <w:bCs w:val="0"/>
              <w:i w:val="0"/>
              <w:iCs w:val="0"/>
              <w:noProof/>
            </w:rPr>
          </w:pPr>
          <w:hyperlink w:anchor="_Toc96092103" w:history="1">
            <w:r w:rsidR="009A5B8A" w:rsidRPr="00CF65F6">
              <w:rPr>
                <w:rStyle w:val="Hyperlink"/>
                <w:noProof/>
              </w:rPr>
              <w:t>JUSTICE FOR YOUNG VICTIM-SURVIVORS</w:t>
            </w:r>
            <w:r w:rsidR="009A5B8A">
              <w:rPr>
                <w:noProof/>
                <w:webHidden/>
              </w:rPr>
              <w:tab/>
            </w:r>
            <w:r w:rsidR="009A5B8A">
              <w:rPr>
                <w:noProof/>
                <w:webHidden/>
              </w:rPr>
              <w:fldChar w:fldCharType="begin"/>
            </w:r>
            <w:r w:rsidR="009A5B8A">
              <w:rPr>
                <w:noProof/>
                <w:webHidden/>
              </w:rPr>
              <w:instrText xml:space="preserve"> PAGEREF _Toc96092103 \h </w:instrText>
            </w:r>
            <w:r w:rsidR="009A5B8A">
              <w:rPr>
                <w:noProof/>
                <w:webHidden/>
              </w:rPr>
            </w:r>
            <w:r w:rsidR="009A5B8A">
              <w:rPr>
                <w:noProof/>
                <w:webHidden/>
              </w:rPr>
              <w:fldChar w:fldCharType="separate"/>
            </w:r>
            <w:r w:rsidR="009A5B8A">
              <w:rPr>
                <w:noProof/>
                <w:webHidden/>
              </w:rPr>
              <w:t>38</w:t>
            </w:r>
            <w:r w:rsidR="009A5B8A">
              <w:rPr>
                <w:noProof/>
                <w:webHidden/>
              </w:rPr>
              <w:fldChar w:fldCharType="end"/>
            </w:r>
          </w:hyperlink>
        </w:p>
        <w:p w14:paraId="3420A9F9" w14:textId="21D8EA20" w:rsidR="009A5B8A" w:rsidRDefault="0071194D">
          <w:pPr>
            <w:pStyle w:val="TOC2"/>
            <w:tabs>
              <w:tab w:val="right" w:leader="dot" w:pos="9350"/>
            </w:tabs>
            <w:rPr>
              <w:rFonts w:eastAsiaTheme="minorEastAsia" w:cstheme="minorBidi"/>
              <w:b w:val="0"/>
              <w:bCs w:val="0"/>
              <w:noProof/>
              <w:sz w:val="24"/>
              <w:szCs w:val="24"/>
            </w:rPr>
          </w:pPr>
          <w:hyperlink w:anchor="_Toc96092104" w:history="1">
            <w:r w:rsidR="009A5B8A" w:rsidRPr="00CF65F6">
              <w:rPr>
                <w:rStyle w:val="Hyperlink"/>
                <w:noProof/>
              </w:rPr>
              <w:t>Indigenous women and the law</w:t>
            </w:r>
            <w:r w:rsidR="009A5B8A">
              <w:rPr>
                <w:noProof/>
                <w:webHidden/>
              </w:rPr>
              <w:tab/>
            </w:r>
            <w:r w:rsidR="009A5B8A">
              <w:rPr>
                <w:noProof/>
                <w:webHidden/>
              </w:rPr>
              <w:fldChar w:fldCharType="begin"/>
            </w:r>
            <w:r w:rsidR="009A5B8A">
              <w:rPr>
                <w:noProof/>
                <w:webHidden/>
              </w:rPr>
              <w:instrText xml:space="preserve"> PAGEREF _Toc96092104 \h </w:instrText>
            </w:r>
            <w:r w:rsidR="009A5B8A">
              <w:rPr>
                <w:noProof/>
                <w:webHidden/>
              </w:rPr>
            </w:r>
            <w:r w:rsidR="009A5B8A">
              <w:rPr>
                <w:noProof/>
                <w:webHidden/>
              </w:rPr>
              <w:fldChar w:fldCharType="separate"/>
            </w:r>
            <w:r w:rsidR="009A5B8A">
              <w:rPr>
                <w:noProof/>
                <w:webHidden/>
              </w:rPr>
              <w:t>38</w:t>
            </w:r>
            <w:r w:rsidR="009A5B8A">
              <w:rPr>
                <w:noProof/>
                <w:webHidden/>
              </w:rPr>
              <w:fldChar w:fldCharType="end"/>
            </w:r>
          </w:hyperlink>
        </w:p>
        <w:p w14:paraId="6425901E" w14:textId="754E2F28" w:rsidR="009A5B8A" w:rsidRDefault="0071194D">
          <w:pPr>
            <w:pStyle w:val="TOC3"/>
            <w:tabs>
              <w:tab w:val="right" w:leader="dot" w:pos="9350"/>
            </w:tabs>
            <w:rPr>
              <w:rFonts w:eastAsiaTheme="minorEastAsia" w:cstheme="minorBidi"/>
              <w:noProof/>
              <w:sz w:val="24"/>
              <w:szCs w:val="24"/>
            </w:rPr>
          </w:pPr>
          <w:hyperlink w:anchor="_Toc96092105" w:history="1">
            <w:r w:rsidR="009A5B8A" w:rsidRPr="00CF65F6">
              <w:rPr>
                <w:rStyle w:val="Hyperlink"/>
                <w:noProof/>
              </w:rPr>
              <w:t>Insight from the Young Women’s and Non-Binary People’s Forum</w:t>
            </w:r>
            <w:r w:rsidR="009A5B8A">
              <w:rPr>
                <w:noProof/>
                <w:webHidden/>
              </w:rPr>
              <w:tab/>
            </w:r>
            <w:r w:rsidR="009A5B8A">
              <w:rPr>
                <w:noProof/>
                <w:webHidden/>
              </w:rPr>
              <w:fldChar w:fldCharType="begin"/>
            </w:r>
            <w:r w:rsidR="009A5B8A">
              <w:rPr>
                <w:noProof/>
                <w:webHidden/>
              </w:rPr>
              <w:instrText xml:space="preserve"> PAGEREF _Toc96092105 \h </w:instrText>
            </w:r>
            <w:r w:rsidR="009A5B8A">
              <w:rPr>
                <w:noProof/>
                <w:webHidden/>
              </w:rPr>
            </w:r>
            <w:r w:rsidR="009A5B8A">
              <w:rPr>
                <w:noProof/>
                <w:webHidden/>
              </w:rPr>
              <w:fldChar w:fldCharType="separate"/>
            </w:r>
            <w:r w:rsidR="009A5B8A">
              <w:rPr>
                <w:noProof/>
                <w:webHidden/>
              </w:rPr>
              <w:t>38</w:t>
            </w:r>
            <w:r w:rsidR="009A5B8A">
              <w:rPr>
                <w:noProof/>
                <w:webHidden/>
              </w:rPr>
              <w:fldChar w:fldCharType="end"/>
            </w:r>
          </w:hyperlink>
        </w:p>
        <w:p w14:paraId="1016C6DD" w14:textId="453493B2" w:rsidR="009A5B8A" w:rsidRDefault="0071194D">
          <w:pPr>
            <w:pStyle w:val="TOC2"/>
            <w:tabs>
              <w:tab w:val="right" w:leader="dot" w:pos="9350"/>
            </w:tabs>
            <w:rPr>
              <w:rFonts w:eastAsiaTheme="minorEastAsia" w:cstheme="minorBidi"/>
              <w:b w:val="0"/>
              <w:bCs w:val="0"/>
              <w:noProof/>
              <w:sz w:val="24"/>
              <w:szCs w:val="24"/>
            </w:rPr>
          </w:pPr>
          <w:hyperlink w:anchor="_Toc96092106" w:history="1">
            <w:r w:rsidR="009A5B8A" w:rsidRPr="00CF65F6">
              <w:rPr>
                <w:rStyle w:val="Hyperlink"/>
                <w:noProof/>
              </w:rPr>
              <w:t>What does ‘justice’ look like for young victim-survivors?</w:t>
            </w:r>
            <w:r w:rsidR="009A5B8A">
              <w:rPr>
                <w:noProof/>
                <w:webHidden/>
              </w:rPr>
              <w:tab/>
            </w:r>
            <w:r w:rsidR="009A5B8A">
              <w:rPr>
                <w:noProof/>
                <w:webHidden/>
              </w:rPr>
              <w:fldChar w:fldCharType="begin"/>
            </w:r>
            <w:r w:rsidR="009A5B8A">
              <w:rPr>
                <w:noProof/>
                <w:webHidden/>
              </w:rPr>
              <w:instrText xml:space="preserve"> PAGEREF _Toc96092106 \h </w:instrText>
            </w:r>
            <w:r w:rsidR="009A5B8A">
              <w:rPr>
                <w:noProof/>
                <w:webHidden/>
              </w:rPr>
            </w:r>
            <w:r w:rsidR="009A5B8A">
              <w:rPr>
                <w:noProof/>
                <w:webHidden/>
              </w:rPr>
              <w:fldChar w:fldCharType="separate"/>
            </w:r>
            <w:r w:rsidR="009A5B8A">
              <w:rPr>
                <w:noProof/>
                <w:webHidden/>
              </w:rPr>
              <w:t>39</w:t>
            </w:r>
            <w:r w:rsidR="009A5B8A">
              <w:rPr>
                <w:noProof/>
                <w:webHidden/>
              </w:rPr>
              <w:fldChar w:fldCharType="end"/>
            </w:r>
          </w:hyperlink>
        </w:p>
        <w:p w14:paraId="54D7B858" w14:textId="60B3CE7E" w:rsidR="009A5B8A" w:rsidRDefault="0071194D">
          <w:pPr>
            <w:pStyle w:val="TOC3"/>
            <w:tabs>
              <w:tab w:val="right" w:leader="dot" w:pos="9350"/>
            </w:tabs>
            <w:rPr>
              <w:rFonts w:eastAsiaTheme="minorEastAsia" w:cstheme="minorBidi"/>
              <w:noProof/>
              <w:sz w:val="24"/>
              <w:szCs w:val="24"/>
            </w:rPr>
          </w:pPr>
          <w:hyperlink w:anchor="_Toc96092107" w:history="1">
            <w:r w:rsidR="009A5B8A" w:rsidRPr="00CF65F6">
              <w:rPr>
                <w:rStyle w:val="Hyperlink"/>
                <w:noProof/>
              </w:rPr>
              <w:t>Safety and perpetrator accountability</w:t>
            </w:r>
            <w:r w:rsidR="009A5B8A">
              <w:rPr>
                <w:noProof/>
                <w:webHidden/>
              </w:rPr>
              <w:tab/>
            </w:r>
            <w:r w:rsidR="009A5B8A">
              <w:rPr>
                <w:noProof/>
                <w:webHidden/>
              </w:rPr>
              <w:fldChar w:fldCharType="begin"/>
            </w:r>
            <w:r w:rsidR="009A5B8A">
              <w:rPr>
                <w:noProof/>
                <w:webHidden/>
              </w:rPr>
              <w:instrText xml:space="preserve"> PAGEREF _Toc96092107 \h </w:instrText>
            </w:r>
            <w:r w:rsidR="009A5B8A">
              <w:rPr>
                <w:noProof/>
                <w:webHidden/>
              </w:rPr>
            </w:r>
            <w:r w:rsidR="009A5B8A">
              <w:rPr>
                <w:noProof/>
                <w:webHidden/>
              </w:rPr>
              <w:fldChar w:fldCharType="separate"/>
            </w:r>
            <w:r w:rsidR="009A5B8A">
              <w:rPr>
                <w:noProof/>
                <w:webHidden/>
              </w:rPr>
              <w:t>39</w:t>
            </w:r>
            <w:r w:rsidR="009A5B8A">
              <w:rPr>
                <w:noProof/>
                <w:webHidden/>
              </w:rPr>
              <w:fldChar w:fldCharType="end"/>
            </w:r>
          </w:hyperlink>
        </w:p>
        <w:p w14:paraId="72C7DA50" w14:textId="15426886" w:rsidR="009A5B8A" w:rsidRDefault="0071194D">
          <w:pPr>
            <w:pStyle w:val="TOC3"/>
            <w:tabs>
              <w:tab w:val="right" w:leader="dot" w:pos="9350"/>
            </w:tabs>
            <w:rPr>
              <w:rFonts w:eastAsiaTheme="minorEastAsia" w:cstheme="minorBidi"/>
              <w:noProof/>
              <w:sz w:val="24"/>
              <w:szCs w:val="24"/>
            </w:rPr>
          </w:pPr>
          <w:hyperlink w:anchor="_Toc96092108" w:history="1">
            <w:r w:rsidR="009A5B8A" w:rsidRPr="00CF65F6">
              <w:rPr>
                <w:rStyle w:val="Hyperlink"/>
                <w:noProof/>
              </w:rPr>
              <w:t>Restorative and transformative justice responses</w:t>
            </w:r>
            <w:r w:rsidR="009A5B8A">
              <w:rPr>
                <w:noProof/>
                <w:webHidden/>
              </w:rPr>
              <w:tab/>
            </w:r>
            <w:r w:rsidR="009A5B8A">
              <w:rPr>
                <w:noProof/>
                <w:webHidden/>
              </w:rPr>
              <w:fldChar w:fldCharType="begin"/>
            </w:r>
            <w:r w:rsidR="009A5B8A">
              <w:rPr>
                <w:noProof/>
                <w:webHidden/>
              </w:rPr>
              <w:instrText xml:space="preserve"> PAGEREF _Toc96092108 \h </w:instrText>
            </w:r>
            <w:r w:rsidR="009A5B8A">
              <w:rPr>
                <w:noProof/>
                <w:webHidden/>
              </w:rPr>
            </w:r>
            <w:r w:rsidR="009A5B8A">
              <w:rPr>
                <w:noProof/>
                <w:webHidden/>
              </w:rPr>
              <w:fldChar w:fldCharType="separate"/>
            </w:r>
            <w:r w:rsidR="009A5B8A">
              <w:rPr>
                <w:noProof/>
                <w:webHidden/>
              </w:rPr>
              <w:t>40</w:t>
            </w:r>
            <w:r w:rsidR="009A5B8A">
              <w:rPr>
                <w:noProof/>
                <w:webHidden/>
              </w:rPr>
              <w:fldChar w:fldCharType="end"/>
            </w:r>
          </w:hyperlink>
        </w:p>
        <w:p w14:paraId="780F20CD" w14:textId="7FDFBB2F" w:rsidR="009A5B8A" w:rsidRDefault="0071194D">
          <w:pPr>
            <w:pStyle w:val="TOC3"/>
            <w:tabs>
              <w:tab w:val="right" w:leader="dot" w:pos="9350"/>
            </w:tabs>
            <w:rPr>
              <w:rFonts w:eastAsiaTheme="minorEastAsia" w:cstheme="minorBidi"/>
              <w:noProof/>
              <w:sz w:val="24"/>
              <w:szCs w:val="24"/>
            </w:rPr>
          </w:pPr>
          <w:hyperlink w:anchor="_Toc96092109" w:history="1">
            <w:r w:rsidR="009A5B8A" w:rsidRPr="00CF65F6">
              <w:rPr>
                <w:rStyle w:val="Hyperlink"/>
                <w:noProof/>
              </w:rPr>
              <w:t>Financial compensation</w:t>
            </w:r>
            <w:r w:rsidR="009A5B8A">
              <w:rPr>
                <w:noProof/>
                <w:webHidden/>
              </w:rPr>
              <w:tab/>
            </w:r>
            <w:r w:rsidR="009A5B8A">
              <w:rPr>
                <w:noProof/>
                <w:webHidden/>
              </w:rPr>
              <w:fldChar w:fldCharType="begin"/>
            </w:r>
            <w:r w:rsidR="009A5B8A">
              <w:rPr>
                <w:noProof/>
                <w:webHidden/>
              </w:rPr>
              <w:instrText xml:space="preserve"> PAGEREF _Toc96092109 \h </w:instrText>
            </w:r>
            <w:r w:rsidR="009A5B8A">
              <w:rPr>
                <w:noProof/>
                <w:webHidden/>
              </w:rPr>
            </w:r>
            <w:r w:rsidR="009A5B8A">
              <w:rPr>
                <w:noProof/>
                <w:webHidden/>
              </w:rPr>
              <w:fldChar w:fldCharType="separate"/>
            </w:r>
            <w:r w:rsidR="009A5B8A">
              <w:rPr>
                <w:noProof/>
                <w:webHidden/>
              </w:rPr>
              <w:t>41</w:t>
            </w:r>
            <w:r w:rsidR="009A5B8A">
              <w:rPr>
                <w:noProof/>
                <w:webHidden/>
              </w:rPr>
              <w:fldChar w:fldCharType="end"/>
            </w:r>
          </w:hyperlink>
        </w:p>
        <w:p w14:paraId="776A4E7B" w14:textId="63A8DA5F" w:rsidR="009A5B8A" w:rsidRDefault="0071194D">
          <w:pPr>
            <w:pStyle w:val="TOC1"/>
            <w:tabs>
              <w:tab w:val="right" w:leader="dot" w:pos="9350"/>
            </w:tabs>
            <w:rPr>
              <w:rFonts w:eastAsiaTheme="minorEastAsia" w:cstheme="minorBidi"/>
              <w:b w:val="0"/>
              <w:bCs w:val="0"/>
              <w:i w:val="0"/>
              <w:iCs w:val="0"/>
              <w:noProof/>
            </w:rPr>
          </w:pPr>
          <w:hyperlink w:anchor="_Toc96092110" w:history="1">
            <w:r w:rsidR="009A5B8A" w:rsidRPr="00CF65F6">
              <w:rPr>
                <w:rStyle w:val="Hyperlink"/>
                <w:noProof/>
              </w:rPr>
              <w:t>Appendix A: Methodology</w:t>
            </w:r>
            <w:r w:rsidR="009A5B8A">
              <w:rPr>
                <w:noProof/>
                <w:webHidden/>
              </w:rPr>
              <w:tab/>
            </w:r>
            <w:r w:rsidR="009A5B8A">
              <w:rPr>
                <w:noProof/>
                <w:webHidden/>
              </w:rPr>
              <w:fldChar w:fldCharType="begin"/>
            </w:r>
            <w:r w:rsidR="009A5B8A">
              <w:rPr>
                <w:noProof/>
                <w:webHidden/>
              </w:rPr>
              <w:instrText xml:space="preserve"> PAGEREF _Toc96092110 \h </w:instrText>
            </w:r>
            <w:r w:rsidR="009A5B8A">
              <w:rPr>
                <w:noProof/>
                <w:webHidden/>
              </w:rPr>
            </w:r>
            <w:r w:rsidR="009A5B8A">
              <w:rPr>
                <w:noProof/>
                <w:webHidden/>
              </w:rPr>
              <w:fldChar w:fldCharType="separate"/>
            </w:r>
            <w:r w:rsidR="009A5B8A">
              <w:rPr>
                <w:noProof/>
                <w:webHidden/>
              </w:rPr>
              <w:t>43</w:t>
            </w:r>
            <w:r w:rsidR="009A5B8A">
              <w:rPr>
                <w:noProof/>
                <w:webHidden/>
              </w:rPr>
              <w:fldChar w:fldCharType="end"/>
            </w:r>
          </w:hyperlink>
        </w:p>
        <w:p w14:paraId="4451C82F" w14:textId="16827780" w:rsidR="009A5B8A" w:rsidRDefault="0071194D">
          <w:pPr>
            <w:pStyle w:val="TOC2"/>
            <w:tabs>
              <w:tab w:val="right" w:leader="dot" w:pos="9350"/>
            </w:tabs>
            <w:rPr>
              <w:rFonts w:eastAsiaTheme="minorEastAsia" w:cstheme="minorBidi"/>
              <w:b w:val="0"/>
              <w:bCs w:val="0"/>
              <w:noProof/>
              <w:sz w:val="24"/>
              <w:szCs w:val="24"/>
            </w:rPr>
          </w:pPr>
          <w:hyperlink w:anchor="_Toc96092111" w:history="1">
            <w:r w:rsidR="009A5B8A" w:rsidRPr="00CF65F6">
              <w:rPr>
                <w:rStyle w:val="Hyperlink"/>
                <w:noProof/>
              </w:rPr>
              <w:t>The Online Survey</w:t>
            </w:r>
            <w:r w:rsidR="009A5B8A">
              <w:rPr>
                <w:noProof/>
                <w:webHidden/>
              </w:rPr>
              <w:tab/>
            </w:r>
            <w:r w:rsidR="009A5B8A">
              <w:rPr>
                <w:noProof/>
                <w:webHidden/>
              </w:rPr>
              <w:fldChar w:fldCharType="begin"/>
            </w:r>
            <w:r w:rsidR="009A5B8A">
              <w:rPr>
                <w:noProof/>
                <w:webHidden/>
              </w:rPr>
              <w:instrText xml:space="preserve"> PAGEREF _Toc96092111 \h </w:instrText>
            </w:r>
            <w:r w:rsidR="009A5B8A">
              <w:rPr>
                <w:noProof/>
                <w:webHidden/>
              </w:rPr>
            </w:r>
            <w:r w:rsidR="009A5B8A">
              <w:rPr>
                <w:noProof/>
                <w:webHidden/>
              </w:rPr>
              <w:fldChar w:fldCharType="separate"/>
            </w:r>
            <w:r w:rsidR="009A5B8A">
              <w:rPr>
                <w:noProof/>
                <w:webHidden/>
              </w:rPr>
              <w:t>43</w:t>
            </w:r>
            <w:r w:rsidR="009A5B8A">
              <w:rPr>
                <w:noProof/>
                <w:webHidden/>
              </w:rPr>
              <w:fldChar w:fldCharType="end"/>
            </w:r>
          </w:hyperlink>
        </w:p>
        <w:p w14:paraId="10798486" w14:textId="4423FA82" w:rsidR="009A5B8A" w:rsidRDefault="0071194D">
          <w:pPr>
            <w:pStyle w:val="TOC2"/>
            <w:tabs>
              <w:tab w:val="right" w:leader="dot" w:pos="9350"/>
            </w:tabs>
            <w:rPr>
              <w:rFonts w:eastAsiaTheme="minorEastAsia" w:cstheme="minorBidi"/>
              <w:b w:val="0"/>
              <w:bCs w:val="0"/>
              <w:noProof/>
              <w:sz w:val="24"/>
              <w:szCs w:val="24"/>
            </w:rPr>
          </w:pPr>
          <w:hyperlink w:anchor="_Toc96092112" w:history="1">
            <w:r w:rsidR="009A5B8A" w:rsidRPr="00CF65F6">
              <w:rPr>
                <w:rStyle w:val="Hyperlink"/>
                <w:noProof/>
              </w:rPr>
              <w:t>The Virtual Forum</w:t>
            </w:r>
            <w:r w:rsidR="009A5B8A">
              <w:rPr>
                <w:noProof/>
                <w:webHidden/>
              </w:rPr>
              <w:tab/>
            </w:r>
            <w:r w:rsidR="009A5B8A">
              <w:rPr>
                <w:noProof/>
                <w:webHidden/>
              </w:rPr>
              <w:fldChar w:fldCharType="begin"/>
            </w:r>
            <w:r w:rsidR="009A5B8A">
              <w:rPr>
                <w:noProof/>
                <w:webHidden/>
              </w:rPr>
              <w:instrText xml:space="preserve"> PAGEREF _Toc96092112 \h </w:instrText>
            </w:r>
            <w:r w:rsidR="009A5B8A">
              <w:rPr>
                <w:noProof/>
                <w:webHidden/>
              </w:rPr>
            </w:r>
            <w:r w:rsidR="009A5B8A">
              <w:rPr>
                <w:noProof/>
                <w:webHidden/>
              </w:rPr>
              <w:fldChar w:fldCharType="separate"/>
            </w:r>
            <w:r w:rsidR="009A5B8A">
              <w:rPr>
                <w:noProof/>
                <w:webHidden/>
              </w:rPr>
              <w:t>43</w:t>
            </w:r>
            <w:r w:rsidR="009A5B8A">
              <w:rPr>
                <w:noProof/>
                <w:webHidden/>
              </w:rPr>
              <w:fldChar w:fldCharType="end"/>
            </w:r>
          </w:hyperlink>
        </w:p>
        <w:p w14:paraId="20DDCD2B" w14:textId="31826450" w:rsidR="009A5B8A" w:rsidRDefault="0071194D">
          <w:pPr>
            <w:pStyle w:val="TOC1"/>
            <w:tabs>
              <w:tab w:val="right" w:leader="dot" w:pos="9350"/>
            </w:tabs>
            <w:rPr>
              <w:rFonts w:eastAsiaTheme="minorEastAsia" w:cstheme="minorBidi"/>
              <w:b w:val="0"/>
              <w:bCs w:val="0"/>
              <w:i w:val="0"/>
              <w:iCs w:val="0"/>
              <w:noProof/>
            </w:rPr>
          </w:pPr>
          <w:hyperlink w:anchor="_Toc96092113" w:history="1">
            <w:r w:rsidR="009A5B8A" w:rsidRPr="00CF65F6">
              <w:rPr>
                <w:rStyle w:val="Hyperlink"/>
                <w:noProof/>
              </w:rPr>
              <w:t>Appendix B: Forum’s Graphic Recordings</w:t>
            </w:r>
            <w:r w:rsidR="009A5B8A">
              <w:rPr>
                <w:noProof/>
                <w:webHidden/>
              </w:rPr>
              <w:tab/>
            </w:r>
            <w:r w:rsidR="009A5B8A">
              <w:rPr>
                <w:noProof/>
                <w:webHidden/>
              </w:rPr>
              <w:fldChar w:fldCharType="begin"/>
            </w:r>
            <w:r w:rsidR="009A5B8A">
              <w:rPr>
                <w:noProof/>
                <w:webHidden/>
              </w:rPr>
              <w:instrText xml:space="preserve"> PAGEREF _Toc96092113 \h </w:instrText>
            </w:r>
            <w:r w:rsidR="009A5B8A">
              <w:rPr>
                <w:noProof/>
                <w:webHidden/>
              </w:rPr>
            </w:r>
            <w:r w:rsidR="009A5B8A">
              <w:rPr>
                <w:noProof/>
                <w:webHidden/>
              </w:rPr>
              <w:fldChar w:fldCharType="separate"/>
            </w:r>
            <w:r w:rsidR="009A5B8A">
              <w:rPr>
                <w:noProof/>
                <w:webHidden/>
              </w:rPr>
              <w:t>45</w:t>
            </w:r>
            <w:r w:rsidR="009A5B8A">
              <w:rPr>
                <w:noProof/>
                <w:webHidden/>
              </w:rPr>
              <w:fldChar w:fldCharType="end"/>
            </w:r>
          </w:hyperlink>
        </w:p>
        <w:p w14:paraId="78149ED8" w14:textId="786C083A" w:rsidR="009A5B8A" w:rsidRDefault="0071194D">
          <w:pPr>
            <w:pStyle w:val="TOC1"/>
            <w:tabs>
              <w:tab w:val="right" w:leader="dot" w:pos="9350"/>
            </w:tabs>
            <w:rPr>
              <w:rFonts w:eastAsiaTheme="minorEastAsia" w:cstheme="minorBidi"/>
              <w:b w:val="0"/>
              <w:bCs w:val="0"/>
              <w:i w:val="0"/>
              <w:iCs w:val="0"/>
              <w:noProof/>
            </w:rPr>
          </w:pPr>
          <w:hyperlink w:anchor="_Toc96092114" w:history="1">
            <w:r w:rsidR="009A5B8A" w:rsidRPr="00CF65F6">
              <w:rPr>
                <w:rStyle w:val="Hyperlink"/>
                <w:noProof/>
              </w:rPr>
              <w:t>REFERENCES</w:t>
            </w:r>
            <w:r w:rsidR="009A5B8A">
              <w:rPr>
                <w:noProof/>
                <w:webHidden/>
              </w:rPr>
              <w:tab/>
            </w:r>
            <w:r w:rsidR="009A5B8A">
              <w:rPr>
                <w:noProof/>
                <w:webHidden/>
              </w:rPr>
              <w:fldChar w:fldCharType="begin"/>
            </w:r>
            <w:r w:rsidR="009A5B8A">
              <w:rPr>
                <w:noProof/>
                <w:webHidden/>
              </w:rPr>
              <w:instrText xml:space="preserve"> PAGEREF _Toc96092114 \h </w:instrText>
            </w:r>
            <w:r w:rsidR="009A5B8A">
              <w:rPr>
                <w:noProof/>
                <w:webHidden/>
              </w:rPr>
            </w:r>
            <w:r w:rsidR="009A5B8A">
              <w:rPr>
                <w:noProof/>
                <w:webHidden/>
              </w:rPr>
              <w:fldChar w:fldCharType="separate"/>
            </w:r>
            <w:r w:rsidR="009A5B8A">
              <w:rPr>
                <w:noProof/>
                <w:webHidden/>
              </w:rPr>
              <w:t>46</w:t>
            </w:r>
            <w:r w:rsidR="009A5B8A">
              <w:rPr>
                <w:noProof/>
                <w:webHidden/>
              </w:rPr>
              <w:fldChar w:fldCharType="end"/>
            </w:r>
          </w:hyperlink>
        </w:p>
        <w:p w14:paraId="338D9643" w14:textId="59CA6639" w:rsidR="004C1865" w:rsidRDefault="009A5B8A" w:rsidP="004C1865">
          <w:r>
            <w:rPr>
              <w:rFonts w:cstheme="minorHAnsi"/>
              <w:i/>
              <w:iCs/>
              <w:sz w:val="24"/>
              <w:szCs w:val="24"/>
            </w:rPr>
            <w:fldChar w:fldCharType="end"/>
          </w:r>
        </w:p>
      </w:sdtContent>
    </w:sdt>
    <w:bookmarkStart w:id="30" w:name="_Toc96091337" w:displacedByCustomXml="prev"/>
    <w:bookmarkStart w:id="31" w:name="_Toc96091485" w:displacedByCustomXml="prev"/>
    <w:bookmarkStart w:id="32" w:name="_Toc96092055" w:displacedByCustomXml="prev"/>
    <w:p w14:paraId="35DDE9CB" w14:textId="75540696" w:rsidR="004C1865" w:rsidRPr="004C1865" w:rsidRDefault="003150C1" w:rsidP="004C1865">
      <w:pPr>
        <w:pStyle w:val="Heading1"/>
      </w:pPr>
      <w:r w:rsidRPr="00CE2F22">
        <w:t>Table of Tables</w:t>
      </w:r>
      <w:bookmarkEnd w:id="32"/>
      <w:bookmarkEnd w:id="31"/>
      <w:bookmarkEnd w:id="30"/>
    </w:p>
    <w:tbl>
      <w:tblPr>
        <w:tblStyle w:val="PlainTable4"/>
        <w:tblW w:w="0" w:type="auto"/>
        <w:tblLook w:val="04A0" w:firstRow="1" w:lastRow="0" w:firstColumn="1" w:lastColumn="0" w:noHBand="0" w:noVBand="1"/>
      </w:tblPr>
      <w:tblGrid>
        <w:gridCol w:w="8688"/>
        <w:gridCol w:w="672"/>
      </w:tblGrid>
      <w:tr w:rsidR="004C1865" w:rsidRPr="004C1865" w14:paraId="340CBE05" w14:textId="77777777" w:rsidTr="004C18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tcPr>
          <w:p w14:paraId="2F02E3F3" w14:textId="1B9F5333" w:rsidR="004C1865" w:rsidRPr="004C1865" w:rsidRDefault="004C1865" w:rsidP="004C1865">
            <w:pPr>
              <w:rPr>
                <w:rFonts w:ascii="Open Sans" w:hAnsi="Open Sans" w:cs="Open Sans"/>
              </w:rPr>
            </w:pPr>
            <w:r w:rsidRPr="004C1865">
              <w:rPr>
                <w:rFonts w:ascii="Open Sans" w:hAnsi="Open Sans" w:cs="Open Sans"/>
              </w:rPr>
              <w:t>Table 1.1: Personal characteristics of respondents</w:t>
            </w:r>
          </w:p>
        </w:tc>
        <w:tc>
          <w:tcPr>
            <w:tcW w:w="679" w:type="dxa"/>
          </w:tcPr>
          <w:p w14:paraId="1CEFBC05" w14:textId="14D82580" w:rsidR="004C1865" w:rsidRPr="004C1865" w:rsidRDefault="004C1865" w:rsidP="004C1865">
            <w:pPr>
              <w:cnfStyle w:val="100000000000" w:firstRow="1" w:lastRow="0" w:firstColumn="0" w:lastColumn="0" w:oddVBand="0" w:evenVBand="0" w:oddHBand="0" w:evenHBand="0" w:firstRowFirstColumn="0" w:firstRowLastColumn="0" w:lastRowFirstColumn="0" w:lastRowLastColumn="0"/>
              <w:rPr>
                <w:rFonts w:ascii="Open Sans" w:hAnsi="Open Sans" w:cs="Open Sans"/>
              </w:rPr>
            </w:pPr>
            <w:r w:rsidRPr="004C1865">
              <w:rPr>
                <w:rFonts w:ascii="Open Sans" w:hAnsi="Open Sans" w:cs="Open Sans"/>
              </w:rPr>
              <w:t>4</w:t>
            </w:r>
          </w:p>
        </w:tc>
      </w:tr>
      <w:tr w:rsidR="004C1865" w:rsidRPr="004C1865" w14:paraId="469F3C9E" w14:textId="77777777" w:rsidTr="004C18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tcPr>
          <w:p w14:paraId="67E2941D" w14:textId="35334BC7" w:rsidR="004C1865" w:rsidRPr="004C1865" w:rsidRDefault="004C1865" w:rsidP="004C1865">
            <w:pPr>
              <w:rPr>
                <w:rFonts w:ascii="Open Sans" w:hAnsi="Open Sans" w:cs="Open Sans"/>
              </w:rPr>
            </w:pPr>
            <w:r w:rsidRPr="004C1865">
              <w:rPr>
                <w:rFonts w:ascii="Open Sans" w:hAnsi="Open Sans" w:cs="Open Sans"/>
              </w:rPr>
              <w:t>Table 1.2: Survey respondents by State or Territory</w:t>
            </w:r>
          </w:p>
        </w:tc>
        <w:tc>
          <w:tcPr>
            <w:tcW w:w="679" w:type="dxa"/>
          </w:tcPr>
          <w:p w14:paraId="7A59159E" w14:textId="43235839" w:rsidR="004C1865" w:rsidRPr="004C1865" w:rsidRDefault="004C1865" w:rsidP="004C1865">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4C1865">
              <w:rPr>
                <w:rFonts w:ascii="Open Sans" w:hAnsi="Open Sans" w:cs="Open Sans"/>
              </w:rPr>
              <w:t>5</w:t>
            </w:r>
          </w:p>
        </w:tc>
      </w:tr>
      <w:tr w:rsidR="004C1865" w:rsidRPr="004C1865" w14:paraId="045B4DD7" w14:textId="77777777" w:rsidTr="004C1865">
        <w:tc>
          <w:tcPr>
            <w:cnfStyle w:val="001000000000" w:firstRow="0" w:lastRow="0" w:firstColumn="1" w:lastColumn="0" w:oddVBand="0" w:evenVBand="0" w:oddHBand="0" w:evenHBand="0" w:firstRowFirstColumn="0" w:firstRowLastColumn="0" w:lastRowFirstColumn="0" w:lastRowLastColumn="0"/>
            <w:tcW w:w="8897" w:type="dxa"/>
          </w:tcPr>
          <w:p w14:paraId="65E55ABA" w14:textId="63CB768B" w:rsidR="004C1865" w:rsidRPr="004C1865" w:rsidRDefault="004C1865" w:rsidP="004C1865">
            <w:pPr>
              <w:rPr>
                <w:rFonts w:ascii="Open Sans" w:hAnsi="Open Sans" w:cs="Open Sans"/>
              </w:rPr>
            </w:pPr>
            <w:r w:rsidRPr="004C1865">
              <w:rPr>
                <w:rFonts w:ascii="Open Sans" w:hAnsi="Open Sans" w:cs="Open Sans"/>
              </w:rPr>
              <w:t>Table 1.3: Remoteness of survey respondents</w:t>
            </w:r>
          </w:p>
        </w:tc>
        <w:tc>
          <w:tcPr>
            <w:tcW w:w="679" w:type="dxa"/>
          </w:tcPr>
          <w:p w14:paraId="2AD68FE7" w14:textId="3DFC4971" w:rsidR="004C1865" w:rsidRPr="004C1865" w:rsidRDefault="004C1865" w:rsidP="004C1865">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4C1865">
              <w:rPr>
                <w:rFonts w:ascii="Open Sans" w:hAnsi="Open Sans" w:cs="Open Sans"/>
              </w:rPr>
              <w:t>5</w:t>
            </w:r>
          </w:p>
        </w:tc>
      </w:tr>
      <w:tr w:rsidR="004C1865" w:rsidRPr="004C1865" w14:paraId="7432F31E" w14:textId="77777777" w:rsidTr="004C18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tcPr>
          <w:p w14:paraId="3DC5D812" w14:textId="15A21BE5" w:rsidR="004C1865" w:rsidRPr="004C1865" w:rsidRDefault="004C1865" w:rsidP="004C1865">
            <w:pPr>
              <w:rPr>
                <w:rFonts w:ascii="Open Sans" w:hAnsi="Open Sans" w:cs="Open Sans"/>
              </w:rPr>
            </w:pPr>
            <w:r w:rsidRPr="004C1865">
              <w:rPr>
                <w:rFonts w:ascii="Open Sans" w:hAnsi="Open Sans" w:cs="Open Sans"/>
              </w:rPr>
              <w:lastRenderedPageBreak/>
              <w:t>Table 1.4: Living arrangements</w:t>
            </w:r>
          </w:p>
        </w:tc>
        <w:tc>
          <w:tcPr>
            <w:tcW w:w="679" w:type="dxa"/>
          </w:tcPr>
          <w:p w14:paraId="69FEEF65" w14:textId="129A3983" w:rsidR="004C1865" w:rsidRPr="004C1865" w:rsidRDefault="004C1865" w:rsidP="004C1865">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4C1865">
              <w:rPr>
                <w:rFonts w:ascii="Open Sans" w:hAnsi="Open Sans" w:cs="Open Sans"/>
              </w:rPr>
              <w:t>6</w:t>
            </w:r>
          </w:p>
        </w:tc>
      </w:tr>
      <w:tr w:rsidR="004C1865" w:rsidRPr="004C1865" w14:paraId="59013971" w14:textId="77777777" w:rsidTr="004C1865">
        <w:tc>
          <w:tcPr>
            <w:cnfStyle w:val="001000000000" w:firstRow="0" w:lastRow="0" w:firstColumn="1" w:lastColumn="0" w:oddVBand="0" w:evenVBand="0" w:oddHBand="0" w:evenHBand="0" w:firstRowFirstColumn="0" w:firstRowLastColumn="0" w:lastRowFirstColumn="0" w:lastRowLastColumn="0"/>
            <w:tcW w:w="8897" w:type="dxa"/>
          </w:tcPr>
          <w:p w14:paraId="61A5C8A6" w14:textId="44B89C6A" w:rsidR="004C1865" w:rsidRPr="004C1865" w:rsidRDefault="004C1865" w:rsidP="004C1865">
            <w:pPr>
              <w:rPr>
                <w:rFonts w:ascii="Open Sans" w:hAnsi="Open Sans" w:cs="Open Sans"/>
              </w:rPr>
            </w:pPr>
            <w:r w:rsidRPr="004C1865">
              <w:rPr>
                <w:rFonts w:ascii="Open Sans" w:hAnsi="Open Sans" w:cs="Open Sans"/>
              </w:rPr>
              <w:t>Table 1.5: Average annual income</w:t>
            </w:r>
          </w:p>
        </w:tc>
        <w:tc>
          <w:tcPr>
            <w:tcW w:w="679" w:type="dxa"/>
          </w:tcPr>
          <w:p w14:paraId="300F60CC" w14:textId="419D18AD" w:rsidR="004C1865" w:rsidRPr="004C1865" w:rsidRDefault="004C1865" w:rsidP="004C1865">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4C1865">
              <w:rPr>
                <w:rFonts w:ascii="Open Sans" w:hAnsi="Open Sans" w:cs="Open Sans"/>
              </w:rPr>
              <w:t>6</w:t>
            </w:r>
          </w:p>
        </w:tc>
      </w:tr>
      <w:tr w:rsidR="004C1865" w:rsidRPr="004C1865" w14:paraId="65312D43" w14:textId="77777777" w:rsidTr="004C18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tcPr>
          <w:p w14:paraId="1F057AE5" w14:textId="5C8B3043" w:rsidR="004C1865" w:rsidRPr="004C1865" w:rsidRDefault="004C1865" w:rsidP="004C1865">
            <w:pPr>
              <w:rPr>
                <w:rFonts w:ascii="Open Sans" w:hAnsi="Open Sans" w:cs="Open Sans"/>
              </w:rPr>
            </w:pPr>
            <w:r w:rsidRPr="004C1865">
              <w:rPr>
                <w:rFonts w:ascii="Open Sans" w:hAnsi="Open Sans" w:cs="Open Sans"/>
              </w:rPr>
              <w:t>Table 1.6: Number of children</w:t>
            </w:r>
          </w:p>
        </w:tc>
        <w:tc>
          <w:tcPr>
            <w:tcW w:w="679" w:type="dxa"/>
          </w:tcPr>
          <w:p w14:paraId="30486AAD" w14:textId="42C886A1" w:rsidR="004C1865" w:rsidRPr="004C1865" w:rsidRDefault="004C1865" w:rsidP="004C1865">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4C1865">
              <w:rPr>
                <w:rFonts w:ascii="Open Sans" w:hAnsi="Open Sans" w:cs="Open Sans"/>
              </w:rPr>
              <w:t>7</w:t>
            </w:r>
          </w:p>
        </w:tc>
      </w:tr>
      <w:tr w:rsidR="004C1865" w:rsidRPr="004C1865" w14:paraId="42E27CD3" w14:textId="77777777" w:rsidTr="004C1865">
        <w:tc>
          <w:tcPr>
            <w:cnfStyle w:val="001000000000" w:firstRow="0" w:lastRow="0" w:firstColumn="1" w:lastColumn="0" w:oddVBand="0" w:evenVBand="0" w:oddHBand="0" w:evenHBand="0" w:firstRowFirstColumn="0" w:firstRowLastColumn="0" w:lastRowFirstColumn="0" w:lastRowLastColumn="0"/>
            <w:tcW w:w="8897" w:type="dxa"/>
          </w:tcPr>
          <w:p w14:paraId="2AA248F2" w14:textId="15202CF0" w:rsidR="004C1865" w:rsidRPr="004C1865" w:rsidRDefault="004C1865" w:rsidP="004C1865">
            <w:pPr>
              <w:rPr>
                <w:rFonts w:ascii="Open Sans" w:hAnsi="Open Sans" w:cs="Open Sans"/>
              </w:rPr>
            </w:pPr>
            <w:r w:rsidRPr="004C1865">
              <w:rPr>
                <w:rFonts w:ascii="Open Sans" w:hAnsi="Open Sans" w:cs="Open Sans"/>
              </w:rPr>
              <w:t>Table 1.7: Employment status</w:t>
            </w:r>
          </w:p>
        </w:tc>
        <w:tc>
          <w:tcPr>
            <w:tcW w:w="679" w:type="dxa"/>
          </w:tcPr>
          <w:p w14:paraId="2ED52B14" w14:textId="21E1A9E7" w:rsidR="004C1865" w:rsidRPr="004C1865" w:rsidRDefault="004C1865" w:rsidP="004C1865">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4C1865">
              <w:rPr>
                <w:rFonts w:ascii="Open Sans" w:hAnsi="Open Sans" w:cs="Open Sans"/>
              </w:rPr>
              <w:t>7</w:t>
            </w:r>
          </w:p>
        </w:tc>
      </w:tr>
      <w:tr w:rsidR="004C1865" w:rsidRPr="004C1865" w14:paraId="247768E7" w14:textId="77777777" w:rsidTr="004C18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tcPr>
          <w:p w14:paraId="05DB8D56" w14:textId="5EC06596" w:rsidR="004C1865" w:rsidRPr="004C1865" w:rsidRDefault="004C1865" w:rsidP="004C1865">
            <w:pPr>
              <w:rPr>
                <w:rFonts w:ascii="Open Sans" w:hAnsi="Open Sans" w:cs="Open Sans"/>
              </w:rPr>
            </w:pPr>
            <w:r w:rsidRPr="004C1865">
              <w:rPr>
                <w:rFonts w:ascii="Open Sans" w:hAnsi="Open Sans" w:cs="Open Sans"/>
              </w:rPr>
              <w:t xml:space="preserve">Table 1.8: Student status </w:t>
            </w:r>
          </w:p>
        </w:tc>
        <w:tc>
          <w:tcPr>
            <w:tcW w:w="679" w:type="dxa"/>
          </w:tcPr>
          <w:p w14:paraId="52C9D82F" w14:textId="693FCD78" w:rsidR="004C1865" w:rsidRPr="004C1865" w:rsidRDefault="004C1865" w:rsidP="004C1865">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4C1865">
              <w:rPr>
                <w:rFonts w:ascii="Open Sans" w:hAnsi="Open Sans" w:cs="Open Sans"/>
              </w:rPr>
              <w:t>8</w:t>
            </w:r>
          </w:p>
        </w:tc>
      </w:tr>
      <w:tr w:rsidR="004C1865" w:rsidRPr="004C1865" w14:paraId="7416919C" w14:textId="77777777" w:rsidTr="004C1865">
        <w:tc>
          <w:tcPr>
            <w:cnfStyle w:val="001000000000" w:firstRow="0" w:lastRow="0" w:firstColumn="1" w:lastColumn="0" w:oddVBand="0" w:evenVBand="0" w:oddHBand="0" w:evenHBand="0" w:firstRowFirstColumn="0" w:firstRowLastColumn="0" w:lastRowFirstColumn="0" w:lastRowLastColumn="0"/>
            <w:tcW w:w="8897" w:type="dxa"/>
          </w:tcPr>
          <w:p w14:paraId="40B62EF4" w14:textId="160608A2" w:rsidR="004C1865" w:rsidRPr="004C1865" w:rsidRDefault="004C1865" w:rsidP="004C1865">
            <w:pPr>
              <w:rPr>
                <w:rFonts w:ascii="Open Sans" w:hAnsi="Open Sans" w:cs="Open Sans"/>
              </w:rPr>
            </w:pPr>
            <w:r w:rsidRPr="004C1865">
              <w:rPr>
                <w:rFonts w:ascii="Open Sans" w:hAnsi="Open Sans" w:cs="Open Sans"/>
              </w:rPr>
              <w:t>Table 2.1: Forms of violence experienced</w:t>
            </w:r>
          </w:p>
        </w:tc>
        <w:tc>
          <w:tcPr>
            <w:tcW w:w="679" w:type="dxa"/>
          </w:tcPr>
          <w:p w14:paraId="28342906" w14:textId="4FBA6A88" w:rsidR="004C1865" w:rsidRPr="004C1865" w:rsidRDefault="004C1865" w:rsidP="004C1865">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4C1865">
              <w:rPr>
                <w:rFonts w:ascii="Open Sans" w:hAnsi="Open Sans" w:cs="Open Sans"/>
              </w:rPr>
              <w:t>9</w:t>
            </w:r>
          </w:p>
        </w:tc>
      </w:tr>
      <w:tr w:rsidR="004C1865" w:rsidRPr="004C1865" w14:paraId="29BF0612" w14:textId="77777777" w:rsidTr="004C18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tcPr>
          <w:p w14:paraId="3477180E" w14:textId="0085D9DD" w:rsidR="004C1865" w:rsidRPr="004C1865" w:rsidRDefault="004C1865" w:rsidP="004C1865">
            <w:pPr>
              <w:rPr>
                <w:rFonts w:ascii="Open Sans" w:hAnsi="Open Sans" w:cs="Open Sans"/>
              </w:rPr>
            </w:pPr>
            <w:r w:rsidRPr="004C1865">
              <w:rPr>
                <w:rFonts w:ascii="Open Sans" w:hAnsi="Open Sans" w:cs="Open Sans"/>
              </w:rPr>
              <w:t>Table 3.1: Who did you tell about your experiences of violence or abuse?</w:t>
            </w:r>
          </w:p>
        </w:tc>
        <w:tc>
          <w:tcPr>
            <w:tcW w:w="679" w:type="dxa"/>
          </w:tcPr>
          <w:p w14:paraId="57E29019" w14:textId="3D95B980" w:rsidR="004C1865" w:rsidRPr="004C1865" w:rsidRDefault="004C1865" w:rsidP="004C1865">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4C1865">
              <w:rPr>
                <w:rFonts w:ascii="Open Sans" w:hAnsi="Open Sans" w:cs="Open Sans"/>
              </w:rPr>
              <w:t>10</w:t>
            </w:r>
          </w:p>
        </w:tc>
      </w:tr>
      <w:tr w:rsidR="004C1865" w:rsidRPr="004C1865" w14:paraId="75F29217" w14:textId="77777777" w:rsidTr="004C1865">
        <w:tc>
          <w:tcPr>
            <w:cnfStyle w:val="001000000000" w:firstRow="0" w:lastRow="0" w:firstColumn="1" w:lastColumn="0" w:oddVBand="0" w:evenVBand="0" w:oddHBand="0" w:evenHBand="0" w:firstRowFirstColumn="0" w:firstRowLastColumn="0" w:lastRowFirstColumn="0" w:lastRowLastColumn="0"/>
            <w:tcW w:w="8897" w:type="dxa"/>
          </w:tcPr>
          <w:p w14:paraId="5A5A0716" w14:textId="2A03B0CE" w:rsidR="004C1865" w:rsidRPr="004C1865" w:rsidRDefault="004C1865" w:rsidP="004C1865">
            <w:pPr>
              <w:rPr>
                <w:rFonts w:ascii="Open Sans" w:hAnsi="Open Sans" w:cs="Open Sans"/>
              </w:rPr>
            </w:pPr>
            <w:r w:rsidRPr="004C1865">
              <w:rPr>
                <w:rFonts w:ascii="Open Sans" w:hAnsi="Open Sans" w:cs="Open Sans"/>
              </w:rPr>
              <w:t>Table 3.2: How did you report violence?</w:t>
            </w:r>
          </w:p>
        </w:tc>
        <w:tc>
          <w:tcPr>
            <w:tcW w:w="679" w:type="dxa"/>
          </w:tcPr>
          <w:p w14:paraId="4ACEADE9" w14:textId="33FA3207" w:rsidR="004C1865" w:rsidRPr="004C1865" w:rsidRDefault="004C1865" w:rsidP="004C1865">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4C1865">
              <w:rPr>
                <w:rFonts w:ascii="Open Sans" w:hAnsi="Open Sans" w:cs="Open Sans"/>
              </w:rPr>
              <w:t>10</w:t>
            </w:r>
          </w:p>
        </w:tc>
      </w:tr>
      <w:tr w:rsidR="004C1865" w:rsidRPr="004C1865" w14:paraId="390E2CC9" w14:textId="77777777" w:rsidTr="004C18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tcPr>
          <w:p w14:paraId="56DD5004" w14:textId="6AA2872E" w:rsidR="004C1865" w:rsidRPr="004C1865" w:rsidRDefault="004C1865" w:rsidP="004C1865">
            <w:pPr>
              <w:rPr>
                <w:rFonts w:ascii="Open Sans" w:hAnsi="Open Sans" w:cs="Open Sans"/>
              </w:rPr>
            </w:pPr>
            <w:r w:rsidRPr="004C1865">
              <w:rPr>
                <w:rFonts w:ascii="Open Sans" w:hAnsi="Open Sans" w:cs="Open Sans"/>
              </w:rPr>
              <w:t>Table 3.3: What were the outcomes of reporting violence?</w:t>
            </w:r>
          </w:p>
        </w:tc>
        <w:tc>
          <w:tcPr>
            <w:tcW w:w="679" w:type="dxa"/>
          </w:tcPr>
          <w:p w14:paraId="03539881" w14:textId="205DF7CF" w:rsidR="004C1865" w:rsidRPr="004C1865" w:rsidRDefault="004C1865" w:rsidP="004C1865">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4C1865">
              <w:rPr>
                <w:rFonts w:ascii="Open Sans" w:hAnsi="Open Sans" w:cs="Open Sans"/>
              </w:rPr>
              <w:t>10</w:t>
            </w:r>
          </w:p>
        </w:tc>
      </w:tr>
      <w:tr w:rsidR="004C1865" w:rsidRPr="004C1865" w14:paraId="0B7AAAFB" w14:textId="77777777" w:rsidTr="004C1865">
        <w:tc>
          <w:tcPr>
            <w:cnfStyle w:val="001000000000" w:firstRow="0" w:lastRow="0" w:firstColumn="1" w:lastColumn="0" w:oddVBand="0" w:evenVBand="0" w:oddHBand="0" w:evenHBand="0" w:firstRowFirstColumn="0" w:firstRowLastColumn="0" w:lastRowFirstColumn="0" w:lastRowLastColumn="0"/>
            <w:tcW w:w="8897" w:type="dxa"/>
          </w:tcPr>
          <w:p w14:paraId="581228C0" w14:textId="7828EBD4" w:rsidR="004C1865" w:rsidRPr="004C1865" w:rsidRDefault="004C1865" w:rsidP="004C1865">
            <w:pPr>
              <w:rPr>
                <w:rFonts w:ascii="Open Sans" w:hAnsi="Open Sans" w:cs="Open Sans"/>
              </w:rPr>
            </w:pPr>
            <w:r w:rsidRPr="004C1865">
              <w:rPr>
                <w:rFonts w:ascii="Open Sans" w:hAnsi="Open Sans" w:cs="Open Sans"/>
              </w:rPr>
              <w:t>Table 3.4: Barriers that delayed or prevented people from reporting violence</w:t>
            </w:r>
          </w:p>
        </w:tc>
        <w:tc>
          <w:tcPr>
            <w:tcW w:w="679" w:type="dxa"/>
          </w:tcPr>
          <w:p w14:paraId="4BB21FCC" w14:textId="4FF87BB1" w:rsidR="004C1865" w:rsidRPr="004C1865" w:rsidRDefault="004C1865" w:rsidP="004C1865">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4C1865">
              <w:rPr>
                <w:rFonts w:ascii="Open Sans" w:hAnsi="Open Sans" w:cs="Open Sans"/>
              </w:rPr>
              <w:t>12</w:t>
            </w:r>
          </w:p>
        </w:tc>
      </w:tr>
      <w:tr w:rsidR="004C1865" w:rsidRPr="004C1865" w14:paraId="356885EE" w14:textId="77777777" w:rsidTr="004C18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tcPr>
          <w:p w14:paraId="4FBCE399" w14:textId="54EC0CC4" w:rsidR="004C1865" w:rsidRPr="004C1865" w:rsidRDefault="004C1865" w:rsidP="004C1865">
            <w:pPr>
              <w:rPr>
                <w:rFonts w:ascii="Open Sans" w:hAnsi="Open Sans" w:cs="Open Sans"/>
              </w:rPr>
            </w:pPr>
            <w:r w:rsidRPr="004C1865">
              <w:rPr>
                <w:rFonts w:ascii="Open Sans" w:hAnsi="Open Sans" w:cs="Open Sans"/>
              </w:rPr>
              <w:t>Table 3.5: Barriers that young victim-survivors experienced when reporting violence</w:t>
            </w:r>
          </w:p>
        </w:tc>
        <w:tc>
          <w:tcPr>
            <w:tcW w:w="679" w:type="dxa"/>
          </w:tcPr>
          <w:p w14:paraId="1C745188" w14:textId="0AAE17AF" w:rsidR="004C1865" w:rsidRPr="004C1865" w:rsidRDefault="004C1865" w:rsidP="004C1865">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4C1865">
              <w:rPr>
                <w:rFonts w:ascii="Open Sans" w:hAnsi="Open Sans" w:cs="Open Sans"/>
              </w:rPr>
              <w:t>13</w:t>
            </w:r>
          </w:p>
        </w:tc>
      </w:tr>
      <w:tr w:rsidR="004C1865" w:rsidRPr="004C1865" w14:paraId="7DAC53A4" w14:textId="77777777" w:rsidTr="004C1865">
        <w:tc>
          <w:tcPr>
            <w:cnfStyle w:val="001000000000" w:firstRow="0" w:lastRow="0" w:firstColumn="1" w:lastColumn="0" w:oddVBand="0" w:evenVBand="0" w:oddHBand="0" w:evenHBand="0" w:firstRowFirstColumn="0" w:firstRowLastColumn="0" w:lastRowFirstColumn="0" w:lastRowLastColumn="0"/>
            <w:tcW w:w="8897" w:type="dxa"/>
          </w:tcPr>
          <w:p w14:paraId="5E0F3FF6" w14:textId="7EB292A4" w:rsidR="004C1865" w:rsidRPr="004C1865" w:rsidRDefault="004C1865" w:rsidP="004C1865">
            <w:pPr>
              <w:rPr>
                <w:rFonts w:ascii="Open Sans" w:hAnsi="Open Sans" w:cs="Open Sans"/>
              </w:rPr>
            </w:pPr>
            <w:r w:rsidRPr="004C1865">
              <w:rPr>
                <w:rFonts w:ascii="Open Sans" w:hAnsi="Open Sans" w:cs="Open Sans"/>
              </w:rPr>
              <w:t>Table 4.1: Where young victim-survivors access support</w:t>
            </w:r>
          </w:p>
        </w:tc>
        <w:tc>
          <w:tcPr>
            <w:tcW w:w="679" w:type="dxa"/>
          </w:tcPr>
          <w:p w14:paraId="0A15B423" w14:textId="53CF5B02" w:rsidR="004C1865" w:rsidRPr="004C1865" w:rsidRDefault="004C1865" w:rsidP="004C1865">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4C1865">
              <w:rPr>
                <w:rFonts w:ascii="Open Sans" w:hAnsi="Open Sans" w:cs="Open Sans"/>
              </w:rPr>
              <w:t>22</w:t>
            </w:r>
          </w:p>
        </w:tc>
      </w:tr>
      <w:tr w:rsidR="004C1865" w:rsidRPr="004C1865" w14:paraId="2DECD98D" w14:textId="77777777" w:rsidTr="004C18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tcPr>
          <w:p w14:paraId="54218BAA" w14:textId="23B09CCF" w:rsidR="004C1865" w:rsidRPr="004C1865" w:rsidRDefault="004C1865" w:rsidP="004C1865">
            <w:pPr>
              <w:rPr>
                <w:rFonts w:ascii="Open Sans" w:hAnsi="Open Sans" w:cs="Open Sans"/>
              </w:rPr>
            </w:pPr>
            <w:r w:rsidRPr="004C1865">
              <w:rPr>
                <w:rFonts w:ascii="Open Sans" w:hAnsi="Open Sans" w:cs="Open Sans"/>
              </w:rPr>
              <w:t>Table 4.2: Types of support accessed by young victim-survivors</w:t>
            </w:r>
          </w:p>
        </w:tc>
        <w:tc>
          <w:tcPr>
            <w:tcW w:w="679" w:type="dxa"/>
          </w:tcPr>
          <w:p w14:paraId="25F7C928" w14:textId="54E32BAD" w:rsidR="004C1865" w:rsidRPr="004C1865" w:rsidRDefault="004C1865" w:rsidP="004C1865">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4C1865">
              <w:rPr>
                <w:rFonts w:ascii="Open Sans" w:hAnsi="Open Sans" w:cs="Open Sans"/>
              </w:rPr>
              <w:t>23</w:t>
            </w:r>
          </w:p>
        </w:tc>
      </w:tr>
      <w:tr w:rsidR="004C1865" w:rsidRPr="004C1865" w14:paraId="59F62981" w14:textId="77777777" w:rsidTr="004C1865">
        <w:tc>
          <w:tcPr>
            <w:cnfStyle w:val="001000000000" w:firstRow="0" w:lastRow="0" w:firstColumn="1" w:lastColumn="0" w:oddVBand="0" w:evenVBand="0" w:oddHBand="0" w:evenHBand="0" w:firstRowFirstColumn="0" w:firstRowLastColumn="0" w:lastRowFirstColumn="0" w:lastRowLastColumn="0"/>
            <w:tcW w:w="8897" w:type="dxa"/>
          </w:tcPr>
          <w:p w14:paraId="09D8CC45" w14:textId="497C7529" w:rsidR="004C1865" w:rsidRPr="004C1865" w:rsidRDefault="004C1865" w:rsidP="004C1865">
            <w:pPr>
              <w:rPr>
                <w:rFonts w:ascii="Open Sans" w:hAnsi="Open Sans" w:cs="Open Sans"/>
              </w:rPr>
            </w:pPr>
            <w:r w:rsidRPr="004C1865">
              <w:rPr>
                <w:rFonts w:ascii="Open Sans" w:hAnsi="Open Sans" w:cs="Open Sans"/>
              </w:rPr>
              <w:t>Table 6.1: What does justice look like to young victim-survivors?</w:t>
            </w:r>
          </w:p>
        </w:tc>
        <w:tc>
          <w:tcPr>
            <w:tcW w:w="679" w:type="dxa"/>
          </w:tcPr>
          <w:p w14:paraId="5D211A2D" w14:textId="2A0F5E6C" w:rsidR="004C1865" w:rsidRPr="004C1865" w:rsidRDefault="004C1865" w:rsidP="004C1865">
            <w:p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4C1865">
              <w:rPr>
                <w:rFonts w:ascii="Open Sans" w:hAnsi="Open Sans" w:cs="Open Sans"/>
              </w:rPr>
              <w:t>40</w:t>
            </w:r>
          </w:p>
        </w:tc>
      </w:tr>
      <w:tr w:rsidR="004C1865" w:rsidRPr="004C1865" w14:paraId="2937E256" w14:textId="77777777" w:rsidTr="004C18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tcPr>
          <w:p w14:paraId="581BE34B" w14:textId="46A77611" w:rsidR="004C1865" w:rsidRPr="004C1865" w:rsidRDefault="004C1865" w:rsidP="004C1865">
            <w:pPr>
              <w:rPr>
                <w:rFonts w:ascii="Open Sans" w:hAnsi="Open Sans" w:cs="Open Sans"/>
              </w:rPr>
            </w:pPr>
            <w:r w:rsidRPr="004C1865">
              <w:rPr>
                <w:rFonts w:ascii="Open Sans" w:hAnsi="Open Sans" w:cs="Open Sans"/>
              </w:rPr>
              <w:t>Table 6.2: Restorative and transformative justice responses</w:t>
            </w:r>
          </w:p>
        </w:tc>
        <w:tc>
          <w:tcPr>
            <w:tcW w:w="679" w:type="dxa"/>
          </w:tcPr>
          <w:p w14:paraId="40EB9820" w14:textId="2AA60F28" w:rsidR="004C1865" w:rsidRPr="004C1865" w:rsidRDefault="004C1865" w:rsidP="004C1865">
            <w:pPr>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4C1865">
              <w:rPr>
                <w:rFonts w:ascii="Open Sans" w:hAnsi="Open Sans" w:cs="Open Sans"/>
              </w:rPr>
              <w:t>40</w:t>
            </w:r>
          </w:p>
        </w:tc>
      </w:tr>
    </w:tbl>
    <w:p w14:paraId="4F35E535" w14:textId="77777777" w:rsidR="003150C1" w:rsidRPr="00CE2F22" w:rsidRDefault="003150C1" w:rsidP="003150C1"/>
    <w:p w14:paraId="7B17DB87" w14:textId="1D5EDBD4" w:rsidR="004C1865" w:rsidRPr="004C1865" w:rsidRDefault="003150C1" w:rsidP="004C1865">
      <w:pPr>
        <w:pStyle w:val="Heading1"/>
      </w:pPr>
      <w:bookmarkStart w:id="33" w:name="_Toc96091338"/>
      <w:bookmarkStart w:id="34" w:name="_Toc96091486"/>
      <w:bookmarkStart w:id="35" w:name="_Toc96092056"/>
      <w:r w:rsidRPr="00CE2F22">
        <w:t>Table of Figures</w:t>
      </w:r>
      <w:bookmarkEnd w:id="33"/>
      <w:bookmarkEnd w:id="34"/>
      <w:bookmarkEnd w:id="35"/>
    </w:p>
    <w:tbl>
      <w:tblPr>
        <w:tblStyle w:val="PlainTable4"/>
        <w:tblW w:w="0" w:type="auto"/>
        <w:tblLook w:val="04A0" w:firstRow="1" w:lastRow="0" w:firstColumn="1" w:lastColumn="0" w:noHBand="0" w:noVBand="1"/>
      </w:tblPr>
      <w:tblGrid>
        <w:gridCol w:w="8688"/>
        <w:gridCol w:w="672"/>
      </w:tblGrid>
      <w:tr w:rsidR="004C1865" w14:paraId="4D7713FE" w14:textId="77777777" w:rsidTr="004C18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tcPr>
          <w:p w14:paraId="34982D91" w14:textId="76B5E184" w:rsidR="004C1865" w:rsidRDefault="004C1865" w:rsidP="004C1865">
            <w:pPr>
              <w:spacing w:after="200" w:line="276" w:lineRule="auto"/>
            </w:pPr>
            <w:r w:rsidRPr="00031ECD">
              <w:t>Figure 3.1: Discrimination experienced when reporting violence</w:t>
            </w:r>
          </w:p>
        </w:tc>
        <w:tc>
          <w:tcPr>
            <w:tcW w:w="679" w:type="dxa"/>
          </w:tcPr>
          <w:p w14:paraId="4D18DA2F" w14:textId="5B5352DE" w:rsidR="004C1865" w:rsidRDefault="004C1865" w:rsidP="004C1865">
            <w:pPr>
              <w:spacing w:after="200" w:line="276" w:lineRule="auto"/>
              <w:cnfStyle w:val="100000000000" w:firstRow="1" w:lastRow="0" w:firstColumn="0" w:lastColumn="0" w:oddVBand="0" w:evenVBand="0" w:oddHBand="0" w:evenHBand="0" w:firstRowFirstColumn="0" w:firstRowLastColumn="0" w:lastRowFirstColumn="0" w:lastRowLastColumn="0"/>
            </w:pPr>
            <w:r>
              <w:t>14</w:t>
            </w:r>
          </w:p>
        </w:tc>
      </w:tr>
      <w:tr w:rsidR="004C1865" w14:paraId="3DA5466A" w14:textId="77777777" w:rsidTr="004C18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tcPr>
          <w:p w14:paraId="6C46C5B9" w14:textId="3A998B4D" w:rsidR="004C1865" w:rsidRDefault="004C1865" w:rsidP="004C1865">
            <w:pPr>
              <w:spacing w:after="200" w:line="276" w:lineRule="auto"/>
            </w:pPr>
            <w:r w:rsidRPr="00031ECD">
              <w:t>Figure 4.2: Discrimination experienced in institutions</w:t>
            </w:r>
          </w:p>
        </w:tc>
        <w:tc>
          <w:tcPr>
            <w:tcW w:w="679" w:type="dxa"/>
          </w:tcPr>
          <w:p w14:paraId="721C2ADD" w14:textId="3D54A686" w:rsidR="004C1865" w:rsidRDefault="004C1865" w:rsidP="004C1865">
            <w:pPr>
              <w:spacing w:after="200" w:line="276" w:lineRule="auto"/>
              <w:cnfStyle w:val="000000100000" w:firstRow="0" w:lastRow="0" w:firstColumn="0" w:lastColumn="0" w:oddVBand="0" w:evenVBand="0" w:oddHBand="1" w:evenHBand="0" w:firstRowFirstColumn="0" w:firstRowLastColumn="0" w:lastRowFirstColumn="0" w:lastRowLastColumn="0"/>
            </w:pPr>
            <w:r>
              <w:t>29</w:t>
            </w:r>
          </w:p>
        </w:tc>
      </w:tr>
      <w:tr w:rsidR="004C1865" w14:paraId="135A295F" w14:textId="77777777" w:rsidTr="004C1865">
        <w:tc>
          <w:tcPr>
            <w:cnfStyle w:val="001000000000" w:firstRow="0" w:lastRow="0" w:firstColumn="1" w:lastColumn="0" w:oddVBand="0" w:evenVBand="0" w:oddHBand="0" w:evenHBand="0" w:firstRowFirstColumn="0" w:firstRowLastColumn="0" w:lastRowFirstColumn="0" w:lastRowLastColumn="0"/>
            <w:tcW w:w="8897" w:type="dxa"/>
          </w:tcPr>
          <w:p w14:paraId="088B1A2B" w14:textId="2F81D6AD" w:rsidR="004C1865" w:rsidRDefault="004C1865" w:rsidP="004C1865">
            <w:pPr>
              <w:spacing w:after="200" w:line="276" w:lineRule="auto"/>
            </w:pPr>
            <w:r w:rsidRPr="00031ECD">
              <w:t>Figure 5.1: Drivers of and preventing Gender-Based Violence</w:t>
            </w:r>
          </w:p>
        </w:tc>
        <w:tc>
          <w:tcPr>
            <w:tcW w:w="679" w:type="dxa"/>
          </w:tcPr>
          <w:p w14:paraId="5B7785F0" w14:textId="5B413709" w:rsidR="004C1865" w:rsidRDefault="004C1865" w:rsidP="004C1865">
            <w:pPr>
              <w:spacing w:after="200" w:line="276" w:lineRule="auto"/>
              <w:cnfStyle w:val="000000000000" w:firstRow="0" w:lastRow="0" w:firstColumn="0" w:lastColumn="0" w:oddVBand="0" w:evenVBand="0" w:oddHBand="0" w:evenHBand="0" w:firstRowFirstColumn="0" w:firstRowLastColumn="0" w:lastRowFirstColumn="0" w:lastRowLastColumn="0"/>
            </w:pPr>
            <w:r>
              <w:t>32</w:t>
            </w:r>
          </w:p>
        </w:tc>
      </w:tr>
      <w:tr w:rsidR="004C1865" w14:paraId="4481119C" w14:textId="77777777" w:rsidTr="004C18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tcPr>
          <w:p w14:paraId="04F1EB8B" w14:textId="23156C30" w:rsidR="004C1865" w:rsidRDefault="004C1865" w:rsidP="004C1865">
            <w:pPr>
              <w:spacing w:after="200" w:line="276" w:lineRule="auto"/>
            </w:pPr>
            <w:r w:rsidRPr="00031ECD">
              <w:t>Figure 5.2: Social ecological model</w:t>
            </w:r>
          </w:p>
        </w:tc>
        <w:tc>
          <w:tcPr>
            <w:tcW w:w="679" w:type="dxa"/>
          </w:tcPr>
          <w:p w14:paraId="4FE5F8A7" w14:textId="62F9130B" w:rsidR="004C1865" w:rsidRDefault="004C1865" w:rsidP="004C1865">
            <w:pPr>
              <w:spacing w:after="200" w:line="276" w:lineRule="auto"/>
              <w:cnfStyle w:val="000000100000" w:firstRow="0" w:lastRow="0" w:firstColumn="0" w:lastColumn="0" w:oddVBand="0" w:evenVBand="0" w:oddHBand="1" w:evenHBand="0" w:firstRowFirstColumn="0" w:firstRowLastColumn="0" w:lastRowFirstColumn="0" w:lastRowLastColumn="0"/>
            </w:pPr>
            <w:r>
              <w:t>32</w:t>
            </w:r>
          </w:p>
        </w:tc>
      </w:tr>
      <w:tr w:rsidR="004C1865" w14:paraId="2ADA9A11" w14:textId="77777777" w:rsidTr="004C1865">
        <w:tc>
          <w:tcPr>
            <w:cnfStyle w:val="001000000000" w:firstRow="0" w:lastRow="0" w:firstColumn="1" w:lastColumn="0" w:oddVBand="0" w:evenVBand="0" w:oddHBand="0" w:evenHBand="0" w:firstRowFirstColumn="0" w:firstRowLastColumn="0" w:lastRowFirstColumn="0" w:lastRowLastColumn="0"/>
            <w:tcW w:w="8897" w:type="dxa"/>
          </w:tcPr>
          <w:p w14:paraId="268D5993" w14:textId="0AB9958A" w:rsidR="004C1865" w:rsidRDefault="004C1865" w:rsidP="004C1865">
            <w:pPr>
              <w:spacing w:after="200" w:line="276" w:lineRule="auto"/>
            </w:pPr>
            <w:r w:rsidRPr="00031ECD">
              <w:t>Figure 5.3: Ensuring primary prevention efforts are intersectional</w:t>
            </w:r>
          </w:p>
        </w:tc>
        <w:tc>
          <w:tcPr>
            <w:tcW w:w="679" w:type="dxa"/>
          </w:tcPr>
          <w:p w14:paraId="17B23652" w14:textId="05A07DFE" w:rsidR="004C1865" w:rsidRDefault="004C1865" w:rsidP="004C1865">
            <w:pPr>
              <w:spacing w:after="200" w:line="276" w:lineRule="auto"/>
              <w:cnfStyle w:val="000000000000" w:firstRow="0" w:lastRow="0" w:firstColumn="0" w:lastColumn="0" w:oddVBand="0" w:evenVBand="0" w:oddHBand="0" w:evenHBand="0" w:firstRowFirstColumn="0" w:firstRowLastColumn="0" w:lastRowFirstColumn="0" w:lastRowLastColumn="0"/>
            </w:pPr>
            <w:r>
              <w:t>36</w:t>
            </w:r>
          </w:p>
        </w:tc>
      </w:tr>
    </w:tbl>
    <w:p w14:paraId="4C726D44" w14:textId="5CD69BD3" w:rsidR="00F1528E" w:rsidRDefault="00F1528E">
      <w:pPr>
        <w:spacing w:after="200" w:line="276" w:lineRule="auto"/>
        <w:sectPr w:rsidR="00F1528E" w:rsidSect="00F1528E">
          <w:headerReference w:type="default" r:id="rId11"/>
          <w:footerReference w:type="even" r:id="rId12"/>
          <w:footerReference w:type="default" r:id="rId13"/>
          <w:pgSz w:w="12240" w:h="15840"/>
          <w:pgMar w:top="1440" w:right="1440" w:bottom="1440" w:left="1440" w:header="708" w:footer="708" w:gutter="0"/>
          <w:pgNumType w:fmt="lowerRoman" w:start="0"/>
          <w:cols w:space="708"/>
          <w:titlePg/>
          <w:docGrid w:linePitch="360"/>
        </w:sectPr>
      </w:pPr>
    </w:p>
    <w:p w14:paraId="18ECE94C" w14:textId="04C5C35D" w:rsidR="00085404" w:rsidRDefault="00085404" w:rsidP="009A5B8A">
      <w:pPr>
        <w:pStyle w:val="Heading1"/>
      </w:pPr>
      <w:bookmarkStart w:id="36" w:name="_Toc96092057"/>
      <w:r>
        <w:lastRenderedPageBreak/>
        <w:t>INTRODUCTION</w:t>
      </w:r>
      <w:bookmarkEnd w:id="36"/>
    </w:p>
    <w:p w14:paraId="31E46F53" w14:textId="77777777" w:rsidR="009A5B8A" w:rsidRPr="009A5B8A" w:rsidRDefault="009A5B8A" w:rsidP="009A5B8A"/>
    <w:p w14:paraId="5AF41F1D" w14:textId="77777777" w:rsidR="00085404" w:rsidRPr="00CE2F22" w:rsidRDefault="00085404" w:rsidP="00085404">
      <w:pPr>
        <w:pStyle w:val="BodyText"/>
        <w:rPr>
          <w:lang w:val="en-AU"/>
        </w:rPr>
      </w:pPr>
      <w:r w:rsidRPr="00CE2F22">
        <w:rPr>
          <w:lang w:val="en-AU"/>
        </w:rPr>
        <w:t>This ground breaking report explores a range of issues associated with gender-based violence and its impact on young women and non-binary people.</w:t>
      </w:r>
    </w:p>
    <w:p w14:paraId="625A8E2C" w14:textId="77777777" w:rsidR="00085404" w:rsidRPr="00CE2F22" w:rsidRDefault="00085404" w:rsidP="00085404">
      <w:pPr>
        <w:pStyle w:val="BodyText"/>
        <w:rPr>
          <w:lang w:val="en-AU"/>
        </w:rPr>
      </w:pPr>
    </w:p>
    <w:p w14:paraId="470D2ABD" w14:textId="77777777" w:rsidR="00085404" w:rsidRPr="00CE2F22" w:rsidRDefault="00085404" w:rsidP="00085404">
      <w:pPr>
        <w:pStyle w:val="BodyText"/>
        <w:rPr>
          <w:lang w:val="en-AU"/>
        </w:rPr>
      </w:pPr>
      <w:r w:rsidRPr="00CE2F22">
        <w:rPr>
          <w:lang w:val="en-AU"/>
        </w:rPr>
        <w:t>Drawing on both the 2021 survey conducted by the Australian Women Against Violence Alliance (AWAVA) and translated into Easy English by Women With Disabilities Australia (WWDA), as well as a subsequent community forum hosted by AWAVA and the National Aboriginal Torres Strait Islander Women’s Alliance (NATSIWA), this ground-breaking report explores a range of issues associated with gender-based violence and its impacts on young women and non-binary people.</w:t>
      </w:r>
    </w:p>
    <w:p w14:paraId="5F2D7F0F" w14:textId="77777777" w:rsidR="00085404" w:rsidRPr="00CE2F22" w:rsidRDefault="00085404" w:rsidP="00085404">
      <w:pPr>
        <w:pStyle w:val="BodyText"/>
        <w:rPr>
          <w:lang w:val="en-AU"/>
        </w:rPr>
      </w:pPr>
    </w:p>
    <w:p w14:paraId="6F703997" w14:textId="77777777" w:rsidR="00085404" w:rsidRPr="00CE2F22" w:rsidRDefault="00085404" w:rsidP="00085404">
      <w:pPr>
        <w:pStyle w:val="BodyText"/>
        <w:rPr>
          <w:lang w:val="en-AU"/>
        </w:rPr>
      </w:pPr>
      <w:r w:rsidRPr="00CE2F22">
        <w:rPr>
          <w:lang w:val="en-AU"/>
        </w:rPr>
        <w:t xml:space="preserve">These two key elements—the survey and the forum—combined to provide rich new insights. The survey yielded unique aggregate information, while the forum served to add depth to our understandings, particularly around people’s experiences. The project was intentionally designed to amplify the voices of those young women and non-binary people who tend to be under- represented in traditional policy settings. Full details regarding methodology are in </w:t>
      </w:r>
      <w:hyperlink w:anchor="_bookmark0" w:history="1">
        <w:r w:rsidRPr="00990C65">
          <w:rPr>
            <w:rStyle w:val="Hyperlink"/>
            <w:lang w:val="en-AU"/>
          </w:rPr>
          <w:t>the Appendi</w:t>
        </w:r>
      </w:hyperlink>
      <w:r w:rsidRPr="00990C65">
        <w:rPr>
          <w:rStyle w:val="Hyperlink"/>
          <w:lang w:val="en-AU"/>
        </w:rPr>
        <w:t>x A.</w:t>
      </w:r>
    </w:p>
    <w:p w14:paraId="3F5E3936" w14:textId="77777777" w:rsidR="00085404" w:rsidRPr="00CE2F22" w:rsidRDefault="00085404" w:rsidP="00085404">
      <w:pPr>
        <w:pStyle w:val="BodyText"/>
        <w:rPr>
          <w:lang w:val="en-AU"/>
        </w:rPr>
      </w:pPr>
    </w:p>
    <w:p w14:paraId="1CC5A110" w14:textId="77777777" w:rsidR="00085404" w:rsidRPr="00CE2F22" w:rsidRDefault="00085404" w:rsidP="00085404">
      <w:pPr>
        <w:pStyle w:val="BodyText"/>
        <w:rPr>
          <w:lang w:val="en-AU"/>
        </w:rPr>
      </w:pPr>
      <w:r w:rsidRPr="00CE2F22">
        <w:rPr>
          <w:lang w:val="en-AU"/>
        </w:rPr>
        <w:t>The report introduces new ways to understand both interpersonal and structural experiences of diverse forms of violence, relying on first-hand accounts from young people living in a range of circumstances across Australia. Importantly, the report captures what justice means to young victim-survivors—a question that is rarely asked.</w:t>
      </w:r>
    </w:p>
    <w:p w14:paraId="64C0B17C" w14:textId="77777777" w:rsidR="00085404" w:rsidRPr="003150C1" w:rsidRDefault="00085404" w:rsidP="00085404">
      <w:pPr>
        <w:pStyle w:val="IntenseQuote"/>
        <w:rPr>
          <w:rStyle w:val="SubtleEmphasis"/>
        </w:rPr>
      </w:pPr>
      <w:r w:rsidRPr="003150C1">
        <w:t>Globally, 1 in 4 young</w:t>
      </w:r>
      <w:r w:rsidRPr="00CE2F22">
        <w:t xml:space="preserve"> </w:t>
      </w:r>
      <w:r w:rsidRPr="003150C1">
        <w:t>women between 15 &amp; 19 years old, have already experienced</w:t>
      </w:r>
      <w:r w:rsidRPr="00CE2F22">
        <w:t xml:space="preserve"> </w:t>
      </w:r>
      <w:r w:rsidRPr="003150C1">
        <w:t>physical and/or sexual violence from an intimate partner.</w:t>
      </w:r>
    </w:p>
    <w:p w14:paraId="2878F614" w14:textId="77777777" w:rsidR="00085404" w:rsidRDefault="00085404">
      <w:pPr>
        <w:spacing w:after="200" w:line="276" w:lineRule="auto"/>
        <w:rPr>
          <w:rFonts w:eastAsiaTheme="majorEastAsia" w:cstheme="majorBidi"/>
          <w:iCs/>
          <w:color w:val="632E62" w:themeColor="text2"/>
          <w:sz w:val="40"/>
          <w:szCs w:val="24"/>
        </w:rPr>
      </w:pPr>
      <w:r>
        <w:br w:type="page"/>
      </w:r>
    </w:p>
    <w:p w14:paraId="3E5BF854" w14:textId="5D97ED56" w:rsidR="00197C5B" w:rsidRPr="009A5B8A" w:rsidRDefault="00990C65" w:rsidP="009A5B8A">
      <w:pPr>
        <w:pStyle w:val="Heading1"/>
      </w:pPr>
      <w:bookmarkStart w:id="37" w:name="_Toc96092058"/>
      <w:r w:rsidRPr="009A5B8A">
        <w:t>KEY FINDINGS</w:t>
      </w:r>
      <w:bookmarkEnd w:id="37"/>
    </w:p>
    <w:p w14:paraId="5B635B94" w14:textId="2DDD526B" w:rsidR="003150C1" w:rsidRDefault="003150C1" w:rsidP="009A5B8A">
      <w:pPr>
        <w:pStyle w:val="Heading2"/>
      </w:pPr>
      <w:bookmarkStart w:id="38" w:name="_Toc96092059"/>
      <w:r w:rsidRPr="00990C65">
        <w:t>High levels and diverse forms of violence</w:t>
      </w:r>
      <w:bookmarkEnd w:id="38"/>
    </w:p>
    <w:p w14:paraId="1EAF9D21" w14:textId="77777777" w:rsidR="00990C65" w:rsidRPr="00990C65" w:rsidRDefault="00990C65" w:rsidP="00990C65"/>
    <w:p w14:paraId="6F0AA9CB" w14:textId="3EADC120" w:rsidR="00B81CAC" w:rsidRPr="00CE2F22" w:rsidRDefault="003150C1" w:rsidP="00B81CAC">
      <w:pPr>
        <w:pStyle w:val="BodyText"/>
        <w:numPr>
          <w:ilvl w:val="0"/>
          <w:numId w:val="9"/>
        </w:numPr>
        <w:rPr>
          <w:lang w:val="en-AU"/>
        </w:rPr>
      </w:pPr>
      <w:r w:rsidRPr="00CE2F22">
        <w:rPr>
          <w:lang w:val="en-AU"/>
        </w:rPr>
        <w:t xml:space="preserve">86.4% of the survey respondents indicated that they have experienced at least one form of violence or abuse. The most common forms were emotional abuse and sexual </w:t>
      </w:r>
      <w:r w:rsidR="00E21C51" w:rsidRPr="00CE2F22">
        <w:rPr>
          <w:lang w:val="en-AU"/>
        </w:rPr>
        <w:t>violence,</w:t>
      </w:r>
      <w:r w:rsidRPr="00CE2F22">
        <w:rPr>
          <w:lang w:val="en-AU"/>
        </w:rPr>
        <w:t xml:space="preserve"> but experiences included a wide range of other forms of abuse and violence.</w:t>
      </w:r>
      <w:r w:rsidR="00B81CAC" w:rsidRPr="00CE2F22">
        <w:rPr>
          <w:lang w:val="en-AU"/>
        </w:rPr>
        <w:t xml:space="preserve"> </w:t>
      </w:r>
    </w:p>
    <w:p w14:paraId="7D5FC5F2" w14:textId="34D14314" w:rsidR="003150C1" w:rsidRPr="00CE2F22" w:rsidRDefault="003150C1" w:rsidP="00B81CAC">
      <w:pPr>
        <w:pStyle w:val="BodyText"/>
        <w:numPr>
          <w:ilvl w:val="0"/>
          <w:numId w:val="9"/>
        </w:numPr>
        <w:rPr>
          <w:lang w:val="en-AU"/>
        </w:rPr>
      </w:pPr>
      <w:r w:rsidRPr="00CE2F22">
        <w:rPr>
          <w:lang w:val="en-AU"/>
        </w:rPr>
        <w:t>78.8% of those who experienced abuse or violence told someone, usually face-to-face, and most often family or friends, or a psychologist or counsellor.</w:t>
      </w:r>
    </w:p>
    <w:p w14:paraId="5B072BE8" w14:textId="77777777" w:rsidR="00B81CAC" w:rsidRPr="00CE2F22" w:rsidRDefault="00B81CAC" w:rsidP="00B81CAC">
      <w:pPr>
        <w:pStyle w:val="BodyText"/>
        <w:ind w:left="720"/>
        <w:rPr>
          <w:lang w:val="en-AU"/>
        </w:rPr>
      </w:pPr>
    </w:p>
    <w:p w14:paraId="6003C426" w14:textId="522BAEB0" w:rsidR="003150C1" w:rsidRPr="009A5B8A" w:rsidRDefault="003150C1" w:rsidP="009A5B8A">
      <w:pPr>
        <w:pStyle w:val="Heading2"/>
      </w:pPr>
      <w:bookmarkStart w:id="39" w:name="_Toc96092060"/>
      <w:r w:rsidRPr="009A5B8A">
        <w:t>Fear of not being believed</w:t>
      </w:r>
      <w:bookmarkEnd w:id="39"/>
    </w:p>
    <w:p w14:paraId="70D97C83" w14:textId="77777777" w:rsidR="00990C65" w:rsidRPr="00990C65" w:rsidRDefault="00990C65" w:rsidP="00990C65"/>
    <w:p w14:paraId="0B88CABD" w14:textId="660BD9D1" w:rsidR="003150C1" w:rsidRPr="00CE2F22" w:rsidRDefault="003150C1" w:rsidP="00B81CAC">
      <w:pPr>
        <w:pStyle w:val="BodyText"/>
        <w:numPr>
          <w:ilvl w:val="0"/>
          <w:numId w:val="7"/>
        </w:numPr>
        <w:rPr>
          <w:lang w:val="en-AU"/>
        </w:rPr>
      </w:pPr>
      <w:r w:rsidRPr="00CE2F22">
        <w:rPr>
          <w:lang w:val="en-AU"/>
        </w:rPr>
        <w:t>67.9% of those that told someone, said nothing happened and nothing changed. Only 8% said the perpetrator was held to account by their social network and community. 40.4% said they weren’t believed or validated or supported to achieve safety or heal.</w:t>
      </w:r>
    </w:p>
    <w:p w14:paraId="52F2868A" w14:textId="287083AB" w:rsidR="003150C1" w:rsidRPr="00CE2F22" w:rsidRDefault="003150C1" w:rsidP="00B81CAC">
      <w:pPr>
        <w:pStyle w:val="BodyText"/>
        <w:numPr>
          <w:ilvl w:val="0"/>
          <w:numId w:val="7"/>
        </w:numPr>
        <w:rPr>
          <w:lang w:val="en-AU"/>
        </w:rPr>
      </w:pPr>
      <w:r w:rsidRPr="00CE2F22">
        <w:rPr>
          <w:lang w:val="en-AU"/>
        </w:rPr>
        <w:t>The main reasons for delaying or never reporting were embarrassment or shame (74.4%), not trusting they would be believed or thinking</w:t>
      </w:r>
      <w:r w:rsidR="00B81CAC" w:rsidRPr="00CE2F22">
        <w:rPr>
          <w:lang w:val="en-AU"/>
        </w:rPr>
        <w:t xml:space="preserve"> </w:t>
      </w:r>
      <w:r w:rsidRPr="00CE2F22">
        <w:rPr>
          <w:lang w:val="en-AU"/>
        </w:rPr>
        <w:t>their experiences would be trivialised (69.2%) or not trusting that reporting would result in justice (61.5%).</w:t>
      </w:r>
    </w:p>
    <w:p w14:paraId="3D203C44" w14:textId="6FB00E40" w:rsidR="003150C1" w:rsidRPr="00CE2F22" w:rsidRDefault="003150C1" w:rsidP="00B81CAC">
      <w:pPr>
        <w:pStyle w:val="BodyText"/>
        <w:numPr>
          <w:ilvl w:val="0"/>
          <w:numId w:val="7"/>
        </w:numPr>
        <w:rPr>
          <w:lang w:val="en-AU"/>
        </w:rPr>
      </w:pPr>
      <w:r w:rsidRPr="00CE2F22">
        <w:rPr>
          <w:lang w:val="en-AU"/>
        </w:rPr>
        <w:t>Of those that did report, respondents indicated they were: not believed (40%), discriminated against (28.9%); or discouraged from making an official report as no justice could be obtained (43.7%).</w:t>
      </w:r>
    </w:p>
    <w:p w14:paraId="2DB28747" w14:textId="7B3E5513" w:rsidR="003150C1" w:rsidRPr="00CE2F22" w:rsidRDefault="003150C1" w:rsidP="00B81CAC">
      <w:pPr>
        <w:pStyle w:val="BodyText"/>
        <w:numPr>
          <w:ilvl w:val="0"/>
          <w:numId w:val="7"/>
        </w:numPr>
        <w:rPr>
          <w:lang w:val="en-AU"/>
        </w:rPr>
      </w:pPr>
      <w:r w:rsidRPr="00CE2F22">
        <w:rPr>
          <w:lang w:val="en-AU"/>
        </w:rPr>
        <w:t>Nearly half (48.1%) of those who reported had to tell their stories multiple times, with many describing this as re-traumatising or humiliating.</w:t>
      </w:r>
    </w:p>
    <w:p w14:paraId="21BC8095" w14:textId="77777777" w:rsidR="00B81CAC" w:rsidRPr="00CE2F22" w:rsidRDefault="00B81CAC" w:rsidP="00B81CAC">
      <w:pPr>
        <w:pStyle w:val="ListParagraph"/>
        <w:numPr>
          <w:ilvl w:val="0"/>
          <w:numId w:val="7"/>
        </w:numPr>
        <w:rPr>
          <w:rFonts w:ascii="Open Sans" w:eastAsia="Open Sans" w:hAnsi="Open Sans" w:cs="Open Sans"/>
          <w:color w:val="auto"/>
          <w:sz w:val="20"/>
          <w:szCs w:val="20"/>
        </w:rPr>
      </w:pPr>
      <w:r w:rsidRPr="00CE2F22">
        <w:rPr>
          <w:rFonts w:ascii="Open Sans" w:eastAsia="Open Sans" w:hAnsi="Open Sans" w:cs="Open Sans"/>
          <w:color w:val="auto"/>
          <w:sz w:val="20"/>
          <w:szCs w:val="20"/>
        </w:rPr>
        <w:t>Nearly half (47.4%) did not know how or to whom to report.</w:t>
      </w:r>
    </w:p>
    <w:p w14:paraId="2152AF51" w14:textId="04286393" w:rsidR="00B81CAC" w:rsidRPr="00CE2F22" w:rsidRDefault="00B81CAC" w:rsidP="00B81CAC">
      <w:pPr>
        <w:pStyle w:val="BodyText"/>
        <w:rPr>
          <w:lang w:val="en-AU"/>
        </w:rPr>
      </w:pPr>
    </w:p>
    <w:p w14:paraId="496D47B0" w14:textId="628AA0FA" w:rsidR="00B81CAC" w:rsidRPr="009A5B8A" w:rsidRDefault="00B81CAC" w:rsidP="009A5B8A">
      <w:pPr>
        <w:pStyle w:val="Heading2"/>
      </w:pPr>
      <w:bookmarkStart w:id="40" w:name="_Toc96091489"/>
      <w:bookmarkStart w:id="41" w:name="_Toc96092061"/>
      <w:r w:rsidRPr="009A5B8A">
        <w:t>Barriers to support</w:t>
      </w:r>
      <w:bookmarkEnd w:id="40"/>
      <w:bookmarkEnd w:id="41"/>
    </w:p>
    <w:p w14:paraId="7B4E8C88" w14:textId="77777777" w:rsidR="00990C65" w:rsidRPr="00990C65" w:rsidRDefault="00990C65" w:rsidP="00990C65"/>
    <w:p w14:paraId="0063F964" w14:textId="66EF955E" w:rsidR="00B81CAC" w:rsidRPr="00CE2F22" w:rsidRDefault="00B81CAC" w:rsidP="00B81CAC">
      <w:pPr>
        <w:pStyle w:val="BodyText"/>
        <w:numPr>
          <w:ilvl w:val="0"/>
          <w:numId w:val="10"/>
        </w:numPr>
        <w:rPr>
          <w:lang w:val="en-AU"/>
        </w:rPr>
      </w:pPr>
      <w:r w:rsidRPr="00CE2F22">
        <w:rPr>
          <w:lang w:val="en-AU"/>
        </w:rPr>
        <w:t>Only 54 per cent of victim-survivors were offered or accessed support after experiencing violence. The most common form of support access was from a psychologist or counsellor (80.2%) or family and friends (77.9%), and programs to help with healing including counselling and trauma recovery (66.7%).</w:t>
      </w:r>
    </w:p>
    <w:p w14:paraId="16632BA0" w14:textId="482FCBA4" w:rsidR="00B81CAC" w:rsidRPr="00CE2F22" w:rsidRDefault="00B81CAC" w:rsidP="00B81CAC">
      <w:pPr>
        <w:pStyle w:val="BodyText"/>
        <w:numPr>
          <w:ilvl w:val="0"/>
          <w:numId w:val="10"/>
        </w:numPr>
        <w:rPr>
          <w:lang w:val="en-AU"/>
        </w:rPr>
      </w:pPr>
      <w:r w:rsidRPr="00CE2F22">
        <w:rPr>
          <w:lang w:val="en-AU"/>
        </w:rPr>
        <w:t>Ableism, classism, sexism, queer/transphobia</w:t>
      </w:r>
      <w:r w:rsidR="00E21C51">
        <w:rPr>
          <w:lang w:val="en-AU"/>
        </w:rPr>
        <w:t>,</w:t>
      </w:r>
      <w:r w:rsidRPr="00CE2F22">
        <w:rPr>
          <w:lang w:val="en-AU"/>
        </w:rPr>
        <w:t xml:space="preserve"> and racism were experienced by a large number of people who attempted to access support.</w:t>
      </w:r>
    </w:p>
    <w:p w14:paraId="758D58BD" w14:textId="56CB2F72" w:rsidR="00B81CAC" w:rsidRPr="00CE2F22" w:rsidRDefault="00B81CAC" w:rsidP="00B81CAC">
      <w:pPr>
        <w:pStyle w:val="BodyText"/>
        <w:numPr>
          <w:ilvl w:val="0"/>
          <w:numId w:val="10"/>
        </w:numPr>
        <w:rPr>
          <w:lang w:val="en-AU"/>
        </w:rPr>
      </w:pPr>
      <w:r w:rsidRPr="00CE2F22">
        <w:rPr>
          <w:lang w:val="en-AU"/>
        </w:rPr>
        <w:t>Many respondents indicated that they felt most supported when they reported to a specialist women’s service.</w:t>
      </w:r>
    </w:p>
    <w:p w14:paraId="1C80BFD1" w14:textId="7944AD2F" w:rsidR="00B81CAC" w:rsidRPr="00CE2F22" w:rsidRDefault="00B81CAC" w:rsidP="00B81CAC">
      <w:pPr>
        <w:pStyle w:val="BodyText"/>
        <w:numPr>
          <w:ilvl w:val="0"/>
          <w:numId w:val="10"/>
        </w:numPr>
        <w:rPr>
          <w:lang w:val="en-AU"/>
        </w:rPr>
      </w:pPr>
      <w:r w:rsidRPr="00CE2F22">
        <w:rPr>
          <w:lang w:val="en-AU"/>
        </w:rPr>
        <w:t>Financial strain as a barrier was experienced by 30% of respondents when attempting to access support through institutions (such as police, hospitals etc.), rising to 37% of respondents who attempted to access support through community services/organisations.</w:t>
      </w:r>
    </w:p>
    <w:p w14:paraId="5AB4CD0C" w14:textId="6B1F9634" w:rsidR="00B81CAC" w:rsidRPr="00CE2F22" w:rsidRDefault="00B81CAC" w:rsidP="00B81CAC">
      <w:pPr>
        <w:pStyle w:val="BodyText"/>
        <w:rPr>
          <w:lang w:val="en-AU"/>
        </w:rPr>
      </w:pPr>
    </w:p>
    <w:p w14:paraId="591DF0BD" w14:textId="0F7224F6" w:rsidR="00B81CAC" w:rsidRPr="00990C65" w:rsidRDefault="00B81CAC" w:rsidP="009A5B8A">
      <w:pPr>
        <w:pStyle w:val="Heading2"/>
      </w:pPr>
      <w:bookmarkStart w:id="42" w:name="_Toc96091490"/>
      <w:bookmarkStart w:id="43" w:name="_Toc96092062"/>
      <w:r w:rsidRPr="00990C65">
        <w:t>Primary prevention</w:t>
      </w:r>
      <w:bookmarkEnd w:id="42"/>
      <w:bookmarkEnd w:id="43"/>
    </w:p>
    <w:p w14:paraId="2900A60B" w14:textId="77777777" w:rsidR="00990C65" w:rsidRPr="00990C65" w:rsidRDefault="00990C65" w:rsidP="00990C65"/>
    <w:p w14:paraId="6CA95D52" w14:textId="278A5C34" w:rsidR="00B81CAC" w:rsidRPr="00CE2F22" w:rsidRDefault="00B81CAC" w:rsidP="00B81CAC">
      <w:pPr>
        <w:pStyle w:val="BodyText"/>
        <w:numPr>
          <w:ilvl w:val="0"/>
          <w:numId w:val="11"/>
        </w:numPr>
        <w:rPr>
          <w:lang w:val="en-AU"/>
        </w:rPr>
      </w:pPr>
      <w:r w:rsidRPr="00CE2F22">
        <w:rPr>
          <w:lang w:val="en-AU"/>
        </w:rPr>
        <w:t>Most participants considered their sexual and respectful relationships education to be inadequate and not preparing them well for sexual relationships.</w:t>
      </w:r>
    </w:p>
    <w:p w14:paraId="35D22A39" w14:textId="14BB2981" w:rsidR="00B81CAC" w:rsidRPr="00CE2F22" w:rsidRDefault="00B81CAC" w:rsidP="00B81CAC">
      <w:pPr>
        <w:pStyle w:val="BodyText"/>
        <w:numPr>
          <w:ilvl w:val="0"/>
          <w:numId w:val="11"/>
        </w:numPr>
        <w:rPr>
          <w:lang w:val="en-AU"/>
        </w:rPr>
      </w:pPr>
      <w:r w:rsidRPr="00CE2F22">
        <w:rPr>
          <w:lang w:val="en-AU"/>
        </w:rPr>
        <w:t>There was agreement that primary prevention efforts must be more intersectional to better target diverse forms of violence and account for the complex relationship between family, culture</w:t>
      </w:r>
      <w:r w:rsidR="00E21C51">
        <w:rPr>
          <w:lang w:val="en-AU"/>
        </w:rPr>
        <w:t xml:space="preserve">, </w:t>
      </w:r>
      <w:r w:rsidRPr="00CE2F22">
        <w:rPr>
          <w:lang w:val="en-AU"/>
        </w:rPr>
        <w:t>and gender in different communities.</w:t>
      </w:r>
    </w:p>
    <w:p w14:paraId="4BDA94A3" w14:textId="1B8515D9" w:rsidR="00B81CAC" w:rsidRPr="00CE2F22" w:rsidRDefault="00B81CAC" w:rsidP="00B81CAC">
      <w:pPr>
        <w:pStyle w:val="BodyText"/>
        <w:rPr>
          <w:lang w:val="en-AU"/>
        </w:rPr>
      </w:pPr>
    </w:p>
    <w:p w14:paraId="5F14C24A" w14:textId="77777777" w:rsidR="00B81CAC" w:rsidRPr="00CE2F22" w:rsidRDefault="00B81CAC" w:rsidP="00B81CAC">
      <w:pPr>
        <w:pStyle w:val="Heading3"/>
      </w:pPr>
    </w:p>
    <w:p w14:paraId="319F539B" w14:textId="18EEC213" w:rsidR="00B81CAC" w:rsidRPr="009A5B8A" w:rsidRDefault="00B81CAC" w:rsidP="009A5B8A">
      <w:pPr>
        <w:pStyle w:val="Heading2"/>
      </w:pPr>
      <w:bookmarkStart w:id="44" w:name="_Toc96091491"/>
      <w:bookmarkStart w:id="45" w:name="_Toc96092063"/>
      <w:r w:rsidRPr="009A5B8A">
        <w:t>Access to justice</w:t>
      </w:r>
      <w:bookmarkEnd w:id="44"/>
      <w:bookmarkEnd w:id="45"/>
    </w:p>
    <w:p w14:paraId="1A9810B9" w14:textId="77777777" w:rsidR="00990C65" w:rsidRPr="00990C65" w:rsidRDefault="00990C65" w:rsidP="00990C65"/>
    <w:p w14:paraId="7416E66A" w14:textId="7EF7A00E" w:rsidR="00B81CAC" w:rsidRPr="00CE2F22" w:rsidRDefault="00B81CAC" w:rsidP="00B81CAC">
      <w:pPr>
        <w:pStyle w:val="BodyText"/>
        <w:numPr>
          <w:ilvl w:val="0"/>
          <w:numId w:val="12"/>
        </w:numPr>
        <w:rPr>
          <w:lang w:val="en-AU"/>
        </w:rPr>
      </w:pPr>
      <w:r w:rsidRPr="00CE2F22">
        <w:rPr>
          <w:lang w:val="en-AU"/>
        </w:rPr>
        <w:t>A large majority of study participants said that their perpetrator was not held to account. Even when the victim-</w:t>
      </w:r>
      <w:r w:rsidR="00E21C51" w:rsidRPr="00CE2F22">
        <w:rPr>
          <w:lang w:val="en-AU"/>
        </w:rPr>
        <w:t>survivors’</w:t>
      </w:r>
      <w:r w:rsidRPr="00CE2F22">
        <w:rPr>
          <w:lang w:val="en-AU"/>
        </w:rPr>
        <w:t xml:space="preserve"> stories were believed, police and institutions were unwilling to hold perpetrators accountable.</w:t>
      </w:r>
    </w:p>
    <w:p w14:paraId="2D926D0A" w14:textId="135A1A3C" w:rsidR="00B81CAC" w:rsidRPr="00CE2F22" w:rsidRDefault="00B81CAC" w:rsidP="00B81CAC">
      <w:pPr>
        <w:pStyle w:val="BodyText"/>
        <w:numPr>
          <w:ilvl w:val="0"/>
          <w:numId w:val="12"/>
        </w:numPr>
        <w:rPr>
          <w:lang w:val="en-AU"/>
        </w:rPr>
      </w:pPr>
      <w:r w:rsidRPr="00CE2F22">
        <w:rPr>
          <w:lang w:val="en-AU"/>
        </w:rPr>
        <w:t>The lack of diversity within the courts, including entrenched forms of discrimination such as racism, works to disadvantage women from diverse backgrounds who enter the legal system.</w:t>
      </w:r>
    </w:p>
    <w:p w14:paraId="656DEE46" w14:textId="02AD2034" w:rsidR="00B81CAC" w:rsidRPr="00CE2F22" w:rsidRDefault="00B81CAC" w:rsidP="00B81CAC">
      <w:pPr>
        <w:pStyle w:val="BodyText"/>
        <w:numPr>
          <w:ilvl w:val="0"/>
          <w:numId w:val="12"/>
        </w:numPr>
        <w:rPr>
          <w:lang w:val="en-AU"/>
        </w:rPr>
      </w:pPr>
      <w:r w:rsidRPr="00CE2F22">
        <w:rPr>
          <w:lang w:val="en-AU"/>
        </w:rPr>
        <w:t>Young victim-survivors from diverse backgrounds view police as a potential source of danger rather than support, and young mothers described family court orders that put them and their children at greater risk of more violence by forcing contact with the abuser.</w:t>
      </w:r>
    </w:p>
    <w:p w14:paraId="455AE4DF" w14:textId="46B92B67" w:rsidR="00B81CAC" w:rsidRPr="00CE2F22" w:rsidRDefault="00B81CAC" w:rsidP="00B81CAC">
      <w:pPr>
        <w:pStyle w:val="BodyText"/>
        <w:numPr>
          <w:ilvl w:val="0"/>
          <w:numId w:val="12"/>
        </w:numPr>
        <w:rPr>
          <w:lang w:val="en-AU"/>
        </w:rPr>
      </w:pPr>
      <w:r w:rsidRPr="00CE2F22">
        <w:rPr>
          <w:lang w:val="en-AU"/>
        </w:rPr>
        <w:t>A particularly well-supported form of justice was transformative justice, focussing not only on repairing harm, but also on changing bigger structures like sexism, poverty, and racism that make violence possible.</w:t>
      </w:r>
    </w:p>
    <w:p w14:paraId="44040FB7" w14:textId="10326DE9" w:rsidR="00B81CAC" w:rsidRPr="00CE2F22" w:rsidRDefault="00B81CAC" w:rsidP="00B81CAC">
      <w:pPr>
        <w:pStyle w:val="BodyText"/>
        <w:numPr>
          <w:ilvl w:val="0"/>
          <w:numId w:val="12"/>
        </w:numPr>
        <w:rPr>
          <w:lang w:val="en-AU"/>
        </w:rPr>
      </w:pPr>
      <w:r w:rsidRPr="00CE2F22">
        <w:rPr>
          <w:lang w:val="en-AU"/>
        </w:rPr>
        <w:t xml:space="preserve">Many participants called for less police </w:t>
      </w:r>
      <w:r w:rsidR="00E21C51" w:rsidRPr="00CE2F22">
        <w:rPr>
          <w:lang w:val="en-AU"/>
        </w:rPr>
        <w:t>involvement and</w:t>
      </w:r>
      <w:r w:rsidRPr="00CE2F22">
        <w:rPr>
          <w:lang w:val="en-AU"/>
        </w:rPr>
        <w:t xml:space="preserve"> emphasised the need to boost the involvement of specialist services, social workers, psychologists and other multi- disciplinary health professionals in reporting, support services and justice approaches.</w:t>
      </w:r>
    </w:p>
    <w:p w14:paraId="52E85A6F" w14:textId="77777777" w:rsidR="00B81CAC" w:rsidRPr="00CE2F22" w:rsidRDefault="00B81CAC">
      <w:pPr>
        <w:spacing w:after="200" w:line="276" w:lineRule="auto"/>
        <w:rPr>
          <w:rFonts w:ascii="Open Sans" w:eastAsia="Open Sans" w:hAnsi="Open Sans" w:cs="Open Sans"/>
          <w:sz w:val="20"/>
          <w:szCs w:val="20"/>
        </w:rPr>
      </w:pPr>
      <w:r w:rsidRPr="00CE2F22">
        <w:br w:type="page"/>
      </w:r>
    </w:p>
    <w:p w14:paraId="65D2D062" w14:textId="24EDB6FA" w:rsidR="00B81CAC" w:rsidRPr="009A5B8A" w:rsidRDefault="00B81CAC" w:rsidP="009A5B8A">
      <w:pPr>
        <w:pStyle w:val="Heading1"/>
      </w:pPr>
      <w:bookmarkStart w:id="46" w:name="_Toc96092064"/>
      <w:r w:rsidRPr="009A5B8A">
        <w:t>WHO PARTICIPATED IN OUR SURVEY?</w:t>
      </w:r>
      <w:bookmarkEnd w:id="46"/>
    </w:p>
    <w:p w14:paraId="00DB9937" w14:textId="2BC9CFCA" w:rsidR="00B81CAC" w:rsidRPr="00CE2F22" w:rsidRDefault="00B81CAC" w:rsidP="009A5B8A">
      <w:pPr>
        <w:pStyle w:val="Heading2"/>
      </w:pPr>
      <w:bookmarkStart w:id="47" w:name="_Toc96092065"/>
      <w:r w:rsidRPr="00CE2F22">
        <w:t>Respondents</w:t>
      </w:r>
      <w:bookmarkEnd w:id="47"/>
    </w:p>
    <w:p w14:paraId="4D67ADC3" w14:textId="7615FB8F" w:rsidR="00B81CAC" w:rsidRPr="00CE2F22" w:rsidRDefault="00B81CAC" w:rsidP="00B81CAC">
      <w:pPr>
        <w:pStyle w:val="BodyText"/>
        <w:rPr>
          <w:lang w:val="en-AU"/>
        </w:rPr>
      </w:pPr>
      <w:r w:rsidRPr="00CE2F22">
        <w:rPr>
          <w:lang w:val="en-AU"/>
        </w:rPr>
        <w:t>The AWAVA survey of young women and non-binary people’s experience of violence and abuse was open between 27 April and 13 June 2021. A total of 301 people took the time to answer the survey. 260 (90.3%) of the respondents identifying as women, 31 (10.8%) non-binary people, and a further 10 (3.5%) people who specified ‘other’ as their gender identity.</w:t>
      </w:r>
    </w:p>
    <w:p w14:paraId="7835537E" w14:textId="2E7E4920" w:rsidR="00B81CAC" w:rsidRPr="00CE2F22" w:rsidRDefault="00B81CAC" w:rsidP="00B81CAC"/>
    <w:p w14:paraId="3DC80F91" w14:textId="77E91182" w:rsidR="00B03A7A" w:rsidRPr="00CE2F22" w:rsidRDefault="00B03A7A" w:rsidP="00B03A7A">
      <w:pPr>
        <w:rPr>
          <w:rFonts w:ascii="Open Sans" w:eastAsia="Open Sans" w:hAnsi="Open Sans" w:cs="Open Sans"/>
          <w:sz w:val="20"/>
          <w:szCs w:val="20"/>
        </w:rPr>
      </w:pPr>
      <w:r w:rsidRPr="00CE2F22">
        <w:rPr>
          <w:rFonts w:ascii="Open Sans" w:eastAsia="Open Sans" w:hAnsi="Open Sans" w:cs="Open Sans"/>
          <w:sz w:val="20"/>
          <w:szCs w:val="20"/>
        </w:rPr>
        <w:t>Respondents ranged in age from 15 to 32 years old, individuals and communities were represented including: First Nations people, LGBTIQA+ people, students, sex workers, migrants, refugees, people with disabilities, and people from culturally and linguistically diverse backgrounds.</w:t>
      </w:r>
    </w:p>
    <w:p w14:paraId="4351A1AF" w14:textId="77777777" w:rsidR="00E654F7" w:rsidRPr="00CE2F22" w:rsidRDefault="00E654F7" w:rsidP="00B03A7A">
      <w:pPr>
        <w:rPr>
          <w:rFonts w:ascii="Open Sans" w:eastAsia="Open Sans" w:hAnsi="Open Sans" w:cs="Open Sans"/>
          <w:sz w:val="20"/>
          <w:szCs w:val="20"/>
        </w:rPr>
      </w:pPr>
    </w:p>
    <w:p w14:paraId="08087B26" w14:textId="4919A559" w:rsidR="00E654F7" w:rsidRPr="00CE2F22" w:rsidRDefault="00B03A7A" w:rsidP="00E654F7">
      <w:pPr>
        <w:pStyle w:val="IntenseQuote"/>
      </w:pPr>
      <w:r w:rsidRPr="00CE2F22">
        <w:t>It is crucial that data on violence against young women and non-binary people</w:t>
      </w:r>
      <w:r w:rsidR="00E654F7" w:rsidRPr="00CE2F22">
        <w:t xml:space="preserve"> </w:t>
      </w:r>
      <w:r w:rsidRPr="00CE2F22">
        <w:t>captures the</w:t>
      </w:r>
      <w:r w:rsidR="00E654F7" w:rsidRPr="00CE2F22">
        <w:t xml:space="preserve"> experiences of diverse groups.</w:t>
      </w:r>
    </w:p>
    <w:p w14:paraId="059EA6F5" w14:textId="77777777" w:rsidR="00E654F7" w:rsidRPr="00CE2F22" w:rsidRDefault="00E654F7" w:rsidP="00E654F7">
      <w:pPr>
        <w:rPr>
          <w:rFonts w:ascii="Open Sans" w:eastAsia="Open Sans" w:hAnsi="Open Sans" w:cs="Open Sans"/>
          <w:sz w:val="20"/>
          <w:szCs w:val="20"/>
        </w:rPr>
      </w:pPr>
    </w:p>
    <w:p w14:paraId="48690931" w14:textId="2DB4A159" w:rsidR="00E654F7" w:rsidRPr="00CE2F22" w:rsidRDefault="00E654F7" w:rsidP="00E654F7">
      <w:pPr>
        <w:rPr>
          <w:rFonts w:ascii="Open Sans" w:eastAsia="Open Sans" w:hAnsi="Open Sans" w:cs="Open Sans"/>
          <w:sz w:val="20"/>
          <w:szCs w:val="20"/>
        </w:rPr>
      </w:pPr>
      <w:r w:rsidRPr="00CE2F22">
        <w:rPr>
          <w:rFonts w:ascii="Open Sans" w:eastAsia="Open Sans" w:hAnsi="Open Sans" w:cs="Open Sans"/>
          <w:sz w:val="20"/>
          <w:szCs w:val="20"/>
        </w:rPr>
        <w:t>Sixty per cent of survey respondents self-identified as lesbian, gay, transgender, intersex, or queer/ questioning (LGBTQI+), 28.4% noted they were living with financial stress or poverty, and 26.4% self-identified as having a disability. A small number of respondents were international students (0.8%), living on a temporary visa (1.2%), or refugees (2%).</w:t>
      </w:r>
    </w:p>
    <w:p w14:paraId="481611B7" w14:textId="04EE62BA" w:rsidR="00197C5B" w:rsidRPr="00F17BF6" w:rsidRDefault="00E654F7" w:rsidP="00F17BF6">
      <w:pPr>
        <w:rPr>
          <w:rFonts w:ascii="Open Sans" w:eastAsia="Open Sans" w:hAnsi="Open Sans" w:cs="Open Sans"/>
          <w:sz w:val="20"/>
          <w:szCs w:val="20"/>
        </w:rPr>
      </w:pPr>
      <w:r w:rsidRPr="00CE2F22">
        <w:rPr>
          <w:rFonts w:ascii="Open Sans" w:eastAsia="Open Sans" w:hAnsi="Open Sans" w:cs="Open Sans"/>
          <w:sz w:val="20"/>
          <w:szCs w:val="20"/>
        </w:rPr>
        <w:t>‘Other—Write in’ responses included experiencing/experienced homelessness, neurodivergence, multi-generational trauma, and history of drug addiction.</w:t>
      </w:r>
    </w:p>
    <w:tbl>
      <w:tblPr>
        <w:tblStyle w:val="TableGrid"/>
        <w:tblW w:w="5000" w:type="pct"/>
        <w:tblLook w:val="04A0" w:firstRow="1" w:lastRow="0" w:firstColumn="1" w:lastColumn="0" w:noHBand="0" w:noVBand="1"/>
      </w:tblPr>
      <w:tblGrid>
        <w:gridCol w:w="5412"/>
        <w:gridCol w:w="817"/>
        <w:gridCol w:w="1186"/>
        <w:gridCol w:w="488"/>
        <w:gridCol w:w="1447"/>
      </w:tblGrid>
      <w:tr w:rsidR="00547BD5" w:rsidRPr="007D5AAA" w14:paraId="3514EAEB" w14:textId="77777777" w:rsidTr="00547BD5">
        <w:tc>
          <w:tcPr>
            <w:tcW w:w="5000" w:type="pct"/>
            <w:gridSpan w:val="5"/>
            <w:vAlign w:val="center"/>
          </w:tcPr>
          <w:p w14:paraId="177315B8" w14:textId="5554F745" w:rsidR="00547BD5" w:rsidRPr="007D5AAA" w:rsidRDefault="00547BD5" w:rsidP="00F17BF6">
            <w:pPr>
              <w:pStyle w:val="BodyText"/>
              <w:rPr>
                <w:b/>
                <w:bCs/>
              </w:rPr>
            </w:pPr>
            <w:r w:rsidRPr="00197C5B">
              <w:rPr>
                <w:b/>
                <w:bCs/>
              </w:rPr>
              <w:t>Table 1.1: Personal characteristics of respondent</w:t>
            </w:r>
            <w:r w:rsidR="00F17BF6">
              <w:rPr>
                <w:b/>
                <w:bCs/>
              </w:rPr>
              <w:t>s</w:t>
            </w:r>
          </w:p>
        </w:tc>
      </w:tr>
      <w:tr w:rsidR="00547BD5" w:rsidRPr="007D5AAA" w14:paraId="60E26839" w14:textId="77777777" w:rsidTr="00547BD5">
        <w:tc>
          <w:tcPr>
            <w:tcW w:w="2894" w:type="pct"/>
            <w:vAlign w:val="center"/>
          </w:tcPr>
          <w:p w14:paraId="7E850040" w14:textId="77777777" w:rsidR="00547BD5" w:rsidRPr="007D5AAA" w:rsidRDefault="00547BD5" w:rsidP="009A5B8A">
            <w:pPr>
              <w:pStyle w:val="NoSpacing"/>
              <w:rPr>
                <w:rFonts w:ascii="Open Sans" w:hAnsi="Open Sans" w:cs="Open Sans"/>
                <w:sz w:val="20"/>
                <w:szCs w:val="20"/>
              </w:rPr>
            </w:pPr>
            <w:r w:rsidRPr="007D5AAA">
              <w:rPr>
                <w:rFonts w:ascii="Open Sans" w:hAnsi="Open Sans" w:cs="Open Sans"/>
                <w:sz w:val="20"/>
                <w:szCs w:val="20"/>
              </w:rPr>
              <w:t>Aboriginal and/or Torres Strait Islander </w:t>
            </w:r>
          </w:p>
        </w:tc>
        <w:tc>
          <w:tcPr>
            <w:tcW w:w="437" w:type="pct"/>
          </w:tcPr>
          <w:p w14:paraId="2C9D7758" w14:textId="28334BD5" w:rsidR="00547BD5" w:rsidRPr="00547BD5" w:rsidRDefault="00547BD5" w:rsidP="009A5B8A">
            <w:pPr>
              <w:pStyle w:val="NoSpacing"/>
              <w:jc w:val="center"/>
              <w:rPr>
                <w:rFonts w:ascii="Open Sans" w:hAnsi="Open Sans" w:cs="Open Sans"/>
                <w:b/>
                <w:bCs/>
                <w:sz w:val="20"/>
                <w:szCs w:val="20"/>
              </w:rPr>
            </w:pPr>
            <w:r w:rsidRPr="00547BD5">
              <w:rPr>
                <w:rFonts w:ascii="Open Sans" w:hAnsi="Open Sans" w:cs="Open Sans"/>
                <w:b/>
                <w:bCs/>
                <w:sz w:val="20"/>
                <w:szCs w:val="20"/>
              </w:rPr>
              <w:t>Count</w:t>
            </w:r>
          </w:p>
        </w:tc>
        <w:tc>
          <w:tcPr>
            <w:tcW w:w="634" w:type="pct"/>
            <w:vAlign w:val="center"/>
          </w:tcPr>
          <w:p w14:paraId="4F679102" w14:textId="75ADEE57" w:rsidR="00547BD5" w:rsidRPr="007D5AAA" w:rsidRDefault="00547BD5" w:rsidP="009A5B8A">
            <w:pPr>
              <w:pStyle w:val="NoSpacing"/>
              <w:jc w:val="center"/>
              <w:rPr>
                <w:rFonts w:ascii="Open Sans" w:hAnsi="Open Sans" w:cs="Open Sans"/>
                <w:sz w:val="20"/>
                <w:szCs w:val="20"/>
              </w:rPr>
            </w:pPr>
            <w:r w:rsidRPr="007D5AAA">
              <w:rPr>
                <w:rFonts w:ascii="Open Sans" w:hAnsi="Open Sans" w:cs="Open Sans"/>
                <w:sz w:val="20"/>
                <w:szCs w:val="20"/>
              </w:rPr>
              <w:t>18</w:t>
            </w:r>
          </w:p>
        </w:tc>
        <w:tc>
          <w:tcPr>
            <w:tcW w:w="261" w:type="pct"/>
          </w:tcPr>
          <w:p w14:paraId="0B2B405D" w14:textId="1F05A450" w:rsidR="00547BD5" w:rsidRPr="007D5AAA" w:rsidRDefault="00547BD5" w:rsidP="009A5B8A">
            <w:pPr>
              <w:pStyle w:val="NoSpacing"/>
              <w:jc w:val="center"/>
              <w:rPr>
                <w:rFonts w:ascii="Open Sans" w:hAnsi="Open Sans" w:cs="Open Sans"/>
                <w:sz w:val="20"/>
                <w:szCs w:val="20"/>
              </w:rPr>
            </w:pPr>
            <w:r w:rsidRPr="007D5AAA">
              <w:rPr>
                <w:rFonts w:ascii="Open Sans" w:hAnsi="Open Sans" w:cs="Open Sans"/>
                <w:b/>
                <w:bCs/>
                <w:sz w:val="20"/>
                <w:szCs w:val="20"/>
              </w:rPr>
              <w:t>%</w:t>
            </w:r>
          </w:p>
        </w:tc>
        <w:tc>
          <w:tcPr>
            <w:tcW w:w="774" w:type="pct"/>
            <w:vAlign w:val="center"/>
          </w:tcPr>
          <w:p w14:paraId="5332DA02" w14:textId="12C7844D" w:rsidR="00547BD5" w:rsidRPr="007D5AAA" w:rsidRDefault="00547BD5" w:rsidP="009A5B8A">
            <w:pPr>
              <w:pStyle w:val="NoSpacing"/>
              <w:jc w:val="center"/>
              <w:rPr>
                <w:rFonts w:ascii="Open Sans" w:hAnsi="Open Sans" w:cs="Open Sans"/>
                <w:sz w:val="20"/>
                <w:szCs w:val="20"/>
              </w:rPr>
            </w:pPr>
            <w:r w:rsidRPr="007D5AAA">
              <w:rPr>
                <w:rFonts w:ascii="Open Sans" w:hAnsi="Open Sans" w:cs="Open Sans"/>
                <w:sz w:val="20"/>
                <w:szCs w:val="20"/>
              </w:rPr>
              <w:t>7.2%</w:t>
            </w:r>
          </w:p>
        </w:tc>
      </w:tr>
      <w:tr w:rsidR="00547BD5" w:rsidRPr="007D5AAA" w14:paraId="26B0C846" w14:textId="77777777" w:rsidTr="00547BD5">
        <w:tc>
          <w:tcPr>
            <w:tcW w:w="2894" w:type="pct"/>
            <w:vAlign w:val="center"/>
          </w:tcPr>
          <w:p w14:paraId="68C54951" w14:textId="77777777" w:rsidR="00547BD5" w:rsidRPr="007D5AAA" w:rsidRDefault="00547BD5" w:rsidP="00547BD5">
            <w:pPr>
              <w:pStyle w:val="NoSpacing"/>
              <w:rPr>
                <w:rFonts w:ascii="Open Sans" w:hAnsi="Open Sans" w:cs="Open Sans"/>
                <w:sz w:val="20"/>
                <w:szCs w:val="20"/>
              </w:rPr>
            </w:pPr>
            <w:r w:rsidRPr="007D5AAA">
              <w:rPr>
                <w:rFonts w:ascii="Open Sans" w:hAnsi="Open Sans" w:cs="Open Sans"/>
                <w:sz w:val="20"/>
                <w:szCs w:val="20"/>
              </w:rPr>
              <w:t>From a culturally and linguistically diverse background </w:t>
            </w:r>
          </w:p>
        </w:tc>
        <w:tc>
          <w:tcPr>
            <w:tcW w:w="437" w:type="pct"/>
          </w:tcPr>
          <w:p w14:paraId="5E3BBB7F" w14:textId="7E5D26B5" w:rsidR="00547BD5" w:rsidRPr="007D5AAA" w:rsidRDefault="00547BD5" w:rsidP="00547BD5">
            <w:pPr>
              <w:pStyle w:val="NoSpacing"/>
              <w:jc w:val="center"/>
              <w:rPr>
                <w:rFonts w:ascii="Open Sans" w:hAnsi="Open Sans" w:cs="Open Sans"/>
                <w:sz w:val="20"/>
                <w:szCs w:val="20"/>
              </w:rPr>
            </w:pPr>
            <w:r w:rsidRPr="00547BD5">
              <w:rPr>
                <w:rFonts w:ascii="Open Sans" w:hAnsi="Open Sans" w:cs="Open Sans"/>
                <w:b/>
                <w:bCs/>
                <w:sz w:val="20"/>
                <w:szCs w:val="20"/>
              </w:rPr>
              <w:t>Count</w:t>
            </w:r>
          </w:p>
        </w:tc>
        <w:tc>
          <w:tcPr>
            <w:tcW w:w="634" w:type="pct"/>
            <w:vAlign w:val="center"/>
          </w:tcPr>
          <w:p w14:paraId="739A96DE" w14:textId="2FF828A3" w:rsidR="00547BD5" w:rsidRPr="007D5AAA" w:rsidRDefault="00547BD5" w:rsidP="00547BD5">
            <w:pPr>
              <w:pStyle w:val="NoSpacing"/>
              <w:jc w:val="center"/>
              <w:rPr>
                <w:rFonts w:ascii="Open Sans" w:hAnsi="Open Sans" w:cs="Open Sans"/>
                <w:sz w:val="20"/>
                <w:szCs w:val="20"/>
              </w:rPr>
            </w:pPr>
            <w:r w:rsidRPr="007D5AAA">
              <w:rPr>
                <w:rFonts w:ascii="Open Sans" w:hAnsi="Open Sans" w:cs="Open Sans"/>
                <w:sz w:val="20"/>
                <w:szCs w:val="20"/>
              </w:rPr>
              <w:t>44</w:t>
            </w:r>
          </w:p>
        </w:tc>
        <w:tc>
          <w:tcPr>
            <w:tcW w:w="261" w:type="pct"/>
          </w:tcPr>
          <w:p w14:paraId="5AC99768" w14:textId="61F3D329" w:rsidR="00547BD5" w:rsidRPr="007D5AAA" w:rsidRDefault="00547BD5" w:rsidP="00547BD5">
            <w:pPr>
              <w:pStyle w:val="NoSpacing"/>
              <w:jc w:val="center"/>
              <w:rPr>
                <w:rFonts w:ascii="Open Sans" w:hAnsi="Open Sans" w:cs="Open Sans"/>
                <w:sz w:val="20"/>
                <w:szCs w:val="20"/>
              </w:rPr>
            </w:pPr>
            <w:r w:rsidRPr="004C7C2E">
              <w:rPr>
                <w:rFonts w:ascii="Open Sans" w:hAnsi="Open Sans" w:cs="Open Sans"/>
                <w:b/>
                <w:bCs/>
                <w:sz w:val="20"/>
                <w:szCs w:val="20"/>
              </w:rPr>
              <w:t>%</w:t>
            </w:r>
          </w:p>
        </w:tc>
        <w:tc>
          <w:tcPr>
            <w:tcW w:w="774" w:type="pct"/>
            <w:vAlign w:val="center"/>
          </w:tcPr>
          <w:p w14:paraId="0C9AB8D0" w14:textId="1550E0B7" w:rsidR="00547BD5" w:rsidRPr="007D5AAA" w:rsidRDefault="00547BD5" w:rsidP="00547BD5">
            <w:pPr>
              <w:pStyle w:val="NoSpacing"/>
              <w:jc w:val="center"/>
              <w:rPr>
                <w:rFonts w:ascii="Open Sans" w:hAnsi="Open Sans" w:cs="Open Sans"/>
                <w:sz w:val="20"/>
                <w:szCs w:val="20"/>
              </w:rPr>
            </w:pPr>
            <w:r w:rsidRPr="007D5AAA">
              <w:rPr>
                <w:rFonts w:ascii="Open Sans" w:hAnsi="Open Sans" w:cs="Open Sans"/>
                <w:sz w:val="20"/>
                <w:szCs w:val="20"/>
              </w:rPr>
              <w:t>17.6%</w:t>
            </w:r>
          </w:p>
        </w:tc>
      </w:tr>
      <w:tr w:rsidR="00547BD5" w:rsidRPr="007D5AAA" w14:paraId="1B0042BC" w14:textId="77777777" w:rsidTr="00547BD5">
        <w:tc>
          <w:tcPr>
            <w:tcW w:w="2894" w:type="pct"/>
            <w:vAlign w:val="center"/>
          </w:tcPr>
          <w:p w14:paraId="66FFEE8F" w14:textId="77777777" w:rsidR="00547BD5" w:rsidRPr="007D5AAA" w:rsidRDefault="00547BD5" w:rsidP="00547BD5">
            <w:pPr>
              <w:pStyle w:val="NoSpacing"/>
              <w:rPr>
                <w:rFonts w:ascii="Open Sans" w:hAnsi="Open Sans" w:cs="Open Sans"/>
                <w:sz w:val="20"/>
                <w:szCs w:val="20"/>
              </w:rPr>
            </w:pPr>
            <w:r w:rsidRPr="007D5AAA">
              <w:rPr>
                <w:rFonts w:ascii="Open Sans" w:hAnsi="Open Sans" w:cs="Open Sans"/>
                <w:sz w:val="20"/>
                <w:szCs w:val="20"/>
              </w:rPr>
              <w:t>From a migrant background </w:t>
            </w:r>
          </w:p>
        </w:tc>
        <w:tc>
          <w:tcPr>
            <w:tcW w:w="437" w:type="pct"/>
          </w:tcPr>
          <w:p w14:paraId="4E4F7F67" w14:textId="56A2E3C4" w:rsidR="00547BD5" w:rsidRPr="007D5AAA" w:rsidRDefault="00547BD5" w:rsidP="00547BD5">
            <w:pPr>
              <w:pStyle w:val="NoSpacing"/>
              <w:jc w:val="center"/>
              <w:rPr>
                <w:rFonts w:ascii="Open Sans" w:hAnsi="Open Sans" w:cs="Open Sans"/>
                <w:sz w:val="20"/>
                <w:szCs w:val="20"/>
              </w:rPr>
            </w:pPr>
            <w:r w:rsidRPr="00547BD5">
              <w:rPr>
                <w:rFonts w:ascii="Open Sans" w:hAnsi="Open Sans" w:cs="Open Sans"/>
                <w:b/>
                <w:bCs/>
                <w:sz w:val="20"/>
                <w:szCs w:val="20"/>
              </w:rPr>
              <w:t>Count</w:t>
            </w:r>
          </w:p>
        </w:tc>
        <w:tc>
          <w:tcPr>
            <w:tcW w:w="634" w:type="pct"/>
            <w:vAlign w:val="center"/>
          </w:tcPr>
          <w:p w14:paraId="036FC895" w14:textId="3494DF83" w:rsidR="00547BD5" w:rsidRPr="007D5AAA" w:rsidRDefault="00547BD5" w:rsidP="00547BD5">
            <w:pPr>
              <w:pStyle w:val="NoSpacing"/>
              <w:jc w:val="center"/>
              <w:rPr>
                <w:rFonts w:ascii="Open Sans" w:hAnsi="Open Sans" w:cs="Open Sans"/>
                <w:sz w:val="20"/>
                <w:szCs w:val="20"/>
              </w:rPr>
            </w:pPr>
            <w:r w:rsidRPr="007D5AAA">
              <w:rPr>
                <w:rFonts w:ascii="Open Sans" w:hAnsi="Open Sans" w:cs="Open Sans"/>
                <w:sz w:val="20"/>
                <w:szCs w:val="20"/>
              </w:rPr>
              <w:t>37</w:t>
            </w:r>
          </w:p>
        </w:tc>
        <w:tc>
          <w:tcPr>
            <w:tcW w:w="261" w:type="pct"/>
          </w:tcPr>
          <w:p w14:paraId="76645D03" w14:textId="61F8C20E" w:rsidR="00547BD5" w:rsidRPr="007D5AAA" w:rsidRDefault="00547BD5" w:rsidP="00547BD5">
            <w:pPr>
              <w:pStyle w:val="NoSpacing"/>
              <w:jc w:val="center"/>
              <w:rPr>
                <w:rFonts w:ascii="Open Sans" w:hAnsi="Open Sans" w:cs="Open Sans"/>
                <w:sz w:val="20"/>
                <w:szCs w:val="20"/>
              </w:rPr>
            </w:pPr>
            <w:r w:rsidRPr="004C7C2E">
              <w:rPr>
                <w:rFonts w:ascii="Open Sans" w:hAnsi="Open Sans" w:cs="Open Sans"/>
                <w:b/>
                <w:bCs/>
                <w:sz w:val="20"/>
                <w:szCs w:val="20"/>
              </w:rPr>
              <w:t>%</w:t>
            </w:r>
          </w:p>
        </w:tc>
        <w:tc>
          <w:tcPr>
            <w:tcW w:w="774" w:type="pct"/>
            <w:vAlign w:val="center"/>
          </w:tcPr>
          <w:p w14:paraId="726EAD6E" w14:textId="02C26333" w:rsidR="00547BD5" w:rsidRPr="007D5AAA" w:rsidRDefault="00547BD5" w:rsidP="00547BD5">
            <w:pPr>
              <w:pStyle w:val="NoSpacing"/>
              <w:jc w:val="center"/>
              <w:rPr>
                <w:rFonts w:ascii="Open Sans" w:hAnsi="Open Sans" w:cs="Open Sans"/>
                <w:sz w:val="20"/>
                <w:szCs w:val="20"/>
              </w:rPr>
            </w:pPr>
            <w:r w:rsidRPr="007D5AAA">
              <w:rPr>
                <w:rFonts w:ascii="Open Sans" w:hAnsi="Open Sans" w:cs="Open Sans"/>
                <w:sz w:val="20"/>
                <w:szCs w:val="20"/>
              </w:rPr>
              <w:t>14.8%</w:t>
            </w:r>
          </w:p>
        </w:tc>
      </w:tr>
      <w:tr w:rsidR="00547BD5" w:rsidRPr="007D5AAA" w14:paraId="1CDB176B" w14:textId="77777777" w:rsidTr="00547BD5">
        <w:tc>
          <w:tcPr>
            <w:tcW w:w="2894" w:type="pct"/>
            <w:vAlign w:val="center"/>
          </w:tcPr>
          <w:p w14:paraId="740CDDD1" w14:textId="77777777" w:rsidR="00547BD5" w:rsidRPr="007D5AAA" w:rsidRDefault="00547BD5" w:rsidP="00547BD5">
            <w:pPr>
              <w:pStyle w:val="NoSpacing"/>
              <w:rPr>
                <w:rFonts w:ascii="Open Sans" w:hAnsi="Open Sans" w:cs="Open Sans"/>
                <w:sz w:val="20"/>
                <w:szCs w:val="20"/>
              </w:rPr>
            </w:pPr>
            <w:r w:rsidRPr="007D5AAA">
              <w:rPr>
                <w:rFonts w:ascii="Open Sans" w:hAnsi="Open Sans" w:cs="Open Sans"/>
                <w:sz w:val="20"/>
                <w:szCs w:val="20"/>
              </w:rPr>
              <w:t>On a temporary visa </w:t>
            </w:r>
          </w:p>
        </w:tc>
        <w:tc>
          <w:tcPr>
            <w:tcW w:w="437" w:type="pct"/>
          </w:tcPr>
          <w:p w14:paraId="163B67D3" w14:textId="4208B357" w:rsidR="00547BD5" w:rsidRPr="007D5AAA" w:rsidRDefault="00547BD5" w:rsidP="00547BD5">
            <w:pPr>
              <w:pStyle w:val="NoSpacing"/>
              <w:jc w:val="center"/>
              <w:rPr>
                <w:rFonts w:ascii="Open Sans" w:hAnsi="Open Sans" w:cs="Open Sans"/>
                <w:sz w:val="20"/>
                <w:szCs w:val="20"/>
              </w:rPr>
            </w:pPr>
            <w:r w:rsidRPr="00547BD5">
              <w:rPr>
                <w:rFonts w:ascii="Open Sans" w:hAnsi="Open Sans" w:cs="Open Sans"/>
                <w:b/>
                <w:bCs/>
                <w:sz w:val="20"/>
                <w:szCs w:val="20"/>
              </w:rPr>
              <w:t>Count</w:t>
            </w:r>
          </w:p>
        </w:tc>
        <w:tc>
          <w:tcPr>
            <w:tcW w:w="634" w:type="pct"/>
            <w:vAlign w:val="center"/>
          </w:tcPr>
          <w:p w14:paraId="2CA68B9F" w14:textId="5AD771F3" w:rsidR="00547BD5" w:rsidRPr="007D5AAA" w:rsidRDefault="00547BD5" w:rsidP="00547BD5">
            <w:pPr>
              <w:pStyle w:val="NoSpacing"/>
              <w:jc w:val="center"/>
              <w:rPr>
                <w:rFonts w:ascii="Open Sans" w:hAnsi="Open Sans" w:cs="Open Sans"/>
                <w:sz w:val="20"/>
                <w:szCs w:val="20"/>
              </w:rPr>
            </w:pPr>
            <w:r w:rsidRPr="007D5AAA">
              <w:rPr>
                <w:rFonts w:ascii="Open Sans" w:hAnsi="Open Sans" w:cs="Open Sans"/>
                <w:sz w:val="20"/>
                <w:szCs w:val="20"/>
              </w:rPr>
              <w:t>3</w:t>
            </w:r>
          </w:p>
        </w:tc>
        <w:tc>
          <w:tcPr>
            <w:tcW w:w="261" w:type="pct"/>
          </w:tcPr>
          <w:p w14:paraId="5D18C237" w14:textId="1F397E16" w:rsidR="00547BD5" w:rsidRPr="007D5AAA" w:rsidRDefault="00547BD5" w:rsidP="00547BD5">
            <w:pPr>
              <w:pStyle w:val="NoSpacing"/>
              <w:jc w:val="center"/>
              <w:rPr>
                <w:rFonts w:ascii="Open Sans" w:hAnsi="Open Sans" w:cs="Open Sans"/>
                <w:sz w:val="20"/>
                <w:szCs w:val="20"/>
              </w:rPr>
            </w:pPr>
            <w:r w:rsidRPr="004C7C2E">
              <w:rPr>
                <w:rFonts w:ascii="Open Sans" w:hAnsi="Open Sans" w:cs="Open Sans"/>
                <w:b/>
                <w:bCs/>
                <w:sz w:val="20"/>
                <w:szCs w:val="20"/>
              </w:rPr>
              <w:t>%</w:t>
            </w:r>
          </w:p>
        </w:tc>
        <w:tc>
          <w:tcPr>
            <w:tcW w:w="774" w:type="pct"/>
            <w:vAlign w:val="center"/>
          </w:tcPr>
          <w:p w14:paraId="0C470D6F" w14:textId="035132DC" w:rsidR="00547BD5" w:rsidRPr="007D5AAA" w:rsidRDefault="00547BD5" w:rsidP="00547BD5">
            <w:pPr>
              <w:pStyle w:val="NoSpacing"/>
              <w:jc w:val="center"/>
              <w:rPr>
                <w:rFonts w:ascii="Open Sans" w:hAnsi="Open Sans" w:cs="Open Sans"/>
                <w:sz w:val="20"/>
                <w:szCs w:val="20"/>
              </w:rPr>
            </w:pPr>
            <w:r w:rsidRPr="007D5AAA">
              <w:rPr>
                <w:rFonts w:ascii="Open Sans" w:hAnsi="Open Sans" w:cs="Open Sans"/>
                <w:sz w:val="20"/>
                <w:szCs w:val="20"/>
              </w:rPr>
              <w:t>1.2%</w:t>
            </w:r>
          </w:p>
        </w:tc>
      </w:tr>
      <w:tr w:rsidR="00547BD5" w:rsidRPr="007D5AAA" w14:paraId="44809E7F" w14:textId="77777777" w:rsidTr="00547BD5">
        <w:tc>
          <w:tcPr>
            <w:tcW w:w="2894" w:type="pct"/>
            <w:vAlign w:val="center"/>
          </w:tcPr>
          <w:p w14:paraId="1C1E3146" w14:textId="77777777" w:rsidR="00547BD5" w:rsidRPr="007D5AAA" w:rsidRDefault="00547BD5" w:rsidP="00547BD5">
            <w:pPr>
              <w:pStyle w:val="NoSpacing"/>
              <w:rPr>
                <w:rFonts w:ascii="Open Sans" w:hAnsi="Open Sans" w:cs="Open Sans"/>
                <w:sz w:val="20"/>
                <w:szCs w:val="20"/>
              </w:rPr>
            </w:pPr>
            <w:r w:rsidRPr="007D5AAA">
              <w:rPr>
                <w:rFonts w:ascii="Open Sans" w:hAnsi="Open Sans" w:cs="Open Sans"/>
                <w:sz w:val="20"/>
                <w:szCs w:val="20"/>
              </w:rPr>
              <w:t>From a refugee background </w:t>
            </w:r>
          </w:p>
        </w:tc>
        <w:tc>
          <w:tcPr>
            <w:tcW w:w="437" w:type="pct"/>
          </w:tcPr>
          <w:p w14:paraId="3603B84D" w14:textId="62D4E1FA" w:rsidR="00547BD5" w:rsidRPr="007D5AAA" w:rsidRDefault="00547BD5" w:rsidP="00547BD5">
            <w:pPr>
              <w:pStyle w:val="NoSpacing"/>
              <w:jc w:val="center"/>
              <w:rPr>
                <w:rFonts w:ascii="Open Sans" w:hAnsi="Open Sans" w:cs="Open Sans"/>
                <w:sz w:val="20"/>
                <w:szCs w:val="20"/>
              </w:rPr>
            </w:pPr>
            <w:r w:rsidRPr="00547BD5">
              <w:rPr>
                <w:rFonts w:ascii="Open Sans" w:hAnsi="Open Sans" w:cs="Open Sans"/>
                <w:b/>
                <w:bCs/>
                <w:sz w:val="20"/>
                <w:szCs w:val="20"/>
              </w:rPr>
              <w:t>Count</w:t>
            </w:r>
          </w:p>
        </w:tc>
        <w:tc>
          <w:tcPr>
            <w:tcW w:w="634" w:type="pct"/>
            <w:vAlign w:val="center"/>
          </w:tcPr>
          <w:p w14:paraId="4D551642" w14:textId="000AB664" w:rsidR="00547BD5" w:rsidRPr="007D5AAA" w:rsidRDefault="00547BD5" w:rsidP="00547BD5">
            <w:pPr>
              <w:pStyle w:val="NoSpacing"/>
              <w:jc w:val="center"/>
              <w:rPr>
                <w:rFonts w:ascii="Open Sans" w:hAnsi="Open Sans" w:cs="Open Sans"/>
                <w:sz w:val="20"/>
                <w:szCs w:val="20"/>
              </w:rPr>
            </w:pPr>
            <w:r w:rsidRPr="007D5AAA">
              <w:rPr>
                <w:rFonts w:ascii="Open Sans" w:hAnsi="Open Sans" w:cs="Open Sans"/>
                <w:sz w:val="20"/>
                <w:szCs w:val="20"/>
              </w:rPr>
              <w:t>5</w:t>
            </w:r>
          </w:p>
        </w:tc>
        <w:tc>
          <w:tcPr>
            <w:tcW w:w="261" w:type="pct"/>
          </w:tcPr>
          <w:p w14:paraId="32909AF4" w14:textId="7BA6D427" w:rsidR="00547BD5" w:rsidRPr="007D5AAA" w:rsidRDefault="00547BD5" w:rsidP="00547BD5">
            <w:pPr>
              <w:pStyle w:val="NoSpacing"/>
              <w:jc w:val="center"/>
              <w:rPr>
                <w:rFonts w:ascii="Open Sans" w:hAnsi="Open Sans" w:cs="Open Sans"/>
                <w:sz w:val="20"/>
                <w:szCs w:val="20"/>
              </w:rPr>
            </w:pPr>
            <w:r w:rsidRPr="004C7C2E">
              <w:rPr>
                <w:rFonts w:ascii="Open Sans" w:hAnsi="Open Sans" w:cs="Open Sans"/>
                <w:b/>
                <w:bCs/>
                <w:sz w:val="20"/>
                <w:szCs w:val="20"/>
              </w:rPr>
              <w:t>%</w:t>
            </w:r>
          </w:p>
        </w:tc>
        <w:tc>
          <w:tcPr>
            <w:tcW w:w="774" w:type="pct"/>
            <w:vAlign w:val="center"/>
          </w:tcPr>
          <w:p w14:paraId="5443B4EC" w14:textId="19DF9CD7" w:rsidR="00547BD5" w:rsidRPr="007D5AAA" w:rsidRDefault="00547BD5" w:rsidP="00547BD5">
            <w:pPr>
              <w:pStyle w:val="NoSpacing"/>
              <w:jc w:val="center"/>
              <w:rPr>
                <w:rFonts w:ascii="Open Sans" w:hAnsi="Open Sans" w:cs="Open Sans"/>
                <w:sz w:val="20"/>
                <w:szCs w:val="20"/>
              </w:rPr>
            </w:pPr>
            <w:r w:rsidRPr="007D5AAA">
              <w:rPr>
                <w:rFonts w:ascii="Open Sans" w:hAnsi="Open Sans" w:cs="Open Sans"/>
                <w:sz w:val="20"/>
                <w:szCs w:val="20"/>
              </w:rPr>
              <w:t>2.00%</w:t>
            </w:r>
          </w:p>
        </w:tc>
      </w:tr>
      <w:tr w:rsidR="00547BD5" w:rsidRPr="007D5AAA" w14:paraId="524C4619" w14:textId="77777777" w:rsidTr="00547BD5">
        <w:tc>
          <w:tcPr>
            <w:tcW w:w="2894" w:type="pct"/>
            <w:vAlign w:val="center"/>
          </w:tcPr>
          <w:p w14:paraId="154D4309" w14:textId="77777777" w:rsidR="00547BD5" w:rsidRPr="007D5AAA" w:rsidRDefault="00547BD5" w:rsidP="00547BD5">
            <w:pPr>
              <w:pStyle w:val="NoSpacing"/>
              <w:rPr>
                <w:rFonts w:ascii="Open Sans" w:hAnsi="Open Sans" w:cs="Open Sans"/>
                <w:sz w:val="20"/>
                <w:szCs w:val="20"/>
              </w:rPr>
            </w:pPr>
            <w:r w:rsidRPr="007D5AAA">
              <w:rPr>
                <w:rFonts w:ascii="Open Sans" w:hAnsi="Open Sans" w:cs="Open Sans"/>
                <w:sz w:val="20"/>
                <w:szCs w:val="20"/>
              </w:rPr>
              <w:t>Lesbian, Gay, Transgender, Intersex or Queer/Questioning (LGBTIQ+) </w:t>
            </w:r>
          </w:p>
        </w:tc>
        <w:tc>
          <w:tcPr>
            <w:tcW w:w="437" w:type="pct"/>
          </w:tcPr>
          <w:p w14:paraId="7F8390A1" w14:textId="1BEE17B4" w:rsidR="00547BD5" w:rsidRPr="007D5AAA" w:rsidRDefault="00547BD5" w:rsidP="00547BD5">
            <w:pPr>
              <w:pStyle w:val="NoSpacing"/>
              <w:jc w:val="center"/>
              <w:rPr>
                <w:rFonts w:ascii="Open Sans" w:hAnsi="Open Sans" w:cs="Open Sans"/>
                <w:sz w:val="20"/>
                <w:szCs w:val="20"/>
              </w:rPr>
            </w:pPr>
            <w:r w:rsidRPr="00547BD5">
              <w:rPr>
                <w:rFonts w:ascii="Open Sans" w:hAnsi="Open Sans" w:cs="Open Sans"/>
                <w:b/>
                <w:bCs/>
                <w:sz w:val="20"/>
                <w:szCs w:val="20"/>
              </w:rPr>
              <w:t>Count</w:t>
            </w:r>
          </w:p>
        </w:tc>
        <w:tc>
          <w:tcPr>
            <w:tcW w:w="634" w:type="pct"/>
            <w:vAlign w:val="center"/>
          </w:tcPr>
          <w:p w14:paraId="50115C07" w14:textId="47C22EA0" w:rsidR="00547BD5" w:rsidRPr="007D5AAA" w:rsidRDefault="00547BD5" w:rsidP="00547BD5">
            <w:pPr>
              <w:pStyle w:val="NoSpacing"/>
              <w:jc w:val="center"/>
              <w:rPr>
                <w:rFonts w:ascii="Open Sans" w:hAnsi="Open Sans" w:cs="Open Sans"/>
                <w:sz w:val="20"/>
                <w:szCs w:val="20"/>
              </w:rPr>
            </w:pPr>
            <w:r w:rsidRPr="007D5AAA">
              <w:rPr>
                <w:rFonts w:ascii="Open Sans" w:hAnsi="Open Sans" w:cs="Open Sans"/>
                <w:sz w:val="20"/>
                <w:szCs w:val="20"/>
              </w:rPr>
              <w:t>155</w:t>
            </w:r>
          </w:p>
        </w:tc>
        <w:tc>
          <w:tcPr>
            <w:tcW w:w="261" w:type="pct"/>
          </w:tcPr>
          <w:p w14:paraId="2CD02EF2" w14:textId="4A25C4EB" w:rsidR="00547BD5" w:rsidRPr="007D5AAA" w:rsidRDefault="00547BD5" w:rsidP="00547BD5">
            <w:pPr>
              <w:pStyle w:val="NoSpacing"/>
              <w:jc w:val="center"/>
              <w:rPr>
                <w:rFonts w:ascii="Open Sans" w:hAnsi="Open Sans" w:cs="Open Sans"/>
                <w:sz w:val="20"/>
                <w:szCs w:val="20"/>
              </w:rPr>
            </w:pPr>
            <w:r w:rsidRPr="004C7C2E">
              <w:rPr>
                <w:rFonts w:ascii="Open Sans" w:hAnsi="Open Sans" w:cs="Open Sans"/>
                <w:b/>
                <w:bCs/>
                <w:sz w:val="20"/>
                <w:szCs w:val="20"/>
              </w:rPr>
              <w:t>%</w:t>
            </w:r>
          </w:p>
        </w:tc>
        <w:tc>
          <w:tcPr>
            <w:tcW w:w="774" w:type="pct"/>
            <w:vAlign w:val="center"/>
          </w:tcPr>
          <w:p w14:paraId="45045561" w14:textId="70955AFA" w:rsidR="00547BD5" w:rsidRPr="007D5AAA" w:rsidRDefault="00547BD5" w:rsidP="00547BD5">
            <w:pPr>
              <w:pStyle w:val="NoSpacing"/>
              <w:jc w:val="center"/>
              <w:rPr>
                <w:rFonts w:ascii="Open Sans" w:hAnsi="Open Sans" w:cs="Open Sans"/>
                <w:sz w:val="20"/>
                <w:szCs w:val="20"/>
              </w:rPr>
            </w:pPr>
            <w:r w:rsidRPr="007D5AAA">
              <w:rPr>
                <w:rFonts w:ascii="Open Sans" w:hAnsi="Open Sans" w:cs="Open Sans"/>
                <w:sz w:val="20"/>
                <w:szCs w:val="20"/>
              </w:rPr>
              <w:t>62%</w:t>
            </w:r>
          </w:p>
        </w:tc>
      </w:tr>
      <w:tr w:rsidR="00547BD5" w:rsidRPr="007D5AAA" w14:paraId="1F72A5FE" w14:textId="77777777" w:rsidTr="00547BD5">
        <w:tc>
          <w:tcPr>
            <w:tcW w:w="2894" w:type="pct"/>
            <w:vAlign w:val="center"/>
          </w:tcPr>
          <w:p w14:paraId="532A2172" w14:textId="77777777" w:rsidR="00547BD5" w:rsidRPr="007D5AAA" w:rsidRDefault="00547BD5" w:rsidP="00547BD5">
            <w:pPr>
              <w:pStyle w:val="NoSpacing"/>
              <w:rPr>
                <w:rFonts w:ascii="Open Sans" w:hAnsi="Open Sans" w:cs="Open Sans"/>
                <w:sz w:val="20"/>
                <w:szCs w:val="20"/>
              </w:rPr>
            </w:pPr>
            <w:r w:rsidRPr="007D5AAA">
              <w:rPr>
                <w:rFonts w:ascii="Open Sans" w:hAnsi="Open Sans" w:cs="Open Sans"/>
                <w:sz w:val="20"/>
                <w:szCs w:val="20"/>
              </w:rPr>
              <w:t>Have a disability </w:t>
            </w:r>
          </w:p>
        </w:tc>
        <w:tc>
          <w:tcPr>
            <w:tcW w:w="437" w:type="pct"/>
          </w:tcPr>
          <w:p w14:paraId="29BB0B27" w14:textId="18100CBD" w:rsidR="00547BD5" w:rsidRPr="007D5AAA" w:rsidRDefault="00547BD5" w:rsidP="00547BD5">
            <w:pPr>
              <w:pStyle w:val="NoSpacing"/>
              <w:jc w:val="center"/>
              <w:rPr>
                <w:rFonts w:ascii="Open Sans" w:hAnsi="Open Sans" w:cs="Open Sans"/>
                <w:sz w:val="20"/>
                <w:szCs w:val="20"/>
              </w:rPr>
            </w:pPr>
            <w:r w:rsidRPr="00547BD5">
              <w:rPr>
                <w:rFonts w:ascii="Open Sans" w:hAnsi="Open Sans" w:cs="Open Sans"/>
                <w:b/>
                <w:bCs/>
                <w:sz w:val="20"/>
                <w:szCs w:val="20"/>
              </w:rPr>
              <w:t>Count</w:t>
            </w:r>
          </w:p>
        </w:tc>
        <w:tc>
          <w:tcPr>
            <w:tcW w:w="634" w:type="pct"/>
            <w:vAlign w:val="center"/>
          </w:tcPr>
          <w:p w14:paraId="1251EFA1" w14:textId="75506EE4" w:rsidR="00547BD5" w:rsidRPr="007D5AAA" w:rsidRDefault="00547BD5" w:rsidP="00547BD5">
            <w:pPr>
              <w:pStyle w:val="NoSpacing"/>
              <w:jc w:val="center"/>
              <w:rPr>
                <w:rFonts w:ascii="Open Sans" w:hAnsi="Open Sans" w:cs="Open Sans"/>
                <w:sz w:val="20"/>
                <w:szCs w:val="20"/>
              </w:rPr>
            </w:pPr>
            <w:r w:rsidRPr="007D5AAA">
              <w:rPr>
                <w:rFonts w:ascii="Open Sans" w:hAnsi="Open Sans" w:cs="Open Sans"/>
                <w:sz w:val="20"/>
                <w:szCs w:val="20"/>
              </w:rPr>
              <w:t>66</w:t>
            </w:r>
          </w:p>
        </w:tc>
        <w:tc>
          <w:tcPr>
            <w:tcW w:w="261" w:type="pct"/>
          </w:tcPr>
          <w:p w14:paraId="74C89DB0" w14:textId="260042D0" w:rsidR="00547BD5" w:rsidRPr="007D5AAA" w:rsidRDefault="00547BD5" w:rsidP="00547BD5">
            <w:pPr>
              <w:pStyle w:val="NoSpacing"/>
              <w:jc w:val="center"/>
              <w:rPr>
                <w:rFonts w:ascii="Open Sans" w:hAnsi="Open Sans" w:cs="Open Sans"/>
                <w:sz w:val="20"/>
                <w:szCs w:val="20"/>
              </w:rPr>
            </w:pPr>
            <w:r w:rsidRPr="004C7C2E">
              <w:rPr>
                <w:rFonts w:ascii="Open Sans" w:hAnsi="Open Sans" w:cs="Open Sans"/>
                <w:b/>
                <w:bCs/>
                <w:sz w:val="20"/>
                <w:szCs w:val="20"/>
              </w:rPr>
              <w:t>%</w:t>
            </w:r>
          </w:p>
        </w:tc>
        <w:tc>
          <w:tcPr>
            <w:tcW w:w="774" w:type="pct"/>
            <w:vAlign w:val="center"/>
          </w:tcPr>
          <w:p w14:paraId="6C62A577" w14:textId="49A5B2C9" w:rsidR="00547BD5" w:rsidRPr="007D5AAA" w:rsidRDefault="00547BD5" w:rsidP="00547BD5">
            <w:pPr>
              <w:pStyle w:val="NoSpacing"/>
              <w:jc w:val="center"/>
              <w:rPr>
                <w:rFonts w:ascii="Open Sans" w:hAnsi="Open Sans" w:cs="Open Sans"/>
                <w:sz w:val="20"/>
                <w:szCs w:val="20"/>
              </w:rPr>
            </w:pPr>
            <w:r w:rsidRPr="007D5AAA">
              <w:rPr>
                <w:rFonts w:ascii="Open Sans" w:hAnsi="Open Sans" w:cs="Open Sans"/>
                <w:sz w:val="20"/>
                <w:szCs w:val="20"/>
              </w:rPr>
              <w:t>26.4%</w:t>
            </w:r>
          </w:p>
        </w:tc>
      </w:tr>
      <w:tr w:rsidR="00547BD5" w:rsidRPr="007D5AAA" w14:paraId="38CB5206" w14:textId="77777777" w:rsidTr="00547BD5">
        <w:tc>
          <w:tcPr>
            <w:tcW w:w="2894" w:type="pct"/>
            <w:vAlign w:val="center"/>
          </w:tcPr>
          <w:p w14:paraId="0C56BA26" w14:textId="77777777" w:rsidR="00547BD5" w:rsidRPr="007D5AAA" w:rsidRDefault="00547BD5" w:rsidP="00547BD5">
            <w:pPr>
              <w:pStyle w:val="NoSpacing"/>
              <w:rPr>
                <w:rFonts w:ascii="Open Sans" w:hAnsi="Open Sans" w:cs="Open Sans"/>
                <w:sz w:val="20"/>
                <w:szCs w:val="20"/>
              </w:rPr>
            </w:pPr>
            <w:r w:rsidRPr="007D5AAA">
              <w:rPr>
                <w:rFonts w:ascii="Open Sans" w:hAnsi="Open Sans" w:cs="Open Sans"/>
                <w:sz w:val="20"/>
                <w:szCs w:val="20"/>
              </w:rPr>
              <w:t>Living with psychosocial disability or mental illness </w:t>
            </w:r>
          </w:p>
        </w:tc>
        <w:tc>
          <w:tcPr>
            <w:tcW w:w="437" w:type="pct"/>
          </w:tcPr>
          <w:p w14:paraId="45CE7BF4" w14:textId="3AC578EA" w:rsidR="00547BD5" w:rsidRPr="007D5AAA" w:rsidRDefault="00547BD5" w:rsidP="00547BD5">
            <w:pPr>
              <w:pStyle w:val="NoSpacing"/>
              <w:jc w:val="center"/>
              <w:rPr>
                <w:rFonts w:ascii="Open Sans" w:hAnsi="Open Sans" w:cs="Open Sans"/>
                <w:sz w:val="20"/>
                <w:szCs w:val="20"/>
              </w:rPr>
            </w:pPr>
            <w:r w:rsidRPr="00547BD5">
              <w:rPr>
                <w:rFonts w:ascii="Open Sans" w:hAnsi="Open Sans" w:cs="Open Sans"/>
                <w:b/>
                <w:bCs/>
                <w:sz w:val="20"/>
                <w:szCs w:val="20"/>
              </w:rPr>
              <w:t>Count</w:t>
            </w:r>
          </w:p>
        </w:tc>
        <w:tc>
          <w:tcPr>
            <w:tcW w:w="634" w:type="pct"/>
            <w:vAlign w:val="center"/>
          </w:tcPr>
          <w:p w14:paraId="762FF21B" w14:textId="07A7A76C" w:rsidR="00547BD5" w:rsidRPr="007D5AAA" w:rsidRDefault="00547BD5" w:rsidP="00547BD5">
            <w:pPr>
              <w:pStyle w:val="NoSpacing"/>
              <w:jc w:val="center"/>
              <w:rPr>
                <w:rFonts w:ascii="Open Sans" w:hAnsi="Open Sans" w:cs="Open Sans"/>
                <w:sz w:val="20"/>
                <w:szCs w:val="20"/>
              </w:rPr>
            </w:pPr>
            <w:r w:rsidRPr="007D5AAA">
              <w:rPr>
                <w:rFonts w:ascii="Open Sans" w:hAnsi="Open Sans" w:cs="Open Sans"/>
                <w:sz w:val="20"/>
                <w:szCs w:val="20"/>
              </w:rPr>
              <w:t>140</w:t>
            </w:r>
          </w:p>
        </w:tc>
        <w:tc>
          <w:tcPr>
            <w:tcW w:w="261" w:type="pct"/>
          </w:tcPr>
          <w:p w14:paraId="3CC24D3A" w14:textId="730FFE6D" w:rsidR="00547BD5" w:rsidRPr="007D5AAA" w:rsidRDefault="00547BD5" w:rsidP="00547BD5">
            <w:pPr>
              <w:pStyle w:val="NoSpacing"/>
              <w:jc w:val="center"/>
              <w:rPr>
                <w:rFonts w:ascii="Open Sans" w:hAnsi="Open Sans" w:cs="Open Sans"/>
                <w:sz w:val="20"/>
                <w:szCs w:val="20"/>
              </w:rPr>
            </w:pPr>
            <w:r w:rsidRPr="004C7C2E">
              <w:rPr>
                <w:rFonts w:ascii="Open Sans" w:hAnsi="Open Sans" w:cs="Open Sans"/>
                <w:b/>
                <w:bCs/>
                <w:sz w:val="20"/>
                <w:szCs w:val="20"/>
              </w:rPr>
              <w:t>%</w:t>
            </w:r>
          </w:p>
        </w:tc>
        <w:tc>
          <w:tcPr>
            <w:tcW w:w="774" w:type="pct"/>
            <w:vAlign w:val="center"/>
          </w:tcPr>
          <w:p w14:paraId="2867FFC1" w14:textId="4F564C84" w:rsidR="00547BD5" w:rsidRPr="007D5AAA" w:rsidRDefault="00547BD5" w:rsidP="00547BD5">
            <w:pPr>
              <w:pStyle w:val="NoSpacing"/>
              <w:jc w:val="center"/>
              <w:rPr>
                <w:rFonts w:ascii="Open Sans" w:hAnsi="Open Sans" w:cs="Open Sans"/>
                <w:sz w:val="20"/>
                <w:szCs w:val="20"/>
              </w:rPr>
            </w:pPr>
            <w:r w:rsidRPr="007D5AAA">
              <w:rPr>
                <w:rFonts w:ascii="Open Sans" w:hAnsi="Open Sans" w:cs="Open Sans"/>
                <w:sz w:val="20"/>
                <w:szCs w:val="20"/>
              </w:rPr>
              <w:t>56%</w:t>
            </w:r>
          </w:p>
        </w:tc>
      </w:tr>
      <w:tr w:rsidR="00547BD5" w:rsidRPr="007D5AAA" w14:paraId="61E09ADB" w14:textId="77777777" w:rsidTr="00547BD5">
        <w:tc>
          <w:tcPr>
            <w:tcW w:w="2894" w:type="pct"/>
            <w:vAlign w:val="center"/>
          </w:tcPr>
          <w:p w14:paraId="6B1691E2" w14:textId="77777777" w:rsidR="00547BD5" w:rsidRPr="007D5AAA" w:rsidRDefault="00547BD5" w:rsidP="00547BD5">
            <w:pPr>
              <w:pStyle w:val="NoSpacing"/>
              <w:rPr>
                <w:rFonts w:ascii="Open Sans" w:hAnsi="Open Sans" w:cs="Open Sans"/>
                <w:sz w:val="20"/>
                <w:szCs w:val="20"/>
              </w:rPr>
            </w:pPr>
            <w:r w:rsidRPr="007D5AAA">
              <w:rPr>
                <w:rFonts w:ascii="Open Sans" w:hAnsi="Open Sans" w:cs="Open Sans"/>
                <w:sz w:val="20"/>
                <w:szCs w:val="20"/>
              </w:rPr>
              <w:t>Domestic student</w:t>
            </w:r>
          </w:p>
        </w:tc>
        <w:tc>
          <w:tcPr>
            <w:tcW w:w="437" w:type="pct"/>
          </w:tcPr>
          <w:p w14:paraId="553B26AF" w14:textId="44BC8312" w:rsidR="00547BD5" w:rsidRPr="007D5AAA" w:rsidRDefault="00547BD5" w:rsidP="00547BD5">
            <w:pPr>
              <w:pStyle w:val="NoSpacing"/>
              <w:jc w:val="center"/>
              <w:rPr>
                <w:rFonts w:ascii="Open Sans" w:hAnsi="Open Sans" w:cs="Open Sans"/>
                <w:sz w:val="20"/>
                <w:szCs w:val="20"/>
              </w:rPr>
            </w:pPr>
            <w:r w:rsidRPr="00547BD5">
              <w:rPr>
                <w:rFonts w:ascii="Open Sans" w:hAnsi="Open Sans" w:cs="Open Sans"/>
                <w:b/>
                <w:bCs/>
                <w:sz w:val="20"/>
                <w:szCs w:val="20"/>
              </w:rPr>
              <w:t>Count</w:t>
            </w:r>
          </w:p>
        </w:tc>
        <w:tc>
          <w:tcPr>
            <w:tcW w:w="634" w:type="pct"/>
            <w:vAlign w:val="center"/>
          </w:tcPr>
          <w:p w14:paraId="5BE785E8" w14:textId="1D760F71" w:rsidR="00547BD5" w:rsidRPr="007D5AAA" w:rsidRDefault="00547BD5" w:rsidP="00547BD5">
            <w:pPr>
              <w:pStyle w:val="NoSpacing"/>
              <w:jc w:val="center"/>
              <w:rPr>
                <w:rFonts w:ascii="Open Sans" w:hAnsi="Open Sans" w:cs="Open Sans"/>
                <w:sz w:val="20"/>
                <w:szCs w:val="20"/>
              </w:rPr>
            </w:pPr>
            <w:r w:rsidRPr="007D5AAA">
              <w:rPr>
                <w:rFonts w:ascii="Open Sans" w:hAnsi="Open Sans" w:cs="Open Sans"/>
                <w:sz w:val="20"/>
                <w:szCs w:val="20"/>
              </w:rPr>
              <w:t>101</w:t>
            </w:r>
          </w:p>
        </w:tc>
        <w:tc>
          <w:tcPr>
            <w:tcW w:w="261" w:type="pct"/>
          </w:tcPr>
          <w:p w14:paraId="401425BD" w14:textId="47A085C5" w:rsidR="00547BD5" w:rsidRPr="007D5AAA" w:rsidRDefault="00547BD5" w:rsidP="00547BD5">
            <w:pPr>
              <w:pStyle w:val="NoSpacing"/>
              <w:jc w:val="center"/>
              <w:rPr>
                <w:rFonts w:ascii="Open Sans" w:hAnsi="Open Sans" w:cs="Open Sans"/>
                <w:sz w:val="20"/>
                <w:szCs w:val="20"/>
              </w:rPr>
            </w:pPr>
            <w:r w:rsidRPr="004C7C2E">
              <w:rPr>
                <w:rFonts w:ascii="Open Sans" w:hAnsi="Open Sans" w:cs="Open Sans"/>
                <w:b/>
                <w:bCs/>
                <w:sz w:val="20"/>
                <w:szCs w:val="20"/>
              </w:rPr>
              <w:t>%</w:t>
            </w:r>
          </w:p>
        </w:tc>
        <w:tc>
          <w:tcPr>
            <w:tcW w:w="774" w:type="pct"/>
            <w:vAlign w:val="center"/>
          </w:tcPr>
          <w:p w14:paraId="5C090A65" w14:textId="05198BC8" w:rsidR="00547BD5" w:rsidRPr="007D5AAA" w:rsidRDefault="00547BD5" w:rsidP="00547BD5">
            <w:pPr>
              <w:pStyle w:val="NoSpacing"/>
              <w:jc w:val="center"/>
              <w:rPr>
                <w:rFonts w:ascii="Open Sans" w:hAnsi="Open Sans" w:cs="Open Sans"/>
                <w:sz w:val="20"/>
                <w:szCs w:val="20"/>
              </w:rPr>
            </w:pPr>
            <w:r w:rsidRPr="007D5AAA">
              <w:rPr>
                <w:rFonts w:ascii="Open Sans" w:hAnsi="Open Sans" w:cs="Open Sans"/>
                <w:sz w:val="20"/>
                <w:szCs w:val="20"/>
              </w:rPr>
              <w:t>40.4%</w:t>
            </w:r>
          </w:p>
        </w:tc>
      </w:tr>
      <w:tr w:rsidR="00547BD5" w:rsidRPr="007D5AAA" w14:paraId="78B5461C" w14:textId="77777777" w:rsidTr="00547BD5">
        <w:tc>
          <w:tcPr>
            <w:tcW w:w="2894" w:type="pct"/>
            <w:vAlign w:val="center"/>
          </w:tcPr>
          <w:p w14:paraId="00A1BF6B" w14:textId="77777777" w:rsidR="00547BD5" w:rsidRPr="007D5AAA" w:rsidRDefault="00547BD5" w:rsidP="00547BD5">
            <w:pPr>
              <w:pStyle w:val="NoSpacing"/>
              <w:rPr>
                <w:rFonts w:ascii="Open Sans" w:hAnsi="Open Sans" w:cs="Open Sans"/>
                <w:sz w:val="20"/>
                <w:szCs w:val="20"/>
              </w:rPr>
            </w:pPr>
            <w:r w:rsidRPr="007D5AAA">
              <w:rPr>
                <w:rFonts w:ascii="Open Sans" w:hAnsi="Open Sans" w:cs="Open Sans"/>
                <w:sz w:val="20"/>
                <w:szCs w:val="20"/>
              </w:rPr>
              <w:t>International student </w:t>
            </w:r>
          </w:p>
        </w:tc>
        <w:tc>
          <w:tcPr>
            <w:tcW w:w="437" w:type="pct"/>
          </w:tcPr>
          <w:p w14:paraId="37D2D7D5" w14:textId="0EFD301F" w:rsidR="00547BD5" w:rsidRPr="007D5AAA" w:rsidRDefault="00547BD5" w:rsidP="00547BD5">
            <w:pPr>
              <w:pStyle w:val="NoSpacing"/>
              <w:jc w:val="center"/>
              <w:rPr>
                <w:rFonts w:ascii="Open Sans" w:hAnsi="Open Sans" w:cs="Open Sans"/>
                <w:sz w:val="20"/>
                <w:szCs w:val="20"/>
              </w:rPr>
            </w:pPr>
            <w:r w:rsidRPr="00547BD5">
              <w:rPr>
                <w:rFonts w:ascii="Open Sans" w:hAnsi="Open Sans" w:cs="Open Sans"/>
                <w:b/>
                <w:bCs/>
                <w:sz w:val="20"/>
                <w:szCs w:val="20"/>
              </w:rPr>
              <w:t>Count</w:t>
            </w:r>
          </w:p>
        </w:tc>
        <w:tc>
          <w:tcPr>
            <w:tcW w:w="634" w:type="pct"/>
            <w:vAlign w:val="center"/>
          </w:tcPr>
          <w:p w14:paraId="58392903" w14:textId="5947F019" w:rsidR="00547BD5" w:rsidRPr="007D5AAA" w:rsidRDefault="00547BD5" w:rsidP="00547BD5">
            <w:pPr>
              <w:pStyle w:val="NoSpacing"/>
              <w:jc w:val="center"/>
              <w:rPr>
                <w:rFonts w:ascii="Open Sans" w:hAnsi="Open Sans" w:cs="Open Sans"/>
                <w:sz w:val="20"/>
                <w:szCs w:val="20"/>
              </w:rPr>
            </w:pPr>
            <w:r w:rsidRPr="007D5AAA">
              <w:rPr>
                <w:rFonts w:ascii="Open Sans" w:hAnsi="Open Sans" w:cs="Open Sans"/>
                <w:sz w:val="20"/>
                <w:szCs w:val="20"/>
              </w:rPr>
              <w:t>2</w:t>
            </w:r>
          </w:p>
        </w:tc>
        <w:tc>
          <w:tcPr>
            <w:tcW w:w="261" w:type="pct"/>
          </w:tcPr>
          <w:p w14:paraId="5E12BC71" w14:textId="7438BF3D" w:rsidR="00547BD5" w:rsidRPr="007D5AAA" w:rsidRDefault="00547BD5" w:rsidP="00547BD5">
            <w:pPr>
              <w:pStyle w:val="NoSpacing"/>
              <w:jc w:val="center"/>
              <w:rPr>
                <w:rFonts w:ascii="Open Sans" w:hAnsi="Open Sans" w:cs="Open Sans"/>
                <w:sz w:val="20"/>
                <w:szCs w:val="20"/>
              </w:rPr>
            </w:pPr>
            <w:r w:rsidRPr="004C7C2E">
              <w:rPr>
                <w:rFonts w:ascii="Open Sans" w:hAnsi="Open Sans" w:cs="Open Sans"/>
                <w:b/>
                <w:bCs/>
                <w:sz w:val="20"/>
                <w:szCs w:val="20"/>
              </w:rPr>
              <w:t>%</w:t>
            </w:r>
          </w:p>
        </w:tc>
        <w:tc>
          <w:tcPr>
            <w:tcW w:w="774" w:type="pct"/>
            <w:vAlign w:val="center"/>
          </w:tcPr>
          <w:p w14:paraId="23E73A53" w14:textId="5FF89255" w:rsidR="00547BD5" w:rsidRPr="007D5AAA" w:rsidRDefault="00547BD5" w:rsidP="00547BD5">
            <w:pPr>
              <w:pStyle w:val="NoSpacing"/>
              <w:jc w:val="center"/>
              <w:rPr>
                <w:rFonts w:ascii="Open Sans" w:hAnsi="Open Sans" w:cs="Open Sans"/>
                <w:sz w:val="20"/>
                <w:szCs w:val="20"/>
              </w:rPr>
            </w:pPr>
            <w:r w:rsidRPr="007D5AAA">
              <w:rPr>
                <w:rFonts w:ascii="Open Sans" w:hAnsi="Open Sans" w:cs="Open Sans"/>
                <w:sz w:val="20"/>
                <w:szCs w:val="20"/>
              </w:rPr>
              <w:t>0.8%</w:t>
            </w:r>
          </w:p>
        </w:tc>
      </w:tr>
      <w:tr w:rsidR="00547BD5" w:rsidRPr="007D5AAA" w14:paraId="403EC71A" w14:textId="77777777" w:rsidTr="00547BD5">
        <w:tc>
          <w:tcPr>
            <w:tcW w:w="2894" w:type="pct"/>
            <w:vAlign w:val="center"/>
          </w:tcPr>
          <w:p w14:paraId="5D4F96B5" w14:textId="77777777" w:rsidR="00547BD5" w:rsidRPr="007D5AAA" w:rsidRDefault="00547BD5" w:rsidP="00547BD5">
            <w:pPr>
              <w:pStyle w:val="NoSpacing"/>
              <w:rPr>
                <w:rFonts w:ascii="Open Sans" w:hAnsi="Open Sans" w:cs="Open Sans"/>
                <w:sz w:val="20"/>
                <w:szCs w:val="20"/>
              </w:rPr>
            </w:pPr>
            <w:r w:rsidRPr="007D5AAA">
              <w:rPr>
                <w:rFonts w:ascii="Open Sans" w:hAnsi="Open Sans" w:cs="Open Sans"/>
                <w:sz w:val="20"/>
                <w:szCs w:val="20"/>
              </w:rPr>
              <w:t>Live in a rural, regional or remote area </w:t>
            </w:r>
          </w:p>
        </w:tc>
        <w:tc>
          <w:tcPr>
            <w:tcW w:w="437" w:type="pct"/>
          </w:tcPr>
          <w:p w14:paraId="057ADA6B" w14:textId="222BBBED" w:rsidR="00547BD5" w:rsidRPr="007D5AAA" w:rsidRDefault="00547BD5" w:rsidP="00547BD5">
            <w:pPr>
              <w:pStyle w:val="NoSpacing"/>
              <w:jc w:val="center"/>
              <w:rPr>
                <w:rFonts w:ascii="Open Sans" w:hAnsi="Open Sans" w:cs="Open Sans"/>
                <w:sz w:val="20"/>
                <w:szCs w:val="20"/>
              </w:rPr>
            </w:pPr>
            <w:r w:rsidRPr="00547BD5">
              <w:rPr>
                <w:rFonts w:ascii="Open Sans" w:hAnsi="Open Sans" w:cs="Open Sans"/>
                <w:b/>
                <w:bCs/>
                <w:sz w:val="20"/>
                <w:szCs w:val="20"/>
              </w:rPr>
              <w:t>Count</w:t>
            </w:r>
          </w:p>
        </w:tc>
        <w:tc>
          <w:tcPr>
            <w:tcW w:w="634" w:type="pct"/>
            <w:vAlign w:val="center"/>
          </w:tcPr>
          <w:p w14:paraId="51558561" w14:textId="2EAEDDAC" w:rsidR="00547BD5" w:rsidRPr="007D5AAA" w:rsidRDefault="00547BD5" w:rsidP="00547BD5">
            <w:pPr>
              <w:pStyle w:val="NoSpacing"/>
              <w:jc w:val="center"/>
              <w:rPr>
                <w:rFonts w:ascii="Open Sans" w:hAnsi="Open Sans" w:cs="Open Sans"/>
                <w:sz w:val="20"/>
                <w:szCs w:val="20"/>
              </w:rPr>
            </w:pPr>
            <w:r w:rsidRPr="007D5AAA">
              <w:rPr>
                <w:rFonts w:ascii="Open Sans" w:hAnsi="Open Sans" w:cs="Open Sans"/>
                <w:sz w:val="20"/>
                <w:szCs w:val="20"/>
              </w:rPr>
              <w:t>51</w:t>
            </w:r>
          </w:p>
        </w:tc>
        <w:tc>
          <w:tcPr>
            <w:tcW w:w="261" w:type="pct"/>
          </w:tcPr>
          <w:p w14:paraId="5629A0E3" w14:textId="400D7DD9" w:rsidR="00547BD5" w:rsidRPr="007D5AAA" w:rsidRDefault="00547BD5" w:rsidP="00547BD5">
            <w:pPr>
              <w:pStyle w:val="NoSpacing"/>
              <w:jc w:val="center"/>
              <w:rPr>
                <w:rFonts w:ascii="Open Sans" w:hAnsi="Open Sans" w:cs="Open Sans"/>
                <w:sz w:val="20"/>
                <w:szCs w:val="20"/>
              </w:rPr>
            </w:pPr>
            <w:r w:rsidRPr="004C7C2E">
              <w:rPr>
                <w:rFonts w:ascii="Open Sans" w:hAnsi="Open Sans" w:cs="Open Sans"/>
                <w:b/>
                <w:bCs/>
                <w:sz w:val="20"/>
                <w:szCs w:val="20"/>
              </w:rPr>
              <w:t>%</w:t>
            </w:r>
          </w:p>
        </w:tc>
        <w:tc>
          <w:tcPr>
            <w:tcW w:w="774" w:type="pct"/>
            <w:vAlign w:val="center"/>
          </w:tcPr>
          <w:p w14:paraId="58EABC18" w14:textId="0FD414AB" w:rsidR="00547BD5" w:rsidRPr="007D5AAA" w:rsidRDefault="00547BD5" w:rsidP="00547BD5">
            <w:pPr>
              <w:pStyle w:val="NoSpacing"/>
              <w:jc w:val="center"/>
              <w:rPr>
                <w:rFonts w:ascii="Open Sans" w:hAnsi="Open Sans" w:cs="Open Sans"/>
                <w:sz w:val="20"/>
                <w:szCs w:val="20"/>
              </w:rPr>
            </w:pPr>
            <w:r w:rsidRPr="007D5AAA">
              <w:rPr>
                <w:rFonts w:ascii="Open Sans" w:hAnsi="Open Sans" w:cs="Open Sans"/>
                <w:sz w:val="20"/>
                <w:szCs w:val="20"/>
              </w:rPr>
              <w:t>20.4%</w:t>
            </w:r>
          </w:p>
        </w:tc>
      </w:tr>
      <w:tr w:rsidR="00547BD5" w:rsidRPr="007D5AAA" w14:paraId="47395282" w14:textId="77777777" w:rsidTr="00547BD5">
        <w:tc>
          <w:tcPr>
            <w:tcW w:w="2894" w:type="pct"/>
            <w:vAlign w:val="center"/>
          </w:tcPr>
          <w:p w14:paraId="4368F6E1" w14:textId="77777777" w:rsidR="00547BD5" w:rsidRPr="007D5AAA" w:rsidRDefault="00547BD5" w:rsidP="00547BD5">
            <w:pPr>
              <w:pStyle w:val="NoSpacing"/>
              <w:rPr>
                <w:rFonts w:ascii="Open Sans" w:hAnsi="Open Sans" w:cs="Open Sans"/>
                <w:sz w:val="20"/>
                <w:szCs w:val="20"/>
              </w:rPr>
            </w:pPr>
            <w:r w:rsidRPr="007D5AAA">
              <w:rPr>
                <w:rFonts w:ascii="Open Sans" w:hAnsi="Open Sans" w:cs="Open Sans"/>
                <w:sz w:val="20"/>
                <w:szCs w:val="20"/>
              </w:rPr>
              <w:t>Work in the sex industry </w:t>
            </w:r>
          </w:p>
        </w:tc>
        <w:tc>
          <w:tcPr>
            <w:tcW w:w="437" w:type="pct"/>
          </w:tcPr>
          <w:p w14:paraId="5CC8B5CC" w14:textId="02D54273" w:rsidR="00547BD5" w:rsidRPr="007D5AAA" w:rsidRDefault="00547BD5" w:rsidP="00547BD5">
            <w:pPr>
              <w:pStyle w:val="NoSpacing"/>
              <w:jc w:val="center"/>
              <w:rPr>
                <w:rFonts w:ascii="Open Sans" w:hAnsi="Open Sans" w:cs="Open Sans"/>
                <w:sz w:val="20"/>
                <w:szCs w:val="20"/>
              </w:rPr>
            </w:pPr>
            <w:r w:rsidRPr="00547BD5">
              <w:rPr>
                <w:rFonts w:ascii="Open Sans" w:hAnsi="Open Sans" w:cs="Open Sans"/>
                <w:b/>
                <w:bCs/>
                <w:sz w:val="20"/>
                <w:szCs w:val="20"/>
              </w:rPr>
              <w:t>Count</w:t>
            </w:r>
          </w:p>
        </w:tc>
        <w:tc>
          <w:tcPr>
            <w:tcW w:w="634" w:type="pct"/>
            <w:vAlign w:val="center"/>
          </w:tcPr>
          <w:p w14:paraId="2CD3E5B0" w14:textId="5519E08F" w:rsidR="00547BD5" w:rsidRPr="007D5AAA" w:rsidRDefault="00547BD5" w:rsidP="00547BD5">
            <w:pPr>
              <w:pStyle w:val="NoSpacing"/>
              <w:jc w:val="center"/>
              <w:rPr>
                <w:rFonts w:ascii="Open Sans" w:hAnsi="Open Sans" w:cs="Open Sans"/>
                <w:sz w:val="20"/>
                <w:szCs w:val="20"/>
              </w:rPr>
            </w:pPr>
            <w:r w:rsidRPr="007D5AAA">
              <w:rPr>
                <w:rFonts w:ascii="Open Sans" w:hAnsi="Open Sans" w:cs="Open Sans"/>
                <w:sz w:val="20"/>
                <w:szCs w:val="20"/>
              </w:rPr>
              <w:t>13</w:t>
            </w:r>
          </w:p>
        </w:tc>
        <w:tc>
          <w:tcPr>
            <w:tcW w:w="261" w:type="pct"/>
          </w:tcPr>
          <w:p w14:paraId="33AAD372" w14:textId="60A1BCE1" w:rsidR="00547BD5" w:rsidRPr="007D5AAA" w:rsidRDefault="00547BD5" w:rsidP="00547BD5">
            <w:pPr>
              <w:pStyle w:val="NoSpacing"/>
              <w:jc w:val="center"/>
              <w:rPr>
                <w:rFonts w:ascii="Open Sans" w:hAnsi="Open Sans" w:cs="Open Sans"/>
                <w:sz w:val="20"/>
                <w:szCs w:val="20"/>
              </w:rPr>
            </w:pPr>
            <w:r w:rsidRPr="004C7C2E">
              <w:rPr>
                <w:rFonts w:ascii="Open Sans" w:hAnsi="Open Sans" w:cs="Open Sans"/>
                <w:b/>
                <w:bCs/>
                <w:sz w:val="20"/>
                <w:szCs w:val="20"/>
              </w:rPr>
              <w:t>%</w:t>
            </w:r>
          </w:p>
        </w:tc>
        <w:tc>
          <w:tcPr>
            <w:tcW w:w="774" w:type="pct"/>
            <w:vAlign w:val="center"/>
          </w:tcPr>
          <w:p w14:paraId="581F6382" w14:textId="160E0A38" w:rsidR="00547BD5" w:rsidRPr="007D5AAA" w:rsidRDefault="00547BD5" w:rsidP="00547BD5">
            <w:pPr>
              <w:pStyle w:val="NoSpacing"/>
              <w:jc w:val="center"/>
              <w:rPr>
                <w:rFonts w:ascii="Open Sans" w:hAnsi="Open Sans" w:cs="Open Sans"/>
                <w:sz w:val="20"/>
                <w:szCs w:val="20"/>
              </w:rPr>
            </w:pPr>
            <w:r w:rsidRPr="007D5AAA">
              <w:rPr>
                <w:rFonts w:ascii="Open Sans" w:hAnsi="Open Sans" w:cs="Open Sans"/>
                <w:sz w:val="20"/>
                <w:szCs w:val="20"/>
              </w:rPr>
              <w:t>5.2%</w:t>
            </w:r>
          </w:p>
        </w:tc>
      </w:tr>
      <w:tr w:rsidR="00547BD5" w:rsidRPr="007D5AAA" w14:paraId="3061792F" w14:textId="77777777" w:rsidTr="00547BD5">
        <w:tc>
          <w:tcPr>
            <w:tcW w:w="2894" w:type="pct"/>
            <w:vAlign w:val="center"/>
          </w:tcPr>
          <w:p w14:paraId="7D1F2EB9" w14:textId="77777777" w:rsidR="00547BD5" w:rsidRPr="007D5AAA" w:rsidRDefault="00547BD5" w:rsidP="00547BD5">
            <w:pPr>
              <w:pStyle w:val="NoSpacing"/>
              <w:rPr>
                <w:rFonts w:ascii="Open Sans" w:hAnsi="Open Sans" w:cs="Open Sans"/>
                <w:sz w:val="20"/>
                <w:szCs w:val="20"/>
              </w:rPr>
            </w:pPr>
            <w:r w:rsidRPr="007D5AAA">
              <w:rPr>
                <w:rFonts w:ascii="Open Sans" w:hAnsi="Open Sans" w:cs="Open Sans"/>
                <w:sz w:val="20"/>
                <w:szCs w:val="20"/>
              </w:rPr>
              <w:t>Live with financial stress or poverty </w:t>
            </w:r>
          </w:p>
        </w:tc>
        <w:tc>
          <w:tcPr>
            <w:tcW w:w="437" w:type="pct"/>
          </w:tcPr>
          <w:p w14:paraId="0265C609" w14:textId="4A62F6F7" w:rsidR="00547BD5" w:rsidRPr="007D5AAA" w:rsidRDefault="00547BD5" w:rsidP="00547BD5">
            <w:pPr>
              <w:pStyle w:val="NoSpacing"/>
              <w:jc w:val="center"/>
              <w:rPr>
                <w:rFonts w:ascii="Open Sans" w:hAnsi="Open Sans" w:cs="Open Sans"/>
                <w:sz w:val="20"/>
                <w:szCs w:val="20"/>
              </w:rPr>
            </w:pPr>
            <w:r w:rsidRPr="00547BD5">
              <w:rPr>
                <w:rFonts w:ascii="Open Sans" w:hAnsi="Open Sans" w:cs="Open Sans"/>
                <w:b/>
                <w:bCs/>
                <w:sz w:val="20"/>
                <w:szCs w:val="20"/>
              </w:rPr>
              <w:t>Count</w:t>
            </w:r>
          </w:p>
        </w:tc>
        <w:tc>
          <w:tcPr>
            <w:tcW w:w="634" w:type="pct"/>
            <w:vAlign w:val="center"/>
          </w:tcPr>
          <w:p w14:paraId="305065D2" w14:textId="1AF349E0" w:rsidR="00547BD5" w:rsidRPr="007D5AAA" w:rsidRDefault="00547BD5" w:rsidP="00547BD5">
            <w:pPr>
              <w:pStyle w:val="NoSpacing"/>
              <w:jc w:val="center"/>
              <w:rPr>
                <w:rFonts w:ascii="Open Sans" w:hAnsi="Open Sans" w:cs="Open Sans"/>
                <w:sz w:val="20"/>
                <w:szCs w:val="20"/>
              </w:rPr>
            </w:pPr>
            <w:r w:rsidRPr="007D5AAA">
              <w:rPr>
                <w:rFonts w:ascii="Open Sans" w:hAnsi="Open Sans" w:cs="Open Sans"/>
                <w:sz w:val="20"/>
                <w:szCs w:val="20"/>
              </w:rPr>
              <w:t>71</w:t>
            </w:r>
          </w:p>
        </w:tc>
        <w:tc>
          <w:tcPr>
            <w:tcW w:w="261" w:type="pct"/>
          </w:tcPr>
          <w:p w14:paraId="01CFF35E" w14:textId="37D7F5C8" w:rsidR="00547BD5" w:rsidRPr="007D5AAA" w:rsidRDefault="00547BD5" w:rsidP="00547BD5">
            <w:pPr>
              <w:pStyle w:val="NoSpacing"/>
              <w:jc w:val="center"/>
              <w:rPr>
                <w:rFonts w:ascii="Open Sans" w:hAnsi="Open Sans" w:cs="Open Sans"/>
                <w:sz w:val="20"/>
                <w:szCs w:val="20"/>
              </w:rPr>
            </w:pPr>
            <w:r w:rsidRPr="004C7C2E">
              <w:rPr>
                <w:rFonts w:ascii="Open Sans" w:hAnsi="Open Sans" w:cs="Open Sans"/>
                <w:b/>
                <w:bCs/>
                <w:sz w:val="20"/>
                <w:szCs w:val="20"/>
              </w:rPr>
              <w:t>%</w:t>
            </w:r>
          </w:p>
        </w:tc>
        <w:tc>
          <w:tcPr>
            <w:tcW w:w="774" w:type="pct"/>
            <w:vAlign w:val="center"/>
          </w:tcPr>
          <w:p w14:paraId="175EF173" w14:textId="3B7E92BB" w:rsidR="00547BD5" w:rsidRPr="007D5AAA" w:rsidRDefault="00547BD5" w:rsidP="00547BD5">
            <w:pPr>
              <w:pStyle w:val="NoSpacing"/>
              <w:jc w:val="center"/>
              <w:rPr>
                <w:rFonts w:ascii="Open Sans" w:hAnsi="Open Sans" w:cs="Open Sans"/>
                <w:sz w:val="20"/>
                <w:szCs w:val="20"/>
              </w:rPr>
            </w:pPr>
            <w:r w:rsidRPr="007D5AAA">
              <w:rPr>
                <w:rFonts w:ascii="Open Sans" w:hAnsi="Open Sans" w:cs="Open Sans"/>
                <w:sz w:val="20"/>
                <w:szCs w:val="20"/>
              </w:rPr>
              <w:t>28.4%</w:t>
            </w:r>
          </w:p>
        </w:tc>
      </w:tr>
      <w:tr w:rsidR="00547BD5" w:rsidRPr="007D5AAA" w14:paraId="09C668A4" w14:textId="77777777" w:rsidTr="00547BD5">
        <w:tc>
          <w:tcPr>
            <w:tcW w:w="2894" w:type="pct"/>
            <w:vAlign w:val="center"/>
          </w:tcPr>
          <w:p w14:paraId="2672C097" w14:textId="77777777" w:rsidR="00547BD5" w:rsidRPr="007D5AAA" w:rsidRDefault="00547BD5" w:rsidP="00547BD5">
            <w:pPr>
              <w:pStyle w:val="NoSpacing"/>
              <w:rPr>
                <w:rFonts w:ascii="Open Sans" w:hAnsi="Open Sans" w:cs="Open Sans"/>
                <w:sz w:val="20"/>
                <w:szCs w:val="20"/>
              </w:rPr>
            </w:pPr>
            <w:r w:rsidRPr="007D5AAA">
              <w:rPr>
                <w:rFonts w:ascii="Open Sans" w:hAnsi="Open Sans" w:cs="Open Sans"/>
                <w:sz w:val="20"/>
                <w:szCs w:val="20"/>
              </w:rPr>
              <w:t>Have an experience of foster, kinship or residential care </w:t>
            </w:r>
          </w:p>
        </w:tc>
        <w:tc>
          <w:tcPr>
            <w:tcW w:w="437" w:type="pct"/>
          </w:tcPr>
          <w:p w14:paraId="4164E29E" w14:textId="51A93C9F" w:rsidR="00547BD5" w:rsidRPr="007D5AAA" w:rsidRDefault="00547BD5" w:rsidP="00547BD5">
            <w:pPr>
              <w:pStyle w:val="NoSpacing"/>
              <w:jc w:val="center"/>
              <w:rPr>
                <w:rFonts w:ascii="Open Sans" w:hAnsi="Open Sans" w:cs="Open Sans"/>
                <w:sz w:val="20"/>
                <w:szCs w:val="20"/>
              </w:rPr>
            </w:pPr>
            <w:r w:rsidRPr="00547BD5">
              <w:rPr>
                <w:rFonts w:ascii="Open Sans" w:hAnsi="Open Sans" w:cs="Open Sans"/>
                <w:b/>
                <w:bCs/>
                <w:sz w:val="20"/>
                <w:szCs w:val="20"/>
              </w:rPr>
              <w:t>Count</w:t>
            </w:r>
          </w:p>
        </w:tc>
        <w:tc>
          <w:tcPr>
            <w:tcW w:w="634" w:type="pct"/>
            <w:vAlign w:val="center"/>
          </w:tcPr>
          <w:p w14:paraId="1B532365" w14:textId="156AE877" w:rsidR="00547BD5" w:rsidRPr="007D5AAA" w:rsidRDefault="00547BD5" w:rsidP="00547BD5">
            <w:pPr>
              <w:pStyle w:val="NoSpacing"/>
              <w:jc w:val="center"/>
              <w:rPr>
                <w:rFonts w:ascii="Open Sans" w:hAnsi="Open Sans" w:cs="Open Sans"/>
                <w:sz w:val="20"/>
                <w:szCs w:val="20"/>
              </w:rPr>
            </w:pPr>
            <w:r w:rsidRPr="007D5AAA">
              <w:rPr>
                <w:rFonts w:ascii="Open Sans" w:hAnsi="Open Sans" w:cs="Open Sans"/>
                <w:sz w:val="20"/>
                <w:szCs w:val="20"/>
              </w:rPr>
              <w:t>11</w:t>
            </w:r>
          </w:p>
        </w:tc>
        <w:tc>
          <w:tcPr>
            <w:tcW w:w="261" w:type="pct"/>
          </w:tcPr>
          <w:p w14:paraId="2D993958" w14:textId="72FCBEAA" w:rsidR="00547BD5" w:rsidRPr="007D5AAA" w:rsidRDefault="00547BD5" w:rsidP="00547BD5">
            <w:pPr>
              <w:pStyle w:val="NoSpacing"/>
              <w:jc w:val="center"/>
              <w:rPr>
                <w:rFonts w:ascii="Open Sans" w:hAnsi="Open Sans" w:cs="Open Sans"/>
                <w:sz w:val="20"/>
                <w:szCs w:val="20"/>
              </w:rPr>
            </w:pPr>
            <w:r w:rsidRPr="004C7C2E">
              <w:rPr>
                <w:rFonts w:ascii="Open Sans" w:hAnsi="Open Sans" w:cs="Open Sans"/>
                <w:b/>
                <w:bCs/>
                <w:sz w:val="20"/>
                <w:szCs w:val="20"/>
              </w:rPr>
              <w:t>%</w:t>
            </w:r>
          </w:p>
        </w:tc>
        <w:tc>
          <w:tcPr>
            <w:tcW w:w="774" w:type="pct"/>
            <w:vAlign w:val="center"/>
          </w:tcPr>
          <w:p w14:paraId="5F81988E" w14:textId="21B8120D" w:rsidR="00547BD5" w:rsidRPr="007D5AAA" w:rsidRDefault="00547BD5" w:rsidP="00547BD5">
            <w:pPr>
              <w:pStyle w:val="NoSpacing"/>
              <w:jc w:val="center"/>
              <w:rPr>
                <w:rFonts w:ascii="Open Sans" w:hAnsi="Open Sans" w:cs="Open Sans"/>
                <w:sz w:val="20"/>
                <w:szCs w:val="20"/>
              </w:rPr>
            </w:pPr>
            <w:r w:rsidRPr="007D5AAA">
              <w:rPr>
                <w:rFonts w:ascii="Open Sans" w:hAnsi="Open Sans" w:cs="Open Sans"/>
                <w:sz w:val="20"/>
                <w:szCs w:val="20"/>
              </w:rPr>
              <w:t>4.4%</w:t>
            </w:r>
          </w:p>
        </w:tc>
      </w:tr>
      <w:tr w:rsidR="00547BD5" w:rsidRPr="007D5AAA" w14:paraId="46E8F398" w14:textId="77777777" w:rsidTr="00547BD5">
        <w:tc>
          <w:tcPr>
            <w:tcW w:w="2894" w:type="pct"/>
            <w:vAlign w:val="center"/>
          </w:tcPr>
          <w:p w14:paraId="1BA90205" w14:textId="77777777" w:rsidR="00547BD5" w:rsidRPr="007D5AAA" w:rsidRDefault="00547BD5" w:rsidP="00547BD5">
            <w:pPr>
              <w:pStyle w:val="NoSpacing"/>
              <w:rPr>
                <w:rFonts w:ascii="Open Sans" w:hAnsi="Open Sans" w:cs="Open Sans"/>
                <w:sz w:val="20"/>
                <w:szCs w:val="20"/>
              </w:rPr>
            </w:pPr>
            <w:r w:rsidRPr="007D5AAA">
              <w:rPr>
                <w:rFonts w:ascii="Open Sans" w:hAnsi="Open Sans" w:cs="Open Sans"/>
                <w:sz w:val="20"/>
                <w:szCs w:val="20"/>
              </w:rPr>
              <w:t>Other - Write In </w:t>
            </w:r>
          </w:p>
        </w:tc>
        <w:tc>
          <w:tcPr>
            <w:tcW w:w="437" w:type="pct"/>
          </w:tcPr>
          <w:p w14:paraId="534C6027" w14:textId="648776E7" w:rsidR="00547BD5" w:rsidRPr="007D5AAA" w:rsidRDefault="00547BD5" w:rsidP="00547BD5">
            <w:pPr>
              <w:pStyle w:val="NoSpacing"/>
              <w:jc w:val="center"/>
              <w:rPr>
                <w:rFonts w:ascii="Open Sans" w:hAnsi="Open Sans" w:cs="Open Sans"/>
                <w:sz w:val="20"/>
                <w:szCs w:val="20"/>
              </w:rPr>
            </w:pPr>
            <w:r w:rsidRPr="00547BD5">
              <w:rPr>
                <w:rFonts w:ascii="Open Sans" w:hAnsi="Open Sans" w:cs="Open Sans"/>
                <w:b/>
                <w:bCs/>
                <w:sz w:val="20"/>
                <w:szCs w:val="20"/>
              </w:rPr>
              <w:t>Count</w:t>
            </w:r>
          </w:p>
        </w:tc>
        <w:tc>
          <w:tcPr>
            <w:tcW w:w="634" w:type="pct"/>
            <w:vAlign w:val="center"/>
          </w:tcPr>
          <w:p w14:paraId="3DBF3443" w14:textId="56569985" w:rsidR="00547BD5" w:rsidRPr="007D5AAA" w:rsidRDefault="00547BD5" w:rsidP="00547BD5">
            <w:pPr>
              <w:pStyle w:val="NoSpacing"/>
              <w:jc w:val="center"/>
              <w:rPr>
                <w:rFonts w:ascii="Open Sans" w:hAnsi="Open Sans" w:cs="Open Sans"/>
                <w:sz w:val="20"/>
                <w:szCs w:val="20"/>
              </w:rPr>
            </w:pPr>
            <w:r w:rsidRPr="007D5AAA">
              <w:rPr>
                <w:rFonts w:ascii="Open Sans" w:hAnsi="Open Sans" w:cs="Open Sans"/>
                <w:sz w:val="20"/>
                <w:szCs w:val="20"/>
              </w:rPr>
              <w:t>14</w:t>
            </w:r>
          </w:p>
        </w:tc>
        <w:tc>
          <w:tcPr>
            <w:tcW w:w="261" w:type="pct"/>
          </w:tcPr>
          <w:p w14:paraId="41BEFAE0" w14:textId="652B64C2" w:rsidR="00547BD5" w:rsidRPr="007D5AAA" w:rsidRDefault="00547BD5" w:rsidP="00547BD5">
            <w:pPr>
              <w:pStyle w:val="NoSpacing"/>
              <w:jc w:val="center"/>
              <w:rPr>
                <w:rFonts w:ascii="Open Sans" w:hAnsi="Open Sans" w:cs="Open Sans"/>
                <w:sz w:val="20"/>
                <w:szCs w:val="20"/>
              </w:rPr>
            </w:pPr>
            <w:r w:rsidRPr="004C7C2E">
              <w:rPr>
                <w:rFonts w:ascii="Open Sans" w:hAnsi="Open Sans" w:cs="Open Sans"/>
                <w:b/>
                <w:bCs/>
                <w:sz w:val="20"/>
                <w:szCs w:val="20"/>
              </w:rPr>
              <w:t>%</w:t>
            </w:r>
          </w:p>
        </w:tc>
        <w:tc>
          <w:tcPr>
            <w:tcW w:w="774" w:type="pct"/>
            <w:vAlign w:val="center"/>
          </w:tcPr>
          <w:p w14:paraId="6B44BBE3" w14:textId="6A39AD6C" w:rsidR="00547BD5" w:rsidRPr="007D5AAA" w:rsidRDefault="00547BD5" w:rsidP="00547BD5">
            <w:pPr>
              <w:pStyle w:val="NoSpacing"/>
              <w:jc w:val="center"/>
              <w:rPr>
                <w:rFonts w:ascii="Open Sans" w:hAnsi="Open Sans" w:cs="Open Sans"/>
                <w:sz w:val="20"/>
                <w:szCs w:val="20"/>
              </w:rPr>
            </w:pPr>
            <w:r w:rsidRPr="007D5AAA">
              <w:rPr>
                <w:rFonts w:ascii="Open Sans" w:hAnsi="Open Sans" w:cs="Open Sans"/>
                <w:sz w:val="20"/>
                <w:szCs w:val="20"/>
              </w:rPr>
              <w:t>5.6%</w:t>
            </w:r>
          </w:p>
        </w:tc>
      </w:tr>
      <w:tr w:rsidR="00547BD5" w:rsidRPr="007D5AAA" w14:paraId="116A9316" w14:textId="77777777" w:rsidTr="00547BD5">
        <w:tc>
          <w:tcPr>
            <w:tcW w:w="2894" w:type="pct"/>
            <w:vAlign w:val="center"/>
          </w:tcPr>
          <w:p w14:paraId="71D5D912" w14:textId="77777777" w:rsidR="00547BD5" w:rsidRPr="007D5AAA" w:rsidRDefault="00547BD5" w:rsidP="00547BD5">
            <w:pPr>
              <w:pStyle w:val="NoSpacing"/>
              <w:rPr>
                <w:rFonts w:ascii="Open Sans" w:hAnsi="Open Sans" w:cs="Open Sans"/>
                <w:sz w:val="20"/>
                <w:szCs w:val="20"/>
              </w:rPr>
            </w:pPr>
            <w:r w:rsidRPr="007D5AAA">
              <w:rPr>
                <w:rFonts w:ascii="Open Sans" w:hAnsi="Open Sans" w:cs="Open Sans"/>
                <w:sz w:val="20"/>
                <w:szCs w:val="20"/>
              </w:rPr>
              <w:t>Exclusive / None of the above </w:t>
            </w:r>
          </w:p>
        </w:tc>
        <w:tc>
          <w:tcPr>
            <w:tcW w:w="437" w:type="pct"/>
          </w:tcPr>
          <w:p w14:paraId="2168C4E9" w14:textId="3BE95F46" w:rsidR="00547BD5" w:rsidRPr="007D5AAA" w:rsidRDefault="00547BD5" w:rsidP="00547BD5">
            <w:pPr>
              <w:pStyle w:val="NoSpacing"/>
              <w:jc w:val="center"/>
              <w:rPr>
                <w:rFonts w:ascii="Open Sans" w:hAnsi="Open Sans" w:cs="Open Sans"/>
                <w:sz w:val="20"/>
                <w:szCs w:val="20"/>
              </w:rPr>
            </w:pPr>
            <w:r w:rsidRPr="00547BD5">
              <w:rPr>
                <w:rFonts w:ascii="Open Sans" w:hAnsi="Open Sans" w:cs="Open Sans"/>
                <w:b/>
                <w:bCs/>
                <w:sz w:val="20"/>
                <w:szCs w:val="20"/>
              </w:rPr>
              <w:t>Count</w:t>
            </w:r>
          </w:p>
        </w:tc>
        <w:tc>
          <w:tcPr>
            <w:tcW w:w="634" w:type="pct"/>
            <w:vAlign w:val="center"/>
          </w:tcPr>
          <w:p w14:paraId="33F572FD" w14:textId="34119408" w:rsidR="00547BD5" w:rsidRPr="007D5AAA" w:rsidRDefault="00547BD5" w:rsidP="00547BD5">
            <w:pPr>
              <w:pStyle w:val="NoSpacing"/>
              <w:jc w:val="center"/>
              <w:rPr>
                <w:rFonts w:ascii="Open Sans" w:hAnsi="Open Sans" w:cs="Open Sans"/>
                <w:sz w:val="20"/>
                <w:szCs w:val="20"/>
              </w:rPr>
            </w:pPr>
            <w:r w:rsidRPr="007D5AAA">
              <w:rPr>
                <w:rFonts w:ascii="Open Sans" w:hAnsi="Open Sans" w:cs="Open Sans"/>
                <w:sz w:val="20"/>
                <w:szCs w:val="20"/>
              </w:rPr>
              <w:t>3</w:t>
            </w:r>
          </w:p>
        </w:tc>
        <w:tc>
          <w:tcPr>
            <w:tcW w:w="261" w:type="pct"/>
          </w:tcPr>
          <w:p w14:paraId="01D3FE9B" w14:textId="4CC560FC" w:rsidR="00547BD5" w:rsidRPr="007D5AAA" w:rsidRDefault="00547BD5" w:rsidP="00547BD5">
            <w:pPr>
              <w:pStyle w:val="NoSpacing"/>
              <w:jc w:val="center"/>
              <w:rPr>
                <w:rFonts w:ascii="Open Sans" w:hAnsi="Open Sans" w:cs="Open Sans"/>
                <w:sz w:val="20"/>
                <w:szCs w:val="20"/>
              </w:rPr>
            </w:pPr>
            <w:r w:rsidRPr="004C7C2E">
              <w:rPr>
                <w:rFonts w:ascii="Open Sans" w:hAnsi="Open Sans" w:cs="Open Sans"/>
                <w:b/>
                <w:bCs/>
                <w:sz w:val="20"/>
                <w:szCs w:val="20"/>
              </w:rPr>
              <w:t>%</w:t>
            </w:r>
          </w:p>
        </w:tc>
        <w:tc>
          <w:tcPr>
            <w:tcW w:w="774" w:type="pct"/>
            <w:vAlign w:val="center"/>
          </w:tcPr>
          <w:p w14:paraId="6A4919AB" w14:textId="56AB39C4" w:rsidR="00547BD5" w:rsidRPr="007D5AAA" w:rsidRDefault="00547BD5" w:rsidP="00547BD5">
            <w:pPr>
              <w:pStyle w:val="NoSpacing"/>
              <w:jc w:val="center"/>
              <w:rPr>
                <w:rFonts w:ascii="Open Sans" w:hAnsi="Open Sans" w:cs="Open Sans"/>
                <w:sz w:val="20"/>
                <w:szCs w:val="20"/>
              </w:rPr>
            </w:pPr>
            <w:r w:rsidRPr="007D5AAA">
              <w:rPr>
                <w:rFonts w:ascii="Open Sans" w:hAnsi="Open Sans" w:cs="Open Sans"/>
                <w:sz w:val="20"/>
                <w:szCs w:val="20"/>
              </w:rPr>
              <w:t>1.2%</w:t>
            </w:r>
          </w:p>
        </w:tc>
      </w:tr>
    </w:tbl>
    <w:p w14:paraId="08D3AA1D" w14:textId="4DD9D580" w:rsidR="00E654F7" w:rsidRPr="00CE2F22" w:rsidRDefault="00E654F7" w:rsidP="00B81CAC"/>
    <w:p w14:paraId="452764B9" w14:textId="0404F93A" w:rsidR="00E654F7" w:rsidRPr="009A5B8A" w:rsidRDefault="00E654F7" w:rsidP="009A5B8A">
      <w:pPr>
        <w:pStyle w:val="Heading2"/>
      </w:pPr>
      <w:bookmarkStart w:id="48" w:name="_Toc96091493"/>
      <w:bookmarkStart w:id="49" w:name="_Toc96092066"/>
      <w:r w:rsidRPr="009A5B8A">
        <w:t>Location</w:t>
      </w:r>
      <w:bookmarkEnd w:id="48"/>
      <w:bookmarkEnd w:id="49"/>
    </w:p>
    <w:p w14:paraId="4F2A6451" w14:textId="77777777" w:rsidR="00E654F7" w:rsidRPr="00CE2F22" w:rsidRDefault="00E654F7" w:rsidP="00E654F7"/>
    <w:p w14:paraId="19FAEBB7" w14:textId="57D28509" w:rsidR="00E654F7" w:rsidRPr="00CE2F22" w:rsidRDefault="00E654F7" w:rsidP="00E654F7">
      <w:pPr>
        <w:pStyle w:val="Heading3"/>
      </w:pPr>
      <w:bookmarkStart w:id="50" w:name="_Toc96091494"/>
      <w:bookmarkStart w:id="51" w:name="_Toc96092067"/>
      <w:r w:rsidRPr="00CE2F22">
        <w:t>State or territory</w:t>
      </w:r>
      <w:bookmarkEnd w:id="50"/>
      <w:bookmarkEnd w:id="51"/>
    </w:p>
    <w:p w14:paraId="1A00A65E" w14:textId="78C925B4" w:rsidR="001E441E" w:rsidRPr="00F17BF6" w:rsidRDefault="00E654F7" w:rsidP="00F17BF6">
      <w:pPr>
        <w:rPr>
          <w:rFonts w:ascii="Open Sans" w:eastAsia="Open Sans" w:hAnsi="Open Sans" w:cs="Open Sans"/>
          <w:sz w:val="20"/>
          <w:szCs w:val="20"/>
        </w:rPr>
      </w:pPr>
      <w:r w:rsidRPr="00CE2F22">
        <w:rPr>
          <w:rFonts w:ascii="Open Sans" w:eastAsia="Open Sans" w:hAnsi="Open Sans" w:cs="Open Sans"/>
          <w:sz w:val="20"/>
          <w:szCs w:val="20"/>
        </w:rPr>
        <w:t>There were respondents from every Australian state and territory, with the largest proportion from Victoria (28%), followed by New South Wales (21%) and the Australian Capital Territory (19%). (S</w:t>
      </w:r>
      <w:r w:rsidR="001E441E">
        <w:rPr>
          <w:rFonts w:ascii="Open Sans" w:eastAsia="Open Sans" w:hAnsi="Open Sans" w:cs="Open Sans"/>
          <w:sz w:val="20"/>
          <w:szCs w:val="20"/>
        </w:rPr>
        <w:t xml:space="preserve">ee </w:t>
      </w:r>
      <w:r w:rsidRPr="00CE2F22">
        <w:rPr>
          <w:rFonts w:ascii="Open Sans" w:eastAsia="Open Sans" w:hAnsi="Open Sans" w:cs="Open Sans"/>
          <w:sz w:val="20"/>
          <w:szCs w:val="20"/>
        </w:rPr>
        <w:t>Table 1.2.)</w:t>
      </w:r>
    </w:p>
    <w:tbl>
      <w:tblPr>
        <w:tblStyle w:val="TableGrid"/>
        <w:tblW w:w="6941" w:type="dxa"/>
        <w:tblLook w:val="04A0" w:firstRow="1" w:lastRow="0" w:firstColumn="1" w:lastColumn="0" w:noHBand="0" w:noVBand="1"/>
      </w:tblPr>
      <w:tblGrid>
        <w:gridCol w:w="3539"/>
        <w:gridCol w:w="992"/>
        <w:gridCol w:w="709"/>
        <w:gridCol w:w="851"/>
        <w:gridCol w:w="850"/>
      </w:tblGrid>
      <w:tr w:rsidR="00F17BF6" w:rsidRPr="007D5AAA" w14:paraId="20990316" w14:textId="77777777" w:rsidTr="00F17BF6">
        <w:tc>
          <w:tcPr>
            <w:tcW w:w="6941" w:type="dxa"/>
            <w:gridSpan w:val="5"/>
          </w:tcPr>
          <w:p w14:paraId="6F76188E" w14:textId="027FB82C" w:rsidR="00F17BF6" w:rsidRPr="007D5AAA" w:rsidRDefault="00F17BF6" w:rsidP="00F17BF6">
            <w:pPr>
              <w:pStyle w:val="BodyText"/>
              <w:rPr>
                <w:b/>
                <w:bCs/>
              </w:rPr>
            </w:pPr>
            <w:r w:rsidRPr="001E441E">
              <w:rPr>
                <w:b/>
                <w:bCs/>
              </w:rPr>
              <w:t>Table 1.</w:t>
            </w:r>
            <w:r>
              <w:rPr>
                <w:b/>
                <w:bCs/>
              </w:rPr>
              <w:t>2</w:t>
            </w:r>
            <w:r w:rsidRPr="001E441E">
              <w:rPr>
                <w:b/>
                <w:bCs/>
              </w:rPr>
              <w:t xml:space="preserve">: </w:t>
            </w:r>
            <w:r>
              <w:rPr>
                <w:b/>
                <w:bCs/>
              </w:rPr>
              <w:t>Survey respondents by state or territory</w:t>
            </w:r>
          </w:p>
        </w:tc>
      </w:tr>
      <w:tr w:rsidR="00F17BF6" w:rsidRPr="007D5AAA" w14:paraId="4158BD0D" w14:textId="77777777" w:rsidTr="00F17BF6">
        <w:tc>
          <w:tcPr>
            <w:tcW w:w="3539" w:type="dxa"/>
          </w:tcPr>
          <w:p w14:paraId="29183471" w14:textId="54DF6312" w:rsidR="00F17BF6" w:rsidRPr="007D5AAA" w:rsidRDefault="00F17BF6" w:rsidP="00F17BF6">
            <w:pPr>
              <w:pStyle w:val="Tableleft"/>
              <w:rPr>
                <w:rFonts w:ascii="Open Sans" w:hAnsi="Open Sans" w:cs="Open Sans"/>
              </w:rPr>
            </w:pPr>
            <w:r w:rsidRPr="007D5AAA">
              <w:rPr>
                <w:rFonts w:ascii="Open Sans" w:hAnsi="Open Sans" w:cs="Open Sans"/>
              </w:rPr>
              <w:t>Australian</w:t>
            </w:r>
            <w:r>
              <w:rPr>
                <w:rFonts w:ascii="Open Sans" w:hAnsi="Open Sans" w:cs="Open Sans"/>
              </w:rPr>
              <w:t xml:space="preserve"> </w:t>
            </w:r>
            <w:r w:rsidRPr="007D5AAA">
              <w:rPr>
                <w:rFonts w:ascii="Open Sans" w:hAnsi="Open Sans" w:cs="Open Sans"/>
              </w:rPr>
              <w:t>Capital Territory</w:t>
            </w:r>
          </w:p>
        </w:tc>
        <w:tc>
          <w:tcPr>
            <w:tcW w:w="992" w:type="dxa"/>
          </w:tcPr>
          <w:p w14:paraId="3C792D39" w14:textId="27750D53" w:rsidR="00F17BF6" w:rsidRPr="007D5AAA" w:rsidRDefault="00F17BF6" w:rsidP="00F17BF6">
            <w:pPr>
              <w:pStyle w:val="NoSpacing"/>
              <w:rPr>
                <w:rFonts w:ascii="Open Sans" w:hAnsi="Open Sans" w:cs="Open Sans"/>
                <w:sz w:val="20"/>
                <w:szCs w:val="20"/>
              </w:rPr>
            </w:pPr>
            <w:r w:rsidRPr="00547BD5">
              <w:rPr>
                <w:rFonts w:ascii="Open Sans" w:hAnsi="Open Sans" w:cs="Open Sans"/>
                <w:b/>
                <w:bCs/>
                <w:sz w:val="20"/>
                <w:szCs w:val="20"/>
              </w:rPr>
              <w:t>Count</w:t>
            </w:r>
          </w:p>
        </w:tc>
        <w:tc>
          <w:tcPr>
            <w:tcW w:w="709" w:type="dxa"/>
            <w:vAlign w:val="center"/>
          </w:tcPr>
          <w:p w14:paraId="20A0978A" w14:textId="58A491C6" w:rsidR="00F17BF6" w:rsidRPr="007D5AAA" w:rsidRDefault="00F17BF6" w:rsidP="00F17BF6">
            <w:pPr>
              <w:pStyle w:val="NoSpacing"/>
              <w:rPr>
                <w:rFonts w:ascii="Open Sans" w:hAnsi="Open Sans" w:cs="Open Sans"/>
                <w:sz w:val="20"/>
                <w:szCs w:val="20"/>
              </w:rPr>
            </w:pPr>
            <w:r w:rsidRPr="007D5AAA">
              <w:rPr>
                <w:rFonts w:ascii="Open Sans" w:hAnsi="Open Sans" w:cs="Open Sans"/>
                <w:sz w:val="20"/>
                <w:szCs w:val="20"/>
              </w:rPr>
              <w:t>46</w:t>
            </w:r>
          </w:p>
        </w:tc>
        <w:tc>
          <w:tcPr>
            <w:tcW w:w="851" w:type="dxa"/>
          </w:tcPr>
          <w:p w14:paraId="6871E5ED" w14:textId="5A3A0252" w:rsidR="00F17BF6" w:rsidRPr="007D5AAA" w:rsidRDefault="00F17BF6" w:rsidP="00F17BF6">
            <w:pPr>
              <w:pStyle w:val="NoSpacing"/>
              <w:rPr>
                <w:rFonts w:ascii="Open Sans" w:hAnsi="Open Sans" w:cs="Open Sans"/>
                <w:sz w:val="20"/>
                <w:szCs w:val="20"/>
              </w:rPr>
            </w:pPr>
            <w:r>
              <w:rPr>
                <w:rFonts w:ascii="Open Sans" w:hAnsi="Open Sans" w:cs="Open Sans"/>
                <w:b/>
                <w:bCs/>
                <w:sz w:val="20"/>
                <w:szCs w:val="20"/>
              </w:rPr>
              <w:t>%</w:t>
            </w:r>
          </w:p>
        </w:tc>
        <w:tc>
          <w:tcPr>
            <w:tcW w:w="850" w:type="dxa"/>
            <w:vAlign w:val="center"/>
          </w:tcPr>
          <w:p w14:paraId="4BE23D5C" w14:textId="68538DC0" w:rsidR="00F17BF6" w:rsidRPr="007D5AAA" w:rsidRDefault="00F17BF6" w:rsidP="00F17BF6">
            <w:pPr>
              <w:pStyle w:val="NoSpacing"/>
              <w:rPr>
                <w:rFonts w:ascii="Open Sans" w:hAnsi="Open Sans" w:cs="Open Sans"/>
                <w:sz w:val="20"/>
                <w:szCs w:val="20"/>
              </w:rPr>
            </w:pPr>
            <w:r w:rsidRPr="007D5AAA">
              <w:rPr>
                <w:rFonts w:ascii="Open Sans" w:hAnsi="Open Sans" w:cs="Open Sans"/>
                <w:sz w:val="20"/>
                <w:szCs w:val="20"/>
              </w:rPr>
              <w:t>18.5%</w:t>
            </w:r>
          </w:p>
        </w:tc>
      </w:tr>
      <w:tr w:rsidR="00F17BF6" w:rsidRPr="007D5AAA" w14:paraId="64573E90" w14:textId="77777777" w:rsidTr="00F17BF6">
        <w:tc>
          <w:tcPr>
            <w:tcW w:w="3539" w:type="dxa"/>
          </w:tcPr>
          <w:p w14:paraId="04597245" w14:textId="77777777" w:rsidR="00F17BF6" w:rsidRPr="007D5AAA" w:rsidRDefault="00F17BF6" w:rsidP="00F17BF6">
            <w:pPr>
              <w:pStyle w:val="NoSpacing"/>
              <w:rPr>
                <w:rFonts w:ascii="Open Sans" w:hAnsi="Open Sans" w:cs="Open Sans"/>
                <w:sz w:val="20"/>
                <w:szCs w:val="20"/>
              </w:rPr>
            </w:pPr>
            <w:r w:rsidRPr="007D5AAA">
              <w:rPr>
                <w:rFonts w:ascii="Open Sans" w:hAnsi="Open Sans" w:cs="Open Sans"/>
                <w:sz w:val="20"/>
                <w:szCs w:val="20"/>
              </w:rPr>
              <w:t>New South Wales</w:t>
            </w:r>
          </w:p>
        </w:tc>
        <w:tc>
          <w:tcPr>
            <w:tcW w:w="992" w:type="dxa"/>
          </w:tcPr>
          <w:p w14:paraId="25193EA4" w14:textId="508CF3EE" w:rsidR="00F17BF6" w:rsidRPr="007D5AAA" w:rsidRDefault="00F17BF6" w:rsidP="00F17BF6">
            <w:pPr>
              <w:pStyle w:val="NoSpacing"/>
              <w:rPr>
                <w:rFonts w:ascii="Open Sans" w:hAnsi="Open Sans" w:cs="Open Sans"/>
                <w:sz w:val="20"/>
                <w:szCs w:val="20"/>
              </w:rPr>
            </w:pPr>
            <w:r w:rsidRPr="00547BD5">
              <w:rPr>
                <w:rFonts w:ascii="Open Sans" w:hAnsi="Open Sans" w:cs="Open Sans"/>
                <w:b/>
                <w:bCs/>
                <w:sz w:val="20"/>
                <w:szCs w:val="20"/>
              </w:rPr>
              <w:t>Count</w:t>
            </w:r>
          </w:p>
        </w:tc>
        <w:tc>
          <w:tcPr>
            <w:tcW w:w="709" w:type="dxa"/>
            <w:vAlign w:val="center"/>
          </w:tcPr>
          <w:p w14:paraId="76816CAC" w14:textId="0FC8CAD0" w:rsidR="00F17BF6" w:rsidRPr="007D5AAA" w:rsidRDefault="00F17BF6" w:rsidP="00F17BF6">
            <w:pPr>
              <w:pStyle w:val="NoSpacing"/>
              <w:rPr>
                <w:rFonts w:ascii="Open Sans" w:hAnsi="Open Sans" w:cs="Open Sans"/>
                <w:sz w:val="20"/>
                <w:szCs w:val="20"/>
              </w:rPr>
            </w:pPr>
            <w:r w:rsidRPr="007D5AAA">
              <w:rPr>
                <w:rFonts w:ascii="Open Sans" w:hAnsi="Open Sans" w:cs="Open Sans"/>
                <w:sz w:val="20"/>
                <w:szCs w:val="20"/>
              </w:rPr>
              <w:t>53</w:t>
            </w:r>
          </w:p>
        </w:tc>
        <w:tc>
          <w:tcPr>
            <w:tcW w:w="851" w:type="dxa"/>
          </w:tcPr>
          <w:p w14:paraId="1CBDB6F9" w14:textId="46C6EEC1" w:rsidR="00F17BF6" w:rsidRPr="007D5AAA" w:rsidRDefault="00F17BF6" w:rsidP="00F17BF6">
            <w:pPr>
              <w:pStyle w:val="NoSpacing"/>
              <w:rPr>
                <w:rFonts w:ascii="Open Sans" w:hAnsi="Open Sans" w:cs="Open Sans"/>
                <w:sz w:val="20"/>
                <w:szCs w:val="20"/>
              </w:rPr>
            </w:pPr>
            <w:r w:rsidRPr="00894A86">
              <w:rPr>
                <w:rFonts w:ascii="Open Sans" w:hAnsi="Open Sans" w:cs="Open Sans"/>
                <w:b/>
                <w:bCs/>
                <w:sz w:val="20"/>
                <w:szCs w:val="20"/>
              </w:rPr>
              <w:t>%</w:t>
            </w:r>
          </w:p>
        </w:tc>
        <w:tc>
          <w:tcPr>
            <w:tcW w:w="850" w:type="dxa"/>
            <w:vAlign w:val="center"/>
          </w:tcPr>
          <w:p w14:paraId="5E32F7BF" w14:textId="748E9381" w:rsidR="00F17BF6" w:rsidRPr="007D5AAA" w:rsidRDefault="00F17BF6" w:rsidP="00F17BF6">
            <w:pPr>
              <w:pStyle w:val="NoSpacing"/>
              <w:rPr>
                <w:rFonts w:ascii="Open Sans" w:hAnsi="Open Sans" w:cs="Open Sans"/>
                <w:sz w:val="20"/>
                <w:szCs w:val="20"/>
              </w:rPr>
            </w:pPr>
            <w:r w:rsidRPr="007D5AAA">
              <w:rPr>
                <w:rFonts w:ascii="Open Sans" w:hAnsi="Open Sans" w:cs="Open Sans"/>
                <w:sz w:val="20"/>
                <w:szCs w:val="20"/>
              </w:rPr>
              <w:t>21.3%</w:t>
            </w:r>
          </w:p>
        </w:tc>
      </w:tr>
      <w:tr w:rsidR="00F17BF6" w:rsidRPr="007D5AAA" w14:paraId="487D77F7" w14:textId="77777777" w:rsidTr="00F17BF6">
        <w:tc>
          <w:tcPr>
            <w:tcW w:w="3539" w:type="dxa"/>
          </w:tcPr>
          <w:p w14:paraId="020814E6" w14:textId="77777777" w:rsidR="00F17BF6" w:rsidRPr="007D5AAA" w:rsidRDefault="00F17BF6" w:rsidP="00F17BF6">
            <w:pPr>
              <w:pStyle w:val="NoSpacing"/>
              <w:rPr>
                <w:rFonts w:ascii="Open Sans" w:hAnsi="Open Sans" w:cs="Open Sans"/>
                <w:sz w:val="20"/>
                <w:szCs w:val="20"/>
              </w:rPr>
            </w:pPr>
            <w:r w:rsidRPr="007D5AAA">
              <w:rPr>
                <w:rFonts w:ascii="Open Sans" w:hAnsi="Open Sans" w:cs="Open Sans"/>
                <w:sz w:val="20"/>
                <w:szCs w:val="20"/>
              </w:rPr>
              <w:t>Northern Territory</w:t>
            </w:r>
          </w:p>
        </w:tc>
        <w:tc>
          <w:tcPr>
            <w:tcW w:w="992" w:type="dxa"/>
          </w:tcPr>
          <w:p w14:paraId="0B55C33A" w14:textId="4A76D5F1" w:rsidR="00F17BF6" w:rsidRPr="007D5AAA" w:rsidRDefault="00F17BF6" w:rsidP="00F17BF6">
            <w:pPr>
              <w:pStyle w:val="NoSpacing"/>
              <w:rPr>
                <w:rFonts w:ascii="Open Sans" w:hAnsi="Open Sans" w:cs="Open Sans"/>
                <w:sz w:val="20"/>
                <w:szCs w:val="20"/>
              </w:rPr>
            </w:pPr>
            <w:r w:rsidRPr="00547BD5">
              <w:rPr>
                <w:rFonts w:ascii="Open Sans" w:hAnsi="Open Sans" w:cs="Open Sans"/>
                <w:b/>
                <w:bCs/>
                <w:sz w:val="20"/>
                <w:szCs w:val="20"/>
              </w:rPr>
              <w:t>Count</w:t>
            </w:r>
          </w:p>
        </w:tc>
        <w:tc>
          <w:tcPr>
            <w:tcW w:w="709" w:type="dxa"/>
            <w:vAlign w:val="center"/>
          </w:tcPr>
          <w:p w14:paraId="0B167554" w14:textId="5484F271" w:rsidR="00F17BF6" w:rsidRPr="007D5AAA" w:rsidRDefault="00F17BF6" w:rsidP="00F17BF6">
            <w:pPr>
              <w:pStyle w:val="NoSpacing"/>
              <w:rPr>
                <w:rFonts w:ascii="Open Sans" w:hAnsi="Open Sans" w:cs="Open Sans"/>
                <w:sz w:val="20"/>
                <w:szCs w:val="20"/>
              </w:rPr>
            </w:pPr>
            <w:r w:rsidRPr="007D5AAA">
              <w:rPr>
                <w:rFonts w:ascii="Open Sans" w:hAnsi="Open Sans" w:cs="Open Sans"/>
                <w:sz w:val="20"/>
                <w:szCs w:val="20"/>
              </w:rPr>
              <w:t>3</w:t>
            </w:r>
          </w:p>
        </w:tc>
        <w:tc>
          <w:tcPr>
            <w:tcW w:w="851" w:type="dxa"/>
          </w:tcPr>
          <w:p w14:paraId="55A38287" w14:textId="2F32296D" w:rsidR="00F17BF6" w:rsidRPr="007D5AAA" w:rsidRDefault="00F17BF6" w:rsidP="00F17BF6">
            <w:pPr>
              <w:pStyle w:val="NoSpacing"/>
              <w:rPr>
                <w:rFonts w:ascii="Open Sans" w:hAnsi="Open Sans" w:cs="Open Sans"/>
                <w:sz w:val="20"/>
                <w:szCs w:val="20"/>
              </w:rPr>
            </w:pPr>
            <w:r w:rsidRPr="00894A86">
              <w:rPr>
                <w:rFonts w:ascii="Open Sans" w:hAnsi="Open Sans" w:cs="Open Sans"/>
                <w:b/>
                <w:bCs/>
                <w:sz w:val="20"/>
                <w:szCs w:val="20"/>
              </w:rPr>
              <w:t>%</w:t>
            </w:r>
          </w:p>
        </w:tc>
        <w:tc>
          <w:tcPr>
            <w:tcW w:w="850" w:type="dxa"/>
            <w:vAlign w:val="center"/>
          </w:tcPr>
          <w:p w14:paraId="779FCCB7" w14:textId="352132B8" w:rsidR="00F17BF6" w:rsidRPr="007D5AAA" w:rsidRDefault="00F17BF6" w:rsidP="00F17BF6">
            <w:pPr>
              <w:pStyle w:val="NoSpacing"/>
              <w:rPr>
                <w:rFonts w:ascii="Open Sans" w:hAnsi="Open Sans" w:cs="Open Sans"/>
                <w:sz w:val="20"/>
                <w:szCs w:val="20"/>
              </w:rPr>
            </w:pPr>
            <w:r w:rsidRPr="007D5AAA">
              <w:rPr>
                <w:rFonts w:ascii="Open Sans" w:hAnsi="Open Sans" w:cs="Open Sans"/>
                <w:sz w:val="20"/>
                <w:szCs w:val="20"/>
              </w:rPr>
              <w:t>1.2%</w:t>
            </w:r>
          </w:p>
        </w:tc>
      </w:tr>
      <w:tr w:rsidR="00F17BF6" w:rsidRPr="007D5AAA" w14:paraId="149B9AB2" w14:textId="77777777" w:rsidTr="00F17BF6">
        <w:tc>
          <w:tcPr>
            <w:tcW w:w="3539" w:type="dxa"/>
          </w:tcPr>
          <w:p w14:paraId="1070143A" w14:textId="77777777" w:rsidR="00F17BF6" w:rsidRPr="007D5AAA" w:rsidRDefault="00F17BF6" w:rsidP="00F17BF6">
            <w:pPr>
              <w:pStyle w:val="NoSpacing"/>
              <w:rPr>
                <w:rFonts w:ascii="Open Sans" w:hAnsi="Open Sans" w:cs="Open Sans"/>
                <w:sz w:val="20"/>
                <w:szCs w:val="20"/>
              </w:rPr>
            </w:pPr>
            <w:r w:rsidRPr="007D5AAA">
              <w:rPr>
                <w:rFonts w:ascii="Open Sans" w:hAnsi="Open Sans" w:cs="Open Sans"/>
                <w:sz w:val="20"/>
                <w:szCs w:val="20"/>
              </w:rPr>
              <w:t>Queensland</w:t>
            </w:r>
          </w:p>
        </w:tc>
        <w:tc>
          <w:tcPr>
            <w:tcW w:w="992" w:type="dxa"/>
          </w:tcPr>
          <w:p w14:paraId="5542820E" w14:textId="4BFA4848" w:rsidR="00F17BF6" w:rsidRPr="007D5AAA" w:rsidRDefault="00F17BF6" w:rsidP="00F17BF6">
            <w:pPr>
              <w:pStyle w:val="NoSpacing"/>
              <w:rPr>
                <w:rFonts w:ascii="Open Sans" w:hAnsi="Open Sans" w:cs="Open Sans"/>
                <w:sz w:val="20"/>
                <w:szCs w:val="20"/>
              </w:rPr>
            </w:pPr>
            <w:r w:rsidRPr="00547BD5">
              <w:rPr>
                <w:rFonts w:ascii="Open Sans" w:hAnsi="Open Sans" w:cs="Open Sans"/>
                <w:b/>
                <w:bCs/>
                <w:sz w:val="20"/>
                <w:szCs w:val="20"/>
              </w:rPr>
              <w:t>Count</w:t>
            </w:r>
          </w:p>
        </w:tc>
        <w:tc>
          <w:tcPr>
            <w:tcW w:w="709" w:type="dxa"/>
            <w:vAlign w:val="center"/>
          </w:tcPr>
          <w:p w14:paraId="36C4B236" w14:textId="742F4A4E" w:rsidR="00F17BF6" w:rsidRPr="007D5AAA" w:rsidRDefault="00F17BF6" w:rsidP="00F17BF6">
            <w:pPr>
              <w:pStyle w:val="NoSpacing"/>
              <w:rPr>
                <w:rFonts w:ascii="Open Sans" w:hAnsi="Open Sans" w:cs="Open Sans"/>
                <w:sz w:val="20"/>
                <w:szCs w:val="20"/>
              </w:rPr>
            </w:pPr>
            <w:r w:rsidRPr="007D5AAA">
              <w:rPr>
                <w:rFonts w:ascii="Open Sans" w:hAnsi="Open Sans" w:cs="Open Sans"/>
                <w:sz w:val="20"/>
                <w:szCs w:val="20"/>
              </w:rPr>
              <w:t>40</w:t>
            </w:r>
          </w:p>
        </w:tc>
        <w:tc>
          <w:tcPr>
            <w:tcW w:w="851" w:type="dxa"/>
          </w:tcPr>
          <w:p w14:paraId="5118CAB0" w14:textId="741A23BB" w:rsidR="00F17BF6" w:rsidRPr="007D5AAA" w:rsidRDefault="00F17BF6" w:rsidP="00F17BF6">
            <w:pPr>
              <w:pStyle w:val="NoSpacing"/>
              <w:rPr>
                <w:rFonts w:ascii="Open Sans" w:hAnsi="Open Sans" w:cs="Open Sans"/>
                <w:sz w:val="20"/>
                <w:szCs w:val="20"/>
              </w:rPr>
            </w:pPr>
            <w:r w:rsidRPr="00894A86">
              <w:rPr>
                <w:rFonts w:ascii="Open Sans" w:hAnsi="Open Sans" w:cs="Open Sans"/>
                <w:b/>
                <w:bCs/>
                <w:sz w:val="20"/>
                <w:szCs w:val="20"/>
              </w:rPr>
              <w:t>%</w:t>
            </w:r>
          </w:p>
        </w:tc>
        <w:tc>
          <w:tcPr>
            <w:tcW w:w="850" w:type="dxa"/>
            <w:vAlign w:val="center"/>
          </w:tcPr>
          <w:p w14:paraId="32F5A3D9" w14:textId="7CD34C08" w:rsidR="00F17BF6" w:rsidRPr="007D5AAA" w:rsidRDefault="00F17BF6" w:rsidP="00F17BF6">
            <w:pPr>
              <w:pStyle w:val="NoSpacing"/>
              <w:rPr>
                <w:rFonts w:ascii="Open Sans" w:hAnsi="Open Sans" w:cs="Open Sans"/>
                <w:sz w:val="20"/>
                <w:szCs w:val="20"/>
              </w:rPr>
            </w:pPr>
            <w:r w:rsidRPr="007D5AAA">
              <w:rPr>
                <w:rFonts w:ascii="Open Sans" w:hAnsi="Open Sans" w:cs="Open Sans"/>
                <w:sz w:val="20"/>
                <w:szCs w:val="20"/>
              </w:rPr>
              <w:t>16.1%</w:t>
            </w:r>
          </w:p>
        </w:tc>
      </w:tr>
      <w:tr w:rsidR="00F17BF6" w:rsidRPr="007D5AAA" w14:paraId="742A11D7" w14:textId="77777777" w:rsidTr="00F17BF6">
        <w:tc>
          <w:tcPr>
            <w:tcW w:w="3539" w:type="dxa"/>
          </w:tcPr>
          <w:p w14:paraId="308A507E" w14:textId="77777777" w:rsidR="00F17BF6" w:rsidRPr="007D5AAA" w:rsidRDefault="00F17BF6" w:rsidP="00F17BF6">
            <w:pPr>
              <w:pStyle w:val="Tableleft"/>
              <w:rPr>
                <w:rFonts w:ascii="Open Sans" w:hAnsi="Open Sans" w:cs="Open Sans"/>
              </w:rPr>
            </w:pPr>
            <w:r w:rsidRPr="007D5AAA">
              <w:rPr>
                <w:rFonts w:ascii="Open Sans" w:hAnsi="Open Sans" w:cs="Open Sans"/>
              </w:rPr>
              <w:t>South Australia</w:t>
            </w:r>
          </w:p>
        </w:tc>
        <w:tc>
          <w:tcPr>
            <w:tcW w:w="992" w:type="dxa"/>
          </w:tcPr>
          <w:p w14:paraId="2FBF5D27" w14:textId="5BB3C1CE" w:rsidR="00F17BF6" w:rsidRPr="007D5AAA" w:rsidRDefault="00F17BF6" w:rsidP="00F17BF6">
            <w:pPr>
              <w:pStyle w:val="TableCentred"/>
              <w:jc w:val="both"/>
              <w:rPr>
                <w:rFonts w:ascii="Open Sans" w:hAnsi="Open Sans" w:cs="Open Sans"/>
              </w:rPr>
            </w:pPr>
            <w:r w:rsidRPr="00547BD5">
              <w:rPr>
                <w:rFonts w:ascii="Open Sans" w:hAnsi="Open Sans" w:cs="Open Sans"/>
                <w:b/>
                <w:bCs/>
              </w:rPr>
              <w:t>Count</w:t>
            </w:r>
          </w:p>
        </w:tc>
        <w:tc>
          <w:tcPr>
            <w:tcW w:w="709" w:type="dxa"/>
            <w:vAlign w:val="center"/>
          </w:tcPr>
          <w:p w14:paraId="453EC398" w14:textId="73842654" w:rsidR="00F17BF6" w:rsidRPr="007D5AAA" w:rsidRDefault="00F17BF6" w:rsidP="00F17BF6">
            <w:pPr>
              <w:pStyle w:val="TableCentred"/>
              <w:jc w:val="both"/>
              <w:rPr>
                <w:rFonts w:ascii="Open Sans" w:hAnsi="Open Sans" w:cs="Open Sans"/>
              </w:rPr>
            </w:pPr>
            <w:r w:rsidRPr="007D5AAA">
              <w:rPr>
                <w:rFonts w:ascii="Open Sans" w:hAnsi="Open Sans" w:cs="Open Sans"/>
              </w:rPr>
              <w:t>17</w:t>
            </w:r>
          </w:p>
        </w:tc>
        <w:tc>
          <w:tcPr>
            <w:tcW w:w="851" w:type="dxa"/>
          </w:tcPr>
          <w:p w14:paraId="7AE06E4E" w14:textId="216A9731" w:rsidR="00F17BF6" w:rsidRPr="007D5AAA" w:rsidRDefault="00F17BF6" w:rsidP="00F17BF6">
            <w:pPr>
              <w:pStyle w:val="TableCentred"/>
              <w:jc w:val="both"/>
              <w:rPr>
                <w:rFonts w:ascii="Open Sans" w:hAnsi="Open Sans" w:cs="Open Sans"/>
              </w:rPr>
            </w:pPr>
            <w:r w:rsidRPr="00894A86">
              <w:rPr>
                <w:rFonts w:ascii="Open Sans" w:hAnsi="Open Sans" w:cs="Open Sans"/>
                <w:b/>
                <w:bCs/>
              </w:rPr>
              <w:t>%</w:t>
            </w:r>
          </w:p>
        </w:tc>
        <w:tc>
          <w:tcPr>
            <w:tcW w:w="850" w:type="dxa"/>
          </w:tcPr>
          <w:p w14:paraId="13E2858C" w14:textId="3F249E79" w:rsidR="00F17BF6" w:rsidRPr="007D5AAA" w:rsidRDefault="00F17BF6" w:rsidP="00F17BF6">
            <w:pPr>
              <w:pStyle w:val="TableCentred"/>
              <w:jc w:val="both"/>
              <w:rPr>
                <w:rFonts w:ascii="Open Sans" w:hAnsi="Open Sans" w:cs="Open Sans"/>
              </w:rPr>
            </w:pPr>
            <w:r w:rsidRPr="007D5AAA">
              <w:rPr>
                <w:rFonts w:ascii="Open Sans" w:hAnsi="Open Sans" w:cs="Open Sans"/>
              </w:rPr>
              <w:t>6.8%</w:t>
            </w:r>
          </w:p>
        </w:tc>
      </w:tr>
      <w:tr w:rsidR="00F17BF6" w:rsidRPr="007D5AAA" w14:paraId="558F93F1" w14:textId="77777777" w:rsidTr="00F17BF6">
        <w:tc>
          <w:tcPr>
            <w:tcW w:w="3539" w:type="dxa"/>
          </w:tcPr>
          <w:p w14:paraId="0CFB57F9" w14:textId="77777777" w:rsidR="00F17BF6" w:rsidRPr="007D5AAA" w:rsidRDefault="00F17BF6" w:rsidP="00F17BF6">
            <w:pPr>
              <w:pStyle w:val="Tableleft"/>
              <w:rPr>
                <w:rFonts w:ascii="Open Sans" w:hAnsi="Open Sans" w:cs="Open Sans"/>
              </w:rPr>
            </w:pPr>
            <w:r w:rsidRPr="007D5AAA">
              <w:rPr>
                <w:rFonts w:ascii="Open Sans" w:hAnsi="Open Sans" w:cs="Open Sans"/>
              </w:rPr>
              <w:t>Tasmania</w:t>
            </w:r>
          </w:p>
        </w:tc>
        <w:tc>
          <w:tcPr>
            <w:tcW w:w="992" w:type="dxa"/>
          </w:tcPr>
          <w:p w14:paraId="5BFC7220" w14:textId="1A1ED8E6" w:rsidR="00F17BF6" w:rsidRPr="007D5AAA" w:rsidRDefault="00F17BF6" w:rsidP="00F17BF6">
            <w:pPr>
              <w:pStyle w:val="TableCentred"/>
              <w:jc w:val="both"/>
              <w:rPr>
                <w:rFonts w:ascii="Open Sans" w:hAnsi="Open Sans" w:cs="Open Sans"/>
              </w:rPr>
            </w:pPr>
            <w:r w:rsidRPr="00547BD5">
              <w:rPr>
                <w:rFonts w:ascii="Open Sans" w:hAnsi="Open Sans" w:cs="Open Sans"/>
                <w:b/>
                <w:bCs/>
              </w:rPr>
              <w:t>Count</w:t>
            </w:r>
          </w:p>
        </w:tc>
        <w:tc>
          <w:tcPr>
            <w:tcW w:w="709" w:type="dxa"/>
            <w:vAlign w:val="center"/>
          </w:tcPr>
          <w:p w14:paraId="216AB078" w14:textId="5B6565BA" w:rsidR="00F17BF6" w:rsidRPr="007D5AAA" w:rsidRDefault="00F17BF6" w:rsidP="00F17BF6">
            <w:pPr>
              <w:pStyle w:val="TableCentred"/>
              <w:jc w:val="both"/>
              <w:rPr>
                <w:rFonts w:ascii="Open Sans" w:hAnsi="Open Sans" w:cs="Open Sans"/>
              </w:rPr>
            </w:pPr>
            <w:r w:rsidRPr="007D5AAA">
              <w:rPr>
                <w:rFonts w:ascii="Open Sans" w:hAnsi="Open Sans" w:cs="Open Sans"/>
              </w:rPr>
              <w:t>11</w:t>
            </w:r>
          </w:p>
        </w:tc>
        <w:tc>
          <w:tcPr>
            <w:tcW w:w="851" w:type="dxa"/>
          </w:tcPr>
          <w:p w14:paraId="5B5805DC" w14:textId="031B98BC" w:rsidR="00F17BF6" w:rsidRPr="007D5AAA" w:rsidRDefault="00F17BF6" w:rsidP="00F17BF6">
            <w:pPr>
              <w:pStyle w:val="TableCentred"/>
              <w:jc w:val="both"/>
              <w:rPr>
                <w:rFonts w:ascii="Open Sans" w:hAnsi="Open Sans" w:cs="Open Sans"/>
              </w:rPr>
            </w:pPr>
            <w:r w:rsidRPr="00894A86">
              <w:rPr>
                <w:rFonts w:ascii="Open Sans" w:hAnsi="Open Sans" w:cs="Open Sans"/>
                <w:b/>
                <w:bCs/>
              </w:rPr>
              <w:t>%</w:t>
            </w:r>
          </w:p>
        </w:tc>
        <w:tc>
          <w:tcPr>
            <w:tcW w:w="850" w:type="dxa"/>
          </w:tcPr>
          <w:p w14:paraId="1500AA3D" w14:textId="0EF4AB30" w:rsidR="00F17BF6" w:rsidRPr="007D5AAA" w:rsidRDefault="00F17BF6" w:rsidP="00F17BF6">
            <w:pPr>
              <w:pStyle w:val="TableCentred"/>
              <w:jc w:val="both"/>
              <w:rPr>
                <w:rFonts w:ascii="Open Sans" w:hAnsi="Open Sans" w:cs="Open Sans"/>
              </w:rPr>
            </w:pPr>
            <w:r w:rsidRPr="007D5AAA">
              <w:rPr>
                <w:rFonts w:ascii="Open Sans" w:hAnsi="Open Sans" w:cs="Open Sans"/>
              </w:rPr>
              <w:t>4.4%</w:t>
            </w:r>
          </w:p>
        </w:tc>
      </w:tr>
      <w:tr w:rsidR="00F17BF6" w:rsidRPr="007D5AAA" w14:paraId="1781701E" w14:textId="77777777" w:rsidTr="00F17BF6">
        <w:tc>
          <w:tcPr>
            <w:tcW w:w="3539" w:type="dxa"/>
          </w:tcPr>
          <w:p w14:paraId="002B5DB8" w14:textId="77777777" w:rsidR="00F17BF6" w:rsidRPr="007D5AAA" w:rsidRDefault="00F17BF6" w:rsidP="00F17BF6">
            <w:pPr>
              <w:pStyle w:val="Tableleft"/>
              <w:rPr>
                <w:rFonts w:ascii="Open Sans" w:hAnsi="Open Sans" w:cs="Open Sans"/>
              </w:rPr>
            </w:pPr>
            <w:r w:rsidRPr="007D5AAA">
              <w:rPr>
                <w:rFonts w:ascii="Open Sans" w:hAnsi="Open Sans" w:cs="Open Sans"/>
              </w:rPr>
              <w:t>Victoria</w:t>
            </w:r>
          </w:p>
        </w:tc>
        <w:tc>
          <w:tcPr>
            <w:tcW w:w="992" w:type="dxa"/>
          </w:tcPr>
          <w:p w14:paraId="393F390E" w14:textId="2C73B9F6" w:rsidR="00F17BF6" w:rsidRPr="007D5AAA" w:rsidRDefault="00F17BF6" w:rsidP="00F17BF6">
            <w:pPr>
              <w:pStyle w:val="TableCentred"/>
              <w:jc w:val="both"/>
              <w:rPr>
                <w:rFonts w:ascii="Open Sans" w:hAnsi="Open Sans" w:cs="Open Sans"/>
              </w:rPr>
            </w:pPr>
            <w:r w:rsidRPr="00547BD5">
              <w:rPr>
                <w:rFonts w:ascii="Open Sans" w:hAnsi="Open Sans" w:cs="Open Sans"/>
                <w:b/>
                <w:bCs/>
              </w:rPr>
              <w:t>Count</w:t>
            </w:r>
          </w:p>
        </w:tc>
        <w:tc>
          <w:tcPr>
            <w:tcW w:w="709" w:type="dxa"/>
            <w:vAlign w:val="center"/>
          </w:tcPr>
          <w:p w14:paraId="1AB7152B" w14:textId="7EB3227E" w:rsidR="00F17BF6" w:rsidRPr="007D5AAA" w:rsidRDefault="00F17BF6" w:rsidP="00F17BF6">
            <w:pPr>
              <w:pStyle w:val="TableCentred"/>
              <w:jc w:val="both"/>
              <w:rPr>
                <w:rFonts w:ascii="Open Sans" w:hAnsi="Open Sans" w:cs="Open Sans"/>
              </w:rPr>
            </w:pPr>
            <w:r w:rsidRPr="007D5AAA">
              <w:rPr>
                <w:rFonts w:ascii="Open Sans" w:hAnsi="Open Sans" w:cs="Open Sans"/>
              </w:rPr>
              <w:t>69</w:t>
            </w:r>
          </w:p>
        </w:tc>
        <w:tc>
          <w:tcPr>
            <w:tcW w:w="851" w:type="dxa"/>
          </w:tcPr>
          <w:p w14:paraId="399022C2" w14:textId="426A33D2" w:rsidR="00F17BF6" w:rsidRPr="007D5AAA" w:rsidRDefault="00F17BF6" w:rsidP="00F17BF6">
            <w:pPr>
              <w:pStyle w:val="TableCentred"/>
              <w:jc w:val="both"/>
              <w:rPr>
                <w:rFonts w:ascii="Open Sans" w:hAnsi="Open Sans" w:cs="Open Sans"/>
              </w:rPr>
            </w:pPr>
            <w:r w:rsidRPr="00894A86">
              <w:rPr>
                <w:rFonts w:ascii="Open Sans" w:hAnsi="Open Sans" w:cs="Open Sans"/>
                <w:b/>
                <w:bCs/>
              </w:rPr>
              <w:t>%</w:t>
            </w:r>
          </w:p>
        </w:tc>
        <w:tc>
          <w:tcPr>
            <w:tcW w:w="850" w:type="dxa"/>
          </w:tcPr>
          <w:p w14:paraId="7CB3C45F" w14:textId="5AE5B651" w:rsidR="00F17BF6" w:rsidRPr="007D5AAA" w:rsidRDefault="00F17BF6" w:rsidP="00F17BF6">
            <w:pPr>
              <w:pStyle w:val="TableCentred"/>
              <w:jc w:val="both"/>
              <w:rPr>
                <w:rFonts w:ascii="Open Sans" w:hAnsi="Open Sans" w:cs="Open Sans"/>
              </w:rPr>
            </w:pPr>
            <w:r w:rsidRPr="007D5AAA">
              <w:rPr>
                <w:rFonts w:ascii="Open Sans" w:hAnsi="Open Sans" w:cs="Open Sans"/>
              </w:rPr>
              <w:t>27.7%</w:t>
            </w:r>
          </w:p>
        </w:tc>
      </w:tr>
      <w:tr w:rsidR="00F17BF6" w:rsidRPr="007D5AAA" w14:paraId="4E008A5A" w14:textId="77777777" w:rsidTr="00F17BF6">
        <w:tc>
          <w:tcPr>
            <w:tcW w:w="3539" w:type="dxa"/>
          </w:tcPr>
          <w:p w14:paraId="5BB6EF43" w14:textId="77777777" w:rsidR="00F17BF6" w:rsidRPr="007D5AAA" w:rsidRDefault="00F17BF6" w:rsidP="00F17BF6">
            <w:pPr>
              <w:pStyle w:val="Tableleft"/>
              <w:rPr>
                <w:rFonts w:ascii="Open Sans" w:hAnsi="Open Sans" w:cs="Open Sans"/>
              </w:rPr>
            </w:pPr>
            <w:r w:rsidRPr="007D5AAA">
              <w:rPr>
                <w:rFonts w:ascii="Open Sans" w:hAnsi="Open Sans" w:cs="Open Sans"/>
              </w:rPr>
              <w:t>Western Australia</w:t>
            </w:r>
          </w:p>
        </w:tc>
        <w:tc>
          <w:tcPr>
            <w:tcW w:w="992" w:type="dxa"/>
          </w:tcPr>
          <w:p w14:paraId="4C8E146D" w14:textId="6EB1D400" w:rsidR="00F17BF6" w:rsidRPr="007D5AAA" w:rsidRDefault="00F17BF6" w:rsidP="00F17BF6">
            <w:pPr>
              <w:pStyle w:val="TableCentred"/>
              <w:jc w:val="both"/>
              <w:rPr>
                <w:rFonts w:ascii="Open Sans" w:hAnsi="Open Sans" w:cs="Open Sans"/>
              </w:rPr>
            </w:pPr>
            <w:r w:rsidRPr="00547BD5">
              <w:rPr>
                <w:rFonts w:ascii="Open Sans" w:hAnsi="Open Sans" w:cs="Open Sans"/>
                <w:b/>
                <w:bCs/>
              </w:rPr>
              <w:t>Count</w:t>
            </w:r>
          </w:p>
        </w:tc>
        <w:tc>
          <w:tcPr>
            <w:tcW w:w="709" w:type="dxa"/>
          </w:tcPr>
          <w:p w14:paraId="1405B84E" w14:textId="497C9C89" w:rsidR="00F17BF6" w:rsidRPr="007D5AAA" w:rsidRDefault="00F17BF6" w:rsidP="00F17BF6">
            <w:pPr>
              <w:pStyle w:val="TableCentred"/>
              <w:jc w:val="both"/>
              <w:rPr>
                <w:rFonts w:ascii="Open Sans" w:hAnsi="Open Sans" w:cs="Open Sans"/>
              </w:rPr>
            </w:pPr>
            <w:r w:rsidRPr="007D5AAA">
              <w:rPr>
                <w:rFonts w:ascii="Open Sans" w:hAnsi="Open Sans" w:cs="Open Sans"/>
              </w:rPr>
              <w:t>10</w:t>
            </w:r>
          </w:p>
        </w:tc>
        <w:tc>
          <w:tcPr>
            <w:tcW w:w="851" w:type="dxa"/>
          </w:tcPr>
          <w:p w14:paraId="2B588655" w14:textId="26277245" w:rsidR="00F17BF6" w:rsidRPr="007D5AAA" w:rsidRDefault="00F17BF6" w:rsidP="00F17BF6">
            <w:pPr>
              <w:pStyle w:val="TableCentred"/>
              <w:jc w:val="both"/>
              <w:rPr>
                <w:rFonts w:ascii="Open Sans" w:hAnsi="Open Sans" w:cs="Open Sans"/>
              </w:rPr>
            </w:pPr>
            <w:r w:rsidRPr="00894A86">
              <w:rPr>
                <w:rFonts w:ascii="Open Sans" w:hAnsi="Open Sans" w:cs="Open Sans"/>
                <w:b/>
                <w:bCs/>
              </w:rPr>
              <w:t>%</w:t>
            </w:r>
          </w:p>
        </w:tc>
        <w:tc>
          <w:tcPr>
            <w:tcW w:w="850" w:type="dxa"/>
          </w:tcPr>
          <w:p w14:paraId="3A7C4F72" w14:textId="69924471" w:rsidR="00F17BF6" w:rsidRPr="007D5AAA" w:rsidRDefault="00F17BF6" w:rsidP="00F17BF6">
            <w:pPr>
              <w:pStyle w:val="TableCentred"/>
              <w:jc w:val="both"/>
              <w:rPr>
                <w:rFonts w:ascii="Open Sans" w:hAnsi="Open Sans" w:cs="Open Sans"/>
              </w:rPr>
            </w:pPr>
            <w:r w:rsidRPr="007D5AAA">
              <w:rPr>
                <w:rFonts w:ascii="Open Sans" w:hAnsi="Open Sans" w:cs="Open Sans"/>
              </w:rPr>
              <w:t>4%</w:t>
            </w:r>
          </w:p>
        </w:tc>
      </w:tr>
    </w:tbl>
    <w:p w14:paraId="0748D013" w14:textId="77777777" w:rsidR="00197C5B" w:rsidRPr="00CE2F22" w:rsidRDefault="00197C5B" w:rsidP="00E654F7"/>
    <w:p w14:paraId="1014A81F" w14:textId="45B8D3B1" w:rsidR="00E654F7" w:rsidRPr="00CE2F22" w:rsidRDefault="00E654F7" w:rsidP="00E654F7">
      <w:pPr>
        <w:pStyle w:val="Heading3"/>
      </w:pPr>
      <w:bookmarkStart w:id="52" w:name="_Toc96091495"/>
      <w:bookmarkStart w:id="53" w:name="_Toc96092068"/>
      <w:r w:rsidRPr="00CE2F22">
        <w:t>Remoteness</w:t>
      </w:r>
      <w:bookmarkEnd w:id="52"/>
      <w:bookmarkEnd w:id="53"/>
    </w:p>
    <w:p w14:paraId="5E9E1513" w14:textId="31D76F4A" w:rsidR="00E654F7" w:rsidRPr="00CE2F22" w:rsidRDefault="00E654F7" w:rsidP="00E654F7">
      <w:pPr>
        <w:pStyle w:val="BodyText"/>
        <w:rPr>
          <w:lang w:val="en-AU"/>
        </w:rPr>
      </w:pPr>
      <w:r w:rsidRPr="00CE2F22">
        <w:rPr>
          <w:lang w:val="en-AU"/>
        </w:rPr>
        <w:t>Based on postcodes provided, almost three-quarters (73%) of respondents reside in major cities, with an additional 26% residing in regional areas. Only four respondents (1.6%) live in remote areas of Australia. (See Table 1.3.)</w:t>
      </w:r>
    </w:p>
    <w:p w14:paraId="5C5556D2" w14:textId="39018581" w:rsidR="001E441E" w:rsidRPr="001E441E" w:rsidRDefault="001E441E" w:rsidP="00E654F7">
      <w:pPr>
        <w:rPr>
          <w:rFonts w:ascii="Open Sans" w:eastAsia="Open Sans" w:hAnsi="Open Sans" w:cs="Open Sans"/>
          <w:b/>
          <w:bCs/>
          <w:sz w:val="20"/>
          <w:szCs w:val="20"/>
          <w:lang w:val="en-US"/>
        </w:rPr>
      </w:pPr>
    </w:p>
    <w:tbl>
      <w:tblPr>
        <w:tblStyle w:val="TableGrid"/>
        <w:tblW w:w="0" w:type="auto"/>
        <w:tblLook w:val="04A0" w:firstRow="1" w:lastRow="0" w:firstColumn="1" w:lastColumn="0" w:noHBand="0" w:noVBand="1"/>
      </w:tblPr>
      <w:tblGrid>
        <w:gridCol w:w="3964"/>
        <w:gridCol w:w="823"/>
        <w:gridCol w:w="1042"/>
        <w:gridCol w:w="819"/>
        <w:gridCol w:w="2702"/>
      </w:tblGrid>
      <w:tr w:rsidR="00F17BF6" w:rsidRPr="007D5AAA" w14:paraId="044F41D5" w14:textId="77777777" w:rsidTr="008E21DD">
        <w:tc>
          <w:tcPr>
            <w:tcW w:w="9350" w:type="dxa"/>
            <w:gridSpan w:val="5"/>
            <w:hideMark/>
          </w:tcPr>
          <w:p w14:paraId="068A5799" w14:textId="52AC59E5" w:rsidR="00F17BF6" w:rsidRPr="00F17BF6" w:rsidRDefault="00F17BF6" w:rsidP="00F17BF6">
            <w:pPr>
              <w:rPr>
                <w:rFonts w:ascii="Open Sans" w:eastAsia="Open Sans" w:hAnsi="Open Sans" w:cs="Open Sans"/>
                <w:b/>
                <w:bCs/>
                <w:sz w:val="20"/>
                <w:szCs w:val="20"/>
                <w:lang w:val="en-US"/>
              </w:rPr>
            </w:pPr>
            <w:r w:rsidRPr="001E441E">
              <w:rPr>
                <w:rFonts w:ascii="Open Sans" w:eastAsia="Open Sans" w:hAnsi="Open Sans" w:cs="Open Sans"/>
                <w:b/>
                <w:bCs/>
                <w:sz w:val="20"/>
                <w:szCs w:val="20"/>
                <w:lang w:val="en-US"/>
              </w:rPr>
              <w:t>Table 1.3: Remoteness of survey respondent</w:t>
            </w:r>
          </w:p>
        </w:tc>
      </w:tr>
      <w:tr w:rsidR="00F17BF6" w:rsidRPr="007D5AAA" w14:paraId="75F4E72B" w14:textId="77777777" w:rsidTr="00F17BF6">
        <w:tc>
          <w:tcPr>
            <w:tcW w:w="3964" w:type="dxa"/>
            <w:hideMark/>
          </w:tcPr>
          <w:p w14:paraId="6F9D3329" w14:textId="77777777" w:rsidR="00F17BF6" w:rsidRPr="007D5AAA" w:rsidRDefault="00F17BF6" w:rsidP="00F17BF6">
            <w:pPr>
              <w:pStyle w:val="NormalWeb"/>
              <w:rPr>
                <w:rFonts w:ascii="Open Sans" w:hAnsi="Open Sans" w:cs="Open Sans"/>
                <w:sz w:val="20"/>
                <w:szCs w:val="20"/>
              </w:rPr>
            </w:pPr>
            <w:r w:rsidRPr="007D5AAA">
              <w:rPr>
                <w:rFonts w:ascii="Open Sans" w:hAnsi="Open Sans" w:cs="Open Sans"/>
                <w:sz w:val="20"/>
                <w:szCs w:val="20"/>
              </w:rPr>
              <w:t>Major Cities of Australia</w:t>
            </w:r>
          </w:p>
        </w:tc>
        <w:tc>
          <w:tcPr>
            <w:tcW w:w="823" w:type="dxa"/>
          </w:tcPr>
          <w:p w14:paraId="658F0AA0" w14:textId="18DB8721" w:rsidR="00F17BF6" w:rsidRPr="007D5AAA" w:rsidRDefault="00F17BF6" w:rsidP="00F17BF6">
            <w:pPr>
              <w:pStyle w:val="NormalWeb"/>
              <w:rPr>
                <w:rFonts w:ascii="Open Sans" w:hAnsi="Open Sans" w:cs="Open Sans"/>
                <w:sz w:val="20"/>
                <w:szCs w:val="20"/>
              </w:rPr>
            </w:pPr>
            <w:r w:rsidRPr="00547BD5">
              <w:rPr>
                <w:rFonts w:ascii="Open Sans" w:hAnsi="Open Sans" w:cs="Open Sans"/>
                <w:b/>
                <w:bCs/>
                <w:sz w:val="20"/>
                <w:szCs w:val="20"/>
              </w:rPr>
              <w:t>Count</w:t>
            </w:r>
          </w:p>
        </w:tc>
        <w:tc>
          <w:tcPr>
            <w:tcW w:w="1042" w:type="dxa"/>
            <w:hideMark/>
          </w:tcPr>
          <w:p w14:paraId="7CC0A13B" w14:textId="1F464342" w:rsidR="00F17BF6" w:rsidRPr="007D5AAA" w:rsidRDefault="00F17BF6" w:rsidP="00F17BF6">
            <w:pPr>
              <w:pStyle w:val="NormalWeb"/>
              <w:rPr>
                <w:rFonts w:ascii="Open Sans" w:hAnsi="Open Sans" w:cs="Open Sans"/>
                <w:sz w:val="20"/>
                <w:szCs w:val="20"/>
              </w:rPr>
            </w:pPr>
            <w:r w:rsidRPr="007D5AAA">
              <w:rPr>
                <w:rFonts w:ascii="Open Sans" w:hAnsi="Open Sans" w:cs="Open Sans"/>
                <w:sz w:val="20"/>
                <w:szCs w:val="20"/>
              </w:rPr>
              <w:t>182</w:t>
            </w:r>
          </w:p>
        </w:tc>
        <w:tc>
          <w:tcPr>
            <w:tcW w:w="819" w:type="dxa"/>
          </w:tcPr>
          <w:p w14:paraId="045B189D" w14:textId="207F7319" w:rsidR="00F17BF6" w:rsidRPr="007D5AAA" w:rsidRDefault="00F17BF6" w:rsidP="00F17BF6">
            <w:pPr>
              <w:pStyle w:val="NormalWeb"/>
              <w:rPr>
                <w:rFonts w:ascii="Open Sans" w:hAnsi="Open Sans" w:cs="Open Sans"/>
                <w:sz w:val="20"/>
                <w:szCs w:val="20"/>
              </w:rPr>
            </w:pPr>
            <w:r>
              <w:rPr>
                <w:rFonts w:ascii="Open Sans" w:hAnsi="Open Sans" w:cs="Open Sans"/>
                <w:b/>
                <w:bCs/>
                <w:sz w:val="20"/>
                <w:szCs w:val="20"/>
              </w:rPr>
              <w:t>%</w:t>
            </w:r>
          </w:p>
        </w:tc>
        <w:tc>
          <w:tcPr>
            <w:tcW w:w="2702" w:type="dxa"/>
            <w:hideMark/>
          </w:tcPr>
          <w:p w14:paraId="04F63FA9" w14:textId="5474151F" w:rsidR="00F17BF6" w:rsidRPr="007D5AAA" w:rsidRDefault="00F17BF6" w:rsidP="00F17BF6">
            <w:pPr>
              <w:pStyle w:val="NormalWeb"/>
              <w:rPr>
                <w:rFonts w:ascii="Open Sans" w:hAnsi="Open Sans" w:cs="Open Sans"/>
                <w:sz w:val="20"/>
                <w:szCs w:val="20"/>
              </w:rPr>
            </w:pPr>
            <w:r w:rsidRPr="007D5AAA">
              <w:rPr>
                <w:rFonts w:ascii="Open Sans" w:hAnsi="Open Sans" w:cs="Open Sans"/>
                <w:sz w:val="20"/>
                <w:szCs w:val="20"/>
              </w:rPr>
              <w:t>73.1%</w:t>
            </w:r>
          </w:p>
        </w:tc>
      </w:tr>
      <w:tr w:rsidR="00F17BF6" w:rsidRPr="007D5AAA" w14:paraId="78AE8140" w14:textId="77777777" w:rsidTr="00F17BF6">
        <w:tc>
          <w:tcPr>
            <w:tcW w:w="3964" w:type="dxa"/>
            <w:hideMark/>
          </w:tcPr>
          <w:p w14:paraId="4F556657" w14:textId="77777777" w:rsidR="00F17BF6" w:rsidRPr="007D5AAA" w:rsidRDefault="00F17BF6" w:rsidP="00F17BF6">
            <w:pPr>
              <w:pStyle w:val="NormalWeb"/>
              <w:rPr>
                <w:rFonts w:ascii="Open Sans" w:hAnsi="Open Sans" w:cs="Open Sans"/>
                <w:sz w:val="20"/>
                <w:szCs w:val="20"/>
              </w:rPr>
            </w:pPr>
            <w:r w:rsidRPr="007D5AAA">
              <w:rPr>
                <w:rFonts w:ascii="Open Sans" w:hAnsi="Open Sans" w:cs="Open Sans"/>
                <w:sz w:val="20"/>
                <w:szCs w:val="20"/>
              </w:rPr>
              <w:t>Inner Regional Australia</w:t>
            </w:r>
          </w:p>
        </w:tc>
        <w:tc>
          <w:tcPr>
            <w:tcW w:w="823" w:type="dxa"/>
          </w:tcPr>
          <w:p w14:paraId="3D10F0D8" w14:textId="38DBACA5" w:rsidR="00F17BF6" w:rsidRPr="007D5AAA" w:rsidRDefault="00F17BF6" w:rsidP="00F17BF6">
            <w:pPr>
              <w:pStyle w:val="NormalWeb"/>
              <w:rPr>
                <w:rFonts w:ascii="Open Sans" w:hAnsi="Open Sans" w:cs="Open Sans"/>
                <w:sz w:val="20"/>
                <w:szCs w:val="20"/>
              </w:rPr>
            </w:pPr>
            <w:r w:rsidRPr="00547BD5">
              <w:rPr>
                <w:rFonts w:ascii="Open Sans" w:hAnsi="Open Sans" w:cs="Open Sans"/>
                <w:b/>
                <w:bCs/>
                <w:sz w:val="20"/>
                <w:szCs w:val="20"/>
              </w:rPr>
              <w:t>Count</w:t>
            </w:r>
          </w:p>
        </w:tc>
        <w:tc>
          <w:tcPr>
            <w:tcW w:w="1042" w:type="dxa"/>
            <w:hideMark/>
          </w:tcPr>
          <w:p w14:paraId="1A43EC0D" w14:textId="3B977930" w:rsidR="00F17BF6" w:rsidRPr="007D5AAA" w:rsidRDefault="00F17BF6" w:rsidP="00F17BF6">
            <w:pPr>
              <w:pStyle w:val="NormalWeb"/>
              <w:rPr>
                <w:rFonts w:ascii="Open Sans" w:hAnsi="Open Sans" w:cs="Open Sans"/>
                <w:sz w:val="20"/>
                <w:szCs w:val="20"/>
              </w:rPr>
            </w:pPr>
            <w:r w:rsidRPr="007D5AAA">
              <w:rPr>
                <w:rFonts w:ascii="Open Sans" w:hAnsi="Open Sans" w:cs="Open Sans"/>
                <w:sz w:val="20"/>
                <w:szCs w:val="20"/>
              </w:rPr>
              <w:t>44</w:t>
            </w:r>
          </w:p>
        </w:tc>
        <w:tc>
          <w:tcPr>
            <w:tcW w:w="819" w:type="dxa"/>
          </w:tcPr>
          <w:p w14:paraId="69F89638" w14:textId="546F5608" w:rsidR="00F17BF6" w:rsidRPr="007D5AAA" w:rsidRDefault="00F17BF6" w:rsidP="00F17BF6">
            <w:pPr>
              <w:pStyle w:val="NormalWeb"/>
              <w:rPr>
                <w:rFonts w:ascii="Open Sans" w:hAnsi="Open Sans" w:cs="Open Sans"/>
                <w:sz w:val="20"/>
                <w:szCs w:val="20"/>
              </w:rPr>
            </w:pPr>
            <w:r w:rsidRPr="00894A86">
              <w:rPr>
                <w:rFonts w:ascii="Open Sans" w:hAnsi="Open Sans" w:cs="Open Sans"/>
                <w:b/>
                <w:bCs/>
                <w:sz w:val="20"/>
                <w:szCs w:val="20"/>
              </w:rPr>
              <w:t>%</w:t>
            </w:r>
          </w:p>
        </w:tc>
        <w:tc>
          <w:tcPr>
            <w:tcW w:w="2702" w:type="dxa"/>
            <w:hideMark/>
          </w:tcPr>
          <w:p w14:paraId="3AC37D66" w14:textId="35CBE40D" w:rsidR="00F17BF6" w:rsidRPr="007D5AAA" w:rsidRDefault="00F17BF6" w:rsidP="00F17BF6">
            <w:pPr>
              <w:pStyle w:val="NormalWeb"/>
              <w:rPr>
                <w:rFonts w:ascii="Open Sans" w:hAnsi="Open Sans" w:cs="Open Sans"/>
                <w:sz w:val="20"/>
                <w:szCs w:val="20"/>
              </w:rPr>
            </w:pPr>
            <w:r w:rsidRPr="007D5AAA">
              <w:rPr>
                <w:rFonts w:ascii="Open Sans" w:hAnsi="Open Sans" w:cs="Open Sans"/>
                <w:sz w:val="20"/>
                <w:szCs w:val="20"/>
              </w:rPr>
              <w:t>17.7%</w:t>
            </w:r>
          </w:p>
        </w:tc>
      </w:tr>
      <w:tr w:rsidR="00F17BF6" w:rsidRPr="007D5AAA" w14:paraId="1B063143" w14:textId="77777777" w:rsidTr="00F17BF6">
        <w:tc>
          <w:tcPr>
            <w:tcW w:w="3964" w:type="dxa"/>
            <w:hideMark/>
          </w:tcPr>
          <w:p w14:paraId="59A1743A" w14:textId="77777777" w:rsidR="00F17BF6" w:rsidRPr="007D5AAA" w:rsidRDefault="00F17BF6" w:rsidP="00F17BF6">
            <w:pPr>
              <w:pStyle w:val="NormalWeb"/>
              <w:rPr>
                <w:rFonts w:ascii="Open Sans" w:hAnsi="Open Sans" w:cs="Open Sans"/>
                <w:sz w:val="20"/>
                <w:szCs w:val="20"/>
              </w:rPr>
            </w:pPr>
            <w:r w:rsidRPr="007D5AAA">
              <w:rPr>
                <w:rFonts w:ascii="Open Sans" w:hAnsi="Open Sans" w:cs="Open Sans"/>
                <w:sz w:val="20"/>
                <w:szCs w:val="20"/>
              </w:rPr>
              <w:t>Outer Regional Australia</w:t>
            </w:r>
          </w:p>
        </w:tc>
        <w:tc>
          <w:tcPr>
            <w:tcW w:w="823" w:type="dxa"/>
          </w:tcPr>
          <w:p w14:paraId="30B1FA25" w14:textId="5E7AFD7F" w:rsidR="00F17BF6" w:rsidRPr="007D5AAA" w:rsidRDefault="00F17BF6" w:rsidP="00F17BF6">
            <w:pPr>
              <w:pStyle w:val="NormalWeb"/>
              <w:rPr>
                <w:rFonts w:ascii="Open Sans" w:hAnsi="Open Sans" w:cs="Open Sans"/>
                <w:sz w:val="20"/>
                <w:szCs w:val="20"/>
              </w:rPr>
            </w:pPr>
            <w:r w:rsidRPr="00547BD5">
              <w:rPr>
                <w:rFonts w:ascii="Open Sans" w:hAnsi="Open Sans" w:cs="Open Sans"/>
                <w:b/>
                <w:bCs/>
                <w:sz w:val="20"/>
                <w:szCs w:val="20"/>
              </w:rPr>
              <w:t>Count</w:t>
            </w:r>
          </w:p>
        </w:tc>
        <w:tc>
          <w:tcPr>
            <w:tcW w:w="1042" w:type="dxa"/>
            <w:hideMark/>
          </w:tcPr>
          <w:p w14:paraId="21F4B834" w14:textId="4DF4501B" w:rsidR="00F17BF6" w:rsidRPr="007D5AAA" w:rsidRDefault="00F17BF6" w:rsidP="00F17BF6">
            <w:pPr>
              <w:pStyle w:val="NormalWeb"/>
              <w:rPr>
                <w:rFonts w:ascii="Open Sans" w:hAnsi="Open Sans" w:cs="Open Sans"/>
                <w:sz w:val="20"/>
                <w:szCs w:val="20"/>
              </w:rPr>
            </w:pPr>
            <w:r w:rsidRPr="007D5AAA">
              <w:rPr>
                <w:rFonts w:ascii="Open Sans" w:hAnsi="Open Sans" w:cs="Open Sans"/>
                <w:sz w:val="20"/>
                <w:szCs w:val="20"/>
              </w:rPr>
              <w:t>19</w:t>
            </w:r>
          </w:p>
        </w:tc>
        <w:tc>
          <w:tcPr>
            <w:tcW w:w="819" w:type="dxa"/>
          </w:tcPr>
          <w:p w14:paraId="420FD906" w14:textId="4E44437A" w:rsidR="00F17BF6" w:rsidRPr="007D5AAA" w:rsidRDefault="00F17BF6" w:rsidP="00F17BF6">
            <w:pPr>
              <w:pStyle w:val="NormalWeb"/>
              <w:rPr>
                <w:rFonts w:ascii="Open Sans" w:hAnsi="Open Sans" w:cs="Open Sans"/>
                <w:sz w:val="20"/>
                <w:szCs w:val="20"/>
              </w:rPr>
            </w:pPr>
            <w:r w:rsidRPr="00894A86">
              <w:rPr>
                <w:rFonts w:ascii="Open Sans" w:hAnsi="Open Sans" w:cs="Open Sans"/>
                <w:b/>
                <w:bCs/>
                <w:sz w:val="20"/>
                <w:szCs w:val="20"/>
              </w:rPr>
              <w:t>%</w:t>
            </w:r>
          </w:p>
        </w:tc>
        <w:tc>
          <w:tcPr>
            <w:tcW w:w="2702" w:type="dxa"/>
            <w:hideMark/>
          </w:tcPr>
          <w:p w14:paraId="444B6248" w14:textId="00A7D7D6" w:rsidR="00F17BF6" w:rsidRPr="007D5AAA" w:rsidRDefault="00F17BF6" w:rsidP="00F17BF6">
            <w:pPr>
              <w:pStyle w:val="NormalWeb"/>
              <w:rPr>
                <w:rFonts w:ascii="Open Sans" w:hAnsi="Open Sans" w:cs="Open Sans"/>
                <w:sz w:val="20"/>
                <w:szCs w:val="20"/>
              </w:rPr>
            </w:pPr>
            <w:r w:rsidRPr="007D5AAA">
              <w:rPr>
                <w:rFonts w:ascii="Open Sans" w:hAnsi="Open Sans" w:cs="Open Sans"/>
                <w:sz w:val="20"/>
                <w:szCs w:val="20"/>
              </w:rPr>
              <w:t>7.6%</w:t>
            </w:r>
          </w:p>
        </w:tc>
      </w:tr>
      <w:tr w:rsidR="00F17BF6" w:rsidRPr="007D5AAA" w14:paraId="73EF8026" w14:textId="77777777" w:rsidTr="00F17BF6">
        <w:tc>
          <w:tcPr>
            <w:tcW w:w="3964" w:type="dxa"/>
            <w:hideMark/>
          </w:tcPr>
          <w:p w14:paraId="579C874B" w14:textId="77777777" w:rsidR="00F17BF6" w:rsidRPr="007D5AAA" w:rsidRDefault="00F17BF6" w:rsidP="00F17BF6">
            <w:pPr>
              <w:pStyle w:val="NormalWeb"/>
              <w:rPr>
                <w:rFonts w:ascii="Open Sans" w:hAnsi="Open Sans" w:cs="Open Sans"/>
                <w:sz w:val="20"/>
                <w:szCs w:val="20"/>
              </w:rPr>
            </w:pPr>
            <w:r w:rsidRPr="007D5AAA">
              <w:rPr>
                <w:rFonts w:ascii="Open Sans" w:hAnsi="Open Sans" w:cs="Open Sans"/>
                <w:sz w:val="20"/>
                <w:szCs w:val="20"/>
              </w:rPr>
              <w:t>Remote Australia</w:t>
            </w:r>
          </w:p>
        </w:tc>
        <w:tc>
          <w:tcPr>
            <w:tcW w:w="823" w:type="dxa"/>
          </w:tcPr>
          <w:p w14:paraId="5144CBA6" w14:textId="2F5BDCE3" w:rsidR="00F17BF6" w:rsidRPr="007D5AAA" w:rsidRDefault="00F17BF6" w:rsidP="00F17BF6">
            <w:pPr>
              <w:pStyle w:val="NormalWeb"/>
              <w:rPr>
                <w:rFonts w:ascii="Open Sans" w:hAnsi="Open Sans" w:cs="Open Sans"/>
                <w:sz w:val="20"/>
                <w:szCs w:val="20"/>
              </w:rPr>
            </w:pPr>
            <w:r w:rsidRPr="00547BD5">
              <w:rPr>
                <w:rFonts w:ascii="Open Sans" w:hAnsi="Open Sans" w:cs="Open Sans"/>
                <w:b/>
                <w:bCs/>
                <w:sz w:val="20"/>
                <w:szCs w:val="20"/>
              </w:rPr>
              <w:t>Count</w:t>
            </w:r>
          </w:p>
        </w:tc>
        <w:tc>
          <w:tcPr>
            <w:tcW w:w="1042" w:type="dxa"/>
            <w:hideMark/>
          </w:tcPr>
          <w:p w14:paraId="2AFF2BAD" w14:textId="36D62B38" w:rsidR="00F17BF6" w:rsidRPr="007D5AAA" w:rsidRDefault="00F17BF6" w:rsidP="00F17BF6">
            <w:pPr>
              <w:pStyle w:val="NormalWeb"/>
              <w:rPr>
                <w:rFonts w:ascii="Open Sans" w:hAnsi="Open Sans" w:cs="Open Sans"/>
                <w:sz w:val="20"/>
                <w:szCs w:val="20"/>
              </w:rPr>
            </w:pPr>
            <w:r w:rsidRPr="007D5AAA">
              <w:rPr>
                <w:rFonts w:ascii="Open Sans" w:hAnsi="Open Sans" w:cs="Open Sans"/>
                <w:sz w:val="20"/>
                <w:szCs w:val="20"/>
              </w:rPr>
              <w:t>3</w:t>
            </w:r>
          </w:p>
        </w:tc>
        <w:tc>
          <w:tcPr>
            <w:tcW w:w="819" w:type="dxa"/>
          </w:tcPr>
          <w:p w14:paraId="743546CD" w14:textId="2BDD7F9B" w:rsidR="00F17BF6" w:rsidRPr="007D5AAA" w:rsidRDefault="00F17BF6" w:rsidP="00F17BF6">
            <w:pPr>
              <w:pStyle w:val="NormalWeb"/>
              <w:rPr>
                <w:rFonts w:ascii="Open Sans" w:hAnsi="Open Sans" w:cs="Open Sans"/>
                <w:sz w:val="20"/>
                <w:szCs w:val="20"/>
              </w:rPr>
            </w:pPr>
            <w:r w:rsidRPr="00894A86">
              <w:rPr>
                <w:rFonts w:ascii="Open Sans" w:hAnsi="Open Sans" w:cs="Open Sans"/>
                <w:b/>
                <w:bCs/>
                <w:sz w:val="20"/>
                <w:szCs w:val="20"/>
              </w:rPr>
              <w:t>%</w:t>
            </w:r>
          </w:p>
        </w:tc>
        <w:tc>
          <w:tcPr>
            <w:tcW w:w="2702" w:type="dxa"/>
            <w:hideMark/>
          </w:tcPr>
          <w:p w14:paraId="1A3B671D" w14:textId="7505A26E" w:rsidR="00F17BF6" w:rsidRPr="007D5AAA" w:rsidRDefault="00F17BF6" w:rsidP="00F17BF6">
            <w:pPr>
              <w:pStyle w:val="NormalWeb"/>
              <w:rPr>
                <w:rFonts w:ascii="Open Sans" w:hAnsi="Open Sans" w:cs="Open Sans"/>
                <w:sz w:val="20"/>
                <w:szCs w:val="20"/>
              </w:rPr>
            </w:pPr>
            <w:r w:rsidRPr="007D5AAA">
              <w:rPr>
                <w:rFonts w:ascii="Open Sans" w:hAnsi="Open Sans" w:cs="Open Sans"/>
                <w:sz w:val="20"/>
                <w:szCs w:val="20"/>
              </w:rPr>
              <w:t>1.2%</w:t>
            </w:r>
          </w:p>
        </w:tc>
      </w:tr>
      <w:tr w:rsidR="00F17BF6" w:rsidRPr="007D5AAA" w14:paraId="723D5029" w14:textId="77777777" w:rsidTr="00F17BF6">
        <w:tc>
          <w:tcPr>
            <w:tcW w:w="3964" w:type="dxa"/>
            <w:hideMark/>
          </w:tcPr>
          <w:p w14:paraId="46142FFC" w14:textId="77777777" w:rsidR="00F17BF6" w:rsidRPr="007D5AAA" w:rsidRDefault="00F17BF6" w:rsidP="00F17BF6">
            <w:pPr>
              <w:pStyle w:val="NormalWeb"/>
              <w:rPr>
                <w:rFonts w:ascii="Open Sans" w:hAnsi="Open Sans" w:cs="Open Sans"/>
                <w:sz w:val="20"/>
                <w:szCs w:val="20"/>
              </w:rPr>
            </w:pPr>
            <w:r w:rsidRPr="007D5AAA">
              <w:rPr>
                <w:rFonts w:ascii="Open Sans" w:hAnsi="Open Sans" w:cs="Open Sans"/>
                <w:sz w:val="20"/>
                <w:szCs w:val="20"/>
              </w:rPr>
              <w:t>Very Remote Australia</w:t>
            </w:r>
          </w:p>
        </w:tc>
        <w:tc>
          <w:tcPr>
            <w:tcW w:w="823" w:type="dxa"/>
          </w:tcPr>
          <w:p w14:paraId="20E61F5D" w14:textId="7235AB95" w:rsidR="00F17BF6" w:rsidRPr="007D5AAA" w:rsidRDefault="00F17BF6" w:rsidP="00F17BF6">
            <w:pPr>
              <w:pStyle w:val="NormalWeb"/>
              <w:rPr>
                <w:rFonts w:ascii="Open Sans" w:hAnsi="Open Sans" w:cs="Open Sans"/>
                <w:sz w:val="20"/>
                <w:szCs w:val="20"/>
              </w:rPr>
            </w:pPr>
            <w:r w:rsidRPr="00547BD5">
              <w:rPr>
                <w:rFonts w:ascii="Open Sans" w:hAnsi="Open Sans" w:cs="Open Sans"/>
                <w:b/>
                <w:bCs/>
                <w:sz w:val="20"/>
                <w:szCs w:val="20"/>
              </w:rPr>
              <w:t>Count</w:t>
            </w:r>
          </w:p>
        </w:tc>
        <w:tc>
          <w:tcPr>
            <w:tcW w:w="1042" w:type="dxa"/>
            <w:hideMark/>
          </w:tcPr>
          <w:p w14:paraId="0F81ABE5" w14:textId="57458402" w:rsidR="00F17BF6" w:rsidRPr="007D5AAA" w:rsidRDefault="00F17BF6" w:rsidP="00F17BF6">
            <w:pPr>
              <w:pStyle w:val="NormalWeb"/>
              <w:rPr>
                <w:rFonts w:ascii="Open Sans" w:hAnsi="Open Sans" w:cs="Open Sans"/>
                <w:sz w:val="20"/>
                <w:szCs w:val="20"/>
              </w:rPr>
            </w:pPr>
            <w:r w:rsidRPr="007D5AAA">
              <w:rPr>
                <w:rFonts w:ascii="Open Sans" w:hAnsi="Open Sans" w:cs="Open Sans"/>
                <w:sz w:val="20"/>
                <w:szCs w:val="20"/>
              </w:rPr>
              <w:t>1</w:t>
            </w:r>
          </w:p>
        </w:tc>
        <w:tc>
          <w:tcPr>
            <w:tcW w:w="819" w:type="dxa"/>
          </w:tcPr>
          <w:p w14:paraId="414B2A15" w14:textId="6B752071" w:rsidR="00F17BF6" w:rsidRPr="007D5AAA" w:rsidRDefault="00F17BF6" w:rsidP="00F17BF6">
            <w:pPr>
              <w:pStyle w:val="NormalWeb"/>
              <w:rPr>
                <w:rFonts w:ascii="Open Sans" w:hAnsi="Open Sans" w:cs="Open Sans"/>
                <w:sz w:val="20"/>
                <w:szCs w:val="20"/>
              </w:rPr>
            </w:pPr>
            <w:r>
              <w:rPr>
                <w:rFonts w:ascii="Open Sans" w:hAnsi="Open Sans" w:cs="Open Sans"/>
                <w:b/>
                <w:bCs/>
                <w:sz w:val="20"/>
                <w:szCs w:val="20"/>
              </w:rPr>
              <w:t>%</w:t>
            </w:r>
          </w:p>
        </w:tc>
        <w:tc>
          <w:tcPr>
            <w:tcW w:w="2702" w:type="dxa"/>
            <w:hideMark/>
          </w:tcPr>
          <w:p w14:paraId="7CAC1F65" w14:textId="3AEA1598" w:rsidR="00F17BF6" w:rsidRPr="007D5AAA" w:rsidRDefault="00F17BF6" w:rsidP="00F17BF6">
            <w:pPr>
              <w:pStyle w:val="NormalWeb"/>
              <w:rPr>
                <w:rFonts w:ascii="Open Sans" w:hAnsi="Open Sans" w:cs="Open Sans"/>
                <w:sz w:val="20"/>
                <w:szCs w:val="20"/>
              </w:rPr>
            </w:pPr>
            <w:r w:rsidRPr="007D5AAA">
              <w:rPr>
                <w:rFonts w:ascii="Open Sans" w:hAnsi="Open Sans" w:cs="Open Sans"/>
                <w:sz w:val="20"/>
                <w:szCs w:val="20"/>
              </w:rPr>
              <w:t>0.4%</w:t>
            </w:r>
          </w:p>
        </w:tc>
      </w:tr>
    </w:tbl>
    <w:p w14:paraId="7D078ABE" w14:textId="6279C94C" w:rsidR="00E654F7" w:rsidRPr="00CE2F22" w:rsidRDefault="00E654F7" w:rsidP="00E654F7">
      <w:pPr>
        <w:rPr>
          <w:rFonts w:ascii="Open Sans" w:eastAsia="Open Sans" w:hAnsi="Open Sans" w:cs="Open Sans"/>
          <w:sz w:val="20"/>
          <w:szCs w:val="20"/>
        </w:rPr>
      </w:pPr>
    </w:p>
    <w:p w14:paraId="42875334" w14:textId="22D38A00" w:rsidR="00E654F7" w:rsidRPr="009A5B8A" w:rsidRDefault="00E654F7" w:rsidP="009A5B8A">
      <w:pPr>
        <w:pStyle w:val="Heading2"/>
      </w:pPr>
      <w:bookmarkStart w:id="54" w:name="_Toc96092069"/>
      <w:r w:rsidRPr="009A5B8A">
        <w:t>Living arrangements</w:t>
      </w:r>
      <w:bookmarkEnd w:id="54"/>
    </w:p>
    <w:p w14:paraId="73730F07" w14:textId="3E200FCD" w:rsidR="00E654F7" w:rsidRPr="00CE2F22" w:rsidRDefault="00E654F7" w:rsidP="00E654F7">
      <w:pPr>
        <w:pStyle w:val="BodyText"/>
        <w:rPr>
          <w:lang w:val="en-AU"/>
        </w:rPr>
      </w:pPr>
      <w:r w:rsidRPr="00CE2F22">
        <w:rPr>
          <w:lang w:val="en-AU"/>
        </w:rPr>
        <w:t>Most respondents live with parents and/or in the family home (26.4%), with partners in rental houses, apartments</w:t>
      </w:r>
      <w:r w:rsidR="00E21C51">
        <w:rPr>
          <w:lang w:val="en-AU"/>
        </w:rPr>
        <w:t xml:space="preserve">, </w:t>
      </w:r>
      <w:r w:rsidRPr="00CE2F22">
        <w:rPr>
          <w:lang w:val="en-AU"/>
        </w:rPr>
        <w:t>or mobile homes (23.2%), or in a rental share house (21.6%).</w:t>
      </w:r>
    </w:p>
    <w:p w14:paraId="445B35B6" w14:textId="77777777" w:rsidR="00E654F7" w:rsidRPr="00CE2F22" w:rsidRDefault="00E654F7" w:rsidP="00E654F7">
      <w:pPr>
        <w:pStyle w:val="BodyText"/>
        <w:rPr>
          <w:lang w:val="en-AU"/>
        </w:rPr>
      </w:pPr>
    </w:p>
    <w:p w14:paraId="5E0A4F82" w14:textId="156FFEC4" w:rsidR="00E654F7" w:rsidRPr="00CE2F22" w:rsidRDefault="00E654F7" w:rsidP="00E654F7">
      <w:pPr>
        <w:pStyle w:val="BodyText"/>
        <w:rPr>
          <w:lang w:val="en-AU"/>
        </w:rPr>
      </w:pPr>
      <w:r w:rsidRPr="00CE2F22">
        <w:rPr>
          <w:lang w:val="en-AU"/>
        </w:rPr>
        <w:t>Written-in responses included single parents living with children in owned or rental homes, living with a partner in a home owned by the partner, and living in a home owned by parents with a partner. In total, 35 of the 250 respondents (14%) own the place they reside in. (See Table 1.4.)</w:t>
      </w:r>
    </w:p>
    <w:p w14:paraId="4377E99E" w14:textId="77777777" w:rsidR="001E441E" w:rsidRPr="001E441E" w:rsidRDefault="001E441E" w:rsidP="001E441E">
      <w:pPr>
        <w:pStyle w:val="BodyText"/>
        <w:rPr>
          <w:b/>
          <w:bCs/>
        </w:rPr>
      </w:pPr>
    </w:p>
    <w:tbl>
      <w:tblPr>
        <w:tblStyle w:val="TableGrid"/>
        <w:tblW w:w="9493" w:type="dxa"/>
        <w:tblLayout w:type="fixed"/>
        <w:tblLook w:val="04A0" w:firstRow="1" w:lastRow="0" w:firstColumn="1" w:lastColumn="0" w:noHBand="0" w:noVBand="1"/>
      </w:tblPr>
      <w:tblGrid>
        <w:gridCol w:w="906"/>
        <w:gridCol w:w="5656"/>
        <w:gridCol w:w="946"/>
        <w:gridCol w:w="567"/>
        <w:gridCol w:w="567"/>
        <w:gridCol w:w="851"/>
      </w:tblGrid>
      <w:tr w:rsidR="00610DC8" w:rsidRPr="007D5AAA" w14:paraId="67B7712B" w14:textId="77777777" w:rsidTr="00AA37E6">
        <w:trPr>
          <w:trHeight w:val="20"/>
        </w:trPr>
        <w:tc>
          <w:tcPr>
            <w:tcW w:w="9493" w:type="dxa"/>
            <w:gridSpan w:val="6"/>
            <w:hideMark/>
          </w:tcPr>
          <w:p w14:paraId="4F5E177A" w14:textId="48F6F8E5" w:rsidR="00610DC8" w:rsidRPr="00610DC8" w:rsidRDefault="00610DC8" w:rsidP="00610DC8">
            <w:pPr>
              <w:pStyle w:val="BodyText"/>
              <w:rPr>
                <w:b/>
                <w:bCs/>
              </w:rPr>
            </w:pPr>
            <w:r w:rsidRPr="001E441E">
              <w:rPr>
                <w:b/>
                <w:bCs/>
              </w:rPr>
              <w:t>Table 1.4: Living arrangements</w:t>
            </w:r>
          </w:p>
        </w:tc>
      </w:tr>
      <w:tr w:rsidR="00610DC8" w:rsidRPr="007D5AAA" w14:paraId="5D191EEE" w14:textId="77777777" w:rsidTr="00610DC8">
        <w:trPr>
          <w:trHeight w:val="20"/>
        </w:trPr>
        <w:tc>
          <w:tcPr>
            <w:tcW w:w="906" w:type="dxa"/>
            <w:hideMark/>
          </w:tcPr>
          <w:p w14:paraId="037D7443" w14:textId="7D1A3654" w:rsidR="00610DC8" w:rsidRPr="007D5AAA" w:rsidRDefault="00610DC8" w:rsidP="00610DC8">
            <w:pPr>
              <w:pStyle w:val="NormalWeb"/>
              <w:spacing w:before="0" w:beforeAutospacing="0" w:after="0" w:afterAutospacing="0"/>
              <w:jc w:val="both"/>
              <w:rPr>
                <w:rFonts w:ascii="Open Sans" w:hAnsi="Open Sans" w:cs="Open Sans"/>
                <w:sz w:val="20"/>
                <w:szCs w:val="20"/>
              </w:rPr>
            </w:pPr>
            <w:r>
              <w:rPr>
                <w:rFonts w:ascii="Open Sans" w:hAnsi="Open Sans" w:cs="Open Sans"/>
                <w:sz w:val="20"/>
                <w:szCs w:val="20"/>
              </w:rPr>
              <w:t xml:space="preserve">Option </w:t>
            </w:r>
            <w:r w:rsidRPr="007D5AAA">
              <w:rPr>
                <w:rFonts w:ascii="Open Sans" w:hAnsi="Open Sans" w:cs="Open Sans"/>
                <w:sz w:val="20"/>
                <w:szCs w:val="20"/>
              </w:rPr>
              <w:t>A</w:t>
            </w:r>
          </w:p>
        </w:tc>
        <w:tc>
          <w:tcPr>
            <w:tcW w:w="5656" w:type="dxa"/>
            <w:hideMark/>
          </w:tcPr>
          <w:p w14:paraId="7EE1E88E" w14:textId="77777777" w:rsidR="00610DC8" w:rsidRPr="007D5AAA" w:rsidRDefault="00610DC8" w:rsidP="00610DC8">
            <w:pPr>
              <w:pStyle w:val="NormalWeb"/>
              <w:spacing w:before="0" w:beforeAutospacing="0" w:after="0" w:afterAutospacing="0"/>
              <w:jc w:val="both"/>
              <w:rPr>
                <w:rFonts w:ascii="Open Sans" w:hAnsi="Open Sans" w:cs="Open Sans"/>
                <w:sz w:val="20"/>
                <w:szCs w:val="20"/>
              </w:rPr>
            </w:pPr>
            <w:r w:rsidRPr="007D5AAA">
              <w:rPr>
                <w:rFonts w:ascii="Open Sans" w:hAnsi="Open Sans" w:cs="Open Sans"/>
                <w:sz w:val="20"/>
                <w:szCs w:val="20"/>
              </w:rPr>
              <w:t>Living alone in a house, apartment, or mobile home that I am renting</w:t>
            </w:r>
          </w:p>
        </w:tc>
        <w:tc>
          <w:tcPr>
            <w:tcW w:w="946" w:type="dxa"/>
          </w:tcPr>
          <w:p w14:paraId="05DA6C6C" w14:textId="7BCD3790" w:rsidR="00610DC8" w:rsidRPr="00610DC8" w:rsidRDefault="00610DC8" w:rsidP="00610DC8">
            <w:pPr>
              <w:pStyle w:val="NormalWeb"/>
              <w:spacing w:before="0" w:beforeAutospacing="0" w:after="0" w:afterAutospacing="0"/>
              <w:jc w:val="both"/>
              <w:rPr>
                <w:rFonts w:ascii="Open Sans" w:hAnsi="Open Sans" w:cs="Open Sans"/>
                <w:b/>
                <w:bCs/>
                <w:sz w:val="20"/>
                <w:szCs w:val="20"/>
              </w:rPr>
            </w:pPr>
            <w:r w:rsidRPr="00610DC8">
              <w:rPr>
                <w:rFonts w:ascii="Open Sans" w:hAnsi="Open Sans" w:cs="Open Sans"/>
                <w:b/>
                <w:bCs/>
                <w:sz w:val="20"/>
                <w:szCs w:val="20"/>
              </w:rPr>
              <w:t xml:space="preserve">Count </w:t>
            </w:r>
          </w:p>
        </w:tc>
        <w:tc>
          <w:tcPr>
            <w:tcW w:w="567" w:type="dxa"/>
            <w:hideMark/>
          </w:tcPr>
          <w:p w14:paraId="3BA394F5" w14:textId="2299EB09" w:rsidR="00610DC8" w:rsidRPr="007D5AAA" w:rsidRDefault="00610DC8" w:rsidP="00610DC8">
            <w:pPr>
              <w:pStyle w:val="NormalWeb"/>
              <w:spacing w:before="0" w:beforeAutospacing="0" w:after="0" w:afterAutospacing="0"/>
              <w:jc w:val="both"/>
              <w:rPr>
                <w:rFonts w:ascii="Open Sans" w:hAnsi="Open Sans" w:cs="Open Sans"/>
                <w:sz w:val="20"/>
                <w:szCs w:val="20"/>
              </w:rPr>
            </w:pPr>
            <w:r w:rsidRPr="007D5AAA">
              <w:rPr>
                <w:rFonts w:ascii="Open Sans" w:hAnsi="Open Sans" w:cs="Open Sans"/>
                <w:sz w:val="20"/>
                <w:szCs w:val="20"/>
              </w:rPr>
              <w:t>23</w:t>
            </w:r>
          </w:p>
        </w:tc>
        <w:tc>
          <w:tcPr>
            <w:tcW w:w="567" w:type="dxa"/>
          </w:tcPr>
          <w:p w14:paraId="700127C5" w14:textId="3D349626" w:rsidR="00610DC8" w:rsidRPr="007D5AAA" w:rsidRDefault="00610DC8" w:rsidP="00610DC8">
            <w:pPr>
              <w:pStyle w:val="NormalWeb"/>
              <w:spacing w:before="0" w:beforeAutospacing="0" w:after="0" w:afterAutospacing="0"/>
              <w:jc w:val="both"/>
              <w:rPr>
                <w:rFonts w:ascii="Open Sans" w:hAnsi="Open Sans" w:cs="Open Sans"/>
                <w:sz w:val="20"/>
                <w:szCs w:val="20"/>
              </w:rPr>
            </w:pPr>
            <w:r w:rsidRPr="00A87628">
              <w:rPr>
                <w:rFonts w:ascii="Open Sans" w:hAnsi="Open Sans" w:cs="Open Sans"/>
                <w:b/>
                <w:bCs/>
                <w:color w:val="000000" w:themeColor="text1"/>
                <w:sz w:val="20"/>
                <w:szCs w:val="20"/>
              </w:rPr>
              <w:t>%</w:t>
            </w:r>
          </w:p>
        </w:tc>
        <w:tc>
          <w:tcPr>
            <w:tcW w:w="851" w:type="dxa"/>
            <w:hideMark/>
          </w:tcPr>
          <w:p w14:paraId="0D966122" w14:textId="1D8770DA" w:rsidR="00610DC8" w:rsidRPr="007D5AAA" w:rsidRDefault="00610DC8" w:rsidP="00610DC8">
            <w:pPr>
              <w:pStyle w:val="NormalWeb"/>
              <w:spacing w:before="0" w:beforeAutospacing="0" w:after="0" w:afterAutospacing="0"/>
              <w:jc w:val="both"/>
              <w:rPr>
                <w:rFonts w:ascii="Open Sans" w:hAnsi="Open Sans" w:cs="Open Sans"/>
                <w:sz w:val="20"/>
                <w:szCs w:val="20"/>
              </w:rPr>
            </w:pPr>
            <w:r w:rsidRPr="007D5AAA">
              <w:rPr>
                <w:rFonts w:ascii="Open Sans" w:hAnsi="Open Sans" w:cs="Open Sans"/>
                <w:sz w:val="20"/>
                <w:szCs w:val="20"/>
              </w:rPr>
              <w:t>9.2%</w:t>
            </w:r>
          </w:p>
        </w:tc>
      </w:tr>
      <w:tr w:rsidR="00610DC8" w:rsidRPr="007D5AAA" w14:paraId="31F3EAAC" w14:textId="77777777" w:rsidTr="00610DC8">
        <w:trPr>
          <w:trHeight w:val="20"/>
        </w:trPr>
        <w:tc>
          <w:tcPr>
            <w:tcW w:w="906" w:type="dxa"/>
            <w:hideMark/>
          </w:tcPr>
          <w:p w14:paraId="27C4788A" w14:textId="1FC993D6" w:rsidR="00610DC8" w:rsidRPr="007D5AAA" w:rsidRDefault="00610DC8" w:rsidP="00610DC8">
            <w:pPr>
              <w:pStyle w:val="NormalWeb"/>
              <w:spacing w:before="0" w:beforeAutospacing="0" w:after="0" w:afterAutospacing="0"/>
              <w:jc w:val="both"/>
              <w:rPr>
                <w:rFonts w:ascii="Open Sans" w:hAnsi="Open Sans" w:cs="Open Sans"/>
                <w:sz w:val="20"/>
                <w:szCs w:val="20"/>
              </w:rPr>
            </w:pPr>
            <w:r>
              <w:rPr>
                <w:rFonts w:ascii="Open Sans" w:hAnsi="Open Sans" w:cs="Open Sans"/>
                <w:sz w:val="20"/>
                <w:szCs w:val="20"/>
              </w:rPr>
              <w:t xml:space="preserve">Option   </w:t>
            </w:r>
            <w:r w:rsidRPr="007D5AAA">
              <w:rPr>
                <w:rFonts w:ascii="Open Sans" w:hAnsi="Open Sans" w:cs="Open Sans"/>
                <w:sz w:val="20"/>
                <w:szCs w:val="20"/>
              </w:rPr>
              <w:t>B</w:t>
            </w:r>
          </w:p>
        </w:tc>
        <w:tc>
          <w:tcPr>
            <w:tcW w:w="5656" w:type="dxa"/>
            <w:hideMark/>
          </w:tcPr>
          <w:p w14:paraId="37510513" w14:textId="77777777" w:rsidR="00610DC8" w:rsidRPr="007D5AAA" w:rsidRDefault="00610DC8" w:rsidP="00610DC8">
            <w:pPr>
              <w:pStyle w:val="NormalWeb"/>
              <w:spacing w:before="0" w:beforeAutospacing="0" w:after="0" w:afterAutospacing="0"/>
              <w:jc w:val="both"/>
              <w:rPr>
                <w:rFonts w:ascii="Open Sans" w:hAnsi="Open Sans" w:cs="Open Sans"/>
                <w:sz w:val="20"/>
                <w:szCs w:val="20"/>
              </w:rPr>
            </w:pPr>
            <w:r w:rsidRPr="007D5AAA">
              <w:rPr>
                <w:rFonts w:ascii="Open Sans" w:hAnsi="Open Sans" w:cs="Open Sans"/>
                <w:sz w:val="20"/>
                <w:szCs w:val="20"/>
              </w:rPr>
              <w:t>Living alone in a house, apartment, or mobile home that I own</w:t>
            </w:r>
          </w:p>
        </w:tc>
        <w:tc>
          <w:tcPr>
            <w:tcW w:w="946" w:type="dxa"/>
          </w:tcPr>
          <w:p w14:paraId="2ED9E1DB" w14:textId="0B39E60A" w:rsidR="00610DC8" w:rsidRPr="007D5AAA" w:rsidRDefault="00610DC8" w:rsidP="00610DC8">
            <w:pPr>
              <w:pStyle w:val="NormalWeb"/>
              <w:spacing w:before="0" w:beforeAutospacing="0" w:after="0" w:afterAutospacing="0"/>
              <w:jc w:val="both"/>
              <w:rPr>
                <w:rFonts w:ascii="Open Sans" w:hAnsi="Open Sans" w:cs="Open Sans"/>
                <w:sz w:val="20"/>
                <w:szCs w:val="20"/>
              </w:rPr>
            </w:pPr>
            <w:r w:rsidRPr="00723F51">
              <w:rPr>
                <w:rFonts w:ascii="Open Sans" w:hAnsi="Open Sans" w:cs="Open Sans"/>
                <w:b/>
                <w:bCs/>
                <w:sz w:val="20"/>
                <w:szCs w:val="20"/>
              </w:rPr>
              <w:t>Count</w:t>
            </w:r>
          </w:p>
        </w:tc>
        <w:tc>
          <w:tcPr>
            <w:tcW w:w="567" w:type="dxa"/>
            <w:hideMark/>
          </w:tcPr>
          <w:p w14:paraId="3A3C738F" w14:textId="277E2EE5" w:rsidR="00610DC8" w:rsidRPr="007D5AAA" w:rsidRDefault="00610DC8" w:rsidP="00610DC8">
            <w:pPr>
              <w:pStyle w:val="NormalWeb"/>
              <w:spacing w:before="0" w:beforeAutospacing="0" w:after="0" w:afterAutospacing="0"/>
              <w:jc w:val="both"/>
              <w:rPr>
                <w:rFonts w:ascii="Open Sans" w:hAnsi="Open Sans" w:cs="Open Sans"/>
                <w:sz w:val="20"/>
                <w:szCs w:val="20"/>
              </w:rPr>
            </w:pPr>
            <w:r w:rsidRPr="007D5AAA">
              <w:rPr>
                <w:rFonts w:ascii="Open Sans" w:hAnsi="Open Sans" w:cs="Open Sans"/>
                <w:sz w:val="20"/>
                <w:szCs w:val="20"/>
              </w:rPr>
              <w:t>17</w:t>
            </w:r>
          </w:p>
        </w:tc>
        <w:tc>
          <w:tcPr>
            <w:tcW w:w="567" w:type="dxa"/>
          </w:tcPr>
          <w:p w14:paraId="2AF69F5F" w14:textId="2570F2A5" w:rsidR="00610DC8" w:rsidRPr="007D5AAA" w:rsidRDefault="00610DC8" w:rsidP="00610DC8">
            <w:pPr>
              <w:pStyle w:val="NormalWeb"/>
              <w:spacing w:before="0" w:beforeAutospacing="0" w:after="0" w:afterAutospacing="0"/>
              <w:jc w:val="both"/>
              <w:rPr>
                <w:rFonts w:ascii="Open Sans" w:hAnsi="Open Sans" w:cs="Open Sans"/>
                <w:sz w:val="20"/>
                <w:szCs w:val="20"/>
              </w:rPr>
            </w:pPr>
            <w:r w:rsidRPr="00A87628">
              <w:rPr>
                <w:rFonts w:ascii="Open Sans" w:hAnsi="Open Sans" w:cs="Open Sans"/>
                <w:b/>
                <w:bCs/>
                <w:color w:val="000000" w:themeColor="text1"/>
                <w:sz w:val="20"/>
                <w:szCs w:val="20"/>
              </w:rPr>
              <w:t>%</w:t>
            </w:r>
          </w:p>
        </w:tc>
        <w:tc>
          <w:tcPr>
            <w:tcW w:w="851" w:type="dxa"/>
            <w:hideMark/>
          </w:tcPr>
          <w:p w14:paraId="3C29FDA1" w14:textId="775FA2D4" w:rsidR="00610DC8" w:rsidRPr="007D5AAA" w:rsidRDefault="00610DC8" w:rsidP="00610DC8">
            <w:pPr>
              <w:pStyle w:val="NormalWeb"/>
              <w:spacing w:before="0" w:beforeAutospacing="0" w:after="0" w:afterAutospacing="0"/>
              <w:jc w:val="both"/>
              <w:rPr>
                <w:rFonts w:ascii="Open Sans" w:hAnsi="Open Sans" w:cs="Open Sans"/>
                <w:sz w:val="20"/>
                <w:szCs w:val="20"/>
              </w:rPr>
            </w:pPr>
            <w:r w:rsidRPr="007D5AAA">
              <w:rPr>
                <w:rFonts w:ascii="Open Sans" w:hAnsi="Open Sans" w:cs="Open Sans"/>
                <w:sz w:val="20"/>
                <w:szCs w:val="20"/>
              </w:rPr>
              <w:t>6.8%</w:t>
            </w:r>
          </w:p>
        </w:tc>
      </w:tr>
      <w:tr w:rsidR="00610DC8" w:rsidRPr="007D5AAA" w14:paraId="339B20A5" w14:textId="77777777" w:rsidTr="00610DC8">
        <w:trPr>
          <w:trHeight w:val="20"/>
        </w:trPr>
        <w:tc>
          <w:tcPr>
            <w:tcW w:w="906" w:type="dxa"/>
            <w:hideMark/>
          </w:tcPr>
          <w:p w14:paraId="757E9283" w14:textId="1783365F" w:rsidR="00610DC8" w:rsidRPr="007D5AAA" w:rsidRDefault="00610DC8" w:rsidP="00610DC8">
            <w:pPr>
              <w:pStyle w:val="NormalWeb"/>
              <w:spacing w:before="0" w:beforeAutospacing="0" w:after="0" w:afterAutospacing="0"/>
              <w:jc w:val="both"/>
              <w:rPr>
                <w:rFonts w:ascii="Open Sans" w:hAnsi="Open Sans" w:cs="Open Sans"/>
                <w:sz w:val="20"/>
                <w:szCs w:val="20"/>
              </w:rPr>
            </w:pPr>
            <w:r>
              <w:rPr>
                <w:rFonts w:ascii="Open Sans" w:hAnsi="Open Sans" w:cs="Open Sans"/>
                <w:sz w:val="20"/>
                <w:szCs w:val="20"/>
              </w:rPr>
              <w:t xml:space="preserve">Option </w:t>
            </w:r>
            <w:r w:rsidRPr="007D5AAA">
              <w:rPr>
                <w:rFonts w:ascii="Open Sans" w:hAnsi="Open Sans" w:cs="Open Sans"/>
                <w:sz w:val="20"/>
                <w:szCs w:val="20"/>
              </w:rPr>
              <w:t>C</w:t>
            </w:r>
          </w:p>
        </w:tc>
        <w:tc>
          <w:tcPr>
            <w:tcW w:w="5656" w:type="dxa"/>
            <w:hideMark/>
          </w:tcPr>
          <w:p w14:paraId="13C7971D" w14:textId="77777777" w:rsidR="00610DC8" w:rsidRPr="007D5AAA" w:rsidRDefault="00610DC8" w:rsidP="00610DC8">
            <w:pPr>
              <w:pStyle w:val="NormalWeb"/>
              <w:spacing w:before="0" w:beforeAutospacing="0" w:after="0" w:afterAutospacing="0"/>
              <w:jc w:val="both"/>
              <w:rPr>
                <w:rFonts w:ascii="Open Sans" w:hAnsi="Open Sans" w:cs="Open Sans"/>
                <w:sz w:val="20"/>
                <w:szCs w:val="20"/>
              </w:rPr>
            </w:pPr>
            <w:r w:rsidRPr="007D5AAA">
              <w:rPr>
                <w:rFonts w:ascii="Open Sans" w:hAnsi="Open Sans" w:cs="Open Sans"/>
                <w:sz w:val="20"/>
                <w:szCs w:val="20"/>
              </w:rPr>
              <w:t>Living with a partner in a house, apartment, or mobile home that I am renting</w:t>
            </w:r>
          </w:p>
        </w:tc>
        <w:tc>
          <w:tcPr>
            <w:tcW w:w="946" w:type="dxa"/>
          </w:tcPr>
          <w:p w14:paraId="4407B0F4" w14:textId="473AC574" w:rsidR="00610DC8" w:rsidRPr="007D5AAA" w:rsidRDefault="00610DC8" w:rsidP="00610DC8">
            <w:pPr>
              <w:pStyle w:val="NormalWeb"/>
              <w:spacing w:before="0" w:beforeAutospacing="0" w:after="0" w:afterAutospacing="0"/>
              <w:jc w:val="both"/>
              <w:rPr>
                <w:rFonts w:ascii="Open Sans" w:hAnsi="Open Sans" w:cs="Open Sans"/>
                <w:sz w:val="20"/>
                <w:szCs w:val="20"/>
              </w:rPr>
            </w:pPr>
            <w:r w:rsidRPr="00723F51">
              <w:rPr>
                <w:rFonts w:ascii="Open Sans" w:hAnsi="Open Sans" w:cs="Open Sans"/>
                <w:b/>
                <w:bCs/>
                <w:sz w:val="20"/>
                <w:szCs w:val="20"/>
              </w:rPr>
              <w:t>Count</w:t>
            </w:r>
          </w:p>
        </w:tc>
        <w:tc>
          <w:tcPr>
            <w:tcW w:w="567" w:type="dxa"/>
            <w:hideMark/>
          </w:tcPr>
          <w:p w14:paraId="6AFD002F" w14:textId="77BA6027" w:rsidR="00610DC8" w:rsidRPr="007D5AAA" w:rsidRDefault="00610DC8" w:rsidP="00610DC8">
            <w:pPr>
              <w:pStyle w:val="NormalWeb"/>
              <w:spacing w:before="0" w:beforeAutospacing="0" w:after="0" w:afterAutospacing="0"/>
              <w:jc w:val="both"/>
              <w:rPr>
                <w:rFonts w:ascii="Open Sans" w:hAnsi="Open Sans" w:cs="Open Sans"/>
                <w:sz w:val="20"/>
                <w:szCs w:val="20"/>
              </w:rPr>
            </w:pPr>
            <w:r w:rsidRPr="007D5AAA">
              <w:rPr>
                <w:rFonts w:ascii="Open Sans" w:hAnsi="Open Sans" w:cs="Open Sans"/>
                <w:sz w:val="20"/>
                <w:szCs w:val="20"/>
              </w:rPr>
              <w:t>58</w:t>
            </w:r>
          </w:p>
        </w:tc>
        <w:tc>
          <w:tcPr>
            <w:tcW w:w="567" w:type="dxa"/>
          </w:tcPr>
          <w:p w14:paraId="645B9B7E" w14:textId="79195850" w:rsidR="00610DC8" w:rsidRPr="007D5AAA" w:rsidRDefault="00610DC8" w:rsidP="00610DC8">
            <w:pPr>
              <w:pStyle w:val="NormalWeb"/>
              <w:spacing w:before="0" w:beforeAutospacing="0" w:after="0" w:afterAutospacing="0"/>
              <w:jc w:val="both"/>
              <w:rPr>
                <w:rFonts w:ascii="Open Sans" w:hAnsi="Open Sans" w:cs="Open Sans"/>
                <w:sz w:val="20"/>
                <w:szCs w:val="20"/>
              </w:rPr>
            </w:pPr>
            <w:r w:rsidRPr="00A87628">
              <w:rPr>
                <w:rFonts w:ascii="Open Sans" w:hAnsi="Open Sans" w:cs="Open Sans"/>
                <w:b/>
                <w:bCs/>
                <w:color w:val="000000" w:themeColor="text1"/>
                <w:sz w:val="20"/>
                <w:szCs w:val="20"/>
              </w:rPr>
              <w:t>%</w:t>
            </w:r>
          </w:p>
        </w:tc>
        <w:tc>
          <w:tcPr>
            <w:tcW w:w="851" w:type="dxa"/>
            <w:hideMark/>
          </w:tcPr>
          <w:p w14:paraId="06FD0450" w14:textId="524CB8D5" w:rsidR="00610DC8" w:rsidRPr="007D5AAA" w:rsidRDefault="00610DC8" w:rsidP="00610DC8">
            <w:pPr>
              <w:pStyle w:val="NormalWeb"/>
              <w:spacing w:before="0" w:beforeAutospacing="0" w:after="0" w:afterAutospacing="0"/>
              <w:jc w:val="both"/>
              <w:rPr>
                <w:rFonts w:ascii="Open Sans" w:hAnsi="Open Sans" w:cs="Open Sans"/>
                <w:sz w:val="20"/>
                <w:szCs w:val="20"/>
              </w:rPr>
            </w:pPr>
            <w:r w:rsidRPr="007D5AAA">
              <w:rPr>
                <w:rFonts w:ascii="Open Sans" w:hAnsi="Open Sans" w:cs="Open Sans"/>
                <w:sz w:val="20"/>
                <w:szCs w:val="20"/>
              </w:rPr>
              <w:t>23.2%</w:t>
            </w:r>
          </w:p>
        </w:tc>
      </w:tr>
      <w:tr w:rsidR="00610DC8" w:rsidRPr="007D5AAA" w14:paraId="3DD889B4" w14:textId="77777777" w:rsidTr="00610DC8">
        <w:trPr>
          <w:trHeight w:val="20"/>
        </w:trPr>
        <w:tc>
          <w:tcPr>
            <w:tcW w:w="906" w:type="dxa"/>
            <w:hideMark/>
          </w:tcPr>
          <w:p w14:paraId="61401A87" w14:textId="1D5896EF" w:rsidR="00610DC8" w:rsidRPr="007D5AAA" w:rsidRDefault="00610DC8" w:rsidP="00610DC8">
            <w:pPr>
              <w:pStyle w:val="NormalWeb"/>
              <w:spacing w:before="0" w:beforeAutospacing="0" w:after="0" w:afterAutospacing="0"/>
              <w:jc w:val="both"/>
              <w:rPr>
                <w:rFonts w:ascii="Open Sans" w:hAnsi="Open Sans" w:cs="Open Sans"/>
                <w:sz w:val="20"/>
                <w:szCs w:val="20"/>
              </w:rPr>
            </w:pPr>
            <w:r>
              <w:rPr>
                <w:rFonts w:ascii="Open Sans" w:hAnsi="Open Sans" w:cs="Open Sans"/>
                <w:sz w:val="20"/>
                <w:szCs w:val="20"/>
              </w:rPr>
              <w:t xml:space="preserve">Option   </w:t>
            </w:r>
            <w:r w:rsidRPr="007D5AAA">
              <w:rPr>
                <w:rFonts w:ascii="Open Sans" w:hAnsi="Open Sans" w:cs="Open Sans"/>
                <w:sz w:val="20"/>
                <w:szCs w:val="20"/>
              </w:rPr>
              <w:t>D</w:t>
            </w:r>
          </w:p>
        </w:tc>
        <w:tc>
          <w:tcPr>
            <w:tcW w:w="5656" w:type="dxa"/>
            <w:hideMark/>
          </w:tcPr>
          <w:p w14:paraId="73469CE8" w14:textId="77777777" w:rsidR="00610DC8" w:rsidRPr="007D5AAA" w:rsidRDefault="00610DC8" w:rsidP="00610DC8">
            <w:pPr>
              <w:pStyle w:val="NormalWeb"/>
              <w:spacing w:before="0" w:beforeAutospacing="0" w:after="0" w:afterAutospacing="0"/>
              <w:jc w:val="both"/>
              <w:rPr>
                <w:rFonts w:ascii="Open Sans" w:hAnsi="Open Sans" w:cs="Open Sans"/>
                <w:sz w:val="20"/>
                <w:szCs w:val="20"/>
              </w:rPr>
            </w:pPr>
            <w:r w:rsidRPr="007D5AAA">
              <w:rPr>
                <w:rFonts w:ascii="Open Sans" w:hAnsi="Open Sans" w:cs="Open Sans"/>
                <w:sz w:val="20"/>
                <w:szCs w:val="20"/>
              </w:rPr>
              <w:t>Living with a partner in a house, apartment, or mobile home that I own</w:t>
            </w:r>
          </w:p>
        </w:tc>
        <w:tc>
          <w:tcPr>
            <w:tcW w:w="946" w:type="dxa"/>
          </w:tcPr>
          <w:p w14:paraId="37A87F4A" w14:textId="34B5D958" w:rsidR="00610DC8" w:rsidRPr="007D5AAA" w:rsidRDefault="00610DC8" w:rsidP="00610DC8">
            <w:pPr>
              <w:pStyle w:val="NormalWeb"/>
              <w:spacing w:before="0" w:beforeAutospacing="0" w:after="0" w:afterAutospacing="0"/>
              <w:jc w:val="both"/>
              <w:rPr>
                <w:rFonts w:ascii="Open Sans" w:hAnsi="Open Sans" w:cs="Open Sans"/>
                <w:sz w:val="20"/>
                <w:szCs w:val="20"/>
              </w:rPr>
            </w:pPr>
            <w:r w:rsidRPr="00723F51">
              <w:rPr>
                <w:rFonts w:ascii="Open Sans" w:hAnsi="Open Sans" w:cs="Open Sans"/>
                <w:b/>
                <w:bCs/>
                <w:sz w:val="20"/>
                <w:szCs w:val="20"/>
              </w:rPr>
              <w:t>Count</w:t>
            </w:r>
          </w:p>
        </w:tc>
        <w:tc>
          <w:tcPr>
            <w:tcW w:w="567" w:type="dxa"/>
            <w:hideMark/>
          </w:tcPr>
          <w:p w14:paraId="76FE77C0" w14:textId="761C52FC" w:rsidR="00610DC8" w:rsidRPr="007D5AAA" w:rsidRDefault="00610DC8" w:rsidP="00610DC8">
            <w:pPr>
              <w:pStyle w:val="NormalWeb"/>
              <w:spacing w:before="0" w:beforeAutospacing="0" w:after="0" w:afterAutospacing="0"/>
              <w:jc w:val="both"/>
              <w:rPr>
                <w:rFonts w:ascii="Open Sans" w:hAnsi="Open Sans" w:cs="Open Sans"/>
                <w:sz w:val="20"/>
                <w:szCs w:val="20"/>
              </w:rPr>
            </w:pPr>
            <w:r w:rsidRPr="007D5AAA">
              <w:rPr>
                <w:rFonts w:ascii="Open Sans" w:hAnsi="Open Sans" w:cs="Open Sans"/>
                <w:sz w:val="20"/>
                <w:szCs w:val="20"/>
              </w:rPr>
              <w:t>16</w:t>
            </w:r>
          </w:p>
        </w:tc>
        <w:tc>
          <w:tcPr>
            <w:tcW w:w="567" w:type="dxa"/>
          </w:tcPr>
          <w:p w14:paraId="4149D25C" w14:textId="5C5DF3FD" w:rsidR="00610DC8" w:rsidRPr="007D5AAA" w:rsidRDefault="00610DC8" w:rsidP="00610DC8">
            <w:pPr>
              <w:pStyle w:val="NormalWeb"/>
              <w:spacing w:before="0" w:beforeAutospacing="0" w:after="0" w:afterAutospacing="0"/>
              <w:jc w:val="both"/>
              <w:rPr>
                <w:rFonts w:ascii="Open Sans" w:hAnsi="Open Sans" w:cs="Open Sans"/>
                <w:sz w:val="20"/>
                <w:szCs w:val="20"/>
              </w:rPr>
            </w:pPr>
            <w:r w:rsidRPr="00A87628">
              <w:rPr>
                <w:rFonts w:ascii="Open Sans" w:hAnsi="Open Sans" w:cs="Open Sans"/>
                <w:b/>
                <w:bCs/>
                <w:color w:val="000000" w:themeColor="text1"/>
                <w:sz w:val="20"/>
                <w:szCs w:val="20"/>
              </w:rPr>
              <w:t>%</w:t>
            </w:r>
          </w:p>
        </w:tc>
        <w:tc>
          <w:tcPr>
            <w:tcW w:w="851" w:type="dxa"/>
            <w:hideMark/>
          </w:tcPr>
          <w:p w14:paraId="1B44EA2D" w14:textId="296921FE" w:rsidR="00610DC8" w:rsidRPr="007D5AAA" w:rsidRDefault="00610DC8" w:rsidP="00610DC8">
            <w:pPr>
              <w:pStyle w:val="NormalWeb"/>
              <w:spacing w:before="0" w:beforeAutospacing="0" w:after="0" w:afterAutospacing="0"/>
              <w:jc w:val="both"/>
              <w:rPr>
                <w:rFonts w:ascii="Open Sans" w:hAnsi="Open Sans" w:cs="Open Sans"/>
                <w:sz w:val="20"/>
                <w:szCs w:val="20"/>
              </w:rPr>
            </w:pPr>
            <w:r w:rsidRPr="007D5AAA">
              <w:rPr>
                <w:rFonts w:ascii="Open Sans" w:hAnsi="Open Sans" w:cs="Open Sans"/>
                <w:sz w:val="20"/>
                <w:szCs w:val="20"/>
              </w:rPr>
              <w:t>6.4%</w:t>
            </w:r>
          </w:p>
        </w:tc>
      </w:tr>
      <w:tr w:rsidR="00610DC8" w:rsidRPr="007D5AAA" w14:paraId="74DC7406" w14:textId="77777777" w:rsidTr="00610DC8">
        <w:trPr>
          <w:trHeight w:val="20"/>
        </w:trPr>
        <w:tc>
          <w:tcPr>
            <w:tcW w:w="906" w:type="dxa"/>
            <w:hideMark/>
          </w:tcPr>
          <w:p w14:paraId="37279190" w14:textId="2624CA4A" w:rsidR="00610DC8" w:rsidRPr="007D5AAA" w:rsidRDefault="00610DC8" w:rsidP="00610DC8">
            <w:pPr>
              <w:pStyle w:val="NormalWeb"/>
              <w:spacing w:before="0" w:beforeAutospacing="0" w:after="0" w:afterAutospacing="0"/>
              <w:jc w:val="both"/>
              <w:rPr>
                <w:rFonts w:ascii="Open Sans" w:hAnsi="Open Sans" w:cs="Open Sans"/>
                <w:sz w:val="20"/>
                <w:szCs w:val="20"/>
              </w:rPr>
            </w:pPr>
            <w:r>
              <w:rPr>
                <w:rFonts w:ascii="Open Sans" w:hAnsi="Open Sans" w:cs="Open Sans"/>
                <w:sz w:val="20"/>
                <w:szCs w:val="20"/>
              </w:rPr>
              <w:t>Option E</w:t>
            </w:r>
          </w:p>
        </w:tc>
        <w:tc>
          <w:tcPr>
            <w:tcW w:w="5656" w:type="dxa"/>
            <w:hideMark/>
          </w:tcPr>
          <w:p w14:paraId="04080C9F" w14:textId="77777777" w:rsidR="00610DC8" w:rsidRPr="007D5AAA" w:rsidRDefault="00610DC8" w:rsidP="00610DC8">
            <w:pPr>
              <w:pStyle w:val="NormalWeb"/>
              <w:spacing w:before="0" w:beforeAutospacing="0" w:after="0" w:afterAutospacing="0"/>
              <w:jc w:val="both"/>
              <w:rPr>
                <w:rFonts w:ascii="Open Sans" w:hAnsi="Open Sans" w:cs="Open Sans"/>
                <w:sz w:val="20"/>
                <w:szCs w:val="20"/>
              </w:rPr>
            </w:pPr>
            <w:r w:rsidRPr="007D5AAA">
              <w:rPr>
                <w:rFonts w:ascii="Open Sans" w:hAnsi="Open Sans" w:cs="Open Sans"/>
                <w:sz w:val="20"/>
                <w:szCs w:val="20"/>
              </w:rPr>
              <w:t>Living with parents and/or in the family home</w:t>
            </w:r>
          </w:p>
        </w:tc>
        <w:tc>
          <w:tcPr>
            <w:tcW w:w="946" w:type="dxa"/>
          </w:tcPr>
          <w:p w14:paraId="59028377" w14:textId="3F5FD584" w:rsidR="00610DC8" w:rsidRPr="007D5AAA" w:rsidRDefault="00610DC8" w:rsidP="00610DC8">
            <w:pPr>
              <w:pStyle w:val="NormalWeb"/>
              <w:spacing w:before="0" w:beforeAutospacing="0" w:after="0" w:afterAutospacing="0"/>
              <w:jc w:val="both"/>
              <w:rPr>
                <w:rFonts w:ascii="Open Sans" w:hAnsi="Open Sans" w:cs="Open Sans"/>
                <w:sz w:val="20"/>
                <w:szCs w:val="20"/>
              </w:rPr>
            </w:pPr>
            <w:r w:rsidRPr="00723F51">
              <w:rPr>
                <w:rFonts w:ascii="Open Sans" w:hAnsi="Open Sans" w:cs="Open Sans"/>
                <w:b/>
                <w:bCs/>
                <w:sz w:val="20"/>
                <w:szCs w:val="20"/>
              </w:rPr>
              <w:t>Count</w:t>
            </w:r>
          </w:p>
        </w:tc>
        <w:tc>
          <w:tcPr>
            <w:tcW w:w="567" w:type="dxa"/>
            <w:hideMark/>
          </w:tcPr>
          <w:p w14:paraId="43D8D1EE" w14:textId="56280988" w:rsidR="00610DC8" w:rsidRPr="007D5AAA" w:rsidRDefault="00610DC8" w:rsidP="00610DC8">
            <w:pPr>
              <w:pStyle w:val="NormalWeb"/>
              <w:spacing w:before="0" w:beforeAutospacing="0" w:after="0" w:afterAutospacing="0"/>
              <w:jc w:val="both"/>
              <w:rPr>
                <w:rFonts w:ascii="Open Sans" w:hAnsi="Open Sans" w:cs="Open Sans"/>
                <w:sz w:val="20"/>
                <w:szCs w:val="20"/>
              </w:rPr>
            </w:pPr>
            <w:r w:rsidRPr="007D5AAA">
              <w:rPr>
                <w:rFonts w:ascii="Open Sans" w:hAnsi="Open Sans" w:cs="Open Sans"/>
                <w:sz w:val="20"/>
                <w:szCs w:val="20"/>
              </w:rPr>
              <w:t>66</w:t>
            </w:r>
          </w:p>
        </w:tc>
        <w:tc>
          <w:tcPr>
            <w:tcW w:w="567" w:type="dxa"/>
          </w:tcPr>
          <w:p w14:paraId="55EDD7EE" w14:textId="1B6625BA" w:rsidR="00610DC8" w:rsidRPr="007D5AAA" w:rsidRDefault="00610DC8" w:rsidP="00610DC8">
            <w:pPr>
              <w:pStyle w:val="NormalWeb"/>
              <w:spacing w:before="0" w:beforeAutospacing="0" w:after="0" w:afterAutospacing="0"/>
              <w:jc w:val="both"/>
              <w:rPr>
                <w:rFonts w:ascii="Open Sans" w:hAnsi="Open Sans" w:cs="Open Sans"/>
                <w:sz w:val="20"/>
                <w:szCs w:val="20"/>
              </w:rPr>
            </w:pPr>
            <w:r w:rsidRPr="00A87628">
              <w:rPr>
                <w:rFonts w:ascii="Open Sans" w:hAnsi="Open Sans" w:cs="Open Sans"/>
                <w:b/>
                <w:bCs/>
                <w:color w:val="000000" w:themeColor="text1"/>
                <w:sz w:val="20"/>
                <w:szCs w:val="20"/>
              </w:rPr>
              <w:t>%</w:t>
            </w:r>
          </w:p>
        </w:tc>
        <w:tc>
          <w:tcPr>
            <w:tcW w:w="851" w:type="dxa"/>
            <w:hideMark/>
          </w:tcPr>
          <w:p w14:paraId="6FFA6AB4" w14:textId="4817D908" w:rsidR="00610DC8" w:rsidRPr="007D5AAA" w:rsidRDefault="00610DC8" w:rsidP="00610DC8">
            <w:pPr>
              <w:pStyle w:val="NormalWeb"/>
              <w:spacing w:before="0" w:beforeAutospacing="0" w:after="0" w:afterAutospacing="0"/>
              <w:jc w:val="both"/>
              <w:rPr>
                <w:rFonts w:ascii="Open Sans" w:hAnsi="Open Sans" w:cs="Open Sans"/>
                <w:sz w:val="20"/>
                <w:szCs w:val="20"/>
              </w:rPr>
            </w:pPr>
            <w:r w:rsidRPr="007D5AAA">
              <w:rPr>
                <w:rFonts w:ascii="Open Sans" w:hAnsi="Open Sans" w:cs="Open Sans"/>
                <w:sz w:val="20"/>
                <w:szCs w:val="20"/>
              </w:rPr>
              <w:t>26.4%</w:t>
            </w:r>
          </w:p>
        </w:tc>
      </w:tr>
      <w:tr w:rsidR="00610DC8" w:rsidRPr="007D5AAA" w14:paraId="11C39A31" w14:textId="77777777" w:rsidTr="00610DC8">
        <w:trPr>
          <w:trHeight w:val="20"/>
        </w:trPr>
        <w:tc>
          <w:tcPr>
            <w:tcW w:w="906" w:type="dxa"/>
            <w:hideMark/>
          </w:tcPr>
          <w:p w14:paraId="485BF51A" w14:textId="36466D08" w:rsidR="00610DC8" w:rsidRPr="007D5AAA" w:rsidRDefault="00610DC8" w:rsidP="00610DC8">
            <w:pPr>
              <w:pStyle w:val="NormalWeb"/>
              <w:spacing w:before="0" w:beforeAutospacing="0" w:after="0" w:afterAutospacing="0"/>
              <w:jc w:val="both"/>
              <w:rPr>
                <w:rFonts w:ascii="Open Sans" w:hAnsi="Open Sans" w:cs="Open Sans"/>
                <w:sz w:val="20"/>
                <w:szCs w:val="20"/>
              </w:rPr>
            </w:pPr>
            <w:r>
              <w:rPr>
                <w:rFonts w:ascii="Open Sans" w:hAnsi="Open Sans" w:cs="Open Sans"/>
                <w:sz w:val="20"/>
                <w:szCs w:val="20"/>
              </w:rPr>
              <w:t>Option F</w:t>
            </w:r>
          </w:p>
        </w:tc>
        <w:tc>
          <w:tcPr>
            <w:tcW w:w="5656" w:type="dxa"/>
            <w:hideMark/>
          </w:tcPr>
          <w:p w14:paraId="0AD6C815" w14:textId="77777777" w:rsidR="00610DC8" w:rsidRPr="007D5AAA" w:rsidRDefault="00610DC8" w:rsidP="00610DC8">
            <w:pPr>
              <w:pStyle w:val="NormalWeb"/>
              <w:spacing w:before="0" w:beforeAutospacing="0" w:after="0" w:afterAutospacing="0"/>
              <w:jc w:val="both"/>
              <w:rPr>
                <w:rFonts w:ascii="Open Sans" w:hAnsi="Open Sans" w:cs="Open Sans"/>
                <w:sz w:val="20"/>
                <w:szCs w:val="20"/>
              </w:rPr>
            </w:pPr>
            <w:r w:rsidRPr="007D5AAA">
              <w:rPr>
                <w:rFonts w:ascii="Open Sans" w:hAnsi="Open Sans" w:cs="Open Sans"/>
                <w:sz w:val="20"/>
                <w:szCs w:val="20"/>
              </w:rPr>
              <w:t>Living in a share house that I am renting</w:t>
            </w:r>
          </w:p>
        </w:tc>
        <w:tc>
          <w:tcPr>
            <w:tcW w:w="946" w:type="dxa"/>
          </w:tcPr>
          <w:p w14:paraId="014E8AA4" w14:textId="5A8F0CE8" w:rsidR="00610DC8" w:rsidRPr="007D5AAA" w:rsidRDefault="00610DC8" w:rsidP="00610DC8">
            <w:pPr>
              <w:pStyle w:val="NormalWeb"/>
              <w:spacing w:before="0" w:beforeAutospacing="0" w:after="0" w:afterAutospacing="0"/>
              <w:jc w:val="both"/>
              <w:rPr>
                <w:rFonts w:ascii="Open Sans" w:hAnsi="Open Sans" w:cs="Open Sans"/>
                <w:sz w:val="20"/>
                <w:szCs w:val="20"/>
              </w:rPr>
            </w:pPr>
            <w:r w:rsidRPr="00723F51">
              <w:rPr>
                <w:rFonts w:ascii="Open Sans" w:hAnsi="Open Sans" w:cs="Open Sans"/>
                <w:b/>
                <w:bCs/>
                <w:sz w:val="20"/>
                <w:szCs w:val="20"/>
              </w:rPr>
              <w:t>Count</w:t>
            </w:r>
          </w:p>
        </w:tc>
        <w:tc>
          <w:tcPr>
            <w:tcW w:w="567" w:type="dxa"/>
            <w:hideMark/>
          </w:tcPr>
          <w:p w14:paraId="6CC674BD" w14:textId="507A5CFF" w:rsidR="00610DC8" w:rsidRPr="007D5AAA" w:rsidRDefault="00610DC8" w:rsidP="00610DC8">
            <w:pPr>
              <w:pStyle w:val="NormalWeb"/>
              <w:spacing w:before="0" w:beforeAutospacing="0" w:after="0" w:afterAutospacing="0"/>
              <w:jc w:val="both"/>
              <w:rPr>
                <w:rFonts w:ascii="Open Sans" w:hAnsi="Open Sans" w:cs="Open Sans"/>
                <w:sz w:val="20"/>
                <w:szCs w:val="20"/>
              </w:rPr>
            </w:pPr>
            <w:r w:rsidRPr="007D5AAA">
              <w:rPr>
                <w:rFonts w:ascii="Open Sans" w:hAnsi="Open Sans" w:cs="Open Sans"/>
                <w:sz w:val="20"/>
                <w:szCs w:val="20"/>
              </w:rPr>
              <w:t>54</w:t>
            </w:r>
          </w:p>
        </w:tc>
        <w:tc>
          <w:tcPr>
            <w:tcW w:w="567" w:type="dxa"/>
          </w:tcPr>
          <w:p w14:paraId="27BD9F2A" w14:textId="38C20ADE" w:rsidR="00610DC8" w:rsidRPr="007D5AAA" w:rsidRDefault="00610DC8" w:rsidP="00610DC8">
            <w:pPr>
              <w:pStyle w:val="NormalWeb"/>
              <w:spacing w:before="0" w:beforeAutospacing="0" w:after="0" w:afterAutospacing="0"/>
              <w:jc w:val="both"/>
              <w:rPr>
                <w:rFonts w:ascii="Open Sans" w:hAnsi="Open Sans" w:cs="Open Sans"/>
                <w:sz w:val="20"/>
                <w:szCs w:val="20"/>
              </w:rPr>
            </w:pPr>
            <w:r w:rsidRPr="00A87628">
              <w:rPr>
                <w:rFonts w:ascii="Open Sans" w:hAnsi="Open Sans" w:cs="Open Sans"/>
                <w:b/>
                <w:bCs/>
                <w:color w:val="000000" w:themeColor="text1"/>
                <w:sz w:val="20"/>
                <w:szCs w:val="20"/>
              </w:rPr>
              <w:t>%</w:t>
            </w:r>
          </w:p>
        </w:tc>
        <w:tc>
          <w:tcPr>
            <w:tcW w:w="851" w:type="dxa"/>
            <w:hideMark/>
          </w:tcPr>
          <w:p w14:paraId="14796FD2" w14:textId="20819F01" w:rsidR="00610DC8" w:rsidRPr="007D5AAA" w:rsidRDefault="00610DC8" w:rsidP="00610DC8">
            <w:pPr>
              <w:pStyle w:val="NormalWeb"/>
              <w:spacing w:before="0" w:beforeAutospacing="0" w:after="0" w:afterAutospacing="0"/>
              <w:jc w:val="both"/>
              <w:rPr>
                <w:rFonts w:ascii="Open Sans" w:hAnsi="Open Sans" w:cs="Open Sans"/>
                <w:sz w:val="20"/>
                <w:szCs w:val="20"/>
              </w:rPr>
            </w:pPr>
            <w:r w:rsidRPr="007D5AAA">
              <w:rPr>
                <w:rFonts w:ascii="Open Sans" w:hAnsi="Open Sans" w:cs="Open Sans"/>
                <w:sz w:val="20"/>
                <w:szCs w:val="20"/>
              </w:rPr>
              <w:t>21.6%</w:t>
            </w:r>
          </w:p>
        </w:tc>
      </w:tr>
      <w:tr w:rsidR="00610DC8" w:rsidRPr="007D5AAA" w14:paraId="4FDBE837" w14:textId="77777777" w:rsidTr="00610DC8">
        <w:trPr>
          <w:trHeight w:val="20"/>
        </w:trPr>
        <w:tc>
          <w:tcPr>
            <w:tcW w:w="906" w:type="dxa"/>
            <w:hideMark/>
          </w:tcPr>
          <w:p w14:paraId="17FF078B" w14:textId="396E2E4B" w:rsidR="00610DC8" w:rsidRPr="007D5AAA" w:rsidRDefault="00610DC8" w:rsidP="00610DC8">
            <w:pPr>
              <w:pStyle w:val="NormalWeb"/>
              <w:spacing w:before="0" w:beforeAutospacing="0" w:after="0" w:afterAutospacing="0"/>
              <w:jc w:val="both"/>
              <w:rPr>
                <w:rFonts w:ascii="Open Sans" w:hAnsi="Open Sans" w:cs="Open Sans"/>
                <w:sz w:val="20"/>
                <w:szCs w:val="20"/>
              </w:rPr>
            </w:pPr>
            <w:r>
              <w:rPr>
                <w:rFonts w:ascii="Open Sans" w:hAnsi="Open Sans" w:cs="Open Sans"/>
                <w:sz w:val="20"/>
                <w:szCs w:val="20"/>
              </w:rPr>
              <w:t xml:space="preserve">Option </w:t>
            </w:r>
            <w:r w:rsidRPr="007D5AAA">
              <w:rPr>
                <w:rFonts w:ascii="Open Sans" w:hAnsi="Open Sans" w:cs="Open Sans"/>
                <w:sz w:val="20"/>
                <w:szCs w:val="20"/>
              </w:rPr>
              <w:t>G</w:t>
            </w:r>
          </w:p>
        </w:tc>
        <w:tc>
          <w:tcPr>
            <w:tcW w:w="5656" w:type="dxa"/>
            <w:hideMark/>
          </w:tcPr>
          <w:p w14:paraId="2DD12CC0" w14:textId="77777777" w:rsidR="00610DC8" w:rsidRPr="007D5AAA" w:rsidRDefault="00610DC8" w:rsidP="00610DC8">
            <w:pPr>
              <w:pStyle w:val="NormalWeb"/>
              <w:spacing w:before="0" w:beforeAutospacing="0" w:after="0" w:afterAutospacing="0"/>
              <w:jc w:val="both"/>
              <w:rPr>
                <w:rFonts w:ascii="Open Sans" w:hAnsi="Open Sans" w:cs="Open Sans"/>
                <w:sz w:val="20"/>
                <w:szCs w:val="20"/>
              </w:rPr>
            </w:pPr>
            <w:r w:rsidRPr="007D5AAA">
              <w:rPr>
                <w:rFonts w:ascii="Open Sans" w:hAnsi="Open Sans" w:cs="Open Sans"/>
                <w:sz w:val="20"/>
                <w:szCs w:val="20"/>
              </w:rPr>
              <w:t>Living in university accommodation</w:t>
            </w:r>
          </w:p>
        </w:tc>
        <w:tc>
          <w:tcPr>
            <w:tcW w:w="946" w:type="dxa"/>
          </w:tcPr>
          <w:p w14:paraId="795C87FF" w14:textId="3CEF05F6" w:rsidR="00610DC8" w:rsidRPr="007D5AAA" w:rsidRDefault="00610DC8" w:rsidP="00610DC8">
            <w:pPr>
              <w:pStyle w:val="NormalWeb"/>
              <w:spacing w:before="0" w:beforeAutospacing="0" w:after="0" w:afterAutospacing="0"/>
              <w:jc w:val="both"/>
              <w:rPr>
                <w:rFonts w:ascii="Open Sans" w:hAnsi="Open Sans" w:cs="Open Sans"/>
                <w:sz w:val="20"/>
                <w:szCs w:val="20"/>
              </w:rPr>
            </w:pPr>
            <w:r w:rsidRPr="00723F51">
              <w:rPr>
                <w:rFonts w:ascii="Open Sans" w:hAnsi="Open Sans" w:cs="Open Sans"/>
                <w:b/>
                <w:bCs/>
                <w:sz w:val="20"/>
                <w:szCs w:val="20"/>
              </w:rPr>
              <w:t>Count</w:t>
            </w:r>
          </w:p>
        </w:tc>
        <w:tc>
          <w:tcPr>
            <w:tcW w:w="567" w:type="dxa"/>
            <w:hideMark/>
          </w:tcPr>
          <w:p w14:paraId="4CAE7FA4" w14:textId="3D296D8D" w:rsidR="00610DC8" w:rsidRPr="007D5AAA" w:rsidRDefault="00610DC8" w:rsidP="00610DC8">
            <w:pPr>
              <w:pStyle w:val="NormalWeb"/>
              <w:spacing w:before="0" w:beforeAutospacing="0" w:after="0" w:afterAutospacing="0"/>
              <w:jc w:val="both"/>
              <w:rPr>
                <w:rFonts w:ascii="Open Sans" w:hAnsi="Open Sans" w:cs="Open Sans"/>
                <w:sz w:val="20"/>
                <w:szCs w:val="20"/>
              </w:rPr>
            </w:pPr>
            <w:r w:rsidRPr="007D5AAA">
              <w:rPr>
                <w:rFonts w:ascii="Open Sans" w:hAnsi="Open Sans" w:cs="Open Sans"/>
                <w:sz w:val="20"/>
                <w:szCs w:val="20"/>
              </w:rPr>
              <w:t>1</w:t>
            </w:r>
          </w:p>
        </w:tc>
        <w:tc>
          <w:tcPr>
            <w:tcW w:w="567" w:type="dxa"/>
          </w:tcPr>
          <w:p w14:paraId="186F3F4C" w14:textId="0727A644" w:rsidR="00610DC8" w:rsidRPr="007D5AAA" w:rsidRDefault="00610DC8" w:rsidP="00610DC8">
            <w:pPr>
              <w:pStyle w:val="NormalWeb"/>
              <w:spacing w:before="0" w:beforeAutospacing="0" w:after="0" w:afterAutospacing="0"/>
              <w:jc w:val="both"/>
              <w:rPr>
                <w:rFonts w:ascii="Open Sans" w:hAnsi="Open Sans" w:cs="Open Sans"/>
                <w:sz w:val="20"/>
                <w:szCs w:val="20"/>
              </w:rPr>
            </w:pPr>
            <w:r w:rsidRPr="00A87628">
              <w:rPr>
                <w:rFonts w:ascii="Open Sans" w:hAnsi="Open Sans" w:cs="Open Sans"/>
                <w:b/>
                <w:bCs/>
                <w:color w:val="000000" w:themeColor="text1"/>
                <w:sz w:val="20"/>
                <w:szCs w:val="20"/>
              </w:rPr>
              <w:t>%</w:t>
            </w:r>
          </w:p>
        </w:tc>
        <w:tc>
          <w:tcPr>
            <w:tcW w:w="851" w:type="dxa"/>
            <w:hideMark/>
          </w:tcPr>
          <w:p w14:paraId="5D6391C4" w14:textId="308FD1C5" w:rsidR="00610DC8" w:rsidRPr="007D5AAA" w:rsidRDefault="00610DC8" w:rsidP="00610DC8">
            <w:pPr>
              <w:pStyle w:val="NormalWeb"/>
              <w:spacing w:before="0" w:beforeAutospacing="0" w:after="0" w:afterAutospacing="0"/>
              <w:jc w:val="both"/>
              <w:rPr>
                <w:rFonts w:ascii="Open Sans" w:hAnsi="Open Sans" w:cs="Open Sans"/>
                <w:sz w:val="20"/>
                <w:szCs w:val="20"/>
              </w:rPr>
            </w:pPr>
            <w:r w:rsidRPr="007D5AAA">
              <w:rPr>
                <w:rFonts w:ascii="Open Sans" w:hAnsi="Open Sans" w:cs="Open Sans"/>
                <w:sz w:val="20"/>
                <w:szCs w:val="20"/>
              </w:rPr>
              <w:t>0.4%</w:t>
            </w:r>
          </w:p>
        </w:tc>
      </w:tr>
      <w:tr w:rsidR="00610DC8" w:rsidRPr="007D5AAA" w14:paraId="22EF957A" w14:textId="77777777" w:rsidTr="00610DC8">
        <w:trPr>
          <w:trHeight w:val="20"/>
        </w:trPr>
        <w:tc>
          <w:tcPr>
            <w:tcW w:w="906" w:type="dxa"/>
            <w:hideMark/>
          </w:tcPr>
          <w:p w14:paraId="426861EB" w14:textId="4D29F24F" w:rsidR="00610DC8" w:rsidRPr="007D5AAA" w:rsidRDefault="00610DC8" w:rsidP="00610DC8">
            <w:pPr>
              <w:pStyle w:val="NormalWeb"/>
              <w:spacing w:before="0" w:beforeAutospacing="0" w:after="0" w:afterAutospacing="0"/>
              <w:jc w:val="both"/>
              <w:rPr>
                <w:rFonts w:ascii="Open Sans" w:hAnsi="Open Sans" w:cs="Open Sans"/>
                <w:sz w:val="20"/>
                <w:szCs w:val="20"/>
              </w:rPr>
            </w:pPr>
            <w:r>
              <w:rPr>
                <w:rFonts w:ascii="Open Sans" w:hAnsi="Open Sans" w:cs="Open Sans"/>
                <w:sz w:val="20"/>
                <w:szCs w:val="20"/>
              </w:rPr>
              <w:t xml:space="preserve">Option </w:t>
            </w:r>
            <w:r w:rsidRPr="007D5AAA">
              <w:rPr>
                <w:rFonts w:ascii="Open Sans" w:hAnsi="Open Sans" w:cs="Open Sans"/>
                <w:sz w:val="20"/>
                <w:szCs w:val="20"/>
              </w:rPr>
              <w:t>H</w:t>
            </w:r>
          </w:p>
        </w:tc>
        <w:tc>
          <w:tcPr>
            <w:tcW w:w="5656" w:type="dxa"/>
            <w:hideMark/>
          </w:tcPr>
          <w:p w14:paraId="39814957" w14:textId="77777777" w:rsidR="00610DC8" w:rsidRPr="007D5AAA" w:rsidRDefault="00610DC8" w:rsidP="00610DC8">
            <w:pPr>
              <w:pStyle w:val="NormalWeb"/>
              <w:spacing w:before="0" w:beforeAutospacing="0" w:after="0" w:afterAutospacing="0"/>
              <w:jc w:val="both"/>
              <w:rPr>
                <w:rFonts w:ascii="Open Sans" w:hAnsi="Open Sans" w:cs="Open Sans"/>
                <w:sz w:val="20"/>
                <w:szCs w:val="20"/>
              </w:rPr>
            </w:pPr>
            <w:r w:rsidRPr="007D5AAA">
              <w:rPr>
                <w:rFonts w:ascii="Open Sans" w:hAnsi="Open Sans" w:cs="Open Sans"/>
                <w:sz w:val="20"/>
                <w:szCs w:val="20"/>
              </w:rPr>
              <w:t>Living in an institution (e.g. hospital, prison, disability group home, shelter)</w:t>
            </w:r>
          </w:p>
        </w:tc>
        <w:tc>
          <w:tcPr>
            <w:tcW w:w="946" w:type="dxa"/>
          </w:tcPr>
          <w:p w14:paraId="6833D167" w14:textId="38C47480" w:rsidR="00610DC8" w:rsidRPr="007D5AAA" w:rsidRDefault="00610DC8" w:rsidP="00610DC8">
            <w:pPr>
              <w:pStyle w:val="NormalWeb"/>
              <w:spacing w:before="0" w:beforeAutospacing="0" w:after="0" w:afterAutospacing="0"/>
              <w:jc w:val="both"/>
              <w:rPr>
                <w:rFonts w:ascii="Open Sans" w:hAnsi="Open Sans" w:cs="Open Sans"/>
                <w:sz w:val="20"/>
                <w:szCs w:val="20"/>
              </w:rPr>
            </w:pPr>
            <w:r w:rsidRPr="00723F51">
              <w:rPr>
                <w:rFonts w:ascii="Open Sans" w:hAnsi="Open Sans" w:cs="Open Sans"/>
                <w:b/>
                <w:bCs/>
                <w:sz w:val="20"/>
                <w:szCs w:val="20"/>
              </w:rPr>
              <w:t>Count</w:t>
            </w:r>
          </w:p>
        </w:tc>
        <w:tc>
          <w:tcPr>
            <w:tcW w:w="567" w:type="dxa"/>
            <w:hideMark/>
          </w:tcPr>
          <w:p w14:paraId="2FE767B2" w14:textId="6DDA3BC4" w:rsidR="00610DC8" w:rsidRPr="007D5AAA" w:rsidRDefault="00610DC8" w:rsidP="00610DC8">
            <w:pPr>
              <w:pStyle w:val="NormalWeb"/>
              <w:spacing w:before="0" w:beforeAutospacing="0" w:after="0" w:afterAutospacing="0"/>
              <w:jc w:val="both"/>
              <w:rPr>
                <w:rFonts w:ascii="Open Sans" w:hAnsi="Open Sans" w:cs="Open Sans"/>
                <w:sz w:val="20"/>
                <w:szCs w:val="20"/>
              </w:rPr>
            </w:pPr>
            <w:r w:rsidRPr="007D5AAA">
              <w:rPr>
                <w:rFonts w:ascii="Open Sans" w:hAnsi="Open Sans" w:cs="Open Sans"/>
                <w:sz w:val="20"/>
                <w:szCs w:val="20"/>
              </w:rPr>
              <w:t>1</w:t>
            </w:r>
          </w:p>
        </w:tc>
        <w:tc>
          <w:tcPr>
            <w:tcW w:w="567" w:type="dxa"/>
          </w:tcPr>
          <w:p w14:paraId="5815EFAA" w14:textId="17223A59" w:rsidR="00610DC8" w:rsidRPr="007D5AAA" w:rsidRDefault="00610DC8" w:rsidP="00610DC8">
            <w:pPr>
              <w:pStyle w:val="NormalWeb"/>
              <w:spacing w:before="0" w:beforeAutospacing="0" w:after="0" w:afterAutospacing="0"/>
              <w:jc w:val="both"/>
              <w:rPr>
                <w:rFonts w:ascii="Open Sans" w:hAnsi="Open Sans" w:cs="Open Sans"/>
                <w:sz w:val="20"/>
                <w:szCs w:val="20"/>
              </w:rPr>
            </w:pPr>
            <w:r w:rsidRPr="00A87628">
              <w:rPr>
                <w:rFonts w:ascii="Open Sans" w:hAnsi="Open Sans" w:cs="Open Sans"/>
                <w:b/>
                <w:bCs/>
                <w:color w:val="000000" w:themeColor="text1"/>
                <w:sz w:val="20"/>
                <w:szCs w:val="20"/>
              </w:rPr>
              <w:t>%</w:t>
            </w:r>
          </w:p>
        </w:tc>
        <w:tc>
          <w:tcPr>
            <w:tcW w:w="851" w:type="dxa"/>
            <w:hideMark/>
          </w:tcPr>
          <w:p w14:paraId="5B81F061" w14:textId="7EDBFA15" w:rsidR="00610DC8" w:rsidRPr="007D5AAA" w:rsidRDefault="00610DC8" w:rsidP="00610DC8">
            <w:pPr>
              <w:pStyle w:val="NormalWeb"/>
              <w:spacing w:before="0" w:beforeAutospacing="0" w:after="0" w:afterAutospacing="0"/>
              <w:jc w:val="both"/>
              <w:rPr>
                <w:rFonts w:ascii="Open Sans" w:hAnsi="Open Sans" w:cs="Open Sans"/>
                <w:sz w:val="20"/>
                <w:szCs w:val="20"/>
              </w:rPr>
            </w:pPr>
            <w:r w:rsidRPr="007D5AAA">
              <w:rPr>
                <w:rFonts w:ascii="Open Sans" w:hAnsi="Open Sans" w:cs="Open Sans"/>
                <w:sz w:val="20"/>
                <w:szCs w:val="20"/>
              </w:rPr>
              <w:t>0.4%</w:t>
            </w:r>
          </w:p>
        </w:tc>
      </w:tr>
      <w:tr w:rsidR="00610DC8" w:rsidRPr="007D5AAA" w14:paraId="3D8A2B87" w14:textId="77777777" w:rsidTr="00610DC8">
        <w:trPr>
          <w:trHeight w:val="20"/>
        </w:trPr>
        <w:tc>
          <w:tcPr>
            <w:tcW w:w="906" w:type="dxa"/>
            <w:hideMark/>
          </w:tcPr>
          <w:p w14:paraId="5C4633CC" w14:textId="38E970C5" w:rsidR="00610DC8" w:rsidRPr="007D5AAA" w:rsidRDefault="00610DC8" w:rsidP="00610DC8">
            <w:pPr>
              <w:pStyle w:val="NormalWeb"/>
              <w:spacing w:before="0" w:beforeAutospacing="0" w:after="0" w:afterAutospacing="0"/>
              <w:jc w:val="both"/>
              <w:rPr>
                <w:rFonts w:ascii="Open Sans" w:hAnsi="Open Sans" w:cs="Open Sans"/>
                <w:sz w:val="20"/>
                <w:szCs w:val="20"/>
              </w:rPr>
            </w:pPr>
            <w:r>
              <w:rPr>
                <w:rFonts w:ascii="Open Sans" w:hAnsi="Open Sans" w:cs="Open Sans"/>
                <w:sz w:val="20"/>
                <w:szCs w:val="20"/>
              </w:rPr>
              <w:t xml:space="preserve">Option </w:t>
            </w:r>
            <w:r w:rsidRPr="007D5AAA">
              <w:rPr>
                <w:rFonts w:ascii="Open Sans" w:hAnsi="Open Sans" w:cs="Open Sans"/>
                <w:sz w:val="20"/>
                <w:szCs w:val="20"/>
              </w:rPr>
              <w:t>I</w:t>
            </w:r>
          </w:p>
        </w:tc>
        <w:tc>
          <w:tcPr>
            <w:tcW w:w="5656" w:type="dxa"/>
            <w:hideMark/>
          </w:tcPr>
          <w:p w14:paraId="0C3E0815" w14:textId="77777777" w:rsidR="00610DC8" w:rsidRPr="007D5AAA" w:rsidRDefault="00610DC8" w:rsidP="00610DC8">
            <w:pPr>
              <w:pStyle w:val="NormalWeb"/>
              <w:spacing w:before="0" w:beforeAutospacing="0" w:after="0" w:afterAutospacing="0"/>
              <w:jc w:val="both"/>
              <w:rPr>
                <w:rFonts w:ascii="Open Sans" w:hAnsi="Open Sans" w:cs="Open Sans"/>
                <w:sz w:val="20"/>
                <w:szCs w:val="20"/>
              </w:rPr>
            </w:pPr>
            <w:r w:rsidRPr="007D5AAA">
              <w:rPr>
                <w:rFonts w:ascii="Open Sans" w:hAnsi="Open Sans" w:cs="Open Sans"/>
                <w:sz w:val="20"/>
                <w:szCs w:val="20"/>
              </w:rPr>
              <w:t>Don’t have a permanent home (e.g. couch surfing with friends, living in crisis accommodation)</w:t>
            </w:r>
          </w:p>
        </w:tc>
        <w:tc>
          <w:tcPr>
            <w:tcW w:w="946" w:type="dxa"/>
          </w:tcPr>
          <w:p w14:paraId="287FD007" w14:textId="63B62CF0" w:rsidR="00610DC8" w:rsidRPr="007D5AAA" w:rsidRDefault="00610DC8" w:rsidP="00610DC8">
            <w:pPr>
              <w:pStyle w:val="NormalWeb"/>
              <w:spacing w:before="0" w:beforeAutospacing="0" w:after="0" w:afterAutospacing="0"/>
              <w:jc w:val="both"/>
              <w:rPr>
                <w:rFonts w:ascii="Open Sans" w:hAnsi="Open Sans" w:cs="Open Sans"/>
                <w:sz w:val="20"/>
                <w:szCs w:val="20"/>
              </w:rPr>
            </w:pPr>
            <w:r w:rsidRPr="00723F51">
              <w:rPr>
                <w:rFonts w:ascii="Open Sans" w:hAnsi="Open Sans" w:cs="Open Sans"/>
                <w:b/>
                <w:bCs/>
                <w:sz w:val="20"/>
                <w:szCs w:val="20"/>
              </w:rPr>
              <w:t>Count</w:t>
            </w:r>
          </w:p>
        </w:tc>
        <w:tc>
          <w:tcPr>
            <w:tcW w:w="567" w:type="dxa"/>
            <w:hideMark/>
          </w:tcPr>
          <w:p w14:paraId="42C8C17B" w14:textId="26F5385B" w:rsidR="00610DC8" w:rsidRPr="007D5AAA" w:rsidRDefault="00610DC8" w:rsidP="00610DC8">
            <w:pPr>
              <w:pStyle w:val="NormalWeb"/>
              <w:spacing w:before="0" w:beforeAutospacing="0" w:after="0" w:afterAutospacing="0"/>
              <w:jc w:val="both"/>
              <w:rPr>
                <w:rFonts w:ascii="Open Sans" w:hAnsi="Open Sans" w:cs="Open Sans"/>
                <w:sz w:val="20"/>
                <w:szCs w:val="20"/>
              </w:rPr>
            </w:pPr>
            <w:r w:rsidRPr="007D5AAA">
              <w:rPr>
                <w:rFonts w:ascii="Open Sans" w:hAnsi="Open Sans" w:cs="Open Sans"/>
                <w:sz w:val="20"/>
                <w:szCs w:val="20"/>
              </w:rPr>
              <w:t>3</w:t>
            </w:r>
          </w:p>
        </w:tc>
        <w:tc>
          <w:tcPr>
            <w:tcW w:w="567" w:type="dxa"/>
          </w:tcPr>
          <w:p w14:paraId="54020DC5" w14:textId="1725324A" w:rsidR="00610DC8" w:rsidRPr="007D5AAA" w:rsidRDefault="00610DC8" w:rsidP="00610DC8">
            <w:pPr>
              <w:pStyle w:val="NormalWeb"/>
              <w:spacing w:before="0" w:beforeAutospacing="0" w:after="0" w:afterAutospacing="0"/>
              <w:jc w:val="both"/>
              <w:rPr>
                <w:rFonts w:ascii="Open Sans" w:hAnsi="Open Sans" w:cs="Open Sans"/>
                <w:sz w:val="20"/>
                <w:szCs w:val="20"/>
              </w:rPr>
            </w:pPr>
            <w:r w:rsidRPr="00A87628">
              <w:rPr>
                <w:rFonts w:ascii="Open Sans" w:hAnsi="Open Sans" w:cs="Open Sans"/>
                <w:b/>
                <w:bCs/>
                <w:color w:val="000000" w:themeColor="text1"/>
                <w:sz w:val="20"/>
                <w:szCs w:val="20"/>
              </w:rPr>
              <w:t>%</w:t>
            </w:r>
          </w:p>
        </w:tc>
        <w:tc>
          <w:tcPr>
            <w:tcW w:w="851" w:type="dxa"/>
            <w:hideMark/>
          </w:tcPr>
          <w:p w14:paraId="2AB359D6" w14:textId="5C98264C" w:rsidR="00610DC8" w:rsidRPr="007D5AAA" w:rsidRDefault="00610DC8" w:rsidP="00610DC8">
            <w:pPr>
              <w:pStyle w:val="NormalWeb"/>
              <w:spacing w:before="0" w:beforeAutospacing="0" w:after="0" w:afterAutospacing="0"/>
              <w:jc w:val="both"/>
              <w:rPr>
                <w:rFonts w:ascii="Open Sans" w:hAnsi="Open Sans" w:cs="Open Sans"/>
                <w:sz w:val="20"/>
                <w:szCs w:val="20"/>
              </w:rPr>
            </w:pPr>
            <w:r w:rsidRPr="007D5AAA">
              <w:rPr>
                <w:rFonts w:ascii="Open Sans" w:hAnsi="Open Sans" w:cs="Open Sans"/>
                <w:sz w:val="20"/>
                <w:szCs w:val="20"/>
              </w:rPr>
              <w:t>1.2%</w:t>
            </w:r>
          </w:p>
        </w:tc>
      </w:tr>
      <w:tr w:rsidR="00610DC8" w:rsidRPr="007D5AAA" w14:paraId="1FCDBA3D" w14:textId="77777777" w:rsidTr="00610DC8">
        <w:trPr>
          <w:trHeight w:val="20"/>
        </w:trPr>
        <w:tc>
          <w:tcPr>
            <w:tcW w:w="906" w:type="dxa"/>
            <w:hideMark/>
          </w:tcPr>
          <w:p w14:paraId="78B4AA23" w14:textId="5B5191EB" w:rsidR="00610DC8" w:rsidRPr="007D5AAA" w:rsidRDefault="00610DC8" w:rsidP="00610DC8">
            <w:pPr>
              <w:pStyle w:val="NormalWeb"/>
              <w:spacing w:before="0" w:beforeAutospacing="0" w:after="0" w:afterAutospacing="0"/>
              <w:jc w:val="both"/>
              <w:rPr>
                <w:rFonts w:ascii="Open Sans" w:hAnsi="Open Sans" w:cs="Open Sans"/>
                <w:sz w:val="20"/>
                <w:szCs w:val="20"/>
              </w:rPr>
            </w:pPr>
            <w:r>
              <w:rPr>
                <w:rFonts w:ascii="Open Sans" w:hAnsi="Open Sans" w:cs="Open Sans"/>
                <w:sz w:val="20"/>
                <w:szCs w:val="20"/>
              </w:rPr>
              <w:t xml:space="preserve">Option </w:t>
            </w:r>
            <w:r w:rsidRPr="007D5AAA">
              <w:rPr>
                <w:rFonts w:ascii="Open Sans" w:hAnsi="Open Sans" w:cs="Open Sans"/>
                <w:sz w:val="20"/>
                <w:szCs w:val="20"/>
              </w:rPr>
              <w:t>J</w:t>
            </w:r>
          </w:p>
        </w:tc>
        <w:tc>
          <w:tcPr>
            <w:tcW w:w="5656" w:type="dxa"/>
            <w:hideMark/>
          </w:tcPr>
          <w:p w14:paraId="45F00796" w14:textId="77777777" w:rsidR="00610DC8" w:rsidRPr="007D5AAA" w:rsidRDefault="00610DC8" w:rsidP="00610DC8">
            <w:pPr>
              <w:pStyle w:val="NormalWeb"/>
              <w:spacing w:before="0" w:beforeAutospacing="0" w:after="0" w:afterAutospacing="0"/>
              <w:jc w:val="both"/>
              <w:rPr>
                <w:rFonts w:ascii="Open Sans" w:hAnsi="Open Sans" w:cs="Open Sans"/>
                <w:sz w:val="20"/>
                <w:szCs w:val="20"/>
              </w:rPr>
            </w:pPr>
            <w:r w:rsidRPr="007D5AAA">
              <w:rPr>
                <w:rFonts w:ascii="Open Sans" w:hAnsi="Open Sans" w:cs="Open Sans"/>
                <w:sz w:val="20"/>
                <w:szCs w:val="20"/>
              </w:rPr>
              <w:t>Prefer not to say</w:t>
            </w:r>
          </w:p>
        </w:tc>
        <w:tc>
          <w:tcPr>
            <w:tcW w:w="946" w:type="dxa"/>
          </w:tcPr>
          <w:p w14:paraId="5819A091" w14:textId="5EE6D63E" w:rsidR="00610DC8" w:rsidRPr="007D5AAA" w:rsidRDefault="00610DC8" w:rsidP="00610DC8">
            <w:pPr>
              <w:pStyle w:val="NormalWeb"/>
              <w:spacing w:before="0" w:beforeAutospacing="0" w:after="0" w:afterAutospacing="0"/>
              <w:jc w:val="both"/>
              <w:rPr>
                <w:rFonts w:ascii="Open Sans" w:hAnsi="Open Sans" w:cs="Open Sans"/>
                <w:sz w:val="20"/>
                <w:szCs w:val="20"/>
              </w:rPr>
            </w:pPr>
            <w:r w:rsidRPr="00723F51">
              <w:rPr>
                <w:rFonts w:ascii="Open Sans" w:hAnsi="Open Sans" w:cs="Open Sans"/>
                <w:b/>
                <w:bCs/>
                <w:sz w:val="20"/>
                <w:szCs w:val="20"/>
              </w:rPr>
              <w:t>Count</w:t>
            </w:r>
          </w:p>
        </w:tc>
        <w:tc>
          <w:tcPr>
            <w:tcW w:w="567" w:type="dxa"/>
            <w:hideMark/>
          </w:tcPr>
          <w:p w14:paraId="245FDD89" w14:textId="4A5C75A2" w:rsidR="00610DC8" w:rsidRPr="007D5AAA" w:rsidRDefault="00610DC8" w:rsidP="00610DC8">
            <w:pPr>
              <w:pStyle w:val="NormalWeb"/>
              <w:spacing w:before="0" w:beforeAutospacing="0" w:after="0" w:afterAutospacing="0"/>
              <w:jc w:val="both"/>
              <w:rPr>
                <w:rFonts w:ascii="Open Sans" w:hAnsi="Open Sans" w:cs="Open Sans"/>
                <w:sz w:val="20"/>
                <w:szCs w:val="20"/>
              </w:rPr>
            </w:pPr>
            <w:r w:rsidRPr="007D5AAA">
              <w:rPr>
                <w:rFonts w:ascii="Open Sans" w:hAnsi="Open Sans" w:cs="Open Sans"/>
                <w:sz w:val="20"/>
                <w:szCs w:val="20"/>
              </w:rPr>
              <w:t>3</w:t>
            </w:r>
          </w:p>
        </w:tc>
        <w:tc>
          <w:tcPr>
            <w:tcW w:w="567" w:type="dxa"/>
          </w:tcPr>
          <w:p w14:paraId="723743C6" w14:textId="0906FF14" w:rsidR="00610DC8" w:rsidRPr="007D5AAA" w:rsidRDefault="00610DC8" w:rsidP="00610DC8">
            <w:pPr>
              <w:pStyle w:val="NormalWeb"/>
              <w:spacing w:before="0" w:beforeAutospacing="0" w:after="0" w:afterAutospacing="0"/>
              <w:jc w:val="both"/>
              <w:rPr>
                <w:rFonts w:ascii="Open Sans" w:hAnsi="Open Sans" w:cs="Open Sans"/>
                <w:sz w:val="20"/>
                <w:szCs w:val="20"/>
              </w:rPr>
            </w:pPr>
            <w:r w:rsidRPr="00A87628">
              <w:rPr>
                <w:rFonts w:ascii="Open Sans" w:hAnsi="Open Sans" w:cs="Open Sans"/>
                <w:b/>
                <w:bCs/>
                <w:color w:val="000000" w:themeColor="text1"/>
                <w:sz w:val="20"/>
                <w:szCs w:val="20"/>
              </w:rPr>
              <w:t>%</w:t>
            </w:r>
          </w:p>
        </w:tc>
        <w:tc>
          <w:tcPr>
            <w:tcW w:w="851" w:type="dxa"/>
            <w:hideMark/>
          </w:tcPr>
          <w:p w14:paraId="0CC294A8" w14:textId="6DD72870" w:rsidR="00610DC8" w:rsidRPr="007D5AAA" w:rsidRDefault="00610DC8" w:rsidP="00610DC8">
            <w:pPr>
              <w:pStyle w:val="NormalWeb"/>
              <w:spacing w:before="0" w:beforeAutospacing="0" w:after="0" w:afterAutospacing="0"/>
              <w:jc w:val="both"/>
              <w:rPr>
                <w:rFonts w:ascii="Open Sans" w:hAnsi="Open Sans" w:cs="Open Sans"/>
                <w:sz w:val="20"/>
                <w:szCs w:val="20"/>
              </w:rPr>
            </w:pPr>
            <w:r w:rsidRPr="007D5AAA">
              <w:rPr>
                <w:rFonts w:ascii="Open Sans" w:hAnsi="Open Sans" w:cs="Open Sans"/>
                <w:sz w:val="20"/>
                <w:szCs w:val="20"/>
              </w:rPr>
              <w:t>1.2%</w:t>
            </w:r>
          </w:p>
        </w:tc>
      </w:tr>
      <w:tr w:rsidR="00610DC8" w:rsidRPr="007D5AAA" w14:paraId="29C0843A" w14:textId="77777777" w:rsidTr="00610DC8">
        <w:trPr>
          <w:trHeight w:val="20"/>
        </w:trPr>
        <w:tc>
          <w:tcPr>
            <w:tcW w:w="906" w:type="dxa"/>
            <w:hideMark/>
          </w:tcPr>
          <w:p w14:paraId="326E7B65" w14:textId="37937604" w:rsidR="00610DC8" w:rsidRPr="007D5AAA" w:rsidRDefault="00610DC8" w:rsidP="00610DC8">
            <w:pPr>
              <w:pStyle w:val="NormalWeb"/>
              <w:spacing w:before="0" w:beforeAutospacing="0" w:after="0" w:afterAutospacing="0"/>
              <w:jc w:val="both"/>
              <w:rPr>
                <w:rFonts w:ascii="Open Sans" w:hAnsi="Open Sans" w:cs="Open Sans"/>
                <w:sz w:val="20"/>
                <w:szCs w:val="20"/>
              </w:rPr>
            </w:pPr>
            <w:r>
              <w:rPr>
                <w:rFonts w:ascii="Open Sans" w:hAnsi="Open Sans" w:cs="Open Sans"/>
                <w:sz w:val="20"/>
                <w:szCs w:val="20"/>
              </w:rPr>
              <w:t xml:space="preserve">Option </w:t>
            </w:r>
            <w:r w:rsidRPr="007D5AAA">
              <w:rPr>
                <w:rFonts w:ascii="Open Sans" w:hAnsi="Open Sans" w:cs="Open Sans"/>
                <w:sz w:val="20"/>
                <w:szCs w:val="20"/>
              </w:rPr>
              <w:t>K</w:t>
            </w:r>
          </w:p>
        </w:tc>
        <w:tc>
          <w:tcPr>
            <w:tcW w:w="5656" w:type="dxa"/>
            <w:hideMark/>
          </w:tcPr>
          <w:p w14:paraId="5380A53C" w14:textId="77777777" w:rsidR="00610DC8" w:rsidRPr="007D5AAA" w:rsidRDefault="00610DC8" w:rsidP="00610DC8">
            <w:pPr>
              <w:pStyle w:val="NormalWeb"/>
              <w:spacing w:before="0" w:beforeAutospacing="0" w:after="0" w:afterAutospacing="0"/>
              <w:jc w:val="both"/>
              <w:rPr>
                <w:rFonts w:ascii="Open Sans" w:hAnsi="Open Sans" w:cs="Open Sans"/>
                <w:sz w:val="20"/>
                <w:szCs w:val="20"/>
              </w:rPr>
            </w:pPr>
            <w:r w:rsidRPr="007D5AAA">
              <w:rPr>
                <w:rFonts w:ascii="Open Sans" w:hAnsi="Open Sans" w:cs="Open Sans"/>
                <w:sz w:val="20"/>
                <w:szCs w:val="20"/>
              </w:rPr>
              <w:t>Other - write in</w:t>
            </w:r>
          </w:p>
        </w:tc>
        <w:tc>
          <w:tcPr>
            <w:tcW w:w="946" w:type="dxa"/>
          </w:tcPr>
          <w:p w14:paraId="1042F97D" w14:textId="58B5E74E" w:rsidR="00610DC8" w:rsidRPr="007D5AAA" w:rsidRDefault="00610DC8" w:rsidP="00610DC8">
            <w:pPr>
              <w:pStyle w:val="NormalWeb"/>
              <w:spacing w:before="0" w:beforeAutospacing="0" w:after="0" w:afterAutospacing="0"/>
              <w:jc w:val="both"/>
              <w:rPr>
                <w:rFonts w:ascii="Open Sans" w:hAnsi="Open Sans" w:cs="Open Sans"/>
                <w:sz w:val="20"/>
                <w:szCs w:val="20"/>
              </w:rPr>
            </w:pPr>
            <w:r w:rsidRPr="00723F51">
              <w:rPr>
                <w:rFonts w:ascii="Open Sans" w:hAnsi="Open Sans" w:cs="Open Sans"/>
                <w:b/>
                <w:bCs/>
                <w:sz w:val="20"/>
                <w:szCs w:val="20"/>
              </w:rPr>
              <w:t>Count</w:t>
            </w:r>
          </w:p>
        </w:tc>
        <w:tc>
          <w:tcPr>
            <w:tcW w:w="567" w:type="dxa"/>
            <w:hideMark/>
          </w:tcPr>
          <w:p w14:paraId="094FDCF2" w14:textId="6A31B6E9" w:rsidR="00610DC8" w:rsidRPr="007D5AAA" w:rsidRDefault="00610DC8" w:rsidP="00610DC8">
            <w:pPr>
              <w:pStyle w:val="NormalWeb"/>
              <w:spacing w:before="0" w:beforeAutospacing="0" w:after="0" w:afterAutospacing="0"/>
              <w:jc w:val="both"/>
              <w:rPr>
                <w:rFonts w:ascii="Open Sans" w:hAnsi="Open Sans" w:cs="Open Sans"/>
                <w:sz w:val="20"/>
                <w:szCs w:val="20"/>
              </w:rPr>
            </w:pPr>
            <w:r w:rsidRPr="007D5AAA">
              <w:rPr>
                <w:rFonts w:ascii="Open Sans" w:hAnsi="Open Sans" w:cs="Open Sans"/>
                <w:sz w:val="20"/>
                <w:szCs w:val="20"/>
              </w:rPr>
              <w:t>8</w:t>
            </w:r>
          </w:p>
        </w:tc>
        <w:tc>
          <w:tcPr>
            <w:tcW w:w="567" w:type="dxa"/>
          </w:tcPr>
          <w:p w14:paraId="45F50119" w14:textId="6C744C99" w:rsidR="00610DC8" w:rsidRPr="007D5AAA" w:rsidRDefault="00610DC8" w:rsidP="00610DC8">
            <w:pPr>
              <w:pStyle w:val="NormalWeb"/>
              <w:spacing w:before="0" w:beforeAutospacing="0" w:after="0" w:afterAutospacing="0"/>
              <w:jc w:val="both"/>
              <w:rPr>
                <w:rFonts w:ascii="Open Sans" w:hAnsi="Open Sans" w:cs="Open Sans"/>
                <w:sz w:val="20"/>
                <w:szCs w:val="20"/>
              </w:rPr>
            </w:pPr>
            <w:r w:rsidRPr="00A87628">
              <w:rPr>
                <w:rFonts w:ascii="Open Sans" w:hAnsi="Open Sans" w:cs="Open Sans"/>
                <w:b/>
                <w:bCs/>
                <w:color w:val="000000" w:themeColor="text1"/>
                <w:sz w:val="20"/>
                <w:szCs w:val="20"/>
              </w:rPr>
              <w:t>%</w:t>
            </w:r>
          </w:p>
        </w:tc>
        <w:tc>
          <w:tcPr>
            <w:tcW w:w="851" w:type="dxa"/>
            <w:hideMark/>
          </w:tcPr>
          <w:p w14:paraId="57DBE3D7" w14:textId="4D300322" w:rsidR="00610DC8" w:rsidRPr="007D5AAA" w:rsidRDefault="00610DC8" w:rsidP="00610DC8">
            <w:pPr>
              <w:pStyle w:val="NormalWeb"/>
              <w:spacing w:before="0" w:beforeAutospacing="0" w:after="0" w:afterAutospacing="0"/>
              <w:jc w:val="both"/>
              <w:rPr>
                <w:rFonts w:ascii="Open Sans" w:hAnsi="Open Sans" w:cs="Open Sans"/>
                <w:sz w:val="20"/>
                <w:szCs w:val="20"/>
              </w:rPr>
            </w:pPr>
            <w:r w:rsidRPr="007D5AAA">
              <w:rPr>
                <w:rFonts w:ascii="Open Sans" w:hAnsi="Open Sans" w:cs="Open Sans"/>
                <w:sz w:val="20"/>
                <w:szCs w:val="20"/>
              </w:rPr>
              <w:t>3.2%</w:t>
            </w:r>
          </w:p>
        </w:tc>
      </w:tr>
    </w:tbl>
    <w:p w14:paraId="6A0B715D" w14:textId="77777777" w:rsidR="00E654F7" w:rsidRPr="00CE2F22" w:rsidRDefault="00E654F7" w:rsidP="00E654F7">
      <w:pPr>
        <w:pStyle w:val="BodyText"/>
        <w:rPr>
          <w:lang w:val="en-AU"/>
        </w:rPr>
      </w:pPr>
    </w:p>
    <w:p w14:paraId="5EEEF044" w14:textId="5923E0D9" w:rsidR="00E654F7" w:rsidRPr="00CE2F22" w:rsidRDefault="00E654F7" w:rsidP="009A5B8A">
      <w:pPr>
        <w:pStyle w:val="Heading2"/>
      </w:pPr>
      <w:bookmarkStart w:id="55" w:name="_Toc96092070"/>
      <w:r w:rsidRPr="00CE2F22">
        <w:t>Average annual income</w:t>
      </w:r>
      <w:bookmarkEnd w:id="55"/>
    </w:p>
    <w:p w14:paraId="3501AA1F" w14:textId="01D2A950" w:rsidR="00F9584B" w:rsidRPr="00610DC8" w:rsidRDefault="00E654F7" w:rsidP="00610DC8">
      <w:pPr>
        <w:rPr>
          <w:rFonts w:ascii="Open Sans" w:eastAsia="Open Sans" w:hAnsi="Open Sans" w:cs="Open Sans"/>
          <w:sz w:val="20"/>
          <w:szCs w:val="20"/>
        </w:rPr>
      </w:pPr>
      <w:r w:rsidRPr="00CE2F22">
        <w:rPr>
          <w:rFonts w:ascii="Open Sans" w:eastAsia="Open Sans" w:hAnsi="Open Sans" w:cs="Open Sans"/>
          <w:sz w:val="20"/>
          <w:szCs w:val="20"/>
        </w:rPr>
        <w:t>Over a quarter of respondents indicated an annual average income of $18,200 and below, over a third of respondents earning between $45,001 - $120,000 annually, and 8% of respondents declaring they did not receive an income. (See Table 1.5.)</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659"/>
        <w:gridCol w:w="733"/>
        <w:gridCol w:w="709"/>
        <w:gridCol w:w="381"/>
        <w:gridCol w:w="761"/>
      </w:tblGrid>
      <w:tr w:rsidR="00610DC8" w:rsidRPr="007D5AAA" w14:paraId="4939BAC6" w14:textId="77777777" w:rsidTr="000335EB">
        <w:tc>
          <w:tcPr>
            <w:tcW w:w="5243"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7E1D5F" w14:textId="24C3AD0E" w:rsidR="00610DC8" w:rsidRPr="007D5AAA" w:rsidRDefault="00610DC8" w:rsidP="00610DC8">
            <w:pPr>
              <w:pStyle w:val="BodyText"/>
              <w:rPr>
                <w:b/>
                <w:bCs/>
              </w:rPr>
            </w:pPr>
            <w:r w:rsidRPr="00F9584B">
              <w:rPr>
                <w:b/>
                <w:bCs/>
              </w:rPr>
              <w:t>Table 1.5: Average annual income</w:t>
            </w:r>
          </w:p>
        </w:tc>
      </w:tr>
      <w:tr w:rsidR="00610DC8" w:rsidRPr="007D5AAA" w14:paraId="19B0863B" w14:textId="77777777" w:rsidTr="00610DC8">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BF2209" w14:textId="15FD1B0C" w:rsidR="00610DC8" w:rsidRPr="007D5AAA" w:rsidRDefault="00610DC8" w:rsidP="00610DC8">
            <w:pPr>
              <w:pStyle w:val="NormalWeb"/>
              <w:jc w:val="both"/>
              <w:rPr>
                <w:rFonts w:ascii="Open Sans" w:hAnsi="Open Sans" w:cs="Open Sans"/>
                <w:sz w:val="20"/>
                <w:szCs w:val="20"/>
              </w:rPr>
            </w:pPr>
            <w:r w:rsidRPr="007D5AAA">
              <w:rPr>
                <w:rFonts w:ascii="Open Sans" w:hAnsi="Open Sans" w:cs="Open Sans"/>
                <w:sz w:val="20"/>
                <w:szCs w:val="20"/>
              </w:rPr>
              <w:t xml:space="preserve">0 </w:t>
            </w:r>
            <w:r>
              <w:rPr>
                <w:rFonts w:ascii="Open Sans" w:hAnsi="Open Sans" w:cs="Open Sans"/>
                <w:sz w:val="20"/>
                <w:szCs w:val="20"/>
              </w:rPr>
              <w:t xml:space="preserve">to </w:t>
            </w:r>
            <w:r w:rsidRPr="007D5AAA">
              <w:rPr>
                <w:rFonts w:ascii="Open Sans" w:hAnsi="Open Sans" w:cs="Open Sans"/>
                <w:sz w:val="20"/>
                <w:szCs w:val="20"/>
              </w:rPr>
              <w:t>$18,200</w:t>
            </w:r>
          </w:p>
        </w:tc>
        <w:tc>
          <w:tcPr>
            <w:tcW w:w="733" w:type="dxa"/>
            <w:tcBorders>
              <w:top w:val="single" w:sz="8" w:space="0" w:color="000000"/>
              <w:left w:val="single" w:sz="8" w:space="0" w:color="000000"/>
              <w:bottom w:val="single" w:sz="8" w:space="0" w:color="000000"/>
              <w:right w:val="single" w:sz="8" w:space="0" w:color="000000"/>
            </w:tcBorders>
          </w:tcPr>
          <w:p w14:paraId="3B887F85" w14:textId="5B17F964" w:rsidR="00610DC8" w:rsidRPr="00610DC8" w:rsidRDefault="00610DC8" w:rsidP="00610DC8">
            <w:pPr>
              <w:pStyle w:val="NormalWeb"/>
              <w:jc w:val="both"/>
              <w:rPr>
                <w:rFonts w:ascii="Open Sans" w:hAnsi="Open Sans" w:cs="Open Sans"/>
                <w:b/>
                <w:bCs/>
                <w:sz w:val="20"/>
                <w:szCs w:val="20"/>
              </w:rPr>
            </w:pPr>
            <w:r w:rsidRPr="00610DC8">
              <w:rPr>
                <w:rFonts w:ascii="Open Sans" w:hAnsi="Open Sans" w:cs="Open Sans"/>
                <w:b/>
                <w:bCs/>
                <w:sz w:val="20"/>
                <w:szCs w:val="20"/>
              </w:rPr>
              <w:t>Count</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898086" w14:textId="71433D03" w:rsidR="00610DC8" w:rsidRPr="007D5AAA" w:rsidRDefault="00610DC8" w:rsidP="00610DC8">
            <w:pPr>
              <w:pStyle w:val="NormalWeb"/>
              <w:jc w:val="both"/>
              <w:rPr>
                <w:rFonts w:ascii="Open Sans" w:hAnsi="Open Sans" w:cs="Open Sans"/>
                <w:sz w:val="20"/>
                <w:szCs w:val="20"/>
              </w:rPr>
            </w:pPr>
            <w:r w:rsidRPr="007D5AAA">
              <w:rPr>
                <w:rFonts w:ascii="Open Sans" w:hAnsi="Open Sans" w:cs="Open Sans"/>
                <w:sz w:val="20"/>
                <w:szCs w:val="20"/>
              </w:rPr>
              <w:t>71</w:t>
            </w:r>
          </w:p>
        </w:tc>
        <w:tc>
          <w:tcPr>
            <w:tcW w:w="381" w:type="dxa"/>
            <w:tcBorders>
              <w:top w:val="single" w:sz="8" w:space="0" w:color="000000"/>
              <w:left w:val="single" w:sz="8" w:space="0" w:color="000000"/>
              <w:bottom w:val="single" w:sz="8" w:space="0" w:color="000000"/>
              <w:right w:val="single" w:sz="8" w:space="0" w:color="000000"/>
            </w:tcBorders>
          </w:tcPr>
          <w:p w14:paraId="7275C30B" w14:textId="72F25C0C" w:rsidR="00610DC8" w:rsidRPr="007D5AAA" w:rsidRDefault="00610DC8" w:rsidP="00610DC8">
            <w:pPr>
              <w:pStyle w:val="NormalWeb"/>
              <w:jc w:val="both"/>
              <w:rPr>
                <w:rFonts w:ascii="Open Sans" w:hAnsi="Open Sans" w:cs="Open Sans"/>
                <w:sz w:val="20"/>
                <w:szCs w:val="20"/>
              </w:rPr>
            </w:pPr>
            <w:r w:rsidRPr="002323A0">
              <w:rPr>
                <w:rFonts w:ascii="Open Sans" w:hAnsi="Open Sans" w:cs="Open Sans"/>
                <w:b/>
                <w:bCs/>
                <w:sz w:val="20"/>
                <w:szCs w:val="20"/>
              </w:rPr>
              <w:t>%</w:t>
            </w:r>
          </w:p>
        </w:tc>
        <w:tc>
          <w:tcPr>
            <w:tcW w:w="7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145293" w14:textId="06B89697" w:rsidR="00610DC8" w:rsidRPr="007D5AAA" w:rsidRDefault="00610DC8" w:rsidP="00610DC8">
            <w:pPr>
              <w:pStyle w:val="NormalWeb"/>
              <w:jc w:val="both"/>
              <w:rPr>
                <w:rFonts w:ascii="Open Sans" w:hAnsi="Open Sans" w:cs="Open Sans"/>
                <w:sz w:val="20"/>
                <w:szCs w:val="20"/>
              </w:rPr>
            </w:pPr>
            <w:r w:rsidRPr="007D5AAA">
              <w:rPr>
                <w:rFonts w:ascii="Open Sans" w:hAnsi="Open Sans" w:cs="Open Sans"/>
                <w:sz w:val="20"/>
                <w:szCs w:val="20"/>
              </w:rPr>
              <w:t>28.4%</w:t>
            </w:r>
          </w:p>
        </w:tc>
      </w:tr>
      <w:tr w:rsidR="00610DC8" w:rsidRPr="007D5AAA" w14:paraId="3AD67608" w14:textId="77777777" w:rsidTr="00610DC8">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1A3B16" w14:textId="1E107DB9" w:rsidR="00610DC8" w:rsidRPr="007D5AAA" w:rsidRDefault="00610DC8" w:rsidP="00610DC8">
            <w:pPr>
              <w:pStyle w:val="NormalWeb"/>
              <w:jc w:val="both"/>
              <w:rPr>
                <w:rFonts w:ascii="Open Sans" w:hAnsi="Open Sans" w:cs="Open Sans"/>
                <w:sz w:val="20"/>
                <w:szCs w:val="20"/>
              </w:rPr>
            </w:pPr>
            <w:r w:rsidRPr="007D5AAA">
              <w:rPr>
                <w:rFonts w:ascii="Open Sans" w:hAnsi="Open Sans" w:cs="Open Sans"/>
                <w:sz w:val="20"/>
                <w:szCs w:val="20"/>
              </w:rPr>
              <w:t xml:space="preserve">$18,201 </w:t>
            </w:r>
            <w:r>
              <w:rPr>
                <w:rFonts w:ascii="Open Sans" w:hAnsi="Open Sans" w:cs="Open Sans"/>
                <w:sz w:val="20"/>
                <w:szCs w:val="20"/>
              </w:rPr>
              <w:t>to</w:t>
            </w:r>
            <w:r w:rsidRPr="007D5AAA">
              <w:rPr>
                <w:rFonts w:ascii="Open Sans" w:hAnsi="Open Sans" w:cs="Open Sans"/>
                <w:sz w:val="20"/>
                <w:szCs w:val="20"/>
              </w:rPr>
              <w:t xml:space="preserve"> $45,000</w:t>
            </w:r>
          </w:p>
        </w:tc>
        <w:tc>
          <w:tcPr>
            <w:tcW w:w="733" w:type="dxa"/>
            <w:tcBorders>
              <w:top w:val="single" w:sz="8" w:space="0" w:color="000000"/>
              <w:left w:val="single" w:sz="8" w:space="0" w:color="000000"/>
              <w:bottom w:val="single" w:sz="8" w:space="0" w:color="000000"/>
              <w:right w:val="single" w:sz="8" w:space="0" w:color="000000"/>
            </w:tcBorders>
          </w:tcPr>
          <w:p w14:paraId="18D3AC9F" w14:textId="08B371AD" w:rsidR="00610DC8" w:rsidRPr="007D5AAA" w:rsidRDefault="00610DC8" w:rsidP="00610DC8">
            <w:pPr>
              <w:pStyle w:val="NormalWeb"/>
              <w:jc w:val="both"/>
              <w:rPr>
                <w:rFonts w:ascii="Open Sans" w:hAnsi="Open Sans" w:cs="Open Sans"/>
                <w:sz w:val="20"/>
                <w:szCs w:val="20"/>
              </w:rPr>
            </w:pPr>
            <w:r w:rsidRPr="00610DC8">
              <w:rPr>
                <w:rFonts w:ascii="Open Sans" w:hAnsi="Open Sans" w:cs="Open Sans"/>
                <w:b/>
                <w:bCs/>
                <w:sz w:val="20"/>
                <w:szCs w:val="20"/>
              </w:rPr>
              <w:t>Count</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597092" w14:textId="7E90ECA7" w:rsidR="00610DC8" w:rsidRPr="007D5AAA" w:rsidRDefault="00610DC8" w:rsidP="00610DC8">
            <w:pPr>
              <w:pStyle w:val="NormalWeb"/>
              <w:jc w:val="both"/>
              <w:rPr>
                <w:rFonts w:ascii="Open Sans" w:hAnsi="Open Sans" w:cs="Open Sans"/>
                <w:sz w:val="20"/>
                <w:szCs w:val="20"/>
              </w:rPr>
            </w:pPr>
            <w:r w:rsidRPr="007D5AAA">
              <w:rPr>
                <w:rFonts w:ascii="Open Sans" w:hAnsi="Open Sans" w:cs="Open Sans"/>
                <w:sz w:val="20"/>
                <w:szCs w:val="20"/>
              </w:rPr>
              <w:t>67</w:t>
            </w:r>
          </w:p>
        </w:tc>
        <w:tc>
          <w:tcPr>
            <w:tcW w:w="381" w:type="dxa"/>
            <w:tcBorders>
              <w:top w:val="single" w:sz="8" w:space="0" w:color="000000"/>
              <w:left w:val="single" w:sz="8" w:space="0" w:color="000000"/>
              <w:bottom w:val="single" w:sz="8" w:space="0" w:color="000000"/>
              <w:right w:val="single" w:sz="8" w:space="0" w:color="000000"/>
            </w:tcBorders>
          </w:tcPr>
          <w:p w14:paraId="66EE1111" w14:textId="56C22D19" w:rsidR="00610DC8" w:rsidRPr="007D5AAA" w:rsidRDefault="00610DC8" w:rsidP="00610DC8">
            <w:pPr>
              <w:pStyle w:val="NormalWeb"/>
              <w:jc w:val="both"/>
              <w:rPr>
                <w:rFonts w:ascii="Open Sans" w:hAnsi="Open Sans" w:cs="Open Sans"/>
                <w:sz w:val="20"/>
                <w:szCs w:val="20"/>
              </w:rPr>
            </w:pPr>
            <w:r w:rsidRPr="002323A0">
              <w:rPr>
                <w:rFonts w:ascii="Open Sans" w:hAnsi="Open Sans" w:cs="Open Sans"/>
                <w:b/>
                <w:bCs/>
                <w:sz w:val="20"/>
                <w:szCs w:val="20"/>
              </w:rPr>
              <w:t>%</w:t>
            </w:r>
          </w:p>
        </w:tc>
        <w:tc>
          <w:tcPr>
            <w:tcW w:w="7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403FA6" w14:textId="2AC872EF" w:rsidR="00610DC8" w:rsidRPr="007D5AAA" w:rsidRDefault="00610DC8" w:rsidP="00610DC8">
            <w:pPr>
              <w:pStyle w:val="NormalWeb"/>
              <w:jc w:val="both"/>
              <w:rPr>
                <w:rFonts w:ascii="Open Sans" w:hAnsi="Open Sans" w:cs="Open Sans"/>
                <w:sz w:val="20"/>
                <w:szCs w:val="20"/>
              </w:rPr>
            </w:pPr>
            <w:r w:rsidRPr="007D5AAA">
              <w:rPr>
                <w:rFonts w:ascii="Open Sans" w:hAnsi="Open Sans" w:cs="Open Sans"/>
                <w:sz w:val="20"/>
                <w:szCs w:val="20"/>
              </w:rPr>
              <w:t>26.8%</w:t>
            </w:r>
          </w:p>
        </w:tc>
      </w:tr>
      <w:tr w:rsidR="00610DC8" w:rsidRPr="007D5AAA" w14:paraId="2DED564A" w14:textId="77777777" w:rsidTr="00610DC8">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7AE99F" w14:textId="46FE8805" w:rsidR="00610DC8" w:rsidRPr="007D5AAA" w:rsidRDefault="00610DC8" w:rsidP="00610DC8">
            <w:pPr>
              <w:pStyle w:val="NormalWeb"/>
              <w:jc w:val="both"/>
              <w:rPr>
                <w:rFonts w:ascii="Open Sans" w:hAnsi="Open Sans" w:cs="Open Sans"/>
                <w:sz w:val="20"/>
                <w:szCs w:val="20"/>
              </w:rPr>
            </w:pPr>
            <w:r w:rsidRPr="007D5AAA">
              <w:rPr>
                <w:rFonts w:ascii="Open Sans" w:hAnsi="Open Sans" w:cs="Open Sans"/>
                <w:sz w:val="20"/>
                <w:szCs w:val="20"/>
              </w:rPr>
              <w:t xml:space="preserve">$45,001 </w:t>
            </w:r>
            <w:r>
              <w:rPr>
                <w:rFonts w:ascii="Open Sans" w:hAnsi="Open Sans" w:cs="Open Sans"/>
                <w:sz w:val="20"/>
                <w:szCs w:val="20"/>
              </w:rPr>
              <w:t xml:space="preserve">to </w:t>
            </w:r>
            <w:r w:rsidRPr="007D5AAA">
              <w:rPr>
                <w:rFonts w:ascii="Open Sans" w:hAnsi="Open Sans" w:cs="Open Sans"/>
                <w:sz w:val="20"/>
                <w:szCs w:val="20"/>
              </w:rPr>
              <w:t>$120,000</w:t>
            </w:r>
          </w:p>
        </w:tc>
        <w:tc>
          <w:tcPr>
            <w:tcW w:w="733" w:type="dxa"/>
            <w:tcBorders>
              <w:top w:val="single" w:sz="8" w:space="0" w:color="000000"/>
              <w:left w:val="single" w:sz="8" w:space="0" w:color="000000"/>
              <w:bottom w:val="single" w:sz="8" w:space="0" w:color="000000"/>
              <w:right w:val="single" w:sz="8" w:space="0" w:color="000000"/>
            </w:tcBorders>
          </w:tcPr>
          <w:p w14:paraId="7AAD172D" w14:textId="671CB09E" w:rsidR="00610DC8" w:rsidRPr="007D5AAA" w:rsidRDefault="00610DC8" w:rsidP="00610DC8">
            <w:pPr>
              <w:pStyle w:val="NormalWeb"/>
              <w:jc w:val="both"/>
              <w:rPr>
                <w:rFonts w:ascii="Open Sans" w:hAnsi="Open Sans" w:cs="Open Sans"/>
                <w:sz w:val="20"/>
                <w:szCs w:val="20"/>
              </w:rPr>
            </w:pPr>
            <w:r w:rsidRPr="00610DC8">
              <w:rPr>
                <w:rFonts w:ascii="Open Sans" w:hAnsi="Open Sans" w:cs="Open Sans"/>
                <w:b/>
                <w:bCs/>
                <w:sz w:val="20"/>
                <w:szCs w:val="20"/>
              </w:rPr>
              <w:t>Count</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615500" w14:textId="0B91FD3F" w:rsidR="00610DC8" w:rsidRPr="007D5AAA" w:rsidRDefault="00610DC8" w:rsidP="00610DC8">
            <w:pPr>
              <w:pStyle w:val="NormalWeb"/>
              <w:jc w:val="both"/>
              <w:rPr>
                <w:rFonts w:ascii="Open Sans" w:hAnsi="Open Sans" w:cs="Open Sans"/>
                <w:sz w:val="20"/>
                <w:szCs w:val="20"/>
              </w:rPr>
            </w:pPr>
            <w:r w:rsidRPr="007D5AAA">
              <w:rPr>
                <w:rFonts w:ascii="Open Sans" w:hAnsi="Open Sans" w:cs="Open Sans"/>
                <w:sz w:val="20"/>
                <w:szCs w:val="20"/>
              </w:rPr>
              <w:t>84</w:t>
            </w:r>
          </w:p>
        </w:tc>
        <w:tc>
          <w:tcPr>
            <w:tcW w:w="381" w:type="dxa"/>
            <w:tcBorders>
              <w:top w:val="single" w:sz="8" w:space="0" w:color="000000"/>
              <w:left w:val="single" w:sz="8" w:space="0" w:color="000000"/>
              <w:bottom w:val="single" w:sz="8" w:space="0" w:color="000000"/>
              <w:right w:val="single" w:sz="8" w:space="0" w:color="000000"/>
            </w:tcBorders>
          </w:tcPr>
          <w:p w14:paraId="7BA66D98" w14:textId="7248F1EB" w:rsidR="00610DC8" w:rsidRPr="007D5AAA" w:rsidRDefault="00610DC8" w:rsidP="00610DC8">
            <w:pPr>
              <w:pStyle w:val="NormalWeb"/>
              <w:jc w:val="both"/>
              <w:rPr>
                <w:rFonts w:ascii="Open Sans" w:hAnsi="Open Sans" w:cs="Open Sans"/>
                <w:sz w:val="20"/>
                <w:szCs w:val="20"/>
              </w:rPr>
            </w:pPr>
            <w:r w:rsidRPr="002323A0">
              <w:rPr>
                <w:rFonts w:ascii="Open Sans" w:hAnsi="Open Sans" w:cs="Open Sans"/>
                <w:b/>
                <w:bCs/>
                <w:sz w:val="20"/>
                <w:szCs w:val="20"/>
              </w:rPr>
              <w:t>%</w:t>
            </w:r>
          </w:p>
        </w:tc>
        <w:tc>
          <w:tcPr>
            <w:tcW w:w="7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06AB7B" w14:textId="561195A3" w:rsidR="00610DC8" w:rsidRPr="007D5AAA" w:rsidRDefault="00610DC8" w:rsidP="00610DC8">
            <w:pPr>
              <w:pStyle w:val="NormalWeb"/>
              <w:jc w:val="both"/>
              <w:rPr>
                <w:rFonts w:ascii="Open Sans" w:hAnsi="Open Sans" w:cs="Open Sans"/>
                <w:sz w:val="20"/>
                <w:szCs w:val="20"/>
              </w:rPr>
            </w:pPr>
            <w:r w:rsidRPr="007D5AAA">
              <w:rPr>
                <w:rFonts w:ascii="Open Sans" w:hAnsi="Open Sans" w:cs="Open Sans"/>
                <w:sz w:val="20"/>
                <w:szCs w:val="20"/>
              </w:rPr>
              <w:t>33.6%</w:t>
            </w:r>
          </w:p>
        </w:tc>
      </w:tr>
      <w:tr w:rsidR="00610DC8" w:rsidRPr="007D5AAA" w14:paraId="730B3E60" w14:textId="77777777" w:rsidTr="00610DC8">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142F1A" w14:textId="77777777" w:rsidR="00610DC8" w:rsidRPr="007D5AAA" w:rsidRDefault="00610DC8" w:rsidP="00610DC8">
            <w:pPr>
              <w:pStyle w:val="NormalWeb"/>
              <w:jc w:val="both"/>
              <w:rPr>
                <w:rFonts w:ascii="Open Sans" w:hAnsi="Open Sans" w:cs="Open Sans"/>
                <w:sz w:val="20"/>
                <w:szCs w:val="20"/>
              </w:rPr>
            </w:pPr>
            <w:r w:rsidRPr="007D5AAA">
              <w:rPr>
                <w:rFonts w:ascii="Open Sans" w:hAnsi="Open Sans" w:cs="Open Sans"/>
                <w:sz w:val="20"/>
                <w:szCs w:val="20"/>
              </w:rPr>
              <w:t>$120,001 - $180,000</w:t>
            </w:r>
          </w:p>
        </w:tc>
        <w:tc>
          <w:tcPr>
            <w:tcW w:w="733" w:type="dxa"/>
            <w:tcBorders>
              <w:top w:val="single" w:sz="8" w:space="0" w:color="000000"/>
              <w:left w:val="single" w:sz="8" w:space="0" w:color="000000"/>
              <w:bottom w:val="single" w:sz="8" w:space="0" w:color="000000"/>
              <w:right w:val="single" w:sz="8" w:space="0" w:color="000000"/>
            </w:tcBorders>
          </w:tcPr>
          <w:p w14:paraId="21FCE3A6" w14:textId="52B09522" w:rsidR="00610DC8" w:rsidRPr="007D5AAA" w:rsidRDefault="00610DC8" w:rsidP="00610DC8">
            <w:pPr>
              <w:pStyle w:val="NormalWeb"/>
              <w:jc w:val="both"/>
              <w:rPr>
                <w:rFonts w:ascii="Open Sans" w:hAnsi="Open Sans" w:cs="Open Sans"/>
                <w:sz w:val="20"/>
                <w:szCs w:val="20"/>
              </w:rPr>
            </w:pPr>
            <w:r w:rsidRPr="00610DC8">
              <w:rPr>
                <w:rFonts w:ascii="Open Sans" w:hAnsi="Open Sans" w:cs="Open Sans"/>
                <w:b/>
                <w:bCs/>
                <w:sz w:val="20"/>
                <w:szCs w:val="20"/>
              </w:rPr>
              <w:t>Count</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5FA03B" w14:textId="5D5F0984" w:rsidR="00610DC8" w:rsidRPr="007D5AAA" w:rsidRDefault="00610DC8" w:rsidP="00610DC8">
            <w:pPr>
              <w:pStyle w:val="NormalWeb"/>
              <w:jc w:val="both"/>
              <w:rPr>
                <w:rFonts w:ascii="Open Sans" w:hAnsi="Open Sans" w:cs="Open Sans"/>
                <w:sz w:val="20"/>
                <w:szCs w:val="20"/>
              </w:rPr>
            </w:pPr>
            <w:r w:rsidRPr="007D5AAA">
              <w:rPr>
                <w:rFonts w:ascii="Open Sans" w:hAnsi="Open Sans" w:cs="Open Sans"/>
                <w:sz w:val="20"/>
                <w:szCs w:val="20"/>
              </w:rPr>
              <w:t>1</w:t>
            </w:r>
          </w:p>
        </w:tc>
        <w:tc>
          <w:tcPr>
            <w:tcW w:w="381" w:type="dxa"/>
            <w:tcBorders>
              <w:top w:val="single" w:sz="8" w:space="0" w:color="000000"/>
              <w:left w:val="single" w:sz="8" w:space="0" w:color="000000"/>
              <w:bottom w:val="single" w:sz="8" w:space="0" w:color="000000"/>
              <w:right w:val="single" w:sz="8" w:space="0" w:color="000000"/>
            </w:tcBorders>
          </w:tcPr>
          <w:p w14:paraId="0F1B31C7" w14:textId="7375BC67" w:rsidR="00610DC8" w:rsidRPr="007D5AAA" w:rsidRDefault="00610DC8" w:rsidP="00610DC8">
            <w:pPr>
              <w:pStyle w:val="NormalWeb"/>
              <w:jc w:val="both"/>
              <w:rPr>
                <w:rFonts w:ascii="Open Sans" w:hAnsi="Open Sans" w:cs="Open Sans"/>
                <w:sz w:val="20"/>
                <w:szCs w:val="20"/>
              </w:rPr>
            </w:pPr>
            <w:r w:rsidRPr="002323A0">
              <w:rPr>
                <w:rFonts w:ascii="Open Sans" w:hAnsi="Open Sans" w:cs="Open Sans"/>
                <w:b/>
                <w:bCs/>
                <w:sz w:val="20"/>
                <w:szCs w:val="20"/>
              </w:rPr>
              <w:t>%</w:t>
            </w:r>
          </w:p>
        </w:tc>
        <w:tc>
          <w:tcPr>
            <w:tcW w:w="7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92E294" w14:textId="3AC76930" w:rsidR="00610DC8" w:rsidRPr="007D5AAA" w:rsidRDefault="00610DC8" w:rsidP="00610DC8">
            <w:pPr>
              <w:pStyle w:val="NormalWeb"/>
              <w:jc w:val="both"/>
              <w:rPr>
                <w:rFonts w:ascii="Open Sans" w:hAnsi="Open Sans" w:cs="Open Sans"/>
                <w:sz w:val="20"/>
                <w:szCs w:val="20"/>
              </w:rPr>
            </w:pPr>
            <w:r w:rsidRPr="007D5AAA">
              <w:rPr>
                <w:rFonts w:ascii="Open Sans" w:hAnsi="Open Sans" w:cs="Open Sans"/>
                <w:sz w:val="20"/>
                <w:szCs w:val="20"/>
              </w:rPr>
              <w:t>0.4%</w:t>
            </w:r>
          </w:p>
        </w:tc>
      </w:tr>
      <w:tr w:rsidR="00610DC8" w:rsidRPr="007D5AAA" w14:paraId="5D9FFCB7" w14:textId="77777777" w:rsidTr="00610DC8">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64D753" w14:textId="77777777" w:rsidR="00610DC8" w:rsidRPr="007D5AAA" w:rsidRDefault="00610DC8" w:rsidP="00610DC8">
            <w:pPr>
              <w:pStyle w:val="NormalWeb"/>
              <w:jc w:val="both"/>
              <w:rPr>
                <w:rFonts w:ascii="Open Sans" w:hAnsi="Open Sans" w:cs="Open Sans"/>
                <w:sz w:val="20"/>
                <w:szCs w:val="20"/>
              </w:rPr>
            </w:pPr>
            <w:r w:rsidRPr="007D5AAA">
              <w:rPr>
                <w:rFonts w:ascii="Open Sans" w:hAnsi="Open Sans" w:cs="Open Sans"/>
                <w:sz w:val="20"/>
                <w:szCs w:val="20"/>
              </w:rPr>
              <w:t>$180,001 and above</w:t>
            </w:r>
          </w:p>
        </w:tc>
        <w:tc>
          <w:tcPr>
            <w:tcW w:w="733" w:type="dxa"/>
            <w:tcBorders>
              <w:top w:val="single" w:sz="8" w:space="0" w:color="000000"/>
              <w:left w:val="single" w:sz="8" w:space="0" w:color="000000"/>
              <w:bottom w:val="single" w:sz="8" w:space="0" w:color="000000"/>
              <w:right w:val="single" w:sz="8" w:space="0" w:color="000000"/>
            </w:tcBorders>
          </w:tcPr>
          <w:p w14:paraId="4CB141DA" w14:textId="5B561D3B" w:rsidR="00610DC8" w:rsidRPr="007D5AAA" w:rsidRDefault="00610DC8" w:rsidP="00610DC8">
            <w:pPr>
              <w:pStyle w:val="NormalWeb"/>
              <w:jc w:val="both"/>
              <w:rPr>
                <w:rFonts w:ascii="Open Sans" w:hAnsi="Open Sans" w:cs="Open Sans"/>
                <w:sz w:val="20"/>
                <w:szCs w:val="20"/>
              </w:rPr>
            </w:pPr>
            <w:r w:rsidRPr="00610DC8">
              <w:rPr>
                <w:rFonts w:ascii="Open Sans" w:hAnsi="Open Sans" w:cs="Open Sans"/>
                <w:b/>
                <w:bCs/>
                <w:sz w:val="20"/>
                <w:szCs w:val="20"/>
              </w:rPr>
              <w:t>Count</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A534BC" w14:textId="7DB610D9" w:rsidR="00610DC8" w:rsidRPr="007D5AAA" w:rsidRDefault="00610DC8" w:rsidP="00610DC8">
            <w:pPr>
              <w:pStyle w:val="NormalWeb"/>
              <w:jc w:val="both"/>
              <w:rPr>
                <w:rFonts w:ascii="Open Sans" w:hAnsi="Open Sans" w:cs="Open Sans"/>
                <w:sz w:val="20"/>
                <w:szCs w:val="20"/>
              </w:rPr>
            </w:pPr>
            <w:r w:rsidRPr="007D5AAA">
              <w:rPr>
                <w:rFonts w:ascii="Open Sans" w:hAnsi="Open Sans" w:cs="Open Sans"/>
                <w:sz w:val="20"/>
                <w:szCs w:val="20"/>
              </w:rPr>
              <w:t>1</w:t>
            </w:r>
          </w:p>
        </w:tc>
        <w:tc>
          <w:tcPr>
            <w:tcW w:w="381" w:type="dxa"/>
            <w:tcBorders>
              <w:top w:val="single" w:sz="8" w:space="0" w:color="000000"/>
              <w:left w:val="single" w:sz="8" w:space="0" w:color="000000"/>
              <w:bottom w:val="single" w:sz="8" w:space="0" w:color="000000"/>
              <w:right w:val="single" w:sz="8" w:space="0" w:color="000000"/>
            </w:tcBorders>
          </w:tcPr>
          <w:p w14:paraId="4A4B256F" w14:textId="06C9BB53" w:rsidR="00610DC8" w:rsidRPr="007D5AAA" w:rsidRDefault="00610DC8" w:rsidP="00610DC8">
            <w:pPr>
              <w:pStyle w:val="NormalWeb"/>
              <w:jc w:val="both"/>
              <w:rPr>
                <w:rFonts w:ascii="Open Sans" w:hAnsi="Open Sans" w:cs="Open Sans"/>
                <w:sz w:val="20"/>
                <w:szCs w:val="20"/>
              </w:rPr>
            </w:pPr>
            <w:r w:rsidRPr="002323A0">
              <w:rPr>
                <w:rFonts w:ascii="Open Sans" w:hAnsi="Open Sans" w:cs="Open Sans"/>
                <w:b/>
                <w:bCs/>
                <w:sz w:val="20"/>
                <w:szCs w:val="20"/>
              </w:rPr>
              <w:t>%</w:t>
            </w:r>
          </w:p>
        </w:tc>
        <w:tc>
          <w:tcPr>
            <w:tcW w:w="7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E5093B" w14:textId="215162E1" w:rsidR="00610DC8" w:rsidRPr="007D5AAA" w:rsidRDefault="00610DC8" w:rsidP="00610DC8">
            <w:pPr>
              <w:pStyle w:val="NormalWeb"/>
              <w:jc w:val="both"/>
              <w:rPr>
                <w:rFonts w:ascii="Open Sans" w:hAnsi="Open Sans" w:cs="Open Sans"/>
                <w:sz w:val="20"/>
                <w:szCs w:val="20"/>
              </w:rPr>
            </w:pPr>
            <w:r w:rsidRPr="007D5AAA">
              <w:rPr>
                <w:rFonts w:ascii="Open Sans" w:hAnsi="Open Sans" w:cs="Open Sans"/>
                <w:sz w:val="20"/>
                <w:szCs w:val="20"/>
              </w:rPr>
              <w:t>0.4%</w:t>
            </w:r>
          </w:p>
        </w:tc>
      </w:tr>
      <w:tr w:rsidR="00610DC8" w:rsidRPr="007D5AAA" w14:paraId="21CAE195" w14:textId="77777777" w:rsidTr="00610DC8">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AEE1FA" w14:textId="77777777" w:rsidR="00610DC8" w:rsidRPr="007D5AAA" w:rsidRDefault="00610DC8" w:rsidP="00610DC8">
            <w:pPr>
              <w:pStyle w:val="NormalWeb"/>
              <w:jc w:val="both"/>
              <w:rPr>
                <w:rFonts w:ascii="Open Sans" w:hAnsi="Open Sans" w:cs="Open Sans"/>
                <w:sz w:val="20"/>
                <w:szCs w:val="20"/>
              </w:rPr>
            </w:pPr>
            <w:r w:rsidRPr="007D5AAA">
              <w:rPr>
                <w:rFonts w:ascii="Open Sans" w:hAnsi="Open Sans" w:cs="Open Sans"/>
                <w:sz w:val="20"/>
                <w:szCs w:val="20"/>
              </w:rPr>
              <w:t>I do not receive an income</w:t>
            </w:r>
          </w:p>
        </w:tc>
        <w:tc>
          <w:tcPr>
            <w:tcW w:w="733" w:type="dxa"/>
            <w:tcBorders>
              <w:top w:val="single" w:sz="8" w:space="0" w:color="000000"/>
              <w:left w:val="single" w:sz="8" w:space="0" w:color="000000"/>
              <w:bottom w:val="single" w:sz="8" w:space="0" w:color="000000"/>
              <w:right w:val="single" w:sz="8" w:space="0" w:color="000000"/>
            </w:tcBorders>
          </w:tcPr>
          <w:p w14:paraId="5127F1CD" w14:textId="11AC3F25" w:rsidR="00610DC8" w:rsidRPr="007D5AAA" w:rsidRDefault="00610DC8" w:rsidP="00610DC8">
            <w:pPr>
              <w:pStyle w:val="NormalWeb"/>
              <w:jc w:val="both"/>
              <w:rPr>
                <w:rFonts w:ascii="Open Sans" w:hAnsi="Open Sans" w:cs="Open Sans"/>
                <w:sz w:val="20"/>
                <w:szCs w:val="20"/>
              </w:rPr>
            </w:pPr>
            <w:r w:rsidRPr="00610DC8">
              <w:rPr>
                <w:rFonts w:ascii="Open Sans" w:hAnsi="Open Sans" w:cs="Open Sans"/>
                <w:b/>
                <w:bCs/>
                <w:sz w:val="20"/>
                <w:szCs w:val="20"/>
              </w:rPr>
              <w:t>Count</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202A6F" w14:textId="47382D20" w:rsidR="00610DC8" w:rsidRPr="007D5AAA" w:rsidRDefault="00610DC8" w:rsidP="00610DC8">
            <w:pPr>
              <w:pStyle w:val="NormalWeb"/>
              <w:jc w:val="both"/>
              <w:rPr>
                <w:rFonts w:ascii="Open Sans" w:hAnsi="Open Sans" w:cs="Open Sans"/>
                <w:sz w:val="20"/>
                <w:szCs w:val="20"/>
              </w:rPr>
            </w:pPr>
            <w:r w:rsidRPr="007D5AAA">
              <w:rPr>
                <w:rFonts w:ascii="Open Sans" w:hAnsi="Open Sans" w:cs="Open Sans"/>
                <w:sz w:val="20"/>
                <w:szCs w:val="20"/>
              </w:rPr>
              <w:t>21</w:t>
            </w:r>
          </w:p>
        </w:tc>
        <w:tc>
          <w:tcPr>
            <w:tcW w:w="381" w:type="dxa"/>
            <w:tcBorders>
              <w:top w:val="single" w:sz="8" w:space="0" w:color="000000"/>
              <w:left w:val="single" w:sz="8" w:space="0" w:color="000000"/>
              <w:bottom w:val="single" w:sz="8" w:space="0" w:color="000000"/>
              <w:right w:val="single" w:sz="8" w:space="0" w:color="000000"/>
            </w:tcBorders>
          </w:tcPr>
          <w:p w14:paraId="3EE41D0B" w14:textId="04241508" w:rsidR="00610DC8" w:rsidRPr="007D5AAA" w:rsidRDefault="00610DC8" w:rsidP="00610DC8">
            <w:pPr>
              <w:pStyle w:val="NormalWeb"/>
              <w:jc w:val="both"/>
              <w:rPr>
                <w:rFonts w:ascii="Open Sans" w:hAnsi="Open Sans" w:cs="Open Sans"/>
                <w:sz w:val="20"/>
                <w:szCs w:val="20"/>
              </w:rPr>
            </w:pPr>
            <w:r w:rsidRPr="002323A0">
              <w:rPr>
                <w:rFonts w:ascii="Open Sans" w:hAnsi="Open Sans" w:cs="Open Sans"/>
                <w:b/>
                <w:bCs/>
                <w:sz w:val="20"/>
                <w:szCs w:val="20"/>
              </w:rPr>
              <w:t>%</w:t>
            </w:r>
          </w:p>
        </w:tc>
        <w:tc>
          <w:tcPr>
            <w:tcW w:w="7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08AC69" w14:textId="3FE7E90B" w:rsidR="00610DC8" w:rsidRPr="007D5AAA" w:rsidRDefault="00610DC8" w:rsidP="00610DC8">
            <w:pPr>
              <w:pStyle w:val="NormalWeb"/>
              <w:jc w:val="both"/>
              <w:rPr>
                <w:rFonts w:ascii="Open Sans" w:hAnsi="Open Sans" w:cs="Open Sans"/>
                <w:sz w:val="20"/>
                <w:szCs w:val="20"/>
              </w:rPr>
            </w:pPr>
            <w:r w:rsidRPr="007D5AAA">
              <w:rPr>
                <w:rFonts w:ascii="Open Sans" w:hAnsi="Open Sans" w:cs="Open Sans"/>
                <w:sz w:val="20"/>
                <w:szCs w:val="20"/>
              </w:rPr>
              <w:t>8.4%</w:t>
            </w:r>
          </w:p>
        </w:tc>
      </w:tr>
      <w:tr w:rsidR="00610DC8" w:rsidRPr="007D5AAA" w14:paraId="4D71A53C" w14:textId="77777777" w:rsidTr="00610DC8">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3CD5C3" w14:textId="77777777" w:rsidR="00610DC8" w:rsidRPr="007D5AAA" w:rsidRDefault="00610DC8" w:rsidP="00610DC8">
            <w:pPr>
              <w:pStyle w:val="NormalWeb"/>
              <w:jc w:val="both"/>
              <w:rPr>
                <w:rFonts w:ascii="Open Sans" w:hAnsi="Open Sans" w:cs="Open Sans"/>
                <w:sz w:val="20"/>
                <w:szCs w:val="20"/>
              </w:rPr>
            </w:pPr>
            <w:r w:rsidRPr="007D5AAA">
              <w:rPr>
                <w:rFonts w:ascii="Open Sans" w:hAnsi="Open Sans" w:cs="Open Sans"/>
                <w:sz w:val="20"/>
                <w:szCs w:val="20"/>
              </w:rPr>
              <w:t>Prefer not to say</w:t>
            </w:r>
          </w:p>
        </w:tc>
        <w:tc>
          <w:tcPr>
            <w:tcW w:w="733" w:type="dxa"/>
            <w:tcBorders>
              <w:top w:val="single" w:sz="8" w:space="0" w:color="000000"/>
              <w:left w:val="single" w:sz="8" w:space="0" w:color="000000"/>
              <w:bottom w:val="single" w:sz="8" w:space="0" w:color="000000"/>
              <w:right w:val="single" w:sz="8" w:space="0" w:color="000000"/>
            </w:tcBorders>
          </w:tcPr>
          <w:p w14:paraId="76664BC8" w14:textId="17FF38B3" w:rsidR="00610DC8" w:rsidRPr="007D5AAA" w:rsidRDefault="00610DC8" w:rsidP="00610DC8">
            <w:pPr>
              <w:pStyle w:val="NormalWeb"/>
              <w:jc w:val="both"/>
              <w:rPr>
                <w:rFonts w:ascii="Open Sans" w:hAnsi="Open Sans" w:cs="Open Sans"/>
                <w:sz w:val="20"/>
                <w:szCs w:val="20"/>
              </w:rPr>
            </w:pPr>
            <w:r w:rsidRPr="00610DC8">
              <w:rPr>
                <w:rFonts w:ascii="Open Sans" w:hAnsi="Open Sans" w:cs="Open Sans"/>
                <w:b/>
                <w:bCs/>
                <w:sz w:val="20"/>
                <w:szCs w:val="20"/>
              </w:rPr>
              <w:t>Count</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E1995E" w14:textId="047422C3" w:rsidR="00610DC8" w:rsidRPr="007D5AAA" w:rsidRDefault="00610DC8" w:rsidP="00610DC8">
            <w:pPr>
              <w:pStyle w:val="NormalWeb"/>
              <w:jc w:val="both"/>
              <w:rPr>
                <w:rFonts w:ascii="Open Sans" w:hAnsi="Open Sans" w:cs="Open Sans"/>
                <w:sz w:val="20"/>
                <w:szCs w:val="20"/>
              </w:rPr>
            </w:pPr>
            <w:r w:rsidRPr="007D5AAA">
              <w:rPr>
                <w:rFonts w:ascii="Open Sans" w:hAnsi="Open Sans" w:cs="Open Sans"/>
                <w:sz w:val="20"/>
                <w:szCs w:val="20"/>
              </w:rPr>
              <w:t>5</w:t>
            </w:r>
          </w:p>
        </w:tc>
        <w:tc>
          <w:tcPr>
            <w:tcW w:w="381" w:type="dxa"/>
            <w:tcBorders>
              <w:top w:val="single" w:sz="8" w:space="0" w:color="000000"/>
              <w:left w:val="single" w:sz="8" w:space="0" w:color="000000"/>
              <w:bottom w:val="single" w:sz="8" w:space="0" w:color="000000"/>
              <w:right w:val="single" w:sz="8" w:space="0" w:color="000000"/>
            </w:tcBorders>
          </w:tcPr>
          <w:p w14:paraId="03367246" w14:textId="77477805" w:rsidR="00610DC8" w:rsidRPr="007D5AAA" w:rsidRDefault="00610DC8" w:rsidP="00610DC8">
            <w:pPr>
              <w:pStyle w:val="NormalWeb"/>
              <w:jc w:val="both"/>
              <w:rPr>
                <w:rFonts w:ascii="Open Sans" w:hAnsi="Open Sans" w:cs="Open Sans"/>
                <w:sz w:val="20"/>
                <w:szCs w:val="20"/>
              </w:rPr>
            </w:pPr>
            <w:r w:rsidRPr="002323A0">
              <w:rPr>
                <w:rFonts w:ascii="Open Sans" w:hAnsi="Open Sans" w:cs="Open Sans"/>
                <w:b/>
                <w:bCs/>
                <w:sz w:val="20"/>
                <w:szCs w:val="20"/>
              </w:rPr>
              <w:t>%</w:t>
            </w:r>
          </w:p>
        </w:tc>
        <w:tc>
          <w:tcPr>
            <w:tcW w:w="7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C58AFB" w14:textId="503B04DD" w:rsidR="00610DC8" w:rsidRPr="007D5AAA" w:rsidRDefault="00610DC8" w:rsidP="00610DC8">
            <w:pPr>
              <w:pStyle w:val="NormalWeb"/>
              <w:jc w:val="both"/>
              <w:rPr>
                <w:rFonts w:ascii="Open Sans" w:hAnsi="Open Sans" w:cs="Open Sans"/>
                <w:sz w:val="20"/>
                <w:szCs w:val="20"/>
              </w:rPr>
            </w:pPr>
            <w:r w:rsidRPr="007D5AAA">
              <w:rPr>
                <w:rFonts w:ascii="Open Sans" w:hAnsi="Open Sans" w:cs="Open Sans"/>
                <w:sz w:val="20"/>
                <w:szCs w:val="20"/>
              </w:rPr>
              <w:t>2%</w:t>
            </w:r>
          </w:p>
        </w:tc>
      </w:tr>
    </w:tbl>
    <w:p w14:paraId="3A08EEEA" w14:textId="47A8D583" w:rsidR="001E441E" w:rsidRPr="00CE2F22" w:rsidRDefault="001E441E" w:rsidP="00E654F7"/>
    <w:p w14:paraId="6B0D27AD" w14:textId="2EE90CAB" w:rsidR="00E654F7" w:rsidRPr="00CE2F22" w:rsidRDefault="00E654F7" w:rsidP="009A5B8A">
      <w:pPr>
        <w:pStyle w:val="Heading2"/>
      </w:pPr>
      <w:bookmarkStart w:id="56" w:name="_Toc96092071"/>
      <w:r w:rsidRPr="00CE2F22">
        <w:t>Children</w:t>
      </w:r>
      <w:bookmarkEnd w:id="56"/>
    </w:p>
    <w:p w14:paraId="06187210" w14:textId="173EF204" w:rsidR="00E654F7" w:rsidRPr="00CE2F22" w:rsidRDefault="00E654F7" w:rsidP="00E654F7">
      <w:pPr>
        <w:pStyle w:val="BodyText"/>
        <w:rPr>
          <w:lang w:val="en-AU"/>
        </w:rPr>
      </w:pPr>
      <w:r w:rsidRPr="00CE2F22">
        <w:rPr>
          <w:lang w:val="en-AU"/>
        </w:rPr>
        <w:t>The large majority (91.2%) of respondents do not have children that they are caring for.</w:t>
      </w:r>
    </w:p>
    <w:p w14:paraId="26813F37" w14:textId="6AE36159" w:rsidR="00E654F7" w:rsidRDefault="00E654F7" w:rsidP="00E654F7"/>
    <w:tbl>
      <w:tblPr>
        <w:tblW w:w="0" w:type="auto"/>
        <w:tblCellMar>
          <w:top w:w="15" w:type="dxa"/>
          <w:left w:w="15" w:type="dxa"/>
          <w:bottom w:w="15" w:type="dxa"/>
          <w:right w:w="15" w:type="dxa"/>
        </w:tblCellMar>
        <w:tblLook w:val="04A0" w:firstRow="1" w:lastRow="0" w:firstColumn="1" w:lastColumn="0" w:noHBand="0" w:noVBand="1"/>
      </w:tblPr>
      <w:tblGrid>
        <w:gridCol w:w="2713"/>
        <w:gridCol w:w="1672"/>
        <w:gridCol w:w="2126"/>
      </w:tblGrid>
      <w:tr w:rsidR="00610DC8" w:rsidRPr="007D5AAA" w14:paraId="1BF9E2B5" w14:textId="77777777" w:rsidTr="00B7278B">
        <w:tc>
          <w:tcPr>
            <w:tcW w:w="6511"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AC9C6C" w14:textId="4AA9FD3A" w:rsidR="00610DC8" w:rsidRPr="00610DC8" w:rsidRDefault="00610DC8" w:rsidP="00610DC8">
            <w:pPr>
              <w:pStyle w:val="BodyText"/>
              <w:rPr>
                <w:b/>
                <w:bCs/>
                <w:highlight w:val="yellow"/>
              </w:rPr>
            </w:pPr>
            <w:r w:rsidRPr="00F9584B">
              <w:rPr>
                <w:b/>
                <w:bCs/>
              </w:rPr>
              <w:t>Table 1.6: Number of children</w:t>
            </w:r>
          </w:p>
        </w:tc>
      </w:tr>
      <w:tr w:rsidR="00547BD5" w:rsidRPr="007D5AAA" w14:paraId="57CA6EA8" w14:textId="77777777" w:rsidTr="00547BD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55EBC6" w14:textId="174F1542" w:rsidR="00547BD5" w:rsidRPr="007D5AAA" w:rsidRDefault="00547BD5" w:rsidP="00547BD5">
            <w:pPr>
              <w:pStyle w:val="NormalWeb"/>
              <w:jc w:val="both"/>
              <w:rPr>
                <w:rFonts w:ascii="Open Sans" w:hAnsi="Open Sans" w:cs="Open Sans"/>
                <w:sz w:val="20"/>
                <w:szCs w:val="20"/>
              </w:rPr>
            </w:pPr>
            <w:r w:rsidRPr="007D5AAA">
              <w:rPr>
                <w:rFonts w:ascii="Open Sans" w:hAnsi="Open Sans" w:cs="Open Sans"/>
                <w:sz w:val="20"/>
                <w:szCs w:val="20"/>
              </w:rPr>
              <w:t>0</w:t>
            </w:r>
            <w:r>
              <w:rPr>
                <w:rFonts w:ascii="Open Sans" w:hAnsi="Open Sans" w:cs="Open Sans"/>
                <w:sz w:val="20"/>
                <w:szCs w:val="20"/>
              </w:rPr>
              <w:t xml:space="preserve"> children</w:t>
            </w:r>
          </w:p>
        </w:tc>
        <w:tc>
          <w:tcPr>
            <w:tcW w:w="1672" w:type="dxa"/>
            <w:tcBorders>
              <w:top w:val="single" w:sz="8" w:space="0" w:color="000000"/>
              <w:left w:val="single" w:sz="8" w:space="0" w:color="000000"/>
              <w:bottom w:val="single" w:sz="8" w:space="0" w:color="000000"/>
              <w:right w:val="single" w:sz="8" w:space="0" w:color="000000"/>
            </w:tcBorders>
          </w:tcPr>
          <w:p w14:paraId="01D8FE20" w14:textId="45927185" w:rsidR="00547BD5" w:rsidRPr="007D5AAA" w:rsidRDefault="00547BD5" w:rsidP="00547BD5">
            <w:pPr>
              <w:pStyle w:val="NormalWeb"/>
              <w:rPr>
                <w:rFonts w:ascii="Open Sans" w:hAnsi="Open Sans" w:cs="Open Sans"/>
                <w:sz w:val="20"/>
                <w:szCs w:val="20"/>
              </w:rPr>
            </w:pPr>
            <w:r w:rsidRPr="007D5AAA">
              <w:rPr>
                <w:rFonts w:ascii="Open Sans" w:hAnsi="Open Sans" w:cs="Open Sans"/>
                <w:b/>
                <w:bCs/>
                <w:sz w:val="20"/>
                <w:szCs w:val="20"/>
              </w:rPr>
              <w:t>Number of responses</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42F554" w14:textId="3FD5A2F2" w:rsidR="00547BD5" w:rsidRPr="007D5AAA" w:rsidRDefault="00547BD5" w:rsidP="00547BD5">
            <w:pPr>
              <w:pStyle w:val="NormalWeb"/>
              <w:jc w:val="both"/>
              <w:rPr>
                <w:rFonts w:ascii="Open Sans" w:hAnsi="Open Sans" w:cs="Open Sans"/>
                <w:sz w:val="20"/>
                <w:szCs w:val="20"/>
              </w:rPr>
            </w:pPr>
            <w:r w:rsidRPr="007D5AAA">
              <w:rPr>
                <w:rFonts w:ascii="Open Sans" w:hAnsi="Open Sans" w:cs="Open Sans"/>
                <w:sz w:val="20"/>
                <w:szCs w:val="20"/>
              </w:rPr>
              <w:t>228</w:t>
            </w:r>
          </w:p>
        </w:tc>
      </w:tr>
      <w:tr w:rsidR="00547BD5" w:rsidRPr="007D5AAA" w14:paraId="70F64313" w14:textId="77777777" w:rsidTr="00547BD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040664" w14:textId="1819B080" w:rsidR="00547BD5" w:rsidRPr="007D5AAA" w:rsidRDefault="00547BD5" w:rsidP="00547BD5">
            <w:pPr>
              <w:pStyle w:val="NormalWeb"/>
              <w:jc w:val="both"/>
              <w:rPr>
                <w:rFonts w:ascii="Open Sans" w:hAnsi="Open Sans" w:cs="Open Sans"/>
                <w:sz w:val="20"/>
                <w:szCs w:val="20"/>
              </w:rPr>
            </w:pPr>
            <w:r w:rsidRPr="007D5AAA">
              <w:rPr>
                <w:rFonts w:ascii="Open Sans" w:hAnsi="Open Sans" w:cs="Open Sans"/>
                <w:sz w:val="20"/>
                <w:szCs w:val="20"/>
              </w:rPr>
              <w:t>1</w:t>
            </w:r>
            <w:r>
              <w:rPr>
                <w:rFonts w:ascii="Open Sans" w:hAnsi="Open Sans" w:cs="Open Sans"/>
                <w:sz w:val="20"/>
                <w:szCs w:val="20"/>
              </w:rPr>
              <w:t xml:space="preserve"> child</w:t>
            </w:r>
          </w:p>
        </w:tc>
        <w:tc>
          <w:tcPr>
            <w:tcW w:w="1672" w:type="dxa"/>
            <w:tcBorders>
              <w:top w:val="single" w:sz="8" w:space="0" w:color="000000"/>
              <w:left w:val="single" w:sz="8" w:space="0" w:color="000000"/>
              <w:bottom w:val="single" w:sz="8" w:space="0" w:color="000000"/>
              <w:right w:val="single" w:sz="8" w:space="0" w:color="000000"/>
            </w:tcBorders>
          </w:tcPr>
          <w:p w14:paraId="3378B91E" w14:textId="1B7E8061" w:rsidR="00547BD5" w:rsidRPr="007D5AAA" w:rsidRDefault="00547BD5" w:rsidP="00547BD5">
            <w:pPr>
              <w:pStyle w:val="NormalWeb"/>
              <w:rPr>
                <w:rFonts w:ascii="Open Sans" w:hAnsi="Open Sans" w:cs="Open Sans"/>
                <w:sz w:val="20"/>
                <w:szCs w:val="20"/>
              </w:rPr>
            </w:pPr>
            <w:r w:rsidRPr="007D5AAA">
              <w:rPr>
                <w:rFonts w:ascii="Open Sans" w:hAnsi="Open Sans" w:cs="Open Sans"/>
                <w:b/>
                <w:bCs/>
                <w:sz w:val="20"/>
                <w:szCs w:val="20"/>
              </w:rPr>
              <w:t>Number of responses</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75D843" w14:textId="7C99CDCA" w:rsidR="00547BD5" w:rsidRPr="007D5AAA" w:rsidRDefault="00547BD5" w:rsidP="00547BD5">
            <w:pPr>
              <w:pStyle w:val="NormalWeb"/>
              <w:jc w:val="both"/>
              <w:rPr>
                <w:rFonts w:ascii="Open Sans" w:hAnsi="Open Sans" w:cs="Open Sans"/>
                <w:sz w:val="20"/>
                <w:szCs w:val="20"/>
              </w:rPr>
            </w:pPr>
            <w:r w:rsidRPr="007D5AAA">
              <w:rPr>
                <w:rFonts w:ascii="Open Sans" w:hAnsi="Open Sans" w:cs="Open Sans"/>
                <w:sz w:val="20"/>
                <w:szCs w:val="20"/>
              </w:rPr>
              <w:t>9</w:t>
            </w:r>
          </w:p>
        </w:tc>
      </w:tr>
      <w:tr w:rsidR="00547BD5" w:rsidRPr="007D5AAA" w14:paraId="5410E471" w14:textId="77777777" w:rsidTr="00547BD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782DB5" w14:textId="4C0FB702" w:rsidR="00547BD5" w:rsidRPr="007D5AAA" w:rsidRDefault="00547BD5" w:rsidP="00547BD5">
            <w:pPr>
              <w:pStyle w:val="NormalWeb"/>
              <w:jc w:val="both"/>
              <w:rPr>
                <w:rFonts w:ascii="Open Sans" w:hAnsi="Open Sans" w:cs="Open Sans"/>
                <w:sz w:val="20"/>
                <w:szCs w:val="20"/>
              </w:rPr>
            </w:pPr>
            <w:r w:rsidRPr="007D5AAA">
              <w:rPr>
                <w:rFonts w:ascii="Open Sans" w:hAnsi="Open Sans" w:cs="Open Sans"/>
                <w:sz w:val="20"/>
                <w:szCs w:val="20"/>
              </w:rPr>
              <w:t>2</w:t>
            </w:r>
            <w:r>
              <w:rPr>
                <w:rFonts w:ascii="Open Sans" w:hAnsi="Open Sans" w:cs="Open Sans"/>
                <w:sz w:val="20"/>
                <w:szCs w:val="20"/>
              </w:rPr>
              <w:t xml:space="preserve"> children</w:t>
            </w:r>
          </w:p>
        </w:tc>
        <w:tc>
          <w:tcPr>
            <w:tcW w:w="1672" w:type="dxa"/>
            <w:tcBorders>
              <w:top w:val="single" w:sz="8" w:space="0" w:color="000000"/>
              <w:left w:val="single" w:sz="8" w:space="0" w:color="000000"/>
              <w:bottom w:val="single" w:sz="8" w:space="0" w:color="000000"/>
              <w:right w:val="single" w:sz="8" w:space="0" w:color="000000"/>
            </w:tcBorders>
          </w:tcPr>
          <w:p w14:paraId="15A214CD" w14:textId="267C4231" w:rsidR="00547BD5" w:rsidRPr="007D5AAA" w:rsidRDefault="00547BD5" w:rsidP="00547BD5">
            <w:pPr>
              <w:pStyle w:val="NormalWeb"/>
              <w:rPr>
                <w:rFonts w:ascii="Open Sans" w:hAnsi="Open Sans" w:cs="Open Sans"/>
                <w:sz w:val="20"/>
                <w:szCs w:val="20"/>
              </w:rPr>
            </w:pPr>
            <w:r w:rsidRPr="007D5AAA">
              <w:rPr>
                <w:rFonts w:ascii="Open Sans" w:hAnsi="Open Sans" w:cs="Open Sans"/>
                <w:b/>
                <w:bCs/>
                <w:sz w:val="20"/>
                <w:szCs w:val="20"/>
              </w:rPr>
              <w:t>Number of responses</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7E51B2" w14:textId="396292AF" w:rsidR="00547BD5" w:rsidRPr="007D5AAA" w:rsidRDefault="00547BD5" w:rsidP="00547BD5">
            <w:pPr>
              <w:pStyle w:val="NormalWeb"/>
              <w:jc w:val="both"/>
              <w:rPr>
                <w:rFonts w:ascii="Open Sans" w:hAnsi="Open Sans" w:cs="Open Sans"/>
                <w:sz w:val="20"/>
                <w:szCs w:val="20"/>
              </w:rPr>
            </w:pPr>
            <w:r w:rsidRPr="007D5AAA">
              <w:rPr>
                <w:rFonts w:ascii="Open Sans" w:hAnsi="Open Sans" w:cs="Open Sans"/>
                <w:sz w:val="20"/>
                <w:szCs w:val="20"/>
              </w:rPr>
              <w:t>6</w:t>
            </w:r>
          </w:p>
        </w:tc>
      </w:tr>
      <w:tr w:rsidR="00547BD5" w:rsidRPr="007D5AAA" w14:paraId="6126CC5D" w14:textId="77777777" w:rsidTr="00547BD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18A788" w14:textId="4AC3D392" w:rsidR="00547BD5" w:rsidRPr="007D5AAA" w:rsidRDefault="00547BD5" w:rsidP="00547BD5">
            <w:pPr>
              <w:pStyle w:val="NormalWeb"/>
              <w:jc w:val="both"/>
              <w:rPr>
                <w:rFonts w:ascii="Open Sans" w:hAnsi="Open Sans" w:cs="Open Sans"/>
                <w:sz w:val="20"/>
                <w:szCs w:val="20"/>
              </w:rPr>
            </w:pPr>
            <w:r w:rsidRPr="007D5AAA">
              <w:rPr>
                <w:rFonts w:ascii="Open Sans" w:hAnsi="Open Sans" w:cs="Open Sans"/>
                <w:sz w:val="20"/>
                <w:szCs w:val="20"/>
              </w:rPr>
              <w:t>3</w:t>
            </w:r>
            <w:r>
              <w:rPr>
                <w:rFonts w:ascii="Open Sans" w:hAnsi="Open Sans" w:cs="Open Sans"/>
                <w:sz w:val="20"/>
                <w:szCs w:val="20"/>
              </w:rPr>
              <w:t xml:space="preserve"> children</w:t>
            </w:r>
          </w:p>
        </w:tc>
        <w:tc>
          <w:tcPr>
            <w:tcW w:w="1672" w:type="dxa"/>
            <w:tcBorders>
              <w:top w:val="single" w:sz="8" w:space="0" w:color="000000"/>
              <w:left w:val="single" w:sz="8" w:space="0" w:color="000000"/>
              <w:bottom w:val="single" w:sz="8" w:space="0" w:color="000000"/>
              <w:right w:val="single" w:sz="8" w:space="0" w:color="000000"/>
            </w:tcBorders>
          </w:tcPr>
          <w:p w14:paraId="7C4955AC" w14:textId="0804159D" w:rsidR="00547BD5" w:rsidRPr="007D5AAA" w:rsidRDefault="00547BD5" w:rsidP="00547BD5">
            <w:pPr>
              <w:pStyle w:val="NormalWeb"/>
              <w:rPr>
                <w:rFonts w:ascii="Open Sans" w:hAnsi="Open Sans" w:cs="Open Sans"/>
                <w:sz w:val="20"/>
                <w:szCs w:val="20"/>
              </w:rPr>
            </w:pPr>
            <w:r w:rsidRPr="007D5AAA">
              <w:rPr>
                <w:rFonts w:ascii="Open Sans" w:hAnsi="Open Sans" w:cs="Open Sans"/>
                <w:b/>
                <w:bCs/>
                <w:sz w:val="20"/>
                <w:szCs w:val="20"/>
              </w:rPr>
              <w:t>Number of responses</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DFD622" w14:textId="0604AC0E" w:rsidR="00547BD5" w:rsidRPr="007D5AAA" w:rsidRDefault="00547BD5" w:rsidP="00547BD5">
            <w:pPr>
              <w:pStyle w:val="NormalWeb"/>
              <w:jc w:val="both"/>
              <w:rPr>
                <w:rFonts w:ascii="Open Sans" w:hAnsi="Open Sans" w:cs="Open Sans"/>
                <w:sz w:val="20"/>
                <w:szCs w:val="20"/>
              </w:rPr>
            </w:pPr>
            <w:r w:rsidRPr="007D5AAA">
              <w:rPr>
                <w:rFonts w:ascii="Open Sans" w:hAnsi="Open Sans" w:cs="Open Sans"/>
                <w:sz w:val="20"/>
                <w:szCs w:val="20"/>
              </w:rPr>
              <w:t>3</w:t>
            </w:r>
          </w:p>
        </w:tc>
      </w:tr>
      <w:tr w:rsidR="00547BD5" w:rsidRPr="007D5AAA" w14:paraId="40542AB0" w14:textId="77777777" w:rsidTr="00547BD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7AE8EC" w14:textId="57802466" w:rsidR="00547BD5" w:rsidRPr="007D5AAA" w:rsidRDefault="00547BD5" w:rsidP="00547BD5">
            <w:pPr>
              <w:pStyle w:val="NormalWeb"/>
              <w:jc w:val="both"/>
              <w:rPr>
                <w:rFonts w:ascii="Open Sans" w:hAnsi="Open Sans" w:cs="Open Sans"/>
                <w:sz w:val="20"/>
                <w:szCs w:val="20"/>
              </w:rPr>
            </w:pPr>
            <w:r w:rsidRPr="007D5AAA">
              <w:rPr>
                <w:rFonts w:ascii="Open Sans" w:hAnsi="Open Sans" w:cs="Open Sans"/>
                <w:sz w:val="20"/>
                <w:szCs w:val="20"/>
              </w:rPr>
              <w:t>4</w:t>
            </w:r>
            <w:r>
              <w:rPr>
                <w:rFonts w:ascii="Open Sans" w:hAnsi="Open Sans" w:cs="Open Sans"/>
                <w:sz w:val="20"/>
                <w:szCs w:val="20"/>
              </w:rPr>
              <w:t xml:space="preserve"> children</w:t>
            </w:r>
          </w:p>
        </w:tc>
        <w:tc>
          <w:tcPr>
            <w:tcW w:w="1672" w:type="dxa"/>
            <w:tcBorders>
              <w:top w:val="single" w:sz="8" w:space="0" w:color="000000"/>
              <w:left w:val="single" w:sz="8" w:space="0" w:color="000000"/>
              <w:bottom w:val="single" w:sz="8" w:space="0" w:color="000000"/>
              <w:right w:val="single" w:sz="8" w:space="0" w:color="000000"/>
            </w:tcBorders>
          </w:tcPr>
          <w:p w14:paraId="5B8338E0" w14:textId="1FBDEA46" w:rsidR="00547BD5" w:rsidRPr="007D5AAA" w:rsidRDefault="00547BD5" w:rsidP="00547BD5">
            <w:pPr>
              <w:pStyle w:val="NormalWeb"/>
              <w:rPr>
                <w:rFonts w:ascii="Open Sans" w:hAnsi="Open Sans" w:cs="Open Sans"/>
                <w:sz w:val="20"/>
                <w:szCs w:val="20"/>
              </w:rPr>
            </w:pPr>
            <w:r w:rsidRPr="007D5AAA">
              <w:rPr>
                <w:rFonts w:ascii="Open Sans" w:hAnsi="Open Sans" w:cs="Open Sans"/>
                <w:b/>
                <w:bCs/>
                <w:sz w:val="20"/>
                <w:szCs w:val="20"/>
              </w:rPr>
              <w:t>Number of responses</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46771C" w14:textId="2468975B" w:rsidR="00547BD5" w:rsidRPr="007D5AAA" w:rsidRDefault="00547BD5" w:rsidP="00547BD5">
            <w:pPr>
              <w:pStyle w:val="NormalWeb"/>
              <w:jc w:val="both"/>
              <w:rPr>
                <w:rFonts w:ascii="Open Sans" w:hAnsi="Open Sans" w:cs="Open Sans"/>
                <w:sz w:val="20"/>
                <w:szCs w:val="20"/>
              </w:rPr>
            </w:pPr>
            <w:r w:rsidRPr="007D5AAA">
              <w:rPr>
                <w:rFonts w:ascii="Open Sans" w:hAnsi="Open Sans" w:cs="Open Sans"/>
                <w:sz w:val="20"/>
                <w:szCs w:val="20"/>
              </w:rPr>
              <w:t>2</w:t>
            </w:r>
          </w:p>
        </w:tc>
      </w:tr>
      <w:tr w:rsidR="00547BD5" w:rsidRPr="007D5AAA" w14:paraId="3C178A17" w14:textId="77777777" w:rsidTr="00547BD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F680A5" w14:textId="78EB6EA4" w:rsidR="00547BD5" w:rsidRPr="007D5AAA" w:rsidRDefault="00547BD5" w:rsidP="00547BD5">
            <w:pPr>
              <w:pStyle w:val="NormalWeb"/>
              <w:jc w:val="both"/>
              <w:rPr>
                <w:rFonts w:ascii="Open Sans" w:hAnsi="Open Sans" w:cs="Open Sans"/>
                <w:sz w:val="20"/>
                <w:szCs w:val="20"/>
              </w:rPr>
            </w:pPr>
            <w:r w:rsidRPr="007D5AAA">
              <w:rPr>
                <w:rFonts w:ascii="Open Sans" w:hAnsi="Open Sans" w:cs="Open Sans"/>
                <w:sz w:val="20"/>
                <w:szCs w:val="20"/>
              </w:rPr>
              <w:t>5</w:t>
            </w:r>
            <w:r>
              <w:rPr>
                <w:rFonts w:ascii="Open Sans" w:hAnsi="Open Sans" w:cs="Open Sans"/>
                <w:sz w:val="20"/>
                <w:szCs w:val="20"/>
              </w:rPr>
              <w:t xml:space="preserve"> children</w:t>
            </w:r>
          </w:p>
        </w:tc>
        <w:tc>
          <w:tcPr>
            <w:tcW w:w="1672" w:type="dxa"/>
            <w:tcBorders>
              <w:top w:val="single" w:sz="8" w:space="0" w:color="000000"/>
              <w:left w:val="single" w:sz="8" w:space="0" w:color="000000"/>
              <w:bottom w:val="single" w:sz="8" w:space="0" w:color="000000"/>
              <w:right w:val="single" w:sz="8" w:space="0" w:color="000000"/>
            </w:tcBorders>
          </w:tcPr>
          <w:p w14:paraId="64941FB9" w14:textId="53D148C9" w:rsidR="00547BD5" w:rsidRPr="007D5AAA" w:rsidRDefault="00547BD5" w:rsidP="00547BD5">
            <w:pPr>
              <w:pStyle w:val="NormalWeb"/>
              <w:rPr>
                <w:rFonts w:ascii="Open Sans" w:hAnsi="Open Sans" w:cs="Open Sans"/>
                <w:sz w:val="20"/>
                <w:szCs w:val="20"/>
              </w:rPr>
            </w:pPr>
            <w:r w:rsidRPr="007D5AAA">
              <w:rPr>
                <w:rFonts w:ascii="Open Sans" w:hAnsi="Open Sans" w:cs="Open Sans"/>
                <w:b/>
                <w:bCs/>
                <w:sz w:val="20"/>
                <w:szCs w:val="20"/>
              </w:rPr>
              <w:t>Number of responses</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B22A8F" w14:textId="5429D9C4" w:rsidR="00547BD5" w:rsidRPr="007D5AAA" w:rsidRDefault="00547BD5" w:rsidP="00547BD5">
            <w:pPr>
              <w:pStyle w:val="NormalWeb"/>
              <w:jc w:val="both"/>
              <w:rPr>
                <w:rFonts w:ascii="Open Sans" w:hAnsi="Open Sans" w:cs="Open Sans"/>
                <w:sz w:val="20"/>
                <w:szCs w:val="20"/>
              </w:rPr>
            </w:pPr>
            <w:r w:rsidRPr="007D5AAA">
              <w:rPr>
                <w:rFonts w:ascii="Open Sans" w:hAnsi="Open Sans" w:cs="Open Sans"/>
                <w:sz w:val="20"/>
                <w:szCs w:val="20"/>
              </w:rPr>
              <w:t>1</w:t>
            </w:r>
          </w:p>
        </w:tc>
      </w:tr>
      <w:tr w:rsidR="00547BD5" w:rsidRPr="007D5AAA" w14:paraId="7CF7FD6E" w14:textId="77777777" w:rsidTr="00547BD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195B89" w14:textId="77777777" w:rsidR="00547BD5" w:rsidRPr="007D5AAA" w:rsidRDefault="00547BD5" w:rsidP="00547BD5">
            <w:pPr>
              <w:pStyle w:val="NormalWeb"/>
              <w:jc w:val="both"/>
              <w:rPr>
                <w:rFonts w:ascii="Open Sans" w:hAnsi="Open Sans" w:cs="Open Sans"/>
                <w:sz w:val="20"/>
                <w:szCs w:val="20"/>
              </w:rPr>
            </w:pPr>
            <w:r w:rsidRPr="007D5AAA">
              <w:rPr>
                <w:rFonts w:ascii="Open Sans" w:hAnsi="Open Sans" w:cs="Open Sans"/>
                <w:sz w:val="20"/>
                <w:szCs w:val="20"/>
              </w:rPr>
              <w:t>Yes - number not indicated</w:t>
            </w:r>
          </w:p>
        </w:tc>
        <w:tc>
          <w:tcPr>
            <w:tcW w:w="1672" w:type="dxa"/>
            <w:tcBorders>
              <w:top w:val="single" w:sz="8" w:space="0" w:color="000000"/>
              <w:left w:val="single" w:sz="8" w:space="0" w:color="000000"/>
              <w:bottom w:val="single" w:sz="8" w:space="0" w:color="000000"/>
              <w:right w:val="single" w:sz="8" w:space="0" w:color="000000"/>
            </w:tcBorders>
          </w:tcPr>
          <w:p w14:paraId="769050B4" w14:textId="1EE21A31" w:rsidR="00547BD5" w:rsidRPr="007D5AAA" w:rsidRDefault="00547BD5" w:rsidP="00547BD5">
            <w:pPr>
              <w:pStyle w:val="NormalWeb"/>
              <w:rPr>
                <w:rFonts w:ascii="Open Sans" w:hAnsi="Open Sans" w:cs="Open Sans"/>
                <w:sz w:val="20"/>
                <w:szCs w:val="20"/>
              </w:rPr>
            </w:pPr>
            <w:r w:rsidRPr="007D5AAA">
              <w:rPr>
                <w:rFonts w:ascii="Open Sans" w:hAnsi="Open Sans" w:cs="Open Sans"/>
                <w:b/>
                <w:bCs/>
                <w:sz w:val="20"/>
                <w:szCs w:val="20"/>
              </w:rPr>
              <w:t>Number of responses</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D98609" w14:textId="2191EF26" w:rsidR="00547BD5" w:rsidRPr="007D5AAA" w:rsidRDefault="00547BD5" w:rsidP="00547BD5">
            <w:pPr>
              <w:pStyle w:val="NormalWeb"/>
              <w:jc w:val="both"/>
              <w:rPr>
                <w:rFonts w:ascii="Open Sans" w:hAnsi="Open Sans" w:cs="Open Sans"/>
                <w:sz w:val="20"/>
                <w:szCs w:val="20"/>
              </w:rPr>
            </w:pPr>
            <w:r w:rsidRPr="007D5AAA">
              <w:rPr>
                <w:rFonts w:ascii="Open Sans" w:hAnsi="Open Sans" w:cs="Open Sans"/>
                <w:sz w:val="20"/>
                <w:szCs w:val="20"/>
              </w:rPr>
              <w:t>1</w:t>
            </w:r>
          </w:p>
        </w:tc>
      </w:tr>
    </w:tbl>
    <w:p w14:paraId="301A9423" w14:textId="77777777" w:rsidR="00F9584B" w:rsidRPr="00CE2F22" w:rsidRDefault="00F9584B" w:rsidP="00E654F7"/>
    <w:p w14:paraId="38298AE6" w14:textId="707AE090" w:rsidR="00E654F7" w:rsidRPr="009A5B8A" w:rsidRDefault="00E654F7" w:rsidP="009A5B8A">
      <w:pPr>
        <w:pStyle w:val="Heading2"/>
      </w:pPr>
      <w:bookmarkStart w:id="57" w:name="_Toc96092072"/>
      <w:r w:rsidRPr="009A5B8A">
        <w:t>Employment status</w:t>
      </w:r>
      <w:bookmarkEnd w:id="57"/>
    </w:p>
    <w:p w14:paraId="287AC1D9" w14:textId="603128A6" w:rsidR="00E654F7" w:rsidRPr="00CE2F22" w:rsidRDefault="00E654F7" w:rsidP="00DD25E0">
      <w:pPr>
        <w:pStyle w:val="BodyText"/>
        <w:rPr>
          <w:lang w:val="en-AU"/>
        </w:rPr>
      </w:pPr>
      <w:r w:rsidRPr="00CE2F22">
        <w:rPr>
          <w:lang w:val="en-AU"/>
        </w:rPr>
        <w:t xml:space="preserve">Respondents </w:t>
      </w:r>
      <w:r w:rsidR="00DD25E0" w:rsidRPr="00CE2F22">
        <w:rPr>
          <w:lang w:val="en-AU"/>
        </w:rPr>
        <w:t>indicated</w:t>
      </w:r>
      <w:r w:rsidRPr="00CE2F22">
        <w:rPr>
          <w:lang w:val="en-AU"/>
        </w:rPr>
        <w:t xml:space="preserve"> all options that described their current employment status, with the option to select multiple. Fifteen per cent of respondents are unemployed, 21% actively seeking employment, 28% employed full-time, 25.6% in casual employment, with 18% indicating they are not eligible to Centrelink payments.</w:t>
      </w:r>
    </w:p>
    <w:p w14:paraId="58F14C55" w14:textId="77777777" w:rsidR="00DD25E0" w:rsidRPr="00CE2F22" w:rsidRDefault="00DD25E0" w:rsidP="00DD25E0">
      <w:pPr>
        <w:pStyle w:val="BodyText"/>
        <w:rPr>
          <w:lang w:val="en-AU"/>
        </w:rPr>
      </w:pPr>
    </w:p>
    <w:p w14:paraId="182D45DC" w14:textId="7F91615D" w:rsidR="00E654F7" w:rsidRDefault="00F9584B" w:rsidP="00F9584B">
      <w:pPr>
        <w:pStyle w:val="BodyText"/>
        <w:rPr>
          <w:b/>
          <w:bCs/>
        </w:rPr>
      </w:pPr>
      <w:r w:rsidRPr="00F9584B">
        <w:rPr>
          <w:b/>
          <w:bCs/>
        </w:rPr>
        <w:t>Table 1.7: Employment status</w:t>
      </w:r>
    </w:p>
    <w:p w14:paraId="075125F3" w14:textId="4F2983D0" w:rsidR="00F9584B" w:rsidRDefault="00F9584B" w:rsidP="00F9584B">
      <w:pPr>
        <w:pStyle w:val="BodyText"/>
        <w:rPr>
          <w:b/>
          <w:bCs/>
        </w:rPr>
      </w:pPr>
    </w:p>
    <w:tbl>
      <w:tblPr>
        <w:tblStyle w:val="TableGrid"/>
        <w:tblW w:w="0" w:type="auto"/>
        <w:tblLook w:val="04A0" w:firstRow="1" w:lastRow="0" w:firstColumn="1" w:lastColumn="0" w:noHBand="0" w:noVBand="1"/>
      </w:tblPr>
      <w:tblGrid>
        <w:gridCol w:w="1271"/>
        <w:gridCol w:w="4145"/>
        <w:gridCol w:w="981"/>
        <w:gridCol w:w="1042"/>
        <w:gridCol w:w="494"/>
        <w:gridCol w:w="851"/>
      </w:tblGrid>
      <w:tr w:rsidR="00610DC8" w:rsidRPr="007D5AAA" w14:paraId="6F4E328B" w14:textId="77777777" w:rsidTr="00E77004">
        <w:tc>
          <w:tcPr>
            <w:tcW w:w="8784" w:type="dxa"/>
            <w:gridSpan w:val="6"/>
            <w:hideMark/>
          </w:tcPr>
          <w:p w14:paraId="6986B156" w14:textId="0A44211F" w:rsidR="00610DC8" w:rsidRPr="007D5AAA" w:rsidRDefault="00610DC8" w:rsidP="00610DC8">
            <w:pPr>
              <w:pStyle w:val="BodyText"/>
              <w:rPr>
                <w:b/>
                <w:bCs/>
              </w:rPr>
            </w:pPr>
            <w:r w:rsidRPr="00F9584B">
              <w:rPr>
                <w:b/>
                <w:bCs/>
              </w:rPr>
              <w:t>Table 1.7: Employment status</w:t>
            </w:r>
          </w:p>
        </w:tc>
      </w:tr>
      <w:tr w:rsidR="00610DC8" w:rsidRPr="007D5AAA" w14:paraId="152C6E7D" w14:textId="77777777" w:rsidTr="008A693D">
        <w:tc>
          <w:tcPr>
            <w:tcW w:w="1271" w:type="dxa"/>
            <w:hideMark/>
          </w:tcPr>
          <w:p w14:paraId="25F5EA78" w14:textId="3660D9EE" w:rsidR="00610DC8" w:rsidRPr="007D5AAA" w:rsidRDefault="00610DC8" w:rsidP="00610DC8">
            <w:pPr>
              <w:pStyle w:val="NormalWeb"/>
              <w:jc w:val="both"/>
              <w:rPr>
                <w:rFonts w:ascii="Open Sans" w:hAnsi="Open Sans" w:cs="Open Sans"/>
                <w:sz w:val="20"/>
                <w:szCs w:val="20"/>
              </w:rPr>
            </w:pPr>
            <w:r>
              <w:rPr>
                <w:rFonts w:ascii="Open Sans" w:hAnsi="Open Sans" w:cs="Open Sans"/>
                <w:sz w:val="20"/>
                <w:szCs w:val="20"/>
              </w:rPr>
              <w:t xml:space="preserve">Option </w:t>
            </w:r>
            <w:r w:rsidRPr="007D5AAA">
              <w:rPr>
                <w:rFonts w:ascii="Open Sans" w:hAnsi="Open Sans" w:cs="Open Sans"/>
                <w:sz w:val="20"/>
                <w:szCs w:val="20"/>
              </w:rPr>
              <w:t>A</w:t>
            </w:r>
          </w:p>
        </w:tc>
        <w:tc>
          <w:tcPr>
            <w:tcW w:w="4145" w:type="dxa"/>
            <w:hideMark/>
          </w:tcPr>
          <w:p w14:paraId="6630CDB1" w14:textId="77777777" w:rsidR="00610DC8" w:rsidRPr="007D5AAA" w:rsidRDefault="00610DC8" w:rsidP="00610DC8">
            <w:pPr>
              <w:pStyle w:val="NormalWeb"/>
              <w:jc w:val="both"/>
              <w:rPr>
                <w:rFonts w:ascii="Open Sans" w:hAnsi="Open Sans" w:cs="Open Sans"/>
                <w:sz w:val="20"/>
                <w:szCs w:val="20"/>
              </w:rPr>
            </w:pPr>
            <w:r w:rsidRPr="007D5AAA">
              <w:rPr>
                <w:rFonts w:ascii="Open Sans" w:hAnsi="Open Sans" w:cs="Open Sans"/>
                <w:sz w:val="20"/>
                <w:szCs w:val="20"/>
              </w:rPr>
              <w:t>Unemployed</w:t>
            </w:r>
          </w:p>
        </w:tc>
        <w:tc>
          <w:tcPr>
            <w:tcW w:w="981" w:type="dxa"/>
          </w:tcPr>
          <w:p w14:paraId="6C083E3B" w14:textId="5645475A" w:rsidR="00610DC8" w:rsidRPr="00610DC8" w:rsidRDefault="00610DC8" w:rsidP="00610DC8">
            <w:pPr>
              <w:pStyle w:val="NormalWeb"/>
              <w:jc w:val="both"/>
              <w:rPr>
                <w:rFonts w:ascii="Open Sans" w:hAnsi="Open Sans" w:cs="Open Sans"/>
                <w:b/>
                <w:bCs/>
                <w:sz w:val="20"/>
                <w:szCs w:val="20"/>
              </w:rPr>
            </w:pPr>
            <w:r w:rsidRPr="00610DC8">
              <w:rPr>
                <w:rFonts w:ascii="Open Sans" w:hAnsi="Open Sans" w:cs="Open Sans"/>
                <w:b/>
                <w:bCs/>
                <w:sz w:val="20"/>
                <w:szCs w:val="20"/>
              </w:rPr>
              <w:t>Count</w:t>
            </w:r>
          </w:p>
        </w:tc>
        <w:tc>
          <w:tcPr>
            <w:tcW w:w="1042" w:type="dxa"/>
            <w:hideMark/>
          </w:tcPr>
          <w:p w14:paraId="794FDFCE" w14:textId="4478DECD" w:rsidR="00610DC8" w:rsidRPr="007D5AAA" w:rsidRDefault="00610DC8" w:rsidP="00610DC8">
            <w:pPr>
              <w:pStyle w:val="NormalWeb"/>
              <w:jc w:val="both"/>
              <w:rPr>
                <w:rFonts w:ascii="Open Sans" w:hAnsi="Open Sans" w:cs="Open Sans"/>
                <w:sz w:val="20"/>
                <w:szCs w:val="20"/>
              </w:rPr>
            </w:pPr>
            <w:r w:rsidRPr="007D5AAA">
              <w:rPr>
                <w:rFonts w:ascii="Open Sans" w:hAnsi="Open Sans" w:cs="Open Sans"/>
                <w:sz w:val="20"/>
                <w:szCs w:val="20"/>
              </w:rPr>
              <w:t>38</w:t>
            </w:r>
          </w:p>
        </w:tc>
        <w:tc>
          <w:tcPr>
            <w:tcW w:w="494" w:type="dxa"/>
          </w:tcPr>
          <w:p w14:paraId="4301E74A" w14:textId="0D790724" w:rsidR="00610DC8" w:rsidRPr="007D5AAA" w:rsidRDefault="00610DC8" w:rsidP="00610DC8">
            <w:pPr>
              <w:pStyle w:val="NormalWeb"/>
              <w:jc w:val="both"/>
              <w:rPr>
                <w:rFonts w:ascii="Open Sans" w:hAnsi="Open Sans" w:cs="Open Sans"/>
                <w:sz w:val="20"/>
                <w:szCs w:val="20"/>
              </w:rPr>
            </w:pPr>
            <w:r w:rsidRPr="00BC29B4">
              <w:rPr>
                <w:rFonts w:ascii="Open Sans" w:hAnsi="Open Sans" w:cs="Open Sans"/>
                <w:b/>
                <w:bCs/>
                <w:sz w:val="20"/>
                <w:szCs w:val="20"/>
              </w:rPr>
              <w:t>%</w:t>
            </w:r>
          </w:p>
        </w:tc>
        <w:tc>
          <w:tcPr>
            <w:tcW w:w="851" w:type="dxa"/>
            <w:hideMark/>
          </w:tcPr>
          <w:p w14:paraId="0849E03E" w14:textId="083060E5" w:rsidR="00610DC8" w:rsidRPr="007D5AAA" w:rsidRDefault="00610DC8" w:rsidP="00610DC8">
            <w:pPr>
              <w:pStyle w:val="NormalWeb"/>
              <w:jc w:val="both"/>
              <w:rPr>
                <w:rFonts w:ascii="Open Sans" w:hAnsi="Open Sans" w:cs="Open Sans"/>
                <w:sz w:val="20"/>
                <w:szCs w:val="20"/>
              </w:rPr>
            </w:pPr>
            <w:r w:rsidRPr="007D5AAA">
              <w:rPr>
                <w:rFonts w:ascii="Open Sans" w:hAnsi="Open Sans" w:cs="Open Sans"/>
                <w:sz w:val="20"/>
                <w:szCs w:val="20"/>
              </w:rPr>
              <w:t>15.2%</w:t>
            </w:r>
          </w:p>
        </w:tc>
      </w:tr>
      <w:tr w:rsidR="00610DC8" w:rsidRPr="007D5AAA" w14:paraId="28587A6C" w14:textId="77777777" w:rsidTr="008A693D">
        <w:tc>
          <w:tcPr>
            <w:tcW w:w="1271" w:type="dxa"/>
            <w:hideMark/>
          </w:tcPr>
          <w:p w14:paraId="64975B38" w14:textId="0E1746EA" w:rsidR="00610DC8" w:rsidRPr="007D5AAA" w:rsidRDefault="00610DC8" w:rsidP="00610DC8">
            <w:pPr>
              <w:pStyle w:val="NormalWeb"/>
              <w:jc w:val="both"/>
              <w:rPr>
                <w:rFonts w:ascii="Open Sans" w:hAnsi="Open Sans" w:cs="Open Sans"/>
                <w:sz w:val="20"/>
                <w:szCs w:val="20"/>
              </w:rPr>
            </w:pPr>
            <w:r>
              <w:rPr>
                <w:rFonts w:ascii="Open Sans" w:hAnsi="Open Sans" w:cs="Open Sans"/>
                <w:sz w:val="20"/>
                <w:szCs w:val="20"/>
              </w:rPr>
              <w:t xml:space="preserve">Option </w:t>
            </w:r>
            <w:r w:rsidRPr="007D5AAA">
              <w:rPr>
                <w:rFonts w:ascii="Open Sans" w:hAnsi="Open Sans" w:cs="Open Sans"/>
                <w:sz w:val="20"/>
                <w:szCs w:val="20"/>
              </w:rPr>
              <w:t>B</w:t>
            </w:r>
          </w:p>
        </w:tc>
        <w:tc>
          <w:tcPr>
            <w:tcW w:w="4145" w:type="dxa"/>
            <w:hideMark/>
          </w:tcPr>
          <w:p w14:paraId="1D935AD2" w14:textId="77777777" w:rsidR="00610DC8" w:rsidRPr="007D5AAA" w:rsidRDefault="00610DC8" w:rsidP="00610DC8">
            <w:pPr>
              <w:pStyle w:val="NormalWeb"/>
              <w:jc w:val="both"/>
              <w:rPr>
                <w:rFonts w:ascii="Open Sans" w:hAnsi="Open Sans" w:cs="Open Sans"/>
                <w:sz w:val="20"/>
                <w:szCs w:val="20"/>
              </w:rPr>
            </w:pPr>
            <w:r w:rsidRPr="007D5AAA">
              <w:rPr>
                <w:rFonts w:ascii="Open Sans" w:hAnsi="Open Sans" w:cs="Open Sans"/>
                <w:sz w:val="20"/>
                <w:szCs w:val="20"/>
              </w:rPr>
              <w:t>Underemployed</w:t>
            </w:r>
          </w:p>
        </w:tc>
        <w:tc>
          <w:tcPr>
            <w:tcW w:w="981" w:type="dxa"/>
          </w:tcPr>
          <w:p w14:paraId="5546811F" w14:textId="264E27D4" w:rsidR="00610DC8" w:rsidRPr="007D5AAA" w:rsidRDefault="00610DC8" w:rsidP="00610DC8">
            <w:pPr>
              <w:pStyle w:val="NormalWeb"/>
              <w:jc w:val="both"/>
              <w:rPr>
                <w:rFonts w:ascii="Open Sans" w:hAnsi="Open Sans" w:cs="Open Sans"/>
                <w:sz w:val="20"/>
                <w:szCs w:val="20"/>
              </w:rPr>
            </w:pPr>
            <w:r w:rsidRPr="00610DC8">
              <w:rPr>
                <w:rFonts w:ascii="Open Sans" w:hAnsi="Open Sans" w:cs="Open Sans"/>
                <w:b/>
                <w:bCs/>
                <w:sz w:val="20"/>
                <w:szCs w:val="20"/>
              </w:rPr>
              <w:t>Count</w:t>
            </w:r>
          </w:p>
        </w:tc>
        <w:tc>
          <w:tcPr>
            <w:tcW w:w="1042" w:type="dxa"/>
            <w:hideMark/>
          </w:tcPr>
          <w:p w14:paraId="390FFE36" w14:textId="13483C85" w:rsidR="00610DC8" w:rsidRPr="007D5AAA" w:rsidRDefault="00610DC8" w:rsidP="00610DC8">
            <w:pPr>
              <w:pStyle w:val="NormalWeb"/>
              <w:jc w:val="both"/>
              <w:rPr>
                <w:rFonts w:ascii="Open Sans" w:hAnsi="Open Sans" w:cs="Open Sans"/>
                <w:sz w:val="20"/>
                <w:szCs w:val="20"/>
              </w:rPr>
            </w:pPr>
            <w:r w:rsidRPr="007D5AAA">
              <w:rPr>
                <w:rFonts w:ascii="Open Sans" w:hAnsi="Open Sans" w:cs="Open Sans"/>
                <w:sz w:val="20"/>
                <w:szCs w:val="20"/>
              </w:rPr>
              <w:t>31</w:t>
            </w:r>
          </w:p>
        </w:tc>
        <w:tc>
          <w:tcPr>
            <w:tcW w:w="494" w:type="dxa"/>
          </w:tcPr>
          <w:p w14:paraId="5E58D04F" w14:textId="7713B2D6" w:rsidR="00610DC8" w:rsidRPr="007D5AAA" w:rsidRDefault="00610DC8" w:rsidP="00610DC8">
            <w:pPr>
              <w:pStyle w:val="NormalWeb"/>
              <w:jc w:val="both"/>
              <w:rPr>
                <w:rFonts w:ascii="Open Sans" w:hAnsi="Open Sans" w:cs="Open Sans"/>
                <w:sz w:val="20"/>
                <w:szCs w:val="20"/>
              </w:rPr>
            </w:pPr>
            <w:r w:rsidRPr="00BC29B4">
              <w:rPr>
                <w:rFonts w:ascii="Open Sans" w:hAnsi="Open Sans" w:cs="Open Sans"/>
                <w:b/>
                <w:bCs/>
                <w:sz w:val="20"/>
                <w:szCs w:val="20"/>
              </w:rPr>
              <w:t>%</w:t>
            </w:r>
          </w:p>
        </w:tc>
        <w:tc>
          <w:tcPr>
            <w:tcW w:w="851" w:type="dxa"/>
            <w:hideMark/>
          </w:tcPr>
          <w:p w14:paraId="359821E1" w14:textId="3B12E144" w:rsidR="00610DC8" w:rsidRPr="007D5AAA" w:rsidRDefault="00610DC8" w:rsidP="00610DC8">
            <w:pPr>
              <w:pStyle w:val="NormalWeb"/>
              <w:jc w:val="both"/>
              <w:rPr>
                <w:rFonts w:ascii="Open Sans" w:hAnsi="Open Sans" w:cs="Open Sans"/>
                <w:sz w:val="20"/>
                <w:szCs w:val="20"/>
              </w:rPr>
            </w:pPr>
            <w:r w:rsidRPr="007D5AAA">
              <w:rPr>
                <w:rFonts w:ascii="Open Sans" w:hAnsi="Open Sans" w:cs="Open Sans"/>
                <w:sz w:val="20"/>
                <w:szCs w:val="20"/>
              </w:rPr>
              <w:t>12.4%</w:t>
            </w:r>
          </w:p>
        </w:tc>
      </w:tr>
      <w:tr w:rsidR="00610DC8" w:rsidRPr="007D5AAA" w14:paraId="29305630" w14:textId="77777777" w:rsidTr="008A693D">
        <w:tc>
          <w:tcPr>
            <w:tcW w:w="1271" w:type="dxa"/>
            <w:hideMark/>
          </w:tcPr>
          <w:p w14:paraId="655D5839" w14:textId="293F283F" w:rsidR="00610DC8" w:rsidRPr="007D5AAA" w:rsidRDefault="00610DC8" w:rsidP="00610DC8">
            <w:pPr>
              <w:pStyle w:val="NormalWeb"/>
              <w:jc w:val="both"/>
              <w:rPr>
                <w:rFonts w:ascii="Open Sans" w:hAnsi="Open Sans" w:cs="Open Sans"/>
                <w:sz w:val="20"/>
                <w:szCs w:val="20"/>
              </w:rPr>
            </w:pPr>
            <w:r>
              <w:rPr>
                <w:rFonts w:ascii="Open Sans" w:hAnsi="Open Sans" w:cs="Open Sans"/>
                <w:sz w:val="20"/>
                <w:szCs w:val="20"/>
              </w:rPr>
              <w:t xml:space="preserve">Option </w:t>
            </w:r>
            <w:r w:rsidRPr="007D5AAA">
              <w:rPr>
                <w:rFonts w:ascii="Open Sans" w:hAnsi="Open Sans" w:cs="Open Sans"/>
                <w:sz w:val="20"/>
                <w:szCs w:val="20"/>
              </w:rPr>
              <w:t>C</w:t>
            </w:r>
          </w:p>
        </w:tc>
        <w:tc>
          <w:tcPr>
            <w:tcW w:w="4145" w:type="dxa"/>
            <w:hideMark/>
          </w:tcPr>
          <w:p w14:paraId="490E7E7D" w14:textId="77777777" w:rsidR="00610DC8" w:rsidRPr="007D5AAA" w:rsidRDefault="00610DC8" w:rsidP="00610DC8">
            <w:pPr>
              <w:pStyle w:val="NormalWeb"/>
              <w:jc w:val="both"/>
              <w:rPr>
                <w:rFonts w:ascii="Open Sans" w:hAnsi="Open Sans" w:cs="Open Sans"/>
                <w:sz w:val="20"/>
                <w:szCs w:val="20"/>
              </w:rPr>
            </w:pPr>
            <w:r w:rsidRPr="007D5AAA">
              <w:rPr>
                <w:rFonts w:ascii="Open Sans" w:hAnsi="Open Sans" w:cs="Open Sans"/>
                <w:sz w:val="20"/>
                <w:szCs w:val="20"/>
              </w:rPr>
              <w:t>Casual</w:t>
            </w:r>
          </w:p>
        </w:tc>
        <w:tc>
          <w:tcPr>
            <w:tcW w:w="981" w:type="dxa"/>
          </w:tcPr>
          <w:p w14:paraId="4D9B580D" w14:textId="167CE9FA" w:rsidR="00610DC8" w:rsidRPr="007D5AAA" w:rsidRDefault="00610DC8" w:rsidP="00610DC8">
            <w:pPr>
              <w:pStyle w:val="NormalWeb"/>
              <w:jc w:val="both"/>
              <w:rPr>
                <w:rFonts w:ascii="Open Sans" w:hAnsi="Open Sans" w:cs="Open Sans"/>
                <w:sz w:val="20"/>
                <w:szCs w:val="20"/>
              </w:rPr>
            </w:pPr>
            <w:r w:rsidRPr="00A03A92">
              <w:rPr>
                <w:rFonts w:ascii="Open Sans" w:hAnsi="Open Sans" w:cs="Open Sans"/>
                <w:b/>
                <w:bCs/>
                <w:sz w:val="20"/>
                <w:szCs w:val="20"/>
              </w:rPr>
              <w:t>Count</w:t>
            </w:r>
          </w:p>
        </w:tc>
        <w:tc>
          <w:tcPr>
            <w:tcW w:w="1042" w:type="dxa"/>
            <w:hideMark/>
          </w:tcPr>
          <w:p w14:paraId="4C175DF2" w14:textId="0CD4750E" w:rsidR="00610DC8" w:rsidRPr="007D5AAA" w:rsidRDefault="00610DC8" w:rsidP="00610DC8">
            <w:pPr>
              <w:pStyle w:val="NormalWeb"/>
              <w:jc w:val="both"/>
              <w:rPr>
                <w:rFonts w:ascii="Open Sans" w:hAnsi="Open Sans" w:cs="Open Sans"/>
                <w:sz w:val="20"/>
                <w:szCs w:val="20"/>
              </w:rPr>
            </w:pPr>
            <w:r w:rsidRPr="007D5AAA">
              <w:rPr>
                <w:rFonts w:ascii="Open Sans" w:hAnsi="Open Sans" w:cs="Open Sans"/>
                <w:sz w:val="20"/>
                <w:szCs w:val="20"/>
              </w:rPr>
              <w:t>64</w:t>
            </w:r>
          </w:p>
        </w:tc>
        <w:tc>
          <w:tcPr>
            <w:tcW w:w="494" w:type="dxa"/>
          </w:tcPr>
          <w:p w14:paraId="72BE3D37" w14:textId="49C0B5E0" w:rsidR="00610DC8" w:rsidRPr="007D5AAA" w:rsidRDefault="00610DC8" w:rsidP="00610DC8">
            <w:pPr>
              <w:pStyle w:val="NormalWeb"/>
              <w:jc w:val="both"/>
              <w:rPr>
                <w:rFonts w:ascii="Open Sans" w:hAnsi="Open Sans" w:cs="Open Sans"/>
                <w:sz w:val="20"/>
                <w:szCs w:val="20"/>
              </w:rPr>
            </w:pPr>
            <w:r w:rsidRPr="00BC29B4">
              <w:rPr>
                <w:rFonts w:ascii="Open Sans" w:hAnsi="Open Sans" w:cs="Open Sans"/>
                <w:b/>
                <w:bCs/>
                <w:sz w:val="20"/>
                <w:szCs w:val="20"/>
              </w:rPr>
              <w:t>%</w:t>
            </w:r>
          </w:p>
        </w:tc>
        <w:tc>
          <w:tcPr>
            <w:tcW w:w="851" w:type="dxa"/>
            <w:hideMark/>
          </w:tcPr>
          <w:p w14:paraId="377BF344" w14:textId="103C420A" w:rsidR="00610DC8" w:rsidRPr="007D5AAA" w:rsidRDefault="00610DC8" w:rsidP="00610DC8">
            <w:pPr>
              <w:pStyle w:val="NormalWeb"/>
              <w:jc w:val="both"/>
              <w:rPr>
                <w:rFonts w:ascii="Open Sans" w:hAnsi="Open Sans" w:cs="Open Sans"/>
                <w:sz w:val="20"/>
                <w:szCs w:val="20"/>
              </w:rPr>
            </w:pPr>
            <w:r w:rsidRPr="007D5AAA">
              <w:rPr>
                <w:rFonts w:ascii="Open Sans" w:hAnsi="Open Sans" w:cs="Open Sans"/>
                <w:sz w:val="20"/>
                <w:szCs w:val="20"/>
              </w:rPr>
              <w:t>25.6%</w:t>
            </w:r>
          </w:p>
        </w:tc>
      </w:tr>
      <w:tr w:rsidR="00610DC8" w:rsidRPr="007D5AAA" w14:paraId="3B37BAE3" w14:textId="77777777" w:rsidTr="008A693D">
        <w:tc>
          <w:tcPr>
            <w:tcW w:w="1271" w:type="dxa"/>
            <w:hideMark/>
          </w:tcPr>
          <w:p w14:paraId="3E674B26" w14:textId="3CEB4C42" w:rsidR="00610DC8" w:rsidRPr="007D5AAA" w:rsidRDefault="00610DC8" w:rsidP="00610DC8">
            <w:pPr>
              <w:pStyle w:val="NormalWeb"/>
              <w:jc w:val="both"/>
              <w:rPr>
                <w:rFonts w:ascii="Open Sans" w:hAnsi="Open Sans" w:cs="Open Sans"/>
                <w:sz w:val="20"/>
                <w:szCs w:val="20"/>
              </w:rPr>
            </w:pPr>
            <w:r>
              <w:rPr>
                <w:rFonts w:ascii="Open Sans" w:hAnsi="Open Sans" w:cs="Open Sans"/>
                <w:sz w:val="20"/>
                <w:szCs w:val="20"/>
              </w:rPr>
              <w:t xml:space="preserve">Option </w:t>
            </w:r>
            <w:r w:rsidRPr="007D5AAA">
              <w:rPr>
                <w:rFonts w:ascii="Open Sans" w:hAnsi="Open Sans" w:cs="Open Sans"/>
                <w:sz w:val="20"/>
                <w:szCs w:val="20"/>
              </w:rPr>
              <w:t>D</w:t>
            </w:r>
          </w:p>
        </w:tc>
        <w:tc>
          <w:tcPr>
            <w:tcW w:w="4145" w:type="dxa"/>
            <w:hideMark/>
          </w:tcPr>
          <w:p w14:paraId="1BBAD73C" w14:textId="77777777" w:rsidR="00610DC8" w:rsidRPr="007D5AAA" w:rsidRDefault="00610DC8" w:rsidP="00610DC8">
            <w:pPr>
              <w:pStyle w:val="NormalWeb"/>
              <w:jc w:val="both"/>
              <w:rPr>
                <w:rFonts w:ascii="Open Sans" w:hAnsi="Open Sans" w:cs="Open Sans"/>
                <w:sz w:val="20"/>
                <w:szCs w:val="20"/>
              </w:rPr>
            </w:pPr>
            <w:r w:rsidRPr="007D5AAA">
              <w:rPr>
                <w:rFonts w:ascii="Open Sans" w:hAnsi="Open Sans" w:cs="Open Sans"/>
                <w:sz w:val="20"/>
                <w:szCs w:val="20"/>
              </w:rPr>
              <w:t>Part-time</w:t>
            </w:r>
          </w:p>
        </w:tc>
        <w:tc>
          <w:tcPr>
            <w:tcW w:w="981" w:type="dxa"/>
          </w:tcPr>
          <w:p w14:paraId="69F9ABA0" w14:textId="5128E21A" w:rsidR="00610DC8" w:rsidRPr="007D5AAA" w:rsidRDefault="00610DC8" w:rsidP="00610DC8">
            <w:pPr>
              <w:pStyle w:val="NormalWeb"/>
              <w:jc w:val="both"/>
              <w:rPr>
                <w:rFonts w:ascii="Open Sans" w:hAnsi="Open Sans" w:cs="Open Sans"/>
                <w:sz w:val="20"/>
                <w:szCs w:val="20"/>
              </w:rPr>
            </w:pPr>
            <w:r w:rsidRPr="00A03A92">
              <w:rPr>
                <w:rFonts w:ascii="Open Sans" w:hAnsi="Open Sans" w:cs="Open Sans"/>
                <w:b/>
                <w:bCs/>
                <w:sz w:val="20"/>
                <w:szCs w:val="20"/>
              </w:rPr>
              <w:t>Count</w:t>
            </w:r>
          </w:p>
        </w:tc>
        <w:tc>
          <w:tcPr>
            <w:tcW w:w="1042" w:type="dxa"/>
            <w:hideMark/>
          </w:tcPr>
          <w:p w14:paraId="69DFD7E2" w14:textId="5B8DCCE1" w:rsidR="00610DC8" w:rsidRPr="007D5AAA" w:rsidRDefault="00610DC8" w:rsidP="00610DC8">
            <w:pPr>
              <w:pStyle w:val="NormalWeb"/>
              <w:jc w:val="both"/>
              <w:rPr>
                <w:rFonts w:ascii="Open Sans" w:hAnsi="Open Sans" w:cs="Open Sans"/>
                <w:sz w:val="20"/>
                <w:szCs w:val="20"/>
              </w:rPr>
            </w:pPr>
            <w:r w:rsidRPr="007D5AAA">
              <w:rPr>
                <w:rFonts w:ascii="Open Sans" w:hAnsi="Open Sans" w:cs="Open Sans"/>
                <w:sz w:val="20"/>
                <w:szCs w:val="20"/>
              </w:rPr>
              <w:t>49</w:t>
            </w:r>
          </w:p>
        </w:tc>
        <w:tc>
          <w:tcPr>
            <w:tcW w:w="494" w:type="dxa"/>
          </w:tcPr>
          <w:p w14:paraId="257A926D" w14:textId="010E2F37" w:rsidR="00610DC8" w:rsidRPr="007D5AAA" w:rsidRDefault="00610DC8" w:rsidP="00610DC8">
            <w:pPr>
              <w:pStyle w:val="NormalWeb"/>
              <w:jc w:val="both"/>
              <w:rPr>
                <w:rFonts w:ascii="Open Sans" w:hAnsi="Open Sans" w:cs="Open Sans"/>
                <w:sz w:val="20"/>
                <w:szCs w:val="20"/>
              </w:rPr>
            </w:pPr>
            <w:r w:rsidRPr="00BC29B4">
              <w:rPr>
                <w:rFonts w:ascii="Open Sans" w:hAnsi="Open Sans" w:cs="Open Sans"/>
                <w:b/>
                <w:bCs/>
                <w:sz w:val="20"/>
                <w:szCs w:val="20"/>
              </w:rPr>
              <w:t>%</w:t>
            </w:r>
          </w:p>
        </w:tc>
        <w:tc>
          <w:tcPr>
            <w:tcW w:w="851" w:type="dxa"/>
            <w:hideMark/>
          </w:tcPr>
          <w:p w14:paraId="4B69F70E" w14:textId="073F610B" w:rsidR="00610DC8" w:rsidRPr="007D5AAA" w:rsidRDefault="00610DC8" w:rsidP="00610DC8">
            <w:pPr>
              <w:pStyle w:val="NormalWeb"/>
              <w:jc w:val="both"/>
              <w:rPr>
                <w:rFonts w:ascii="Open Sans" w:hAnsi="Open Sans" w:cs="Open Sans"/>
                <w:sz w:val="20"/>
                <w:szCs w:val="20"/>
              </w:rPr>
            </w:pPr>
            <w:r w:rsidRPr="007D5AAA">
              <w:rPr>
                <w:rFonts w:ascii="Open Sans" w:hAnsi="Open Sans" w:cs="Open Sans"/>
                <w:sz w:val="20"/>
                <w:szCs w:val="20"/>
              </w:rPr>
              <w:t>19.6%</w:t>
            </w:r>
          </w:p>
        </w:tc>
      </w:tr>
      <w:tr w:rsidR="00610DC8" w:rsidRPr="007D5AAA" w14:paraId="64D33C3A" w14:textId="77777777" w:rsidTr="008A693D">
        <w:tc>
          <w:tcPr>
            <w:tcW w:w="1271" w:type="dxa"/>
            <w:hideMark/>
          </w:tcPr>
          <w:p w14:paraId="64097865" w14:textId="2A7F47FE" w:rsidR="00610DC8" w:rsidRPr="007D5AAA" w:rsidRDefault="00610DC8" w:rsidP="00610DC8">
            <w:pPr>
              <w:pStyle w:val="NormalWeb"/>
              <w:jc w:val="both"/>
              <w:rPr>
                <w:rFonts w:ascii="Open Sans" w:hAnsi="Open Sans" w:cs="Open Sans"/>
                <w:sz w:val="20"/>
                <w:szCs w:val="20"/>
              </w:rPr>
            </w:pPr>
            <w:r>
              <w:rPr>
                <w:rFonts w:ascii="Open Sans" w:hAnsi="Open Sans" w:cs="Open Sans"/>
                <w:sz w:val="20"/>
                <w:szCs w:val="20"/>
              </w:rPr>
              <w:t xml:space="preserve">Option </w:t>
            </w:r>
            <w:r w:rsidRPr="007D5AAA">
              <w:rPr>
                <w:rFonts w:ascii="Open Sans" w:hAnsi="Open Sans" w:cs="Open Sans"/>
                <w:sz w:val="20"/>
                <w:szCs w:val="20"/>
              </w:rPr>
              <w:t>E</w:t>
            </w:r>
          </w:p>
        </w:tc>
        <w:tc>
          <w:tcPr>
            <w:tcW w:w="4145" w:type="dxa"/>
            <w:hideMark/>
          </w:tcPr>
          <w:p w14:paraId="5A5CA40A" w14:textId="77777777" w:rsidR="00610DC8" w:rsidRPr="007D5AAA" w:rsidRDefault="00610DC8" w:rsidP="00610DC8">
            <w:pPr>
              <w:pStyle w:val="NormalWeb"/>
              <w:jc w:val="both"/>
              <w:rPr>
                <w:rFonts w:ascii="Open Sans" w:hAnsi="Open Sans" w:cs="Open Sans"/>
                <w:sz w:val="20"/>
                <w:szCs w:val="20"/>
              </w:rPr>
            </w:pPr>
            <w:r w:rsidRPr="007D5AAA">
              <w:rPr>
                <w:rFonts w:ascii="Open Sans" w:hAnsi="Open Sans" w:cs="Open Sans"/>
                <w:sz w:val="20"/>
                <w:szCs w:val="20"/>
              </w:rPr>
              <w:t>Full-time</w:t>
            </w:r>
          </w:p>
        </w:tc>
        <w:tc>
          <w:tcPr>
            <w:tcW w:w="981" w:type="dxa"/>
          </w:tcPr>
          <w:p w14:paraId="124958EC" w14:textId="2876E7D2" w:rsidR="00610DC8" w:rsidRPr="007D5AAA" w:rsidRDefault="00610DC8" w:rsidP="00610DC8">
            <w:pPr>
              <w:pStyle w:val="NormalWeb"/>
              <w:jc w:val="both"/>
              <w:rPr>
                <w:rFonts w:ascii="Open Sans" w:hAnsi="Open Sans" w:cs="Open Sans"/>
                <w:sz w:val="20"/>
                <w:szCs w:val="20"/>
              </w:rPr>
            </w:pPr>
            <w:r w:rsidRPr="00A03A92">
              <w:rPr>
                <w:rFonts w:ascii="Open Sans" w:hAnsi="Open Sans" w:cs="Open Sans"/>
                <w:b/>
                <w:bCs/>
                <w:sz w:val="20"/>
                <w:szCs w:val="20"/>
              </w:rPr>
              <w:t>Count</w:t>
            </w:r>
          </w:p>
        </w:tc>
        <w:tc>
          <w:tcPr>
            <w:tcW w:w="1042" w:type="dxa"/>
            <w:hideMark/>
          </w:tcPr>
          <w:p w14:paraId="2F0DFC4F" w14:textId="2A3A1BCD" w:rsidR="00610DC8" w:rsidRPr="007D5AAA" w:rsidRDefault="00610DC8" w:rsidP="00610DC8">
            <w:pPr>
              <w:pStyle w:val="NormalWeb"/>
              <w:jc w:val="both"/>
              <w:rPr>
                <w:rFonts w:ascii="Open Sans" w:hAnsi="Open Sans" w:cs="Open Sans"/>
                <w:sz w:val="20"/>
                <w:szCs w:val="20"/>
              </w:rPr>
            </w:pPr>
            <w:r w:rsidRPr="007D5AAA">
              <w:rPr>
                <w:rFonts w:ascii="Open Sans" w:hAnsi="Open Sans" w:cs="Open Sans"/>
                <w:sz w:val="20"/>
                <w:szCs w:val="20"/>
              </w:rPr>
              <w:t>70</w:t>
            </w:r>
          </w:p>
        </w:tc>
        <w:tc>
          <w:tcPr>
            <w:tcW w:w="494" w:type="dxa"/>
          </w:tcPr>
          <w:p w14:paraId="2298B0C9" w14:textId="1836067B" w:rsidR="00610DC8" w:rsidRPr="007D5AAA" w:rsidRDefault="00610DC8" w:rsidP="00610DC8">
            <w:pPr>
              <w:pStyle w:val="NormalWeb"/>
              <w:jc w:val="both"/>
              <w:rPr>
                <w:rFonts w:ascii="Open Sans" w:hAnsi="Open Sans" w:cs="Open Sans"/>
                <w:sz w:val="20"/>
                <w:szCs w:val="20"/>
              </w:rPr>
            </w:pPr>
            <w:r w:rsidRPr="00BC29B4">
              <w:rPr>
                <w:rFonts w:ascii="Open Sans" w:hAnsi="Open Sans" w:cs="Open Sans"/>
                <w:b/>
                <w:bCs/>
                <w:sz w:val="20"/>
                <w:szCs w:val="20"/>
              </w:rPr>
              <w:t>%</w:t>
            </w:r>
          </w:p>
        </w:tc>
        <w:tc>
          <w:tcPr>
            <w:tcW w:w="851" w:type="dxa"/>
            <w:hideMark/>
          </w:tcPr>
          <w:p w14:paraId="46953306" w14:textId="6A50389C" w:rsidR="00610DC8" w:rsidRPr="007D5AAA" w:rsidRDefault="00610DC8" w:rsidP="00610DC8">
            <w:pPr>
              <w:pStyle w:val="NormalWeb"/>
              <w:jc w:val="both"/>
              <w:rPr>
                <w:rFonts w:ascii="Open Sans" w:hAnsi="Open Sans" w:cs="Open Sans"/>
                <w:sz w:val="20"/>
                <w:szCs w:val="20"/>
              </w:rPr>
            </w:pPr>
            <w:r w:rsidRPr="007D5AAA">
              <w:rPr>
                <w:rFonts w:ascii="Open Sans" w:hAnsi="Open Sans" w:cs="Open Sans"/>
                <w:sz w:val="20"/>
                <w:szCs w:val="20"/>
              </w:rPr>
              <w:t>28%</w:t>
            </w:r>
          </w:p>
        </w:tc>
      </w:tr>
      <w:tr w:rsidR="00610DC8" w:rsidRPr="007D5AAA" w14:paraId="2DFCBE1C" w14:textId="77777777" w:rsidTr="008A693D">
        <w:tc>
          <w:tcPr>
            <w:tcW w:w="1271" w:type="dxa"/>
            <w:hideMark/>
          </w:tcPr>
          <w:p w14:paraId="16BA6F1D" w14:textId="4FD67A46" w:rsidR="00610DC8" w:rsidRPr="007D5AAA" w:rsidRDefault="00610DC8" w:rsidP="00610DC8">
            <w:pPr>
              <w:pStyle w:val="NormalWeb"/>
              <w:jc w:val="both"/>
              <w:rPr>
                <w:rFonts w:ascii="Open Sans" w:hAnsi="Open Sans" w:cs="Open Sans"/>
                <w:sz w:val="20"/>
                <w:szCs w:val="20"/>
              </w:rPr>
            </w:pPr>
            <w:r>
              <w:rPr>
                <w:rFonts w:ascii="Open Sans" w:hAnsi="Open Sans" w:cs="Open Sans"/>
                <w:sz w:val="20"/>
                <w:szCs w:val="20"/>
              </w:rPr>
              <w:t xml:space="preserve">Option </w:t>
            </w:r>
            <w:r w:rsidRPr="007D5AAA">
              <w:rPr>
                <w:rFonts w:ascii="Open Sans" w:hAnsi="Open Sans" w:cs="Open Sans"/>
                <w:sz w:val="20"/>
                <w:szCs w:val="20"/>
              </w:rPr>
              <w:t>F</w:t>
            </w:r>
          </w:p>
        </w:tc>
        <w:tc>
          <w:tcPr>
            <w:tcW w:w="4145" w:type="dxa"/>
            <w:hideMark/>
          </w:tcPr>
          <w:p w14:paraId="0945708C" w14:textId="77777777" w:rsidR="00610DC8" w:rsidRPr="007D5AAA" w:rsidRDefault="00610DC8" w:rsidP="00610DC8">
            <w:pPr>
              <w:pStyle w:val="NormalWeb"/>
              <w:jc w:val="both"/>
              <w:rPr>
                <w:rFonts w:ascii="Open Sans" w:hAnsi="Open Sans" w:cs="Open Sans"/>
                <w:sz w:val="20"/>
                <w:szCs w:val="20"/>
              </w:rPr>
            </w:pPr>
            <w:r w:rsidRPr="007D5AAA">
              <w:rPr>
                <w:rFonts w:ascii="Open Sans" w:hAnsi="Open Sans" w:cs="Open Sans"/>
                <w:sz w:val="20"/>
                <w:szCs w:val="20"/>
              </w:rPr>
              <w:t>Receiving a Centrelink payment</w:t>
            </w:r>
          </w:p>
        </w:tc>
        <w:tc>
          <w:tcPr>
            <w:tcW w:w="981" w:type="dxa"/>
          </w:tcPr>
          <w:p w14:paraId="4A2BB0EF" w14:textId="74A83E19" w:rsidR="00610DC8" w:rsidRPr="007D5AAA" w:rsidRDefault="00610DC8" w:rsidP="00610DC8">
            <w:pPr>
              <w:pStyle w:val="NormalWeb"/>
              <w:jc w:val="both"/>
              <w:rPr>
                <w:rFonts w:ascii="Open Sans" w:hAnsi="Open Sans" w:cs="Open Sans"/>
                <w:sz w:val="20"/>
                <w:szCs w:val="20"/>
              </w:rPr>
            </w:pPr>
            <w:r w:rsidRPr="00A03A92">
              <w:rPr>
                <w:rFonts w:ascii="Open Sans" w:hAnsi="Open Sans" w:cs="Open Sans"/>
                <w:b/>
                <w:bCs/>
                <w:sz w:val="20"/>
                <w:szCs w:val="20"/>
              </w:rPr>
              <w:t>Count</w:t>
            </w:r>
          </w:p>
        </w:tc>
        <w:tc>
          <w:tcPr>
            <w:tcW w:w="1042" w:type="dxa"/>
            <w:hideMark/>
          </w:tcPr>
          <w:p w14:paraId="47FB6980" w14:textId="22E51A39" w:rsidR="00610DC8" w:rsidRPr="007D5AAA" w:rsidRDefault="00610DC8" w:rsidP="00610DC8">
            <w:pPr>
              <w:pStyle w:val="NormalWeb"/>
              <w:jc w:val="both"/>
              <w:rPr>
                <w:rFonts w:ascii="Open Sans" w:hAnsi="Open Sans" w:cs="Open Sans"/>
                <w:sz w:val="20"/>
                <w:szCs w:val="20"/>
              </w:rPr>
            </w:pPr>
            <w:r w:rsidRPr="007D5AAA">
              <w:rPr>
                <w:rFonts w:ascii="Open Sans" w:hAnsi="Open Sans" w:cs="Open Sans"/>
                <w:sz w:val="20"/>
                <w:szCs w:val="20"/>
              </w:rPr>
              <w:t>70</w:t>
            </w:r>
          </w:p>
        </w:tc>
        <w:tc>
          <w:tcPr>
            <w:tcW w:w="494" w:type="dxa"/>
          </w:tcPr>
          <w:p w14:paraId="09A66890" w14:textId="6BA36AAF" w:rsidR="00610DC8" w:rsidRPr="007D5AAA" w:rsidRDefault="00610DC8" w:rsidP="00610DC8">
            <w:pPr>
              <w:pStyle w:val="NormalWeb"/>
              <w:jc w:val="both"/>
              <w:rPr>
                <w:rFonts w:ascii="Open Sans" w:hAnsi="Open Sans" w:cs="Open Sans"/>
                <w:sz w:val="20"/>
                <w:szCs w:val="20"/>
              </w:rPr>
            </w:pPr>
            <w:r w:rsidRPr="00BC29B4">
              <w:rPr>
                <w:rFonts w:ascii="Open Sans" w:hAnsi="Open Sans" w:cs="Open Sans"/>
                <w:b/>
                <w:bCs/>
                <w:sz w:val="20"/>
                <w:szCs w:val="20"/>
              </w:rPr>
              <w:t>%</w:t>
            </w:r>
          </w:p>
        </w:tc>
        <w:tc>
          <w:tcPr>
            <w:tcW w:w="851" w:type="dxa"/>
            <w:hideMark/>
          </w:tcPr>
          <w:p w14:paraId="130B27A6" w14:textId="56C2C903" w:rsidR="00610DC8" w:rsidRPr="007D5AAA" w:rsidRDefault="00610DC8" w:rsidP="00610DC8">
            <w:pPr>
              <w:pStyle w:val="NormalWeb"/>
              <w:jc w:val="both"/>
              <w:rPr>
                <w:rFonts w:ascii="Open Sans" w:hAnsi="Open Sans" w:cs="Open Sans"/>
                <w:sz w:val="20"/>
                <w:szCs w:val="20"/>
              </w:rPr>
            </w:pPr>
            <w:r w:rsidRPr="007D5AAA">
              <w:rPr>
                <w:rFonts w:ascii="Open Sans" w:hAnsi="Open Sans" w:cs="Open Sans"/>
                <w:sz w:val="20"/>
                <w:szCs w:val="20"/>
              </w:rPr>
              <w:t>28%</w:t>
            </w:r>
          </w:p>
        </w:tc>
      </w:tr>
      <w:tr w:rsidR="00610DC8" w:rsidRPr="007D5AAA" w14:paraId="74CB1A00" w14:textId="77777777" w:rsidTr="008A693D">
        <w:tc>
          <w:tcPr>
            <w:tcW w:w="1271" w:type="dxa"/>
            <w:hideMark/>
          </w:tcPr>
          <w:p w14:paraId="5415F17E" w14:textId="238AD434" w:rsidR="00610DC8" w:rsidRPr="007D5AAA" w:rsidRDefault="00610DC8" w:rsidP="00610DC8">
            <w:pPr>
              <w:pStyle w:val="NormalWeb"/>
              <w:jc w:val="both"/>
              <w:rPr>
                <w:rFonts w:ascii="Open Sans" w:hAnsi="Open Sans" w:cs="Open Sans"/>
                <w:sz w:val="20"/>
                <w:szCs w:val="20"/>
              </w:rPr>
            </w:pPr>
            <w:r>
              <w:rPr>
                <w:rFonts w:ascii="Open Sans" w:hAnsi="Open Sans" w:cs="Open Sans"/>
                <w:sz w:val="20"/>
                <w:szCs w:val="20"/>
              </w:rPr>
              <w:t xml:space="preserve">Option </w:t>
            </w:r>
            <w:r w:rsidRPr="007D5AAA">
              <w:rPr>
                <w:rFonts w:ascii="Open Sans" w:hAnsi="Open Sans" w:cs="Open Sans"/>
                <w:sz w:val="20"/>
                <w:szCs w:val="20"/>
              </w:rPr>
              <w:t>G</w:t>
            </w:r>
          </w:p>
        </w:tc>
        <w:tc>
          <w:tcPr>
            <w:tcW w:w="4145" w:type="dxa"/>
            <w:hideMark/>
          </w:tcPr>
          <w:p w14:paraId="68DE46E3" w14:textId="77777777" w:rsidR="00610DC8" w:rsidRPr="007D5AAA" w:rsidRDefault="00610DC8" w:rsidP="00610DC8">
            <w:pPr>
              <w:pStyle w:val="NormalWeb"/>
              <w:jc w:val="both"/>
              <w:rPr>
                <w:rFonts w:ascii="Open Sans" w:hAnsi="Open Sans" w:cs="Open Sans"/>
                <w:sz w:val="20"/>
                <w:szCs w:val="20"/>
              </w:rPr>
            </w:pPr>
            <w:r w:rsidRPr="007D5AAA">
              <w:rPr>
                <w:rFonts w:ascii="Open Sans" w:hAnsi="Open Sans" w:cs="Open Sans"/>
                <w:sz w:val="20"/>
                <w:szCs w:val="20"/>
              </w:rPr>
              <w:t>Not eligible to receive Centrelink</w:t>
            </w:r>
          </w:p>
        </w:tc>
        <w:tc>
          <w:tcPr>
            <w:tcW w:w="981" w:type="dxa"/>
          </w:tcPr>
          <w:p w14:paraId="0005B7B0" w14:textId="75634AFA" w:rsidR="00610DC8" w:rsidRPr="007D5AAA" w:rsidRDefault="00610DC8" w:rsidP="00610DC8">
            <w:pPr>
              <w:pStyle w:val="NormalWeb"/>
              <w:jc w:val="both"/>
              <w:rPr>
                <w:rFonts w:ascii="Open Sans" w:hAnsi="Open Sans" w:cs="Open Sans"/>
                <w:sz w:val="20"/>
                <w:szCs w:val="20"/>
              </w:rPr>
            </w:pPr>
            <w:r w:rsidRPr="00A03A92">
              <w:rPr>
                <w:rFonts w:ascii="Open Sans" w:hAnsi="Open Sans" w:cs="Open Sans"/>
                <w:b/>
                <w:bCs/>
                <w:sz w:val="20"/>
                <w:szCs w:val="20"/>
              </w:rPr>
              <w:t>Count</w:t>
            </w:r>
          </w:p>
        </w:tc>
        <w:tc>
          <w:tcPr>
            <w:tcW w:w="1042" w:type="dxa"/>
            <w:hideMark/>
          </w:tcPr>
          <w:p w14:paraId="325263AF" w14:textId="092F8B75" w:rsidR="00610DC8" w:rsidRPr="007D5AAA" w:rsidRDefault="00610DC8" w:rsidP="00610DC8">
            <w:pPr>
              <w:pStyle w:val="NormalWeb"/>
              <w:jc w:val="both"/>
              <w:rPr>
                <w:rFonts w:ascii="Open Sans" w:hAnsi="Open Sans" w:cs="Open Sans"/>
                <w:sz w:val="20"/>
                <w:szCs w:val="20"/>
              </w:rPr>
            </w:pPr>
            <w:r w:rsidRPr="007D5AAA">
              <w:rPr>
                <w:rFonts w:ascii="Open Sans" w:hAnsi="Open Sans" w:cs="Open Sans"/>
                <w:sz w:val="20"/>
                <w:szCs w:val="20"/>
              </w:rPr>
              <w:t>18</w:t>
            </w:r>
          </w:p>
        </w:tc>
        <w:tc>
          <w:tcPr>
            <w:tcW w:w="494" w:type="dxa"/>
          </w:tcPr>
          <w:p w14:paraId="118A81B9" w14:textId="7740A449" w:rsidR="00610DC8" w:rsidRPr="007D5AAA" w:rsidRDefault="00610DC8" w:rsidP="00610DC8">
            <w:pPr>
              <w:pStyle w:val="NormalWeb"/>
              <w:jc w:val="both"/>
              <w:rPr>
                <w:rFonts w:ascii="Open Sans" w:hAnsi="Open Sans" w:cs="Open Sans"/>
                <w:sz w:val="20"/>
                <w:szCs w:val="20"/>
              </w:rPr>
            </w:pPr>
            <w:r w:rsidRPr="00BC29B4">
              <w:rPr>
                <w:rFonts w:ascii="Open Sans" w:hAnsi="Open Sans" w:cs="Open Sans"/>
                <w:b/>
                <w:bCs/>
                <w:sz w:val="20"/>
                <w:szCs w:val="20"/>
              </w:rPr>
              <w:t>%</w:t>
            </w:r>
          </w:p>
        </w:tc>
        <w:tc>
          <w:tcPr>
            <w:tcW w:w="851" w:type="dxa"/>
            <w:hideMark/>
          </w:tcPr>
          <w:p w14:paraId="1DC6F5A9" w14:textId="50060213" w:rsidR="00610DC8" w:rsidRPr="007D5AAA" w:rsidRDefault="00610DC8" w:rsidP="00610DC8">
            <w:pPr>
              <w:pStyle w:val="NormalWeb"/>
              <w:jc w:val="both"/>
              <w:rPr>
                <w:rFonts w:ascii="Open Sans" w:hAnsi="Open Sans" w:cs="Open Sans"/>
                <w:sz w:val="20"/>
                <w:szCs w:val="20"/>
              </w:rPr>
            </w:pPr>
            <w:r w:rsidRPr="007D5AAA">
              <w:rPr>
                <w:rFonts w:ascii="Open Sans" w:hAnsi="Open Sans" w:cs="Open Sans"/>
                <w:sz w:val="20"/>
                <w:szCs w:val="20"/>
              </w:rPr>
              <w:t>18%</w:t>
            </w:r>
          </w:p>
        </w:tc>
      </w:tr>
      <w:tr w:rsidR="00610DC8" w:rsidRPr="007D5AAA" w14:paraId="005741D1" w14:textId="77777777" w:rsidTr="008A693D">
        <w:tc>
          <w:tcPr>
            <w:tcW w:w="1271" w:type="dxa"/>
            <w:hideMark/>
          </w:tcPr>
          <w:p w14:paraId="2EB16863" w14:textId="3A6DF7FD" w:rsidR="00610DC8" w:rsidRPr="007D5AAA" w:rsidRDefault="00610DC8" w:rsidP="00610DC8">
            <w:pPr>
              <w:pStyle w:val="NormalWeb"/>
              <w:jc w:val="both"/>
              <w:rPr>
                <w:rFonts w:ascii="Open Sans" w:hAnsi="Open Sans" w:cs="Open Sans"/>
                <w:sz w:val="20"/>
                <w:szCs w:val="20"/>
              </w:rPr>
            </w:pPr>
            <w:r>
              <w:rPr>
                <w:rFonts w:ascii="Open Sans" w:hAnsi="Open Sans" w:cs="Open Sans"/>
                <w:sz w:val="20"/>
                <w:szCs w:val="20"/>
              </w:rPr>
              <w:t xml:space="preserve">Option </w:t>
            </w:r>
            <w:r w:rsidRPr="007D5AAA">
              <w:rPr>
                <w:rFonts w:ascii="Open Sans" w:hAnsi="Open Sans" w:cs="Open Sans"/>
                <w:sz w:val="20"/>
                <w:szCs w:val="20"/>
              </w:rPr>
              <w:t>H</w:t>
            </w:r>
          </w:p>
        </w:tc>
        <w:tc>
          <w:tcPr>
            <w:tcW w:w="4145" w:type="dxa"/>
            <w:hideMark/>
          </w:tcPr>
          <w:p w14:paraId="66FE7781" w14:textId="77777777" w:rsidR="00610DC8" w:rsidRPr="007D5AAA" w:rsidRDefault="00610DC8" w:rsidP="00610DC8">
            <w:pPr>
              <w:pStyle w:val="NormalWeb"/>
              <w:jc w:val="both"/>
              <w:rPr>
                <w:rFonts w:ascii="Open Sans" w:hAnsi="Open Sans" w:cs="Open Sans"/>
                <w:sz w:val="20"/>
                <w:szCs w:val="20"/>
              </w:rPr>
            </w:pPr>
            <w:r w:rsidRPr="007D5AAA">
              <w:rPr>
                <w:rFonts w:ascii="Open Sans" w:hAnsi="Open Sans" w:cs="Open Sans"/>
                <w:sz w:val="20"/>
                <w:szCs w:val="20"/>
              </w:rPr>
              <w:t>Actively looking for employment</w:t>
            </w:r>
          </w:p>
        </w:tc>
        <w:tc>
          <w:tcPr>
            <w:tcW w:w="981" w:type="dxa"/>
          </w:tcPr>
          <w:p w14:paraId="098A77C4" w14:textId="7D40496F" w:rsidR="00610DC8" w:rsidRPr="007D5AAA" w:rsidRDefault="00610DC8" w:rsidP="00610DC8">
            <w:pPr>
              <w:pStyle w:val="NormalWeb"/>
              <w:jc w:val="both"/>
              <w:rPr>
                <w:rFonts w:ascii="Open Sans" w:hAnsi="Open Sans" w:cs="Open Sans"/>
                <w:sz w:val="20"/>
                <w:szCs w:val="20"/>
              </w:rPr>
            </w:pPr>
            <w:r w:rsidRPr="00A03A92">
              <w:rPr>
                <w:rFonts w:ascii="Open Sans" w:hAnsi="Open Sans" w:cs="Open Sans"/>
                <w:b/>
                <w:bCs/>
                <w:sz w:val="20"/>
                <w:szCs w:val="20"/>
              </w:rPr>
              <w:t>Count</w:t>
            </w:r>
          </w:p>
        </w:tc>
        <w:tc>
          <w:tcPr>
            <w:tcW w:w="1042" w:type="dxa"/>
            <w:hideMark/>
          </w:tcPr>
          <w:p w14:paraId="4B3B6C06" w14:textId="7664868B" w:rsidR="00610DC8" w:rsidRPr="007D5AAA" w:rsidRDefault="00610DC8" w:rsidP="00610DC8">
            <w:pPr>
              <w:pStyle w:val="NormalWeb"/>
              <w:jc w:val="both"/>
              <w:rPr>
                <w:rFonts w:ascii="Open Sans" w:hAnsi="Open Sans" w:cs="Open Sans"/>
                <w:sz w:val="20"/>
                <w:szCs w:val="20"/>
              </w:rPr>
            </w:pPr>
            <w:r w:rsidRPr="007D5AAA">
              <w:rPr>
                <w:rFonts w:ascii="Open Sans" w:hAnsi="Open Sans" w:cs="Open Sans"/>
                <w:sz w:val="20"/>
                <w:szCs w:val="20"/>
              </w:rPr>
              <w:t>21</w:t>
            </w:r>
          </w:p>
        </w:tc>
        <w:tc>
          <w:tcPr>
            <w:tcW w:w="494" w:type="dxa"/>
          </w:tcPr>
          <w:p w14:paraId="42920570" w14:textId="05EB6B8D" w:rsidR="00610DC8" w:rsidRPr="007D5AAA" w:rsidRDefault="00610DC8" w:rsidP="00610DC8">
            <w:pPr>
              <w:pStyle w:val="NormalWeb"/>
              <w:jc w:val="both"/>
              <w:rPr>
                <w:rFonts w:ascii="Open Sans" w:hAnsi="Open Sans" w:cs="Open Sans"/>
                <w:sz w:val="20"/>
                <w:szCs w:val="20"/>
              </w:rPr>
            </w:pPr>
            <w:r w:rsidRPr="00BC29B4">
              <w:rPr>
                <w:rFonts w:ascii="Open Sans" w:hAnsi="Open Sans" w:cs="Open Sans"/>
                <w:b/>
                <w:bCs/>
                <w:sz w:val="20"/>
                <w:szCs w:val="20"/>
              </w:rPr>
              <w:t>%</w:t>
            </w:r>
          </w:p>
        </w:tc>
        <w:tc>
          <w:tcPr>
            <w:tcW w:w="851" w:type="dxa"/>
            <w:hideMark/>
          </w:tcPr>
          <w:p w14:paraId="41AC0C0E" w14:textId="099F627D" w:rsidR="00610DC8" w:rsidRPr="007D5AAA" w:rsidRDefault="00610DC8" w:rsidP="00610DC8">
            <w:pPr>
              <w:pStyle w:val="NormalWeb"/>
              <w:jc w:val="both"/>
              <w:rPr>
                <w:rFonts w:ascii="Open Sans" w:hAnsi="Open Sans" w:cs="Open Sans"/>
                <w:sz w:val="20"/>
                <w:szCs w:val="20"/>
              </w:rPr>
            </w:pPr>
            <w:r w:rsidRPr="007D5AAA">
              <w:rPr>
                <w:rFonts w:ascii="Open Sans" w:hAnsi="Open Sans" w:cs="Open Sans"/>
                <w:sz w:val="20"/>
                <w:szCs w:val="20"/>
              </w:rPr>
              <w:t>21%</w:t>
            </w:r>
          </w:p>
        </w:tc>
      </w:tr>
    </w:tbl>
    <w:p w14:paraId="06B2A6AC" w14:textId="77777777" w:rsidR="00F9584B" w:rsidRPr="00F9584B" w:rsidRDefault="00F9584B" w:rsidP="00F9584B">
      <w:pPr>
        <w:pStyle w:val="BodyText"/>
        <w:rPr>
          <w:b/>
          <w:bCs/>
          <w:lang w:val="en-AU"/>
        </w:rPr>
      </w:pPr>
    </w:p>
    <w:p w14:paraId="655C858D" w14:textId="45D7142E" w:rsidR="00E654F7" w:rsidRPr="009A5B8A" w:rsidRDefault="00E654F7" w:rsidP="009A5B8A">
      <w:pPr>
        <w:pStyle w:val="Heading2"/>
      </w:pPr>
      <w:bookmarkStart w:id="58" w:name="_Toc96092073"/>
      <w:r w:rsidRPr="009A5B8A">
        <w:t>Student status</w:t>
      </w:r>
      <w:bookmarkEnd w:id="58"/>
    </w:p>
    <w:p w14:paraId="3C5794CF" w14:textId="3C0A4587" w:rsidR="00DD25E0" w:rsidRPr="00CE2F22" w:rsidRDefault="00DD25E0" w:rsidP="00DD25E0">
      <w:pPr>
        <w:pStyle w:val="BodyText"/>
        <w:rPr>
          <w:lang w:val="en-AU"/>
        </w:rPr>
      </w:pPr>
      <w:r w:rsidRPr="00CE2F22">
        <w:rPr>
          <w:lang w:val="en-AU"/>
        </w:rPr>
        <w:t>Respondents current studying status showed that 42% are not studying, 25.6% are undergraduate students, 13.6% are undertaking postgraduate studies, and 6.4% are still in high school (years 7-12).</w:t>
      </w:r>
    </w:p>
    <w:p w14:paraId="2E14102E" w14:textId="77777777" w:rsidR="00F9584B" w:rsidRDefault="00F9584B" w:rsidP="00F9584B">
      <w:pPr>
        <w:pStyle w:val="BodyText"/>
        <w:rPr>
          <w:b/>
          <w:bCs/>
          <w:lang w:val="en-AU"/>
        </w:rPr>
      </w:pPr>
    </w:p>
    <w:tbl>
      <w:tblPr>
        <w:tblStyle w:val="TableGrid"/>
        <w:tblW w:w="0" w:type="auto"/>
        <w:tblLook w:val="04A0" w:firstRow="1" w:lastRow="0" w:firstColumn="1" w:lastColumn="0" w:noHBand="0" w:noVBand="1"/>
      </w:tblPr>
      <w:tblGrid>
        <w:gridCol w:w="1129"/>
        <w:gridCol w:w="4786"/>
        <w:gridCol w:w="920"/>
        <w:gridCol w:w="1042"/>
        <w:gridCol w:w="696"/>
        <w:gridCol w:w="777"/>
      </w:tblGrid>
      <w:tr w:rsidR="008A693D" w:rsidRPr="007D5AAA" w14:paraId="34C9992D" w14:textId="77777777" w:rsidTr="006D12D1">
        <w:tc>
          <w:tcPr>
            <w:tcW w:w="9350" w:type="dxa"/>
            <w:gridSpan w:val="6"/>
            <w:hideMark/>
          </w:tcPr>
          <w:p w14:paraId="01A868D0" w14:textId="0D0C6BB3" w:rsidR="008A693D" w:rsidRPr="008A693D" w:rsidRDefault="008A693D" w:rsidP="008A693D">
            <w:pPr>
              <w:pStyle w:val="BodyText"/>
              <w:rPr>
                <w:b/>
                <w:bCs/>
                <w:lang w:val="en-AU"/>
              </w:rPr>
            </w:pPr>
            <w:r w:rsidRPr="00F9584B">
              <w:rPr>
                <w:b/>
                <w:bCs/>
              </w:rPr>
              <w:t>Table 1.8: Student status</w:t>
            </w:r>
          </w:p>
        </w:tc>
      </w:tr>
      <w:tr w:rsidR="008A693D" w:rsidRPr="007D5AAA" w14:paraId="4DE01EA1" w14:textId="77777777" w:rsidTr="008A693D">
        <w:tc>
          <w:tcPr>
            <w:tcW w:w="1129" w:type="dxa"/>
            <w:hideMark/>
          </w:tcPr>
          <w:p w14:paraId="3506343B" w14:textId="1A5F76EA" w:rsidR="008A693D" w:rsidRPr="007D5AAA" w:rsidRDefault="008A693D" w:rsidP="008A693D">
            <w:pPr>
              <w:pStyle w:val="NormalWeb"/>
              <w:jc w:val="both"/>
              <w:rPr>
                <w:rFonts w:ascii="Open Sans" w:hAnsi="Open Sans" w:cs="Open Sans"/>
                <w:sz w:val="20"/>
                <w:szCs w:val="20"/>
              </w:rPr>
            </w:pPr>
            <w:r>
              <w:rPr>
                <w:rFonts w:ascii="Open Sans" w:hAnsi="Open Sans" w:cs="Open Sans"/>
                <w:sz w:val="20"/>
                <w:szCs w:val="20"/>
              </w:rPr>
              <w:t xml:space="preserve">Option </w:t>
            </w:r>
            <w:r w:rsidRPr="007D5AAA">
              <w:rPr>
                <w:rFonts w:ascii="Open Sans" w:hAnsi="Open Sans" w:cs="Open Sans"/>
                <w:sz w:val="20"/>
                <w:szCs w:val="20"/>
              </w:rPr>
              <w:t>A</w:t>
            </w:r>
          </w:p>
        </w:tc>
        <w:tc>
          <w:tcPr>
            <w:tcW w:w="4786" w:type="dxa"/>
            <w:hideMark/>
          </w:tcPr>
          <w:p w14:paraId="4A0E9B74" w14:textId="77777777" w:rsidR="008A693D" w:rsidRPr="007D5AAA" w:rsidRDefault="008A693D" w:rsidP="008A693D">
            <w:pPr>
              <w:pStyle w:val="NormalWeb"/>
              <w:jc w:val="both"/>
              <w:rPr>
                <w:rFonts w:ascii="Open Sans" w:hAnsi="Open Sans" w:cs="Open Sans"/>
                <w:sz w:val="20"/>
                <w:szCs w:val="20"/>
              </w:rPr>
            </w:pPr>
            <w:r w:rsidRPr="007D5AAA">
              <w:rPr>
                <w:rFonts w:ascii="Open Sans" w:hAnsi="Open Sans" w:cs="Open Sans"/>
                <w:sz w:val="20"/>
                <w:szCs w:val="20"/>
              </w:rPr>
              <w:t>Not studying</w:t>
            </w:r>
          </w:p>
        </w:tc>
        <w:tc>
          <w:tcPr>
            <w:tcW w:w="920" w:type="dxa"/>
          </w:tcPr>
          <w:p w14:paraId="16F6CB61" w14:textId="565BCEC2" w:rsidR="008A693D" w:rsidRPr="008A693D" w:rsidRDefault="008A693D" w:rsidP="008A693D">
            <w:pPr>
              <w:pStyle w:val="NormalWeb"/>
              <w:jc w:val="both"/>
              <w:rPr>
                <w:rFonts w:ascii="Open Sans" w:hAnsi="Open Sans" w:cs="Open Sans"/>
                <w:b/>
                <w:bCs/>
                <w:sz w:val="20"/>
                <w:szCs w:val="20"/>
              </w:rPr>
            </w:pPr>
            <w:r w:rsidRPr="008A693D">
              <w:rPr>
                <w:rFonts w:ascii="Open Sans" w:hAnsi="Open Sans" w:cs="Open Sans"/>
                <w:b/>
                <w:bCs/>
                <w:sz w:val="20"/>
                <w:szCs w:val="20"/>
              </w:rPr>
              <w:t>Count</w:t>
            </w:r>
          </w:p>
        </w:tc>
        <w:tc>
          <w:tcPr>
            <w:tcW w:w="1042" w:type="dxa"/>
            <w:hideMark/>
          </w:tcPr>
          <w:p w14:paraId="2D6E956F" w14:textId="246D7A3A" w:rsidR="008A693D" w:rsidRPr="007D5AAA" w:rsidRDefault="008A693D" w:rsidP="008A693D">
            <w:pPr>
              <w:pStyle w:val="NormalWeb"/>
              <w:jc w:val="both"/>
              <w:rPr>
                <w:rFonts w:ascii="Open Sans" w:hAnsi="Open Sans" w:cs="Open Sans"/>
                <w:sz w:val="20"/>
                <w:szCs w:val="20"/>
              </w:rPr>
            </w:pPr>
            <w:r w:rsidRPr="007D5AAA">
              <w:rPr>
                <w:rFonts w:ascii="Open Sans" w:hAnsi="Open Sans" w:cs="Open Sans"/>
                <w:sz w:val="20"/>
                <w:szCs w:val="20"/>
              </w:rPr>
              <w:t>105</w:t>
            </w:r>
          </w:p>
        </w:tc>
        <w:tc>
          <w:tcPr>
            <w:tcW w:w="696" w:type="dxa"/>
          </w:tcPr>
          <w:p w14:paraId="7E2713FD" w14:textId="5C4C5FDF" w:rsidR="008A693D" w:rsidRPr="007D5AAA" w:rsidRDefault="008A693D" w:rsidP="008A693D">
            <w:pPr>
              <w:pStyle w:val="NormalWeb"/>
              <w:jc w:val="both"/>
              <w:rPr>
                <w:rFonts w:ascii="Open Sans" w:hAnsi="Open Sans" w:cs="Open Sans"/>
                <w:sz w:val="20"/>
                <w:szCs w:val="20"/>
              </w:rPr>
            </w:pPr>
            <w:r w:rsidRPr="007D5AAA">
              <w:rPr>
                <w:rFonts w:ascii="Open Sans" w:hAnsi="Open Sans" w:cs="Open Sans"/>
                <w:b/>
                <w:bCs/>
                <w:sz w:val="20"/>
                <w:szCs w:val="20"/>
              </w:rPr>
              <w:t>%</w:t>
            </w:r>
          </w:p>
        </w:tc>
        <w:tc>
          <w:tcPr>
            <w:tcW w:w="777" w:type="dxa"/>
            <w:hideMark/>
          </w:tcPr>
          <w:p w14:paraId="06678EDB" w14:textId="78841503" w:rsidR="008A693D" w:rsidRPr="007D5AAA" w:rsidRDefault="008A693D" w:rsidP="008A693D">
            <w:pPr>
              <w:pStyle w:val="NormalWeb"/>
              <w:jc w:val="both"/>
              <w:rPr>
                <w:rFonts w:ascii="Open Sans" w:hAnsi="Open Sans" w:cs="Open Sans"/>
                <w:sz w:val="20"/>
                <w:szCs w:val="20"/>
              </w:rPr>
            </w:pPr>
            <w:r w:rsidRPr="007D5AAA">
              <w:rPr>
                <w:rFonts w:ascii="Open Sans" w:hAnsi="Open Sans" w:cs="Open Sans"/>
                <w:sz w:val="20"/>
                <w:szCs w:val="20"/>
              </w:rPr>
              <w:t>42%</w:t>
            </w:r>
          </w:p>
        </w:tc>
      </w:tr>
      <w:tr w:rsidR="008A693D" w:rsidRPr="007D5AAA" w14:paraId="45FA23D9" w14:textId="77777777" w:rsidTr="008A693D">
        <w:tc>
          <w:tcPr>
            <w:tcW w:w="1129" w:type="dxa"/>
            <w:hideMark/>
          </w:tcPr>
          <w:p w14:paraId="2A03F3BC" w14:textId="4C4FB8F5" w:rsidR="008A693D" w:rsidRPr="007D5AAA" w:rsidRDefault="008A693D" w:rsidP="008A693D">
            <w:pPr>
              <w:pStyle w:val="NormalWeb"/>
              <w:jc w:val="both"/>
              <w:rPr>
                <w:rFonts w:ascii="Open Sans" w:hAnsi="Open Sans" w:cs="Open Sans"/>
                <w:sz w:val="20"/>
                <w:szCs w:val="20"/>
              </w:rPr>
            </w:pPr>
            <w:r>
              <w:rPr>
                <w:rFonts w:ascii="Open Sans" w:hAnsi="Open Sans" w:cs="Open Sans"/>
                <w:sz w:val="20"/>
                <w:szCs w:val="20"/>
              </w:rPr>
              <w:t xml:space="preserve">Option </w:t>
            </w:r>
            <w:r w:rsidRPr="007D5AAA">
              <w:rPr>
                <w:rFonts w:ascii="Open Sans" w:hAnsi="Open Sans" w:cs="Open Sans"/>
                <w:sz w:val="20"/>
                <w:szCs w:val="20"/>
              </w:rPr>
              <w:t>B</w:t>
            </w:r>
          </w:p>
        </w:tc>
        <w:tc>
          <w:tcPr>
            <w:tcW w:w="4786" w:type="dxa"/>
            <w:hideMark/>
          </w:tcPr>
          <w:p w14:paraId="74AA46B0" w14:textId="77777777" w:rsidR="008A693D" w:rsidRPr="007D5AAA" w:rsidRDefault="008A693D" w:rsidP="008A693D">
            <w:pPr>
              <w:pStyle w:val="NormalWeb"/>
              <w:jc w:val="both"/>
              <w:rPr>
                <w:rFonts w:ascii="Open Sans" w:hAnsi="Open Sans" w:cs="Open Sans"/>
                <w:sz w:val="20"/>
                <w:szCs w:val="20"/>
              </w:rPr>
            </w:pPr>
            <w:r w:rsidRPr="007D5AAA">
              <w:rPr>
                <w:rFonts w:ascii="Open Sans" w:hAnsi="Open Sans" w:cs="Open Sans"/>
                <w:sz w:val="20"/>
                <w:szCs w:val="20"/>
              </w:rPr>
              <w:t>High school (e.g. years 7-12)</w:t>
            </w:r>
          </w:p>
        </w:tc>
        <w:tc>
          <w:tcPr>
            <w:tcW w:w="920" w:type="dxa"/>
          </w:tcPr>
          <w:p w14:paraId="313A3A67" w14:textId="162E108C" w:rsidR="008A693D" w:rsidRPr="007D5AAA" w:rsidRDefault="008A693D" w:rsidP="008A693D">
            <w:pPr>
              <w:pStyle w:val="NormalWeb"/>
              <w:jc w:val="both"/>
              <w:rPr>
                <w:rFonts w:ascii="Open Sans" w:hAnsi="Open Sans" w:cs="Open Sans"/>
                <w:sz w:val="20"/>
                <w:szCs w:val="20"/>
              </w:rPr>
            </w:pPr>
            <w:r w:rsidRPr="008A693D">
              <w:rPr>
                <w:rFonts w:ascii="Open Sans" w:hAnsi="Open Sans" w:cs="Open Sans"/>
                <w:b/>
                <w:bCs/>
                <w:sz w:val="20"/>
                <w:szCs w:val="20"/>
              </w:rPr>
              <w:t>Count</w:t>
            </w:r>
          </w:p>
        </w:tc>
        <w:tc>
          <w:tcPr>
            <w:tcW w:w="1042" w:type="dxa"/>
            <w:hideMark/>
          </w:tcPr>
          <w:p w14:paraId="4366D482" w14:textId="14E50695" w:rsidR="008A693D" w:rsidRPr="007D5AAA" w:rsidRDefault="008A693D" w:rsidP="008A693D">
            <w:pPr>
              <w:pStyle w:val="NormalWeb"/>
              <w:jc w:val="both"/>
              <w:rPr>
                <w:rFonts w:ascii="Open Sans" w:hAnsi="Open Sans" w:cs="Open Sans"/>
                <w:sz w:val="20"/>
                <w:szCs w:val="20"/>
              </w:rPr>
            </w:pPr>
            <w:r w:rsidRPr="007D5AAA">
              <w:rPr>
                <w:rFonts w:ascii="Open Sans" w:hAnsi="Open Sans" w:cs="Open Sans"/>
                <w:sz w:val="20"/>
                <w:szCs w:val="20"/>
              </w:rPr>
              <w:t>16</w:t>
            </w:r>
          </w:p>
        </w:tc>
        <w:tc>
          <w:tcPr>
            <w:tcW w:w="696" w:type="dxa"/>
          </w:tcPr>
          <w:p w14:paraId="1E5D1325" w14:textId="15071D43" w:rsidR="008A693D" w:rsidRPr="007D5AAA" w:rsidRDefault="008A693D" w:rsidP="008A693D">
            <w:pPr>
              <w:pStyle w:val="NormalWeb"/>
              <w:jc w:val="both"/>
              <w:rPr>
                <w:rFonts w:ascii="Open Sans" w:hAnsi="Open Sans" w:cs="Open Sans"/>
                <w:sz w:val="20"/>
                <w:szCs w:val="20"/>
              </w:rPr>
            </w:pPr>
            <w:r w:rsidRPr="00460F11">
              <w:rPr>
                <w:rFonts w:ascii="Open Sans" w:hAnsi="Open Sans" w:cs="Open Sans"/>
                <w:b/>
                <w:bCs/>
                <w:sz w:val="20"/>
                <w:szCs w:val="20"/>
              </w:rPr>
              <w:t xml:space="preserve">% </w:t>
            </w:r>
          </w:p>
        </w:tc>
        <w:tc>
          <w:tcPr>
            <w:tcW w:w="777" w:type="dxa"/>
            <w:hideMark/>
          </w:tcPr>
          <w:p w14:paraId="5AF361C2" w14:textId="3C36D383" w:rsidR="008A693D" w:rsidRPr="007D5AAA" w:rsidRDefault="008A693D" w:rsidP="008A693D">
            <w:pPr>
              <w:pStyle w:val="NormalWeb"/>
              <w:jc w:val="both"/>
              <w:rPr>
                <w:rFonts w:ascii="Open Sans" w:hAnsi="Open Sans" w:cs="Open Sans"/>
                <w:sz w:val="20"/>
                <w:szCs w:val="20"/>
              </w:rPr>
            </w:pPr>
            <w:r w:rsidRPr="007D5AAA">
              <w:rPr>
                <w:rFonts w:ascii="Open Sans" w:hAnsi="Open Sans" w:cs="Open Sans"/>
                <w:sz w:val="20"/>
                <w:szCs w:val="20"/>
              </w:rPr>
              <w:t>6.4%</w:t>
            </w:r>
          </w:p>
        </w:tc>
      </w:tr>
      <w:tr w:rsidR="008A693D" w:rsidRPr="007D5AAA" w14:paraId="5D337CB1" w14:textId="77777777" w:rsidTr="008A693D">
        <w:tc>
          <w:tcPr>
            <w:tcW w:w="1129" w:type="dxa"/>
            <w:hideMark/>
          </w:tcPr>
          <w:p w14:paraId="283E038A" w14:textId="681D1430" w:rsidR="008A693D" w:rsidRPr="007D5AAA" w:rsidRDefault="008A693D" w:rsidP="008A693D">
            <w:pPr>
              <w:pStyle w:val="NormalWeb"/>
              <w:jc w:val="both"/>
              <w:rPr>
                <w:rFonts w:ascii="Open Sans" w:hAnsi="Open Sans" w:cs="Open Sans"/>
                <w:sz w:val="20"/>
                <w:szCs w:val="20"/>
              </w:rPr>
            </w:pPr>
            <w:r>
              <w:rPr>
                <w:rFonts w:ascii="Open Sans" w:hAnsi="Open Sans" w:cs="Open Sans"/>
                <w:sz w:val="20"/>
                <w:szCs w:val="20"/>
              </w:rPr>
              <w:t xml:space="preserve">Option </w:t>
            </w:r>
            <w:r w:rsidRPr="007D5AAA">
              <w:rPr>
                <w:rFonts w:ascii="Open Sans" w:hAnsi="Open Sans" w:cs="Open Sans"/>
                <w:sz w:val="20"/>
                <w:szCs w:val="20"/>
              </w:rPr>
              <w:t>C</w:t>
            </w:r>
          </w:p>
        </w:tc>
        <w:tc>
          <w:tcPr>
            <w:tcW w:w="4786" w:type="dxa"/>
            <w:hideMark/>
          </w:tcPr>
          <w:p w14:paraId="6E1A9873" w14:textId="77777777" w:rsidR="008A693D" w:rsidRPr="007D5AAA" w:rsidRDefault="008A693D" w:rsidP="008A693D">
            <w:pPr>
              <w:pStyle w:val="NormalWeb"/>
              <w:jc w:val="both"/>
              <w:rPr>
                <w:rFonts w:ascii="Open Sans" w:hAnsi="Open Sans" w:cs="Open Sans"/>
                <w:sz w:val="20"/>
                <w:szCs w:val="20"/>
              </w:rPr>
            </w:pPr>
            <w:r w:rsidRPr="007D5AAA">
              <w:rPr>
                <w:rFonts w:ascii="Open Sans" w:hAnsi="Open Sans" w:cs="Open Sans"/>
                <w:sz w:val="20"/>
                <w:szCs w:val="20"/>
              </w:rPr>
              <w:t>Engaged in non-accredited education (e.g. open online course)</w:t>
            </w:r>
          </w:p>
        </w:tc>
        <w:tc>
          <w:tcPr>
            <w:tcW w:w="920" w:type="dxa"/>
          </w:tcPr>
          <w:p w14:paraId="0D5B8B94" w14:textId="003D9831" w:rsidR="008A693D" w:rsidRPr="007D5AAA" w:rsidRDefault="008A693D" w:rsidP="008A693D">
            <w:pPr>
              <w:pStyle w:val="NormalWeb"/>
              <w:jc w:val="both"/>
              <w:rPr>
                <w:rFonts w:ascii="Open Sans" w:hAnsi="Open Sans" w:cs="Open Sans"/>
                <w:sz w:val="20"/>
                <w:szCs w:val="20"/>
              </w:rPr>
            </w:pPr>
            <w:r w:rsidRPr="008A693D">
              <w:rPr>
                <w:rFonts w:ascii="Open Sans" w:hAnsi="Open Sans" w:cs="Open Sans"/>
                <w:b/>
                <w:bCs/>
                <w:sz w:val="20"/>
                <w:szCs w:val="20"/>
              </w:rPr>
              <w:t>Count</w:t>
            </w:r>
          </w:p>
        </w:tc>
        <w:tc>
          <w:tcPr>
            <w:tcW w:w="1042" w:type="dxa"/>
            <w:hideMark/>
          </w:tcPr>
          <w:p w14:paraId="0D577362" w14:textId="21DF44B5" w:rsidR="008A693D" w:rsidRPr="007D5AAA" w:rsidRDefault="008A693D" w:rsidP="008A693D">
            <w:pPr>
              <w:pStyle w:val="NormalWeb"/>
              <w:jc w:val="both"/>
              <w:rPr>
                <w:rFonts w:ascii="Open Sans" w:hAnsi="Open Sans" w:cs="Open Sans"/>
                <w:sz w:val="20"/>
                <w:szCs w:val="20"/>
              </w:rPr>
            </w:pPr>
            <w:r w:rsidRPr="007D5AAA">
              <w:rPr>
                <w:rFonts w:ascii="Open Sans" w:hAnsi="Open Sans" w:cs="Open Sans"/>
                <w:sz w:val="20"/>
                <w:szCs w:val="20"/>
              </w:rPr>
              <w:t>9</w:t>
            </w:r>
          </w:p>
        </w:tc>
        <w:tc>
          <w:tcPr>
            <w:tcW w:w="696" w:type="dxa"/>
          </w:tcPr>
          <w:p w14:paraId="6555698B" w14:textId="4CFA55CD" w:rsidR="008A693D" w:rsidRPr="007D5AAA" w:rsidRDefault="008A693D" w:rsidP="008A693D">
            <w:pPr>
              <w:pStyle w:val="NormalWeb"/>
              <w:jc w:val="both"/>
              <w:rPr>
                <w:rFonts w:ascii="Open Sans" w:hAnsi="Open Sans" w:cs="Open Sans"/>
                <w:sz w:val="20"/>
                <w:szCs w:val="20"/>
              </w:rPr>
            </w:pPr>
            <w:r w:rsidRPr="00460F11">
              <w:rPr>
                <w:rFonts w:ascii="Open Sans" w:hAnsi="Open Sans" w:cs="Open Sans"/>
                <w:b/>
                <w:bCs/>
                <w:sz w:val="20"/>
                <w:szCs w:val="20"/>
              </w:rPr>
              <w:t xml:space="preserve">% </w:t>
            </w:r>
          </w:p>
        </w:tc>
        <w:tc>
          <w:tcPr>
            <w:tcW w:w="777" w:type="dxa"/>
            <w:hideMark/>
          </w:tcPr>
          <w:p w14:paraId="6EF236F6" w14:textId="73B44203" w:rsidR="008A693D" w:rsidRPr="007D5AAA" w:rsidRDefault="008A693D" w:rsidP="008A693D">
            <w:pPr>
              <w:pStyle w:val="NormalWeb"/>
              <w:jc w:val="both"/>
              <w:rPr>
                <w:rFonts w:ascii="Open Sans" w:hAnsi="Open Sans" w:cs="Open Sans"/>
                <w:sz w:val="20"/>
                <w:szCs w:val="20"/>
              </w:rPr>
            </w:pPr>
            <w:r w:rsidRPr="007D5AAA">
              <w:rPr>
                <w:rFonts w:ascii="Open Sans" w:hAnsi="Open Sans" w:cs="Open Sans"/>
                <w:sz w:val="20"/>
                <w:szCs w:val="20"/>
              </w:rPr>
              <w:t>3.6%</w:t>
            </w:r>
          </w:p>
        </w:tc>
      </w:tr>
      <w:tr w:rsidR="008A693D" w:rsidRPr="007D5AAA" w14:paraId="4F402D81" w14:textId="77777777" w:rsidTr="008A693D">
        <w:tc>
          <w:tcPr>
            <w:tcW w:w="1129" w:type="dxa"/>
            <w:hideMark/>
          </w:tcPr>
          <w:p w14:paraId="1B437FEC" w14:textId="0E522031" w:rsidR="008A693D" w:rsidRPr="007D5AAA" w:rsidRDefault="008A693D" w:rsidP="008A693D">
            <w:pPr>
              <w:pStyle w:val="NormalWeb"/>
              <w:jc w:val="both"/>
              <w:rPr>
                <w:rFonts w:ascii="Open Sans" w:hAnsi="Open Sans" w:cs="Open Sans"/>
                <w:sz w:val="20"/>
                <w:szCs w:val="20"/>
              </w:rPr>
            </w:pPr>
            <w:r>
              <w:rPr>
                <w:rFonts w:ascii="Open Sans" w:hAnsi="Open Sans" w:cs="Open Sans"/>
                <w:sz w:val="20"/>
                <w:szCs w:val="20"/>
              </w:rPr>
              <w:t xml:space="preserve">Option </w:t>
            </w:r>
            <w:r w:rsidRPr="007D5AAA">
              <w:rPr>
                <w:rFonts w:ascii="Open Sans" w:hAnsi="Open Sans" w:cs="Open Sans"/>
                <w:sz w:val="20"/>
                <w:szCs w:val="20"/>
              </w:rPr>
              <w:t>D</w:t>
            </w:r>
          </w:p>
        </w:tc>
        <w:tc>
          <w:tcPr>
            <w:tcW w:w="4786" w:type="dxa"/>
            <w:hideMark/>
          </w:tcPr>
          <w:p w14:paraId="078F509D" w14:textId="77777777" w:rsidR="008A693D" w:rsidRPr="007D5AAA" w:rsidRDefault="008A693D" w:rsidP="008A693D">
            <w:pPr>
              <w:pStyle w:val="NormalWeb"/>
              <w:jc w:val="both"/>
              <w:rPr>
                <w:rFonts w:ascii="Open Sans" w:hAnsi="Open Sans" w:cs="Open Sans"/>
                <w:sz w:val="20"/>
                <w:szCs w:val="20"/>
              </w:rPr>
            </w:pPr>
            <w:r w:rsidRPr="007D5AAA">
              <w:rPr>
                <w:rFonts w:ascii="Open Sans" w:hAnsi="Open Sans" w:cs="Open Sans"/>
                <w:sz w:val="20"/>
                <w:szCs w:val="20"/>
              </w:rPr>
              <w:t>Apprentice, trainee or VET student (part-time or full-time)</w:t>
            </w:r>
          </w:p>
        </w:tc>
        <w:tc>
          <w:tcPr>
            <w:tcW w:w="920" w:type="dxa"/>
          </w:tcPr>
          <w:p w14:paraId="6D8146DB" w14:textId="56042E4C" w:rsidR="008A693D" w:rsidRPr="007D5AAA" w:rsidRDefault="008A693D" w:rsidP="008A693D">
            <w:pPr>
              <w:pStyle w:val="NormalWeb"/>
              <w:jc w:val="both"/>
              <w:rPr>
                <w:rFonts w:ascii="Open Sans" w:hAnsi="Open Sans" w:cs="Open Sans"/>
                <w:sz w:val="20"/>
                <w:szCs w:val="20"/>
              </w:rPr>
            </w:pPr>
            <w:r w:rsidRPr="008A693D">
              <w:rPr>
                <w:rFonts w:ascii="Open Sans" w:hAnsi="Open Sans" w:cs="Open Sans"/>
                <w:b/>
                <w:bCs/>
                <w:sz w:val="20"/>
                <w:szCs w:val="20"/>
              </w:rPr>
              <w:t>Count</w:t>
            </w:r>
          </w:p>
        </w:tc>
        <w:tc>
          <w:tcPr>
            <w:tcW w:w="1042" w:type="dxa"/>
            <w:hideMark/>
          </w:tcPr>
          <w:p w14:paraId="20143C47" w14:textId="0C066C9C" w:rsidR="008A693D" w:rsidRPr="007D5AAA" w:rsidRDefault="008A693D" w:rsidP="008A693D">
            <w:pPr>
              <w:pStyle w:val="NormalWeb"/>
              <w:jc w:val="both"/>
              <w:rPr>
                <w:rFonts w:ascii="Open Sans" w:hAnsi="Open Sans" w:cs="Open Sans"/>
                <w:sz w:val="20"/>
                <w:szCs w:val="20"/>
              </w:rPr>
            </w:pPr>
            <w:r w:rsidRPr="007D5AAA">
              <w:rPr>
                <w:rFonts w:ascii="Open Sans" w:hAnsi="Open Sans" w:cs="Open Sans"/>
                <w:sz w:val="20"/>
                <w:szCs w:val="20"/>
              </w:rPr>
              <w:t>24</w:t>
            </w:r>
          </w:p>
        </w:tc>
        <w:tc>
          <w:tcPr>
            <w:tcW w:w="696" w:type="dxa"/>
          </w:tcPr>
          <w:p w14:paraId="6FCEED18" w14:textId="3ABA77BC" w:rsidR="008A693D" w:rsidRPr="007D5AAA" w:rsidRDefault="008A693D" w:rsidP="008A693D">
            <w:pPr>
              <w:pStyle w:val="NormalWeb"/>
              <w:jc w:val="both"/>
              <w:rPr>
                <w:rFonts w:ascii="Open Sans" w:hAnsi="Open Sans" w:cs="Open Sans"/>
                <w:sz w:val="20"/>
                <w:szCs w:val="20"/>
              </w:rPr>
            </w:pPr>
            <w:r w:rsidRPr="00460F11">
              <w:rPr>
                <w:rFonts w:ascii="Open Sans" w:hAnsi="Open Sans" w:cs="Open Sans"/>
                <w:b/>
                <w:bCs/>
                <w:sz w:val="20"/>
                <w:szCs w:val="20"/>
              </w:rPr>
              <w:t xml:space="preserve">% </w:t>
            </w:r>
          </w:p>
        </w:tc>
        <w:tc>
          <w:tcPr>
            <w:tcW w:w="777" w:type="dxa"/>
            <w:hideMark/>
          </w:tcPr>
          <w:p w14:paraId="43592DD5" w14:textId="18BEEE76" w:rsidR="008A693D" w:rsidRPr="007D5AAA" w:rsidRDefault="008A693D" w:rsidP="008A693D">
            <w:pPr>
              <w:pStyle w:val="NormalWeb"/>
              <w:jc w:val="both"/>
              <w:rPr>
                <w:rFonts w:ascii="Open Sans" w:hAnsi="Open Sans" w:cs="Open Sans"/>
                <w:sz w:val="20"/>
                <w:szCs w:val="20"/>
              </w:rPr>
            </w:pPr>
            <w:r w:rsidRPr="007D5AAA">
              <w:rPr>
                <w:rFonts w:ascii="Open Sans" w:hAnsi="Open Sans" w:cs="Open Sans"/>
                <w:sz w:val="20"/>
                <w:szCs w:val="20"/>
              </w:rPr>
              <w:t>9.6%</w:t>
            </w:r>
          </w:p>
        </w:tc>
      </w:tr>
      <w:tr w:rsidR="008A693D" w:rsidRPr="007D5AAA" w14:paraId="33BCC9A7" w14:textId="77777777" w:rsidTr="008A693D">
        <w:tc>
          <w:tcPr>
            <w:tcW w:w="1129" w:type="dxa"/>
            <w:hideMark/>
          </w:tcPr>
          <w:p w14:paraId="6C1E81A1" w14:textId="2BC34CF7" w:rsidR="008A693D" w:rsidRPr="007D5AAA" w:rsidRDefault="008A693D" w:rsidP="008A693D">
            <w:pPr>
              <w:pStyle w:val="NormalWeb"/>
              <w:jc w:val="both"/>
              <w:rPr>
                <w:rFonts w:ascii="Open Sans" w:hAnsi="Open Sans" w:cs="Open Sans"/>
                <w:sz w:val="20"/>
                <w:szCs w:val="20"/>
              </w:rPr>
            </w:pPr>
            <w:r>
              <w:rPr>
                <w:rFonts w:ascii="Open Sans" w:hAnsi="Open Sans" w:cs="Open Sans"/>
                <w:sz w:val="20"/>
                <w:szCs w:val="20"/>
              </w:rPr>
              <w:t xml:space="preserve">Option </w:t>
            </w:r>
            <w:r w:rsidRPr="007D5AAA">
              <w:rPr>
                <w:rFonts w:ascii="Open Sans" w:hAnsi="Open Sans" w:cs="Open Sans"/>
                <w:sz w:val="20"/>
                <w:szCs w:val="20"/>
              </w:rPr>
              <w:t>E</w:t>
            </w:r>
          </w:p>
        </w:tc>
        <w:tc>
          <w:tcPr>
            <w:tcW w:w="4786" w:type="dxa"/>
            <w:hideMark/>
          </w:tcPr>
          <w:p w14:paraId="69600089" w14:textId="77777777" w:rsidR="008A693D" w:rsidRPr="007D5AAA" w:rsidRDefault="008A693D" w:rsidP="008A693D">
            <w:pPr>
              <w:pStyle w:val="NormalWeb"/>
              <w:jc w:val="both"/>
              <w:rPr>
                <w:rFonts w:ascii="Open Sans" w:hAnsi="Open Sans" w:cs="Open Sans"/>
                <w:sz w:val="20"/>
                <w:szCs w:val="20"/>
              </w:rPr>
            </w:pPr>
            <w:r w:rsidRPr="007D5AAA">
              <w:rPr>
                <w:rFonts w:ascii="Open Sans" w:hAnsi="Open Sans" w:cs="Open Sans"/>
                <w:sz w:val="20"/>
                <w:szCs w:val="20"/>
              </w:rPr>
              <w:t>Undertaking a bridging course for university</w:t>
            </w:r>
          </w:p>
        </w:tc>
        <w:tc>
          <w:tcPr>
            <w:tcW w:w="920" w:type="dxa"/>
          </w:tcPr>
          <w:p w14:paraId="68C73E6A" w14:textId="7970F0AD" w:rsidR="008A693D" w:rsidRPr="007D5AAA" w:rsidRDefault="008A693D" w:rsidP="008A693D">
            <w:pPr>
              <w:pStyle w:val="NormalWeb"/>
              <w:jc w:val="both"/>
              <w:rPr>
                <w:rFonts w:ascii="Open Sans" w:hAnsi="Open Sans" w:cs="Open Sans"/>
                <w:sz w:val="20"/>
                <w:szCs w:val="20"/>
              </w:rPr>
            </w:pPr>
            <w:r w:rsidRPr="008A693D">
              <w:rPr>
                <w:rFonts w:ascii="Open Sans" w:hAnsi="Open Sans" w:cs="Open Sans"/>
                <w:b/>
                <w:bCs/>
                <w:sz w:val="20"/>
                <w:szCs w:val="20"/>
              </w:rPr>
              <w:t>Count</w:t>
            </w:r>
          </w:p>
        </w:tc>
        <w:tc>
          <w:tcPr>
            <w:tcW w:w="1042" w:type="dxa"/>
            <w:hideMark/>
          </w:tcPr>
          <w:p w14:paraId="23017C23" w14:textId="13882384" w:rsidR="008A693D" w:rsidRPr="007D5AAA" w:rsidRDefault="008A693D" w:rsidP="008A693D">
            <w:pPr>
              <w:pStyle w:val="NormalWeb"/>
              <w:jc w:val="both"/>
              <w:rPr>
                <w:rFonts w:ascii="Open Sans" w:hAnsi="Open Sans" w:cs="Open Sans"/>
                <w:sz w:val="20"/>
                <w:szCs w:val="20"/>
              </w:rPr>
            </w:pPr>
            <w:r w:rsidRPr="007D5AAA">
              <w:rPr>
                <w:rFonts w:ascii="Open Sans" w:hAnsi="Open Sans" w:cs="Open Sans"/>
                <w:sz w:val="20"/>
                <w:szCs w:val="20"/>
              </w:rPr>
              <w:t>4</w:t>
            </w:r>
          </w:p>
        </w:tc>
        <w:tc>
          <w:tcPr>
            <w:tcW w:w="696" w:type="dxa"/>
          </w:tcPr>
          <w:p w14:paraId="48CDF5C2" w14:textId="1E902E1B" w:rsidR="008A693D" w:rsidRPr="007D5AAA" w:rsidRDefault="008A693D" w:rsidP="008A693D">
            <w:pPr>
              <w:pStyle w:val="NormalWeb"/>
              <w:jc w:val="both"/>
              <w:rPr>
                <w:rFonts w:ascii="Open Sans" w:hAnsi="Open Sans" w:cs="Open Sans"/>
                <w:sz w:val="20"/>
                <w:szCs w:val="20"/>
              </w:rPr>
            </w:pPr>
            <w:r w:rsidRPr="00460F11">
              <w:rPr>
                <w:rFonts w:ascii="Open Sans" w:hAnsi="Open Sans" w:cs="Open Sans"/>
                <w:b/>
                <w:bCs/>
                <w:sz w:val="20"/>
                <w:szCs w:val="20"/>
              </w:rPr>
              <w:t xml:space="preserve">% </w:t>
            </w:r>
          </w:p>
        </w:tc>
        <w:tc>
          <w:tcPr>
            <w:tcW w:w="777" w:type="dxa"/>
            <w:hideMark/>
          </w:tcPr>
          <w:p w14:paraId="0B040191" w14:textId="706AB5D1" w:rsidR="008A693D" w:rsidRPr="007D5AAA" w:rsidRDefault="008A693D" w:rsidP="008A693D">
            <w:pPr>
              <w:pStyle w:val="NormalWeb"/>
              <w:jc w:val="both"/>
              <w:rPr>
                <w:rFonts w:ascii="Open Sans" w:hAnsi="Open Sans" w:cs="Open Sans"/>
                <w:sz w:val="20"/>
                <w:szCs w:val="20"/>
              </w:rPr>
            </w:pPr>
            <w:r w:rsidRPr="007D5AAA">
              <w:rPr>
                <w:rFonts w:ascii="Open Sans" w:hAnsi="Open Sans" w:cs="Open Sans"/>
                <w:sz w:val="20"/>
                <w:szCs w:val="20"/>
              </w:rPr>
              <w:t>1.6%</w:t>
            </w:r>
          </w:p>
        </w:tc>
      </w:tr>
      <w:tr w:rsidR="008A693D" w:rsidRPr="007D5AAA" w14:paraId="2A1FDBE0" w14:textId="77777777" w:rsidTr="008A693D">
        <w:tc>
          <w:tcPr>
            <w:tcW w:w="1129" w:type="dxa"/>
            <w:hideMark/>
          </w:tcPr>
          <w:p w14:paraId="6C90EB6D" w14:textId="211C37C0" w:rsidR="008A693D" w:rsidRPr="007D5AAA" w:rsidRDefault="008A693D" w:rsidP="008A693D">
            <w:pPr>
              <w:pStyle w:val="NormalWeb"/>
              <w:jc w:val="both"/>
              <w:rPr>
                <w:rFonts w:ascii="Open Sans" w:hAnsi="Open Sans" w:cs="Open Sans"/>
                <w:sz w:val="20"/>
                <w:szCs w:val="20"/>
              </w:rPr>
            </w:pPr>
            <w:r>
              <w:rPr>
                <w:rFonts w:ascii="Open Sans" w:hAnsi="Open Sans" w:cs="Open Sans"/>
                <w:sz w:val="20"/>
                <w:szCs w:val="20"/>
              </w:rPr>
              <w:t xml:space="preserve">Option </w:t>
            </w:r>
            <w:r w:rsidRPr="007D5AAA">
              <w:rPr>
                <w:rFonts w:ascii="Open Sans" w:hAnsi="Open Sans" w:cs="Open Sans"/>
                <w:sz w:val="20"/>
                <w:szCs w:val="20"/>
              </w:rPr>
              <w:t>F</w:t>
            </w:r>
          </w:p>
        </w:tc>
        <w:tc>
          <w:tcPr>
            <w:tcW w:w="4786" w:type="dxa"/>
            <w:hideMark/>
          </w:tcPr>
          <w:p w14:paraId="0EA493AF" w14:textId="77777777" w:rsidR="008A693D" w:rsidRPr="007D5AAA" w:rsidRDefault="008A693D" w:rsidP="008A693D">
            <w:pPr>
              <w:pStyle w:val="NormalWeb"/>
              <w:jc w:val="both"/>
              <w:rPr>
                <w:rFonts w:ascii="Open Sans" w:hAnsi="Open Sans" w:cs="Open Sans"/>
                <w:sz w:val="20"/>
                <w:szCs w:val="20"/>
              </w:rPr>
            </w:pPr>
            <w:r w:rsidRPr="007D5AAA">
              <w:rPr>
                <w:rFonts w:ascii="Open Sans" w:hAnsi="Open Sans" w:cs="Open Sans"/>
                <w:sz w:val="20"/>
                <w:szCs w:val="20"/>
              </w:rPr>
              <w:t>Undergraduate student (part-time or full-time)</w:t>
            </w:r>
          </w:p>
        </w:tc>
        <w:tc>
          <w:tcPr>
            <w:tcW w:w="920" w:type="dxa"/>
          </w:tcPr>
          <w:p w14:paraId="5C8A89BF" w14:textId="7CCE079E" w:rsidR="008A693D" w:rsidRPr="007D5AAA" w:rsidRDefault="008A693D" w:rsidP="008A693D">
            <w:pPr>
              <w:pStyle w:val="NormalWeb"/>
              <w:jc w:val="both"/>
              <w:rPr>
                <w:rFonts w:ascii="Open Sans" w:hAnsi="Open Sans" w:cs="Open Sans"/>
                <w:sz w:val="20"/>
                <w:szCs w:val="20"/>
              </w:rPr>
            </w:pPr>
            <w:r w:rsidRPr="008A693D">
              <w:rPr>
                <w:rFonts w:ascii="Open Sans" w:hAnsi="Open Sans" w:cs="Open Sans"/>
                <w:b/>
                <w:bCs/>
                <w:sz w:val="20"/>
                <w:szCs w:val="20"/>
              </w:rPr>
              <w:t>Count</w:t>
            </w:r>
          </w:p>
        </w:tc>
        <w:tc>
          <w:tcPr>
            <w:tcW w:w="1042" w:type="dxa"/>
            <w:hideMark/>
          </w:tcPr>
          <w:p w14:paraId="5AC26761" w14:textId="3EB262F1" w:rsidR="008A693D" w:rsidRPr="007D5AAA" w:rsidRDefault="008A693D" w:rsidP="008A693D">
            <w:pPr>
              <w:pStyle w:val="NormalWeb"/>
              <w:jc w:val="both"/>
              <w:rPr>
                <w:rFonts w:ascii="Open Sans" w:hAnsi="Open Sans" w:cs="Open Sans"/>
                <w:sz w:val="20"/>
                <w:szCs w:val="20"/>
              </w:rPr>
            </w:pPr>
            <w:r w:rsidRPr="007D5AAA">
              <w:rPr>
                <w:rFonts w:ascii="Open Sans" w:hAnsi="Open Sans" w:cs="Open Sans"/>
                <w:sz w:val="20"/>
                <w:szCs w:val="20"/>
              </w:rPr>
              <w:t>64</w:t>
            </w:r>
          </w:p>
        </w:tc>
        <w:tc>
          <w:tcPr>
            <w:tcW w:w="696" w:type="dxa"/>
          </w:tcPr>
          <w:p w14:paraId="3290A984" w14:textId="1C458E3D" w:rsidR="008A693D" w:rsidRPr="007D5AAA" w:rsidRDefault="008A693D" w:rsidP="008A693D">
            <w:pPr>
              <w:pStyle w:val="NormalWeb"/>
              <w:jc w:val="both"/>
              <w:rPr>
                <w:rFonts w:ascii="Open Sans" w:hAnsi="Open Sans" w:cs="Open Sans"/>
                <w:sz w:val="20"/>
                <w:szCs w:val="20"/>
              </w:rPr>
            </w:pPr>
            <w:r w:rsidRPr="00460F11">
              <w:rPr>
                <w:rFonts w:ascii="Open Sans" w:hAnsi="Open Sans" w:cs="Open Sans"/>
                <w:b/>
                <w:bCs/>
                <w:sz w:val="20"/>
                <w:szCs w:val="20"/>
              </w:rPr>
              <w:t xml:space="preserve">% </w:t>
            </w:r>
          </w:p>
        </w:tc>
        <w:tc>
          <w:tcPr>
            <w:tcW w:w="777" w:type="dxa"/>
            <w:hideMark/>
          </w:tcPr>
          <w:p w14:paraId="6F04E707" w14:textId="2059DD6F" w:rsidR="008A693D" w:rsidRPr="007D5AAA" w:rsidRDefault="008A693D" w:rsidP="008A693D">
            <w:pPr>
              <w:pStyle w:val="NormalWeb"/>
              <w:jc w:val="both"/>
              <w:rPr>
                <w:rFonts w:ascii="Open Sans" w:hAnsi="Open Sans" w:cs="Open Sans"/>
                <w:sz w:val="20"/>
                <w:szCs w:val="20"/>
              </w:rPr>
            </w:pPr>
            <w:r w:rsidRPr="007D5AAA">
              <w:rPr>
                <w:rFonts w:ascii="Open Sans" w:hAnsi="Open Sans" w:cs="Open Sans"/>
                <w:sz w:val="20"/>
                <w:szCs w:val="20"/>
              </w:rPr>
              <w:t>25.6%</w:t>
            </w:r>
          </w:p>
        </w:tc>
      </w:tr>
      <w:tr w:rsidR="008A693D" w:rsidRPr="007D5AAA" w14:paraId="0BBE3301" w14:textId="77777777" w:rsidTr="008A693D">
        <w:tc>
          <w:tcPr>
            <w:tcW w:w="1129" w:type="dxa"/>
            <w:hideMark/>
          </w:tcPr>
          <w:p w14:paraId="2342DC3F" w14:textId="7FAA920C" w:rsidR="008A693D" w:rsidRPr="007D5AAA" w:rsidRDefault="008A693D" w:rsidP="008A693D">
            <w:pPr>
              <w:pStyle w:val="NormalWeb"/>
              <w:jc w:val="both"/>
              <w:rPr>
                <w:rFonts w:ascii="Open Sans" w:hAnsi="Open Sans" w:cs="Open Sans"/>
                <w:sz w:val="20"/>
                <w:szCs w:val="20"/>
              </w:rPr>
            </w:pPr>
            <w:r>
              <w:rPr>
                <w:rFonts w:ascii="Open Sans" w:hAnsi="Open Sans" w:cs="Open Sans"/>
                <w:sz w:val="20"/>
                <w:szCs w:val="20"/>
              </w:rPr>
              <w:t xml:space="preserve">Option </w:t>
            </w:r>
            <w:r w:rsidRPr="007D5AAA">
              <w:rPr>
                <w:rFonts w:ascii="Open Sans" w:hAnsi="Open Sans" w:cs="Open Sans"/>
                <w:sz w:val="20"/>
                <w:szCs w:val="20"/>
              </w:rPr>
              <w:t>G</w:t>
            </w:r>
          </w:p>
        </w:tc>
        <w:tc>
          <w:tcPr>
            <w:tcW w:w="4786" w:type="dxa"/>
            <w:hideMark/>
          </w:tcPr>
          <w:p w14:paraId="57081562" w14:textId="77777777" w:rsidR="008A693D" w:rsidRPr="007D5AAA" w:rsidRDefault="008A693D" w:rsidP="008A693D">
            <w:pPr>
              <w:pStyle w:val="NormalWeb"/>
              <w:jc w:val="both"/>
              <w:rPr>
                <w:rFonts w:ascii="Open Sans" w:hAnsi="Open Sans" w:cs="Open Sans"/>
                <w:sz w:val="20"/>
                <w:szCs w:val="20"/>
              </w:rPr>
            </w:pPr>
            <w:r w:rsidRPr="007D5AAA">
              <w:rPr>
                <w:rFonts w:ascii="Open Sans" w:hAnsi="Open Sans" w:cs="Open Sans"/>
                <w:sz w:val="20"/>
                <w:szCs w:val="20"/>
              </w:rPr>
              <w:t>Postgraduate student (part-time or full-time)</w:t>
            </w:r>
          </w:p>
        </w:tc>
        <w:tc>
          <w:tcPr>
            <w:tcW w:w="920" w:type="dxa"/>
          </w:tcPr>
          <w:p w14:paraId="4985578B" w14:textId="07073276" w:rsidR="008A693D" w:rsidRPr="007D5AAA" w:rsidRDefault="008A693D" w:rsidP="008A693D">
            <w:pPr>
              <w:pStyle w:val="NormalWeb"/>
              <w:jc w:val="both"/>
              <w:rPr>
                <w:rFonts w:ascii="Open Sans" w:hAnsi="Open Sans" w:cs="Open Sans"/>
                <w:sz w:val="20"/>
                <w:szCs w:val="20"/>
              </w:rPr>
            </w:pPr>
            <w:r w:rsidRPr="008A693D">
              <w:rPr>
                <w:rFonts w:ascii="Open Sans" w:hAnsi="Open Sans" w:cs="Open Sans"/>
                <w:b/>
                <w:bCs/>
                <w:sz w:val="20"/>
                <w:szCs w:val="20"/>
              </w:rPr>
              <w:t>Count</w:t>
            </w:r>
          </w:p>
        </w:tc>
        <w:tc>
          <w:tcPr>
            <w:tcW w:w="1042" w:type="dxa"/>
            <w:hideMark/>
          </w:tcPr>
          <w:p w14:paraId="6C2928CA" w14:textId="49D34831" w:rsidR="008A693D" w:rsidRPr="007D5AAA" w:rsidRDefault="008A693D" w:rsidP="008A693D">
            <w:pPr>
              <w:pStyle w:val="NormalWeb"/>
              <w:jc w:val="both"/>
              <w:rPr>
                <w:rFonts w:ascii="Open Sans" w:hAnsi="Open Sans" w:cs="Open Sans"/>
                <w:sz w:val="20"/>
                <w:szCs w:val="20"/>
              </w:rPr>
            </w:pPr>
            <w:r w:rsidRPr="007D5AAA">
              <w:rPr>
                <w:rFonts w:ascii="Open Sans" w:hAnsi="Open Sans" w:cs="Open Sans"/>
                <w:sz w:val="20"/>
                <w:szCs w:val="20"/>
              </w:rPr>
              <w:t>34</w:t>
            </w:r>
          </w:p>
        </w:tc>
        <w:tc>
          <w:tcPr>
            <w:tcW w:w="696" w:type="dxa"/>
          </w:tcPr>
          <w:p w14:paraId="63E6BB32" w14:textId="336E7820" w:rsidR="008A693D" w:rsidRPr="007D5AAA" w:rsidRDefault="008A693D" w:rsidP="008A693D">
            <w:pPr>
              <w:pStyle w:val="NormalWeb"/>
              <w:jc w:val="both"/>
              <w:rPr>
                <w:rFonts w:ascii="Open Sans" w:hAnsi="Open Sans" w:cs="Open Sans"/>
                <w:sz w:val="20"/>
                <w:szCs w:val="20"/>
              </w:rPr>
            </w:pPr>
            <w:r w:rsidRPr="00460F11">
              <w:rPr>
                <w:rFonts w:ascii="Open Sans" w:hAnsi="Open Sans" w:cs="Open Sans"/>
                <w:b/>
                <w:bCs/>
                <w:sz w:val="20"/>
                <w:szCs w:val="20"/>
              </w:rPr>
              <w:t xml:space="preserve">% </w:t>
            </w:r>
          </w:p>
        </w:tc>
        <w:tc>
          <w:tcPr>
            <w:tcW w:w="777" w:type="dxa"/>
            <w:hideMark/>
          </w:tcPr>
          <w:p w14:paraId="020EC592" w14:textId="72C3FDA6" w:rsidR="008A693D" w:rsidRPr="007D5AAA" w:rsidRDefault="008A693D" w:rsidP="008A693D">
            <w:pPr>
              <w:pStyle w:val="NormalWeb"/>
              <w:jc w:val="both"/>
              <w:rPr>
                <w:rFonts w:ascii="Open Sans" w:hAnsi="Open Sans" w:cs="Open Sans"/>
                <w:sz w:val="20"/>
                <w:szCs w:val="20"/>
              </w:rPr>
            </w:pPr>
            <w:r w:rsidRPr="007D5AAA">
              <w:rPr>
                <w:rFonts w:ascii="Open Sans" w:hAnsi="Open Sans" w:cs="Open Sans"/>
                <w:sz w:val="20"/>
                <w:szCs w:val="20"/>
              </w:rPr>
              <w:t>13.6%</w:t>
            </w:r>
          </w:p>
        </w:tc>
      </w:tr>
      <w:tr w:rsidR="008A693D" w:rsidRPr="007D5AAA" w14:paraId="7D741CD3" w14:textId="77777777" w:rsidTr="008A693D">
        <w:tc>
          <w:tcPr>
            <w:tcW w:w="1129" w:type="dxa"/>
            <w:hideMark/>
          </w:tcPr>
          <w:p w14:paraId="1AB7735A" w14:textId="395BF140" w:rsidR="008A693D" w:rsidRPr="007D5AAA" w:rsidRDefault="008A693D" w:rsidP="008A693D">
            <w:pPr>
              <w:pStyle w:val="NormalWeb"/>
              <w:jc w:val="both"/>
              <w:rPr>
                <w:rFonts w:ascii="Open Sans" w:hAnsi="Open Sans" w:cs="Open Sans"/>
                <w:sz w:val="20"/>
                <w:szCs w:val="20"/>
              </w:rPr>
            </w:pPr>
            <w:r>
              <w:rPr>
                <w:rFonts w:ascii="Open Sans" w:hAnsi="Open Sans" w:cs="Open Sans"/>
                <w:sz w:val="20"/>
                <w:szCs w:val="20"/>
              </w:rPr>
              <w:t xml:space="preserve">Option </w:t>
            </w:r>
            <w:r w:rsidRPr="007D5AAA">
              <w:rPr>
                <w:rFonts w:ascii="Open Sans" w:hAnsi="Open Sans" w:cs="Open Sans"/>
                <w:sz w:val="20"/>
                <w:szCs w:val="20"/>
              </w:rPr>
              <w:t>H</w:t>
            </w:r>
          </w:p>
        </w:tc>
        <w:tc>
          <w:tcPr>
            <w:tcW w:w="4786" w:type="dxa"/>
            <w:hideMark/>
          </w:tcPr>
          <w:p w14:paraId="0AD100D5" w14:textId="77777777" w:rsidR="008A693D" w:rsidRPr="007D5AAA" w:rsidRDefault="008A693D" w:rsidP="008A693D">
            <w:pPr>
              <w:pStyle w:val="NormalWeb"/>
              <w:jc w:val="both"/>
              <w:rPr>
                <w:rFonts w:ascii="Open Sans" w:hAnsi="Open Sans" w:cs="Open Sans"/>
                <w:sz w:val="20"/>
                <w:szCs w:val="20"/>
              </w:rPr>
            </w:pPr>
            <w:r w:rsidRPr="007D5AAA">
              <w:rPr>
                <w:rFonts w:ascii="Open Sans" w:hAnsi="Open Sans" w:cs="Open Sans"/>
                <w:sz w:val="20"/>
                <w:szCs w:val="20"/>
              </w:rPr>
              <w:t>Higher degree research (e.g. PhD)</w:t>
            </w:r>
          </w:p>
        </w:tc>
        <w:tc>
          <w:tcPr>
            <w:tcW w:w="920" w:type="dxa"/>
          </w:tcPr>
          <w:p w14:paraId="085E6DB4" w14:textId="3A27884C" w:rsidR="008A693D" w:rsidRPr="007D5AAA" w:rsidRDefault="008A693D" w:rsidP="008A693D">
            <w:pPr>
              <w:pStyle w:val="NormalWeb"/>
              <w:jc w:val="both"/>
              <w:rPr>
                <w:rFonts w:ascii="Open Sans" w:hAnsi="Open Sans" w:cs="Open Sans"/>
                <w:sz w:val="20"/>
                <w:szCs w:val="20"/>
              </w:rPr>
            </w:pPr>
            <w:r w:rsidRPr="008A693D">
              <w:rPr>
                <w:rFonts w:ascii="Open Sans" w:hAnsi="Open Sans" w:cs="Open Sans"/>
                <w:b/>
                <w:bCs/>
                <w:sz w:val="20"/>
                <w:szCs w:val="20"/>
              </w:rPr>
              <w:t>Count</w:t>
            </w:r>
          </w:p>
        </w:tc>
        <w:tc>
          <w:tcPr>
            <w:tcW w:w="1042" w:type="dxa"/>
            <w:hideMark/>
          </w:tcPr>
          <w:p w14:paraId="0F199801" w14:textId="1B7C3DE0" w:rsidR="008A693D" w:rsidRPr="007D5AAA" w:rsidRDefault="008A693D" w:rsidP="008A693D">
            <w:pPr>
              <w:pStyle w:val="NormalWeb"/>
              <w:jc w:val="both"/>
              <w:rPr>
                <w:rFonts w:ascii="Open Sans" w:hAnsi="Open Sans" w:cs="Open Sans"/>
                <w:sz w:val="20"/>
                <w:szCs w:val="20"/>
              </w:rPr>
            </w:pPr>
            <w:r w:rsidRPr="007D5AAA">
              <w:rPr>
                <w:rFonts w:ascii="Open Sans" w:hAnsi="Open Sans" w:cs="Open Sans"/>
                <w:sz w:val="20"/>
                <w:szCs w:val="20"/>
              </w:rPr>
              <w:t>7</w:t>
            </w:r>
          </w:p>
        </w:tc>
        <w:tc>
          <w:tcPr>
            <w:tcW w:w="696" w:type="dxa"/>
          </w:tcPr>
          <w:p w14:paraId="4442BCD4" w14:textId="300345C8" w:rsidR="008A693D" w:rsidRPr="007D5AAA" w:rsidRDefault="008A693D" w:rsidP="008A693D">
            <w:pPr>
              <w:pStyle w:val="NormalWeb"/>
              <w:jc w:val="both"/>
              <w:rPr>
                <w:rFonts w:ascii="Open Sans" w:hAnsi="Open Sans" w:cs="Open Sans"/>
                <w:sz w:val="20"/>
                <w:szCs w:val="20"/>
              </w:rPr>
            </w:pPr>
            <w:r w:rsidRPr="00460F11">
              <w:rPr>
                <w:rFonts w:ascii="Open Sans" w:hAnsi="Open Sans" w:cs="Open Sans"/>
                <w:b/>
                <w:bCs/>
                <w:sz w:val="20"/>
                <w:szCs w:val="20"/>
              </w:rPr>
              <w:t xml:space="preserve">% </w:t>
            </w:r>
          </w:p>
        </w:tc>
        <w:tc>
          <w:tcPr>
            <w:tcW w:w="777" w:type="dxa"/>
            <w:hideMark/>
          </w:tcPr>
          <w:p w14:paraId="63E90510" w14:textId="25A84A9A" w:rsidR="008A693D" w:rsidRPr="007D5AAA" w:rsidRDefault="008A693D" w:rsidP="008A693D">
            <w:pPr>
              <w:pStyle w:val="NormalWeb"/>
              <w:jc w:val="both"/>
              <w:rPr>
                <w:rFonts w:ascii="Open Sans" w:hAnsi="Open Sans" w:cs="Open Sans"/>
                <w:sz w:val="20"/>
                <w:szCs w:val="20"/>
              </w:rPr>
            </w:pPr>
            <w:r w:rsidRPr="007D5AAA">
              <w:rPr>
                <w:rFonts w:ascii="Open Sans" w:hAnsi="Open Sans" w:cs="Open Sans"/>
                <w:sz w:val="20"/>
                <w:szCs w:val="20"/>
              </w:rPr>
              <w:t>2.8%</w:t>
            </w:r>
          </w:p>
        </w:tc>
      </w:tr>
    </w:tbl>
    <w:p w14:paraId="65A2B3B7" w14:textId="27E8EE8B" w:rsidR="00DD25E0" w:rsidRPr="00F9584B" w:rsidRDefault="00DD25E0" w:rsidP="00F9584B">
      <w:pPr>
        <w:pStyle w:val="BodyText"/>
        <w:rPr>
          <w:b/>
          <w:bCs/>
          <w:lang w:val="en-AU"/>
        </w:rPr>
      </w:pPr>
      <w:r w:rsidRPr="00F9584B">
        <w:rPr>
          <w:b/>
          <w:bCs/>
          <w:lang w:val="en-AU"/>
        </w:rPr>
        <w:br w:type="page"/>
      </w:r>
    </w:p>
    <w:p w14:paraId="6D0E8315" w14:textId="3A54E029" w:rsidR="00DD25E0" w:rsidRDefault="00DD25E0" w:rsidP="009A5B8A">
      <w:pPr>
        <w:pStyle w:val="Heading1"/>
      </w:pPr>
      <w:bookmarkStart w:id="59" w:name="_Toc96092074"/>
      <w:r w:rsidRPr="00CE2F22">
        <w:t>WHAT TYPES OF VIOLENCE ARE YOUNG WOMEN AND NON-BINARY PEOPLE EXPERIENCING?</w:t>
      </w:r>
      <w:bookmarkEnd w:id="59"/>
    </w:p>
    <w:p w14:paraId="652854FE" w14:textId="77777777" w:rsidR="008A693D" w:rsidRPr="008A693D" w:rsidRDefault="008A693D" w:rsidP="008A693D"/>
    <w:p w14:paraId="72757329" w14:textId="2027EF10" w:rsidR="00B74C33" w:rsidRPr="00CE2F22" w:rsidRDefault="00B74C33" w:rsidP="00B74C33">
      <w:pPr>
        <w:pStyle w:val="BodyText"/>
        <w:rPr>
          <w:lang w:val="en-AU"/>
        </w:rPr>
      </w:pPr>
      <w:r w:rsidRPr="00CE2F22">
        <w:rPr>
          <w:lang w:val="en-AU"/>
        </w:rPr>
        <w:t>Gender-based violence comes in many diverse forms. The United Nations defines violence against women broadly to include acts or threats that may lead to physical, sexual</w:t>
      </w:r>
      <w:r w:rsidR="001B2068" w:rsidRPr="00CE2F22">
        <w:rPr>
          <w:lang w:val="en-AU"/>
        </w:rPr>
        <w:t xml:space="preserve">, </w:t>
      </w:r>
      <w:r w:rsidRPr="00CE2F22">
        <w:rPr>
          <w:lang w:val="en-AU"/>
        </w:rPr>
        <w:t>or psychological harm or suffering to women (UN Declaration on the Elimination of Violence against Women, 1993). (1)</w:t>
      </w:r>
    </w:p>
    <w:p w14:paraId="35A8E615" w14:textId="77777777" w:rsidR="00B74C33" w:rsidRPr="00CE2F22" w:rsidRDefault="00B74C33" w:rsidP="00B74C33">
      <w:pPr>
        <w:pStyle w:val="BodyText"/>
        <w:rPr>
          <w:lang w:val="en-AU"/>
        </w:rPr>
      </w:pPr>
    </w:p>
    <w:p w14:paraId="11B0C839" w14:textId="2B8F73EB" w:rsidR="00A50E35" w:rsidRPr="00CE2F22" w:rsidRDefault="00B74C33" w:rsidP="00B74C33">
      <w:pPr>
        <w:pStyle w:val="BodyText"/>
        <w:rPr>
          <w:lang w:val="en-AU"/>
        </w:rPr>
      </w:pPr>
      <w:r w:rsidRPr="00CE2F22">
        <w:rPr>
          <w:lang w:val="en-AU"/>
        </w:rPr>
        <w:t>Two hundred and sixteen (216) of the 250 survey respondents (86.4%) indicated that they have experienced a form of violence or abuse. Respondents were asked to indicate all forms of violence or abuse they have experienced, so each respondent may have indicated multiple forms of violence. The most common forms were emotional abuse and sexual violence. These findings show that the respondents experience diverse forms of violence.</w:t>
      </w:r>
    </w:p>
    <w:p w14:paraId="4C7EEE00" w14:textId="5681FCA1" w:rsidR="00B74C33" w:rsidRPr="00CE2F22" w:rsidRDefault="00B74C33" w:rsidP="00B74C33">
      <w:r w:rsidRPr="00CE2F22">
        <w:t xml:space="preserve"> </w:t>
      </w:r>
    </w:p>
    <w:p w14:paraId="58CBAA33" w14:textId="78D1FF0F" w:rsidR="00E654F7" w:rsidRPr="00F9584B" w:rsidRDefault="00F9584B" w:rsidP="00F9584B">
      <w:pPr>
        <w:pStyle w:val="BodyText"/>
        <w:rPr>
          <w:b/>
          <w:bCs/>
        </w:rPr>
      </w:pPr>
      <w:r w:rsidRPr="00F9584B">
        <w:rPr>
          <w:b/>
          <w:bCs/>
        </w:rPr>
        <w:t>Table 2.1: Forms of violence experienced</w:t>
      </w:r>
    </w:p>
    <w:p w14:paraId="51A25F39" w14:textId="53C58ABF" w:rsidR="00B81CAC" w:rsidRDefault="00B81CAC" w:rsidP="00B81CAC">
      <w:pPr>
        <w:pStyle w:val="BodyText"/>
        <w:rPr>
          <w:lang w:val="en-AU"/>
        </w:rPr>
      </w:pPr>
    </w:p>
    <w:tbl>
      <w:tblPr>
        <w:tblStyle w:val="TableGrid"/>
        <w:tblW w:w="0" w:type="auto"/>
        <w:tblLook w:val="04A0" w:firstRow="1" w:lastRow="0" w:firstColumn="1" w:lastColumn="0" w:noHBand="0" w:noVBand="1"/>
      </w:tblPr>
      <w:tblGrid>
        <w:gridCol w:w="1271"/>
        <w:gridCol w:w="4584"/>
        <w:gridCol w:w="1086"/>
        <w:gridCol w:w="709"/>
      </w:tblGrid>
      <w:tr w:rsidR="008A693D" w:rsidRPr="007D5AAA" w14:paraId="063B739D" w14:textId="77777777" w:rsidTr="008A693D">
        <w:trPr>
          <w:trHeight w:val="389"/>
        </w:trPr>
        <w:tc>
          <w:tcPr>
            <w:tcW w:w="7650" w:type="dxa"/>
            <w:gridSpan w:val="4"/>
            <w:hideMark/>
          </w:tcPr>
          <w:p w14:paraId="0633A487" w14:textId="412A248E" w:rsidR="008A693D" w:rsidRPr="008A693D" w:rsidRDefault="008A693D" w:rsidP="008A693D">
            <w:pPr>
              <w:pStyle w:val="BodyText"/>
              <w:rPr>
                <w:b/>
                <w:bCs/>
              </w:rPr>
            </w:pPr>
            <w:r w:rsidRPr="00F9584B">
              <w:rPr>
                <w:b/>
                <w:bCs/>
              </w:rPr>
              <w:t>Table 2.1: Forms of violence experienced</w:t>
            </w:r>
          </w:p>
        </w:tc>
      </w:tr>
      <w:tr w:rsidR="008A693D" w:rsidRPr="007D5AAA" w14:paraId="0C85F5EE" w14:textId="77777777" w:rsidTr="008A693D">
        <w:tc>
          <w:tcPr>
            <w:tcW w:w="1271" w:type="dxa"/>
            <w:hideMark/>
          </w:tcPr>
          <w:p w14:paraId="31CEF3BA" w14:textId="3D6C4875" w:rsidR="008A693D" w:rsidRPr="007D5AAA" w:rsidRDefault="008A693D" w:rsidP="008A693D">
            <w:pPr>
              <w:pStyle w:val="NormalWeb"/>
              <w:jc w:val="both"/>
              <w:rPr>
                <w:rFonts w:ascii="Open Sans" w:hAnsi="Open Sans" w:cs="Open Sans"/>
                <w:sz w:val="20"/>
                <w:szCs w:val="20"/>
              </w:rPr>
            </w:pPr>
            <w:r>
              <w:rPr>
                <w:rFonts w:ascii="Open Sans" w:hAnsi="Open Sans" w:cs="Open Sans"/>
                <w:sz w:val="20"/>
                <w:szCs w:val="20"/>
              </w:rPr>
              <w:t xml:space="preserve">Option </w:t>
            </w:r>
            <w:r w:rsidRPr="007D5AAA">
              <w:rPr>
                <w:rFonts w:ascii="Open Sans" w:hAnsi="Open Sans" w:cs="Open Sans"/>
                <w:sz w:val="20"/>
                <w:szCs w:val="20"/>
              </w:rPr>
              <w:t>A</w:t>
            </w:r>
          </w:p>
        </w:tc>
        <w:tc>
          <w:tcPr>
            <w:tcW w:w="4584" w:type="dxa"/>
            <w:hideMark/>
          </w:tcPr>
          <w:p w14:paraId="6B68E80E" w14:textId="77777777" w:rsidR="008A693D" w:rsidRPr="007D5AAA" w:rsidRDefault="008A693D" w:rsidP="008A693D">
            <w:pPr>
              <w:pStyle w:val="NormalWeb"/>
              <w:jc w:val="both"/>
              <w:rPr>
                <w:rFonts w:ascii="Open Sans" w:hAnsi="Open Sans" w:cs="Open Sans"/>
                <w:sz w:val="20"/>
                <w:szCs w:val="20"/>
              </w:rPr>
            </w:pPr>
            <w:r w:rsidRPr="007D5AAA">
              <w:rPr>
                <w:rFonts w:ascii="Open Sans" w:hAnsi="Open Sans" w:cs="Open Sans"/>
                <w:sz w:val="20"/>
                <w:szCs w:val="20"/>
              </w:rPr>
              <w:t>Emotional abuse</w:t>
            </w:r>
          </w:p>
        </w:tc>
        <w:tc>
          <w:tcPr>
            <w:tcW w:w="1086" w:type="dxa"/>
          </w:tcPr>
          <w:p w14:paraId="0BE7F1E7" w14:textId="39E251CA" w:rsidR="008A693D" w:rsidRPr="007D5AAA" w:rsidRDefault="008A693D" w:rsidP="008A693D">
            <w:pPr>
              <w:pStyle w:val="NormalWeb"/>
              <w:jc w:val="both"/>
              <w:rPr>
                <w:rFonts w:ascii="Open Sans" w:hAnsi="Open Sans" w:cs="Open Sans"/>
                <w:sz w:val="20"/>
                <w:szCs w:val="20"/>
              </w:rPr>
            </w:pPr>
            <w:r w:rsidRPr="0029469C">
              <w:rPr>
                <w:rFonts w:ascii="Open Sans" w:hAnsi="Open Sans" w:cs="Open Sans"/>
                <w:b/>
                <w:bCs/>
                <w:sz w:val="20"/>
                <w:szCs w:val="20"/>
              </w:rPr>
              <w:t>Count</w:t>
            </w:r>
          </w:p>
        </w:tc>
        <w:tc>
          <w:tcPr>
            <w:tcW w:w="709" w:type="dxa"/>
            <w:hideMark/>
          </w:tcPr>
          <w:p w14:paraId="329B57D9" w14:textId="7A6EE8DA" w:rsidR="008A693D" w:rsidRPr="007D5AAA" w:rsidRDefault="008A693D" w:rsidP="008A693D">
            <w:pPr>
              <w:pStyle w:val="NormalWeb"/>
              <w:jc w:val="both"/>
              <w:rPr>
                <w:rFonts w:ascii="Open Sans" w:hAnsi="Open Sans" w:cs="Open Sans"/>
                <w:sz w:val="20"/>
                <w:szCs w:val="20"/>
              </w:rPr>
            </w:pPr>
            <w:r w:rsidRPr="007D5AAA">
              <w:rPr>
                <w:rFonts w:ascii="Open Sans" w:hAnsi="Open Sans" w:cs="Open Sans"/>
                <w:sz w:val="20"/>
                <w:szCs w:val="20"/>
              </w:rPr>
              <w:t>211</w:t>
            </w:r>
          </w:p>
        </w:tc>
      </w:tr>
      <w:tr w:rsidR="008A693D" w:rsidRPr="007D5AAA" w14:paraId="213F47AC" w14:textId="77777777" w:rsidTr="008A693D">
        <w:tc>
          <w:tcPr>
            <w:tcW w:w="1271" w:type="dxa"/>
            <w:hideMark/>
          </w:tcPr>
          <w:p w14:paraId="0A3853A0" w14:textId="5A5AC975" w:rsidR="008A693D" w:rsidRPr="007D5AAA" w:rsidRDefault="008A693D" w:rsidP="008A693D">
            <w:pPr>
              <w:pStyle w:val="NormalWeb"/>
              <w:jc w:val="both"/>
              <w:rPr>
                <w:rFonts w:ascii="Open Sans" w:hAnsi="Open Sans" w:cs="Open Sans"/>
                <w:sz w:val="20"/>
                <w:szCs w:val="20"/>
              </w:rPr>
            </w:pPr>
            <w:r>
              <w:rPr>
                <w:rFonts w:ascii="Open Sans" w:hAnsi="Open Sans" w:cs="Open Sans"/>
                <w:sz w:val="20"/>
                <w:szCs w:val="20"/>
              </w:rPr>
              <w:t xml:space="preserve">Option </w:t>
            </w:r>
            <w:r w:rsidRPr="007D5AAA">
              <w:rPr>
                <w:rFonts w:ascii="Open Sans" w:hAnsi="Open Sans" w:cs="Open Sans"/>
                <w:sz w:val="20"/>
                <w:szCs w:val="20"/>
              </w:rPr>
              <w:t>B</w:t>
            </w:r>
          </w:p>
        </w:tc>
        <w:tc>
          <w:tcPr>
            <w:tcW w:w="4584" w:type="dxa"/>
            <w:hideMark/>
          </w:tcPr>
          <w:p w14:paraId="2DECE264" w14:textId="77777777" w:rsidR="008A693D" w:rsidRPr="007D5AAA" w:rsidRDefault="008A693D" w:rsidP="008A693D">
            <w:pPr>
              <w:pStyle w:val="NormalWeb"/>
              <w:jc w:val="both"/>
              <w:rPr>
                <w:rFonts w:ascii="Open Sans" w:hAnsi="Open Sans" w:cs="Open Sans"/>
                <w:sz w:val="20"/>
                <w:szCs w:val="20"/>
              </w:rPr>
            </w:pPr>
            <w:r w:rsidRPr="007D5AAA">
              <w:rPr>
                <w:rFonts w:ascii="Open Sans" w:hAnsi="Open Sans" w:cs="Open Sans"/>
                <w:sz w:val="20"/>
                <w:szCs w:val="20"/>
              </w:rPr>
              <w:t>Sexual violence</w:t>
            </w:r>
          </w:p>
        </w:tc>
        <w:tc>
          <w:tcPr>
            <w:tcW w:w="1086" w:type="dxa"/>
          </w:tcPr>
          <w:p w14:paraId="67419004" w14:textId="3A6874B2" w:rsidR="008A693D" w:rsidRPr="007D5AAA" w:rsidRDefault="008A693D" w:rsidP="008A693D">
            <w:pPr>
              <w:pStyle w:val="NormalWeb"/>
              <w:jc w:val="both"/>
              <w:rPr>
                <w:rFonts w:ascii="Open Sans" w:hAnsi="Open Sans" w:cs="Open Sans"/>
                <w:sz w:val="20"/>
                <w:szCs w:val="20"/>
              </w:rPr>
            </w:pPr>
            <w:r w:rsidRPr="0029469C">
              <w:rPr>
                <w:rFonts w:ascii="Open Sans" w:hAnsi="Open Sans" w:cs="Open Sans"/>
                <w:b/>
                <w:bCs/>
                <w:sz w:val="20"/>
                <w:szCs w:val="20"/>
              </w:rPr>
              <w:t>Count</w:t>
            </w:r>
          </w:p>
        </w:tc>
        <w:tc>
          <w:tcPr>
            <w:tcW w:w="709" w:type="dxa"/>
            <w:hideMark/>
          </w:tcPr>
          <w:p w14:paraId="73B5D1D2" w14:textId="5C37E463" w:rsidR="008A693D" w:rsidRPr="007D5AAA" w:rsidRDefault="008A693D" w:rsidP="008A693D">
            <w:pPr>
              <w:pStyle w:val="NormalWeb"/>
              <w:jc w:val="both"/>
              <w:rPr>
                <w:rFonts w:ascii="Open Sans" w:hAnsi="Open Sans" w:cs="Open Sans"/>
                <w:sz w:val="20"/>
                <w:szCs w:val="20"/>
              </w:rPr>
            </w:pPr>
            <w:r w:rsidRPr="007D5AAA">
              <w:rPr>
                <w:rFonts w:ascii="Open Sans" w:hAnsi="Open Sans" w:cs="Open Sans"/>
                <w:sz w:val="20"/>
                <w:szCs w:val="20"/>
              </w:rPr>
              <w:t>201</w:t>
            </w:r>
          </w:p>
        </w:tc>
      </w:tr>
      <w:tr w:rsidR="008A693D" w:rsidRPr="007D5AAA" w14:paraId="3AE957FC" w14:textId="77777777" w:rsidTr="008A693D">
        <w:trPr>
          <w:trHeight w:val="67"/>
        </w:trPr>
        <w:tc>
          <w:tcPr>
            <w:tcW w:w="1271" w:type="dxa"/>
            <w:hideMark/>
          </w:tcPr>
          <w:p w14:paraId="13AD57FF" w14:textId="6B197610" w:rsidR="008A693D" w:rsidRPr="007D5AAA" w:rsidRDefault="008A693D" w:rsidP="008A693D">
            <w:pPr>
              <w:pStyle w:val="NormalWeb"/>
              <w:jc w:val="both"/>
              <w:rPr>
                <w:rFonts w:ascii="Open Sans" w:hAnsi="Open Sans" w:cs="Open Sans"/>
                <w:sz w:val="20"/>
                <w:szCs w:val="20"/>
              </w:rPr>
            </w:pPr>
            <w:r>
              <w:rPr>
                <w:rFonts w:ascii="Open Sans" w:hAnsi="Open Sans" w:cs="Open Sans"/>
                <w:sz w:val="20"/>
                <w:szCs w:val="20"/>
              </w:rPr>
              <w:t xml:space="preserve">Option </w:t>
            </w:r>
            <w:r w:rsidRPr="007D5AAA">
              <w:rPr>
                <w:rFonts w:ascii="Open Sans" w:hAnsi="Open Sans" w:cs="Open Sans"/>
                <w:sz w:val="20"/>
                <w:szCs w:val="20"/>
              </w:rPr>
              <w:t>C</w:t>
            </w:r>
          </w:p>
        </w:tc>
        <w:tc>
          <w:tcPr>
            <w:tcW w:w="4584" w:type="dxa"/>
            <w:hideMark/>
          </w:tcPr>
          <w:p w14:paraId="7C158230" w14:textId="77777777" w:rsidR="008A693D" w:rsidRPr="007D5AAA" w:rsidRDefault="008A693D" w:rsidP="008A693D">
            <w:pPr>
              <w:pStyle w:val="NormalWeb"/>
              <w:jc w:val="both"/>
              <w:rPr>
                <w:rFonts w:ascii="Open Sans" w:hAnsi="Open Sans" w:cs="Open Sans"/>
                <w:sz w:val="20"/>
                <w:szCs w:val="20"/>
              </w:rPr>
            </w:pPr>
            <w:r w:rsidRPr="007D5AAA">
              <w:rPr>
                <w:rFonts w:ascii="Open Sans" w:hAnsi="Open Sans" w:cs="Open Sans"/>
                <w:sz w:val="20"/>
                <w:szCs w:val="20"/>
              </w:rPr>
              <w:t>Verbal abuse</w:t>
            </w:r>
          </w:p>
        </w:tc>
        <w:tc>
          <w:tcPr>
            <w:tcW w:w="1086" w:type="dxa"/>
          </w:tcPr>
          <w:p w14:paraId="5A1B8BCB" w14:textId="5451A0FC" w:rsidR="008A693D" w:rsidRPr="007D5AAA" w:rsidRDefault="008A693D" w:rsidP="008A693D">
            <w:pPr>
              <w:pStyle w:val="NormalWeb"/>
              <w:jc w:val="both"/>
              <w:rPr>
                <w:rFonts w:ascii="Open Sans" w:hAnsi="Open Sans" w:cs="Open Sans"/>
                <w:sz w:val="20"/>
                <w:szCs w:val="20"/>
              </w:rPr>
            </w:pPr>
            <w:r w:rsidRPr="0029469C">
              <w:rPr>
                <w:rFonts w:ascii="Open Sans" w:hAnsi="Open Sans" w:cs="Open Sans"/>
                <w:b/>
                <w:bCs/>
                <w:sz w:val="20"/>
                <w:szCs w:val="20"/>
              </w:rPr>
              <w:t>Count</w:t>
            </w:r>
          </w:p>
        </w:tc>
        <w:tc>
          <w:tcPr>
            <w:tcW w:w="709" w:type="dxa"/>
            <w:hideMark/>
          </w:tcPr>
          <w:p w14:paraId="60306040" w14:textId="593ED26D" w:rsidR="008A693D" w:rsidRPr="007D5AAA" w:rsidRDefault="008A693D" w:rsidP="008A693D">
            <w:pPr>
              <w:pStyle w:val="NormalWeb"/>
              <w:jc w:val="both"/>
              <w:rPr>
                <w:rFonts w:ascii="Open Sans" w:hAnsi="Open Sans" w:cs="Open Sans"/>
                <w:sz w:val="20"/>
                <w:szCs w:val="20"/>
              </w:rPr>
            </w:pPr>
            <w:r w:rsidRPr="007D5AAA">
              <w:rPr>
                <w:rFonts w:ascii="Open Sans" w:hAnsi="Open Sans" w:cs="Open Sans"/>
                <w:sz w:val="20"/>
                <w:szCs w:val="20"/>
              </w:rPr>
              <w:t>193</w:t>
            </w:r>
          </w:p>
        </w:tc>
      </w:tr>
      <w:tr w:rsidR="008A693D" w:rsidRPr="007D5AAA" w14:paraId="509D296C" w14:textId="77777777" w:rsidTr="008A693D">
        <w:tc>
          <w:tcPr>
            <w:tcW w:w="1271" w:type="dxa"/>
            <w:hideMark/>
          </w:tcPr>
          <w:p w14:paraId="24E12522" w14:textId="23EB35F7" w:rsidR="008A693D" w:rsidRPr="007D5AAA" w:rsidRDefault="008A693D" w:rsidP="008A693D">
            <w:pPr>
              <w:pStyle w:val="NormalWeb"/>
              <w:jc w:val="both"/>
              <w:rPr>
                <w:rFonts w:ascii="Open Sans" w:hAnsi="Open Sans" w:cs="Open Sans"/>
                <w:sz w:val="20"/>
                <w:szCs w:val="20"/>
              </w:rPr>
            </w:pPr>
            <w:r>
              <w:rPr>
                <w:rFonts w:ascii="Open Sans" w:hAnsi="Open Sans" w:cs="Open Sans"/>
                <w:sz w:val="20"/>
                <w:szCs w:val="20"/>
              </w:rPr>
              <w:t xml:space="preserve">Option </w:t>
            </w:r>
            <w:r w:rsidRPr="007D5AAA">
              <w:rPr>
                <w:rFonts w:ascii="Open Sans" w:hAnsi="Open Sans" w:cs="Open Sans"/>
                <w:sz w:val="20"/>
                <w:szCs w:val="20"/>
              </w:rPr>
              <w:t>D</w:t>
            </w:r>
          </w:p>
        </w:tc>
        <w:tc>
          <w:tcPr>
            <w:tcW w:w="4584" w:type="dxa"/>
            <w:hideMark/>
          </w:tcPr>
          <w:p w14:paraId="6C5A40DF" w14:textId="77777777" w:rsidR="008A693D" w:rsidRPr="007D5AAA" w:rsidRDefault="008A693D" w:rsidP="008A693D">
            <w:pPr>
              <w:pStyle w:val="NormalWeb"/>
              <w:jc w:val="both"/>
              <w:rPr>
                <w:rFonts w:ascii="Open Sans" w:hAnsi="Open Sans" w:cs="Open Sans"/>
                <w:sz w:val="20"/>
                <w:szCs w:val="20"/>
              </w:rPr>
            </w:pPr>
            <w:r w:rsidRPr="007D5AAA">
              <w:rPr>
                <w:rFonts w:ascii="Open Sans" w:hAnsi="Open Sans" w:cs="Open Sans"/>
                <w:sz w:val="20"/>
                <w:szCs w:val="20"/>
              </w:rPr>
              <w:t>Physical violence</w:t>
            </w:r>
          </w:p>
        </w:tc>
        <w:tc>
          <w:tcPr>
            <w:tcW w:w="1086" w:type="dxa"/>
          </w:tcPr>
          <w:p w14:paraId="3201ED06" w14:textId="5A99D8F5" w:rsidR="008A693D" w:rsidRPr="007D5AAA" w:rsidRDefault="008A693D" w:rsidP="008A693D">
            <w:pPr>
              <w:pStyle w:val="NormalWeb"/>
              <w:jc w:val="both"/>
              <w:rPr>
                <w:rFonts w:ascii="Open Sans" w:hAnsi="Open Sans" w:cs="Open Sans"/>
                <w:sz w:val="20"/>
                <w:szCs w:val="20"/>
              </w:rPr>
            </w:pPr>
            <w:r w:rsidRPr="0029469C">
              <w:rPr>
                <w:rFonts w:ascii="Open Sans" w:hAnsi="Open Sans" w:cs="Open Sans"/>
                <w:b/>
                <w:bCs/>
                <w:sz w:val="20"/>
                <w:szCs w:val="20"/>
              </w:rPr>
              <w:t>Count</w:t>
            </w:r>
          </w:p>
        </w:tc>
        <w:tc>
          <w:tcPr>
            <w:tcW w:w="709" w:type="dxa"/>
            <w:hideMark/>
          </w:tcPr>
          <w:p w14:paraId="5D779BB4" w14:textId="6DCECFAC" w:rsidR="008A693D" w:rsidRPr="007D5AAA" w:rsidRDefault="008A693D" w:rsidP="008A693D">
            <w:pPr>
              <w:pStyle w:val="NormalWeb"/>
              <w:jc w:val="both"/>
              <w:rPr>
                <w:rFonts w:ascii="Open Sans" w:hAnsi="Open Sans" w:cs="Open Sans"/>
                <w:sz w:val="20"/>
                <w:szCs w:val="20"/>
              </w:rPr>
            </w:pPr>
            <w:r w:rsidRPr="007D5AAA">
              <w:rPr>
                <w:rFonts w:ascii="Open Sans" w:hAnsi="Open Sans" w:cs="Open Sans"/>
                <w:sz w:val="20"/>
                <w:szCs w:val="20"/>
              </w:rPr>
              <w:t>143</w:t>
            </w:r>
          </w:p>
        </w:tc>
      </w:tr>
      <w:tr w:rsidR="008A693D" w:rsidRPr="007D5AAA" w14:paraId="1293C14B" w14:textId="77777777" w:rsidTr="008A693D">
        <w:tc>
          <w:tcPr>
            <w:tcW w:w="1271" w:type="dxa"/>
            <w:hideMark/>
          </w:tcPr>
          <w:p w14:paraId="384AF6B1" w14:textId="428BF5E2" w:rsidR="008A693D" w:rsidRPr="007D5AAA" w:rsidRDefault="008A693D" w:rsidP="008A693D">
            <w:pPr>
              <w:pStyle w:val="NormalWeb"/>
              <w:jc w:val="both"/>
              <w:rPr>
                <w:rFonts w:ascii="Open Sans" w:hAnsi="Open Sans" w:cs="Open Sans"/>
                <w:sz w:val="20"/>
                <w:szCs w:val="20"/>
              </w:rPr>
            </w:pPr>
            <w:r>
              <w:rPr>
                <w:rFonts w:ascii="Open Sans" w:hAnsi="Open Sans" w:cs="Open Sans"/>
                <w:sz w:val="20"/>
                <w:szCs w:val="20"/>
              </w:rPr>
              <w:t xml:space="preserve">Option </w:t>
            </w:r>
            <w:r w:rsidRPr="007D5AAA">
              <w:rPr>
                <w:rFonts w:ascii="Open Sans" w:hAnsi="Open Sans" w:cs="Open Sans"/>
                <w:sz w:val="20"/>
                <w:szCs w:val="20"/>
              </w:rPr>
              <w:t>E</w:t>
            </w:r>
          </w:p>
        </w:tc>
        <w:tc>
          <w:tcPr>
            <w:tcW w:w="4584" w:type="dxa"/>
            <w:hideMark/>
          </w:tcPr>
          <w:p w14:paraId="2EE6B1B4" w14:textId="77777777" w:rsidR="008A693D" w:rsidRPr="007D5AAA" w:rsidRDefault="008A693D" w:rsidP="008A693D">
            <w:pPr>
              <w:pStyle w:val="NormalWeb"/>
              <w:jc w:val="both"/>
              <w:rPr>
                <w:rFonts w:ascii="Open Sans" w:hAnsi="Open Sans" w:cs="Open Sans"/>
                <w:sz w:val="20"/>
                <w:szCs w:val="20"/>
              </w:rPr>
            </w:pPr>
            <w:r w:rsidRPr="007D5AAA">
              <w:rPr>
                <w:rFonts w:ascii="Open Sans" w:hAnsi="Open Sans" w:cs="Open Sans"/>
                <w:sz w:val="20"/>
                <w:szCs w:val="20"/>
              </w:rPr>
              <w:t>Control tactics</w:t>
            </w:r>
          </w:p>
        </w:tc>
        <w:tc>
          <w:tcPr>
            <w:tcW w:w="1086" w:type="dxa"/>
          </w:tcPr>
          <w:p w14:paraId="7C926047" w14:textId="5B25210B" w:rsidR="008A693D" w:rsidRPr="007D5AAA" w:rsidRDefault="008A693D" w:rsidP="008A693D">
            <w:pPr>
              <w:pStyle w:val="NormalWeb"/>
              <w:jc w:val="both"/>
              <w:rPr>
                <w:rFonts w:ascii="Open Sans" w:hAnsi="Open Sans" w:cs="Open Sans"/>
                <w:sz w:val="20"/>
                <w:szCs w:val="20"/>
              </w:rPr>
            </w:pPr>
            <w:r w:rsidRPr="0029469C">
              <w:rPr>
                <w:rFonts w:ascii="Open Sans" w:hAnsi="Open Sans" w:cs="Open Sans"/>
                <w:b/>
                <w:bCs/>
                <w:sz w:val="20"/>
                <w:szCs w:val="20"/>
              </w:rPr>
              <w:t>Count</w:t>
            </w:r>
          </w:p>
        </w:tc>
        <w:tc>
          <w:tcPr>
            <w:tcW w:w="709" w:type="dxa"/>
            <w:hideMark/>
          </w:tcPr>
          <w:p w14:paraId="633C1237" w14:textId="0EEEDC9E" w:rsidR="008A693D" w:rsidRPr="007D5AAA" w:rsidRDefault="008A693D" w:rsidP="008A693D">
            <w:pPr>
              <w:pStyle w:val="NormalWeb"/>
              <w:jc w:val="both"/>
              <w:rPr>
                <w:rFonts w:ascii="Open Sans" w:hAnsi="Open Sans" w:cs="Open Sans"/>
                <w:sz w:val="20"/>
                <w:szCs w:val="20"/>
              </w:rPr>
            </w:pPr>
            <w:r w:rsidRPr="007D5AAA">
              <w:rPr>
                <w:rFonts w:ascii="Open Sans" w:hAnsi="Open Sans" w:cs="Open Sans"/>
                <w:sz w:val="20"/>
                <w:szCs w:val="20"/>
              </w:rPr>
              <w:t>138</w:t>
            </w:r>
          </w:p>
        </w:tc>
      </w:tr>
      <w:tr w:rsidR="008A693D" w:rsidRPr="007D5AAA" w14:paraId="6418401F" w14:textId="77777777" w:rsidTr="008A693D">
        <w:tc>
          <w:tcPr>
            <w:tcW w:w="1271" w:type="dxa"/>
            <w:hideMark/>
          </w:tcPr>
          <w:p w14:paraId="496B10A5" w14:textId="47EFB48B" w:rsidR="008A693D" w:rsidRPr="007D5AAA" w:rsidRDefault="008A693D" w:rsidP="008A693D">
            <w:pPr>
              <w:pStyle w:val="NormalWeb"/>
              <w:jc w:val="both"/>
              <w:rPr>
                <w:rFonts w:ascii="Open Sans" w:hAnsi="Open Sans" w:cs="Open Sans"/>
                <w:sz w:val="20"/>
                <w:szCs w:val="20"/>
              </w:rPr>
            </w:pPr>
            <w:r>
              <w:rPr>
                <w:rFonts w:ascii="Open Sans" w:hAnsi="Open Sans" w:cs="Open Sans"/>
                <w:sz w:val="20"/>
                <w:szCs w:val="20"/>
              </w:rPr>
              <w:t xml:space="preserve">Option </w:t>
            </w:r>
            <w:r w:rsidRPr="007D5AAA">
              <w:rPr>
                <w:rFonts w:ascii="Open Sans" w:hAnsi="Open Sans" w:cs="Open Sans"/>
                <w:sz w:val="20"/>
                <w:szCs w:val="20"/>
              </w:rPr>
              <w:t>F</w:t>
            </w:r>
          </w:p>
        </w:tc>
        <w:tc>
          <w:tcPr>
            <w:tcW w:w="4584" w:type="dxa"/>
            <w:hideMark/>
          </w:tcPr>
          <w:p w14:paraId="2B6A5ED6" w14:textId="77777777" w:rsidR="008A693D" w:rsidRPr="007D5AAA" w:rsidRDefault="008A693D" w:rsidP="008A693D">
            <w:pPr>
              <w:pStyle w:val="NormalWeb"/>
              <w:jc w:val="both"/>
              <w:rPr>
                <w:rFonts w:ascii="Open Sans" w:hAnsi="Open Sans" w:cs="Open Sans"/>
                <w:sz w:val="20"/>
                <w:szCs w:val="20"/>
              </w:rPr>
            </w:pPr>
            <w:r w:rsidRPr="007D5AAA">
              <w:rPr>
                <w:rFonts w:ascii="Open Sans" w:hAnsi="Open Sans" w:cs="Open Sans"/>
                <w:sz w:val="20"/>
                <w:szCs w:val="20"/>
              </w:rPr>
              <w:t>Institutional betrayal</w:t>
            </w:r>
          </w:p>
        </w:tc>
        <w:tc>
          <w:tcPr>
            <w:tcW w:w="1086" w:type="dxa"/>
          </w:tcPr>
          <w:p w14:paraId="73D16A81" w14:textId="3A718E5E" w:rsidR="008A693D" w:rsidRPr="007D5AAA" w:rsidRDefault="008A693D" w:rsidP="008A693D">
            <w:pPr>
              <w:pStyle w:val="NormalWeb"/>
              <w:jc w:val="both"/>
              <w:rPr>
                <w:rFonts w:ascii="Open Sans" w:hAnsi="Open Sans" w:cs="Open Sans"/>
                <w:sz w:val="20"/>
                <w:szCs w:val="20"/>
              </w:rPr>
            </w:pPr>
            <w:r w:rsidRPr="0029469C">
              <w:rPr>
                <w:rFonts w:ascii="Open Sans" w:hAnsi="Open Sans" w:cs="Open Sans"/>
                <w:b/>
                <w:bCs/>
                <w:sz w:val="20"/>
                <w:szCs w:val="20"/>
              </w:rPr>
              <w:t>Count</w:t>
            </w:r>
          </w:p>
        </w:tc>
        <w:tc>
          <w:tcPr>
            <w:tcW w:w="709" w:type="dxa"/>
            <w:hideMark/>
          </w:tcPr>
          <w:p w14:paraId="2AC509DD" w14:textId="16847D8E" w:rsidR="008A693D" w:rsidRPr="007D5AAA" w:rsidRDefault="008A693D" w:rsidP="008A693D">
            <w:pPr>
              <w:pStyle w:val="NormalWeb"/>
              <w:jc w:val="both"/>
              <w:rPr>
                <w:rFonts w:ascii="Open Sans" w:hAnsi="Open Sans" w:cs="Open Sans"/>
                <w:sz w:val="20"/>
                <w:szCs w:val="20"/>
              </w:rPr>
            </w:pPr>
            <w:r w:rsidRPr="007D5AAA">
              <w:rPr>
                <w:rFonts w:ascii="Open Sans" w:hAnsi="Open Sans" w:cs="Open Sans"/>
                <w:sz w:val="20"/>
                <w:szCs w:val="20"/>
              </w:rPr>
              <w:t>131</w:t>
            </w:r>
          </w:p>
        </w:tc>
      </w:tr>
      <w:tr w:rsidR="008A693D" w:rsidRPr="007D5AAA" w14:paraId="55D7BC95" w14:textId="77777777" w:rsidTr="008A693D">
        <w:tc>
          <w:tcPr>
            <w:tcW w:w="1271" w:type="dxa"/>
            <w:hideMark/>
          </w:tcPr>
          <w:p w14:paraId="1160C121" w14:textId="358FDB6C" w:rsidR="008A693D" w:rsidRPr="007D5AAA" w:rsidRDefault="008A693D" w:rsidP="008A693D">
            <w:pPr>
              <w:pStyle w:val="NormalWeb"/>
              <w:jc w:val="both"/>
              <w:rPr>
                <w:rFonts w:ascii="Open Sans" w:hAnsi="Open Sans" w:cs="Open Sans"/>
                <w:sz w:val="20"/>
                <w:szCs w:val="20"/>
              </w:rPr>
            </w:pPr>
            <w:r>
              <w:rPr>
                <w:rFonts w:ascii="Open Sans" w:hAnsi="Open Sans" w:cs="Open Sans"/>
                <w:sz w:val="20"/>
                <w:szCs w:val="20"/>
              </w:rPr>
              <w:t xml:space="preserve">Option </w:t>
            </w:r>
            <w:r w:rsidRPr="007D5AAA">
              <w:rPr>
                <w:rFonts w:ascii="Open Sans" w:hAnsi="Open Sans" w:cs="Open Sans"/>
                <w:sz w:val="20"/>
                <w:szCs w:val="20"/>
              </w:rPr>
              <w:t>G</w:t>
            </w:r>
          </w:p>
        </w:tc>
        <w:tc>
          <w:tcPr>
            <w:tcW w:w="4584" w:type="dxa"/>
            <w:hideMark/>
          </w:tcPr>
          <w:p w14:paraId="47DDB6A0" w14:textId="77777777" w:rsidR="008A693D" w:rsidRPr="007D5AAA" w:rsidRDefault="008A693D" w:rsidP="008A693D">
            <w:pPr>
              <w:pStyle w:val="NormalWeb"/>
              <w:jc w:val="both"/>
              <w:rPr>
                <w:rFonts w:ascii="Open Sans" w:hAnsi="Open Sans" w:cs="Open Sans"/>
                <w:sz w:val="20"/>
                <w:szCs w:val="20"/>
              </w:rPr>
            </w:pPr>
            <w:r w:rsidRPr="007D5AAA">
              <w:rPr>
                <w:rFonts w:ascii="Open Sans" w:hAnsi="Open Sans" w:cs="Open Sans"/>
                <w:sz w:val="20"/>
                <w:szCs w:val="20"/>
              </w:rPr>
              <w:t>Online and tech abuse</w:t>
            </w:r>
          </w:p>
        </w:tc>
        <w:tc>
          <w:tcPr>
            <w:tcW w:w="1086" w:type="dxa"/>
          </w:tcPr>
          <w:p w14:paraId="5FB38008" w14:textId="316F9127" w:rsidR="008A693D" w:rsidRPr="007D5AAA" w:rsidRDefault="008A693D" w:rsidP="008A693D">
            <w:pPr>
              <w:pStyle w:val="NormalWeb"/>
              <w:jc w:val="both"/>
              <w:rPr>
                <w:rFonts w:ascii="Open Sans" w:hAnsi="Open Sans" w:cs="Open Sans"/>
                <w:sz w:val="20"/>
                <w:szCs w:val="20"/>
              </w:rPr>
            </w:pPr>
            <w:r w:rsidRPr="0029469C">
              <w:rPr>
                <w:rFonts w:ascii="Open Sans" w:hAnsi="Open Sans" w:cs="Open Sans"/>
                <w:b/>
                <w:bCs/>
                <w:sz w:val="20"/>
                <w:szCs w:val="20"/>
              </w:rPr>
              <w:t>Count</w:t>
            </w:r>
          </w:p>
        </w:tc>
        <w:tc>
          <w:tcPr>
            <w:tcW w:w="709" w:type="dxa"/>
            <w:hideMark/>
          </w:tcPr>
          <w:p w14:paraId="1FB3F557" w14:textId="43EFC05D" w:rsidR="008A693D" w:rsidRPr="007D5AAA" w:rsidRDefault="008A693D" w:rsidP="008A693D">
            <w:pPr>
              <w:pStyle w:val="NormalWeb"/>
              <w:jc w:val="both"/>
              <w:rPr>
                <w:rFonts w:ascii="Open Sans" w:hAnsi="Open Sans" w:cs="Open Sans"/>
                <w:sz w:val="20"/>
                <w:szCs w:val="20"/>
              </w:rPr>
            </w:pPr>
            <w:r w:rsidRPr="007D5AAA">
              <w:rPr>
                <w:rFonts w:ascii="Open Sans" w:hAnsi="Open Sans" w:cs="Open Sans"/>
                <w:sz w:val="20"/>
                <w:szCs w:val="20"/>
              </w:rPr>
              <w:t>107</w:t>
            </w:r>
          </w:p>
        </w:tc>
      </w:tr>
      <w:tr w:rsidR="008A693D" w:rsidRPr="007D5AAA" w14:paraId="43801D76" w14:textId="77777777" w:rsidTr="008A693D">
        <w:tc>
          <w:tcPr>
            <w:tcW w:w="1271" w:type="dxa"/>
            <w:hideMark/>
          </w:tcPr>
          <w:p w14:paraId="506A7FE3" w14:textId="6C153CC1" w:rsidR="008A693D" w:rsidRPr="007D5AAA" w:rsidRDefault="008A693D" w:rsidP="008A693D">
            <w:pPr>
              <w:pStyle w:val="NormalWeb"/>
              <w:jc w:val="both"/>
              <w:rPr>
                <w:rFonts w:ascii="Open Sans" w:hAnsi="Open Sans" w:cs="Open Sans"/>
                <w:sz w:val="20"/>
                <w:szCs w:val="20"/>
              </w:rPr>
            </w:pPr>
            <w:r>
              <w:rPr>
                <w:rFonts w:ascii="Open Sans" w:hAnsi="Open Sans" w:cs="Open Sans"/>
                <w:sz w:val="20"/>
                <w:szCs w:val="20"/>
              </w:rPr>
              <w:t xml:space="preserve">Option </w:t>
            </w:r>
            <w:r w:rsidRPr="007D5AAA">
              <w:rPr>
                <w:rFonts w:ascii="Open Sans" w:hAnsi="Open Sans" w:cs="Open Sans"/>
                <w:sz w:val="20"/>
                <w:szCs w:val="20"/>
              </w:rPr>
              <w:t>H</w:t>
            </w:r>
          </w:p>
        </w:tc>
        <w:tc>
          <w:tcPr>
            <w:tcW w:w="4584" w:type="dxa"/>
            <w:hideMark/>
          </w:tcPr>
          <w:p w14:paraId="20B9068D" w14:textId="77777777" w:rsidR="008A693D" w:rsidRPr="007D5AAA" w:rsidRDefault="008A693D" w:rsidP="008A693D">
            <w:pPr>
              <w:pStyle w:val="NormalWeb"/>
              <w:jc w:val="both"/>
              <w:rPr>
                <w:rFonts w:ascii="Open Sans" w:hAnsi="Open Sans" w:cs="Open Sans"/>
                <w:sz w:val="20"/>
                <w:szCs w:val="20"/>
              </w:rPr>
            </w:pPr>
            <w:r w:rsidRPr="007D5AAA">
              <w:rPr>
                <w:rFonts w:ascii="Open Sans" w:hAnsi="Open Sans" w:cs="Open Sans"/>
                <w:sz w:val="20"/>
                <w:szCs w:val="20"/>
              </w:rPr>
              <w:t>Social abuse</w:t>
            </w:r>
          </w:p>
        </w:tc>
        <w:tc>
          <w:tcPr>
            <w:tcW w:w="1086" w:type="dxa"/>
          </w:tcPr>
          <w:p w14:paraId="3191C97F" w14:textId="20205951" w:rsidR="008A693D" w:rsidRPr="007D5AAA" w:rsidRDefault="008A693D" w:rsidP="008A693D">
            <w:pPr>
              <w:pStyle w:val="NormalWeb"/>
              <w:jc w:val="both"/>
              <w:rPr>
                <w:rFonts w:ascii="Open Sans" w:hAnsi="Open Sans" w:cs="Open Sans"/>
                <w:sz w:val="20"/>
                <w:szCs w:val="20"/>
              </w:rPr>
            </w:pPr>
            <w:r w:rsidRPr="0029469C">
              <w:rPr>
                <w:rFonts w:ascii="Open Sans" w:hAnsi="Open Sans" w:cs="Open Sans"/>
                <w:b/>
                <w:bCs/>
                <w:sz w:val="20"/>
                <w:szCs w:val="20"/>
              </w:rPr>
              <w:t>Count</w:t>
            </w:r>
          </w:p>
        </w:tc>
        <w:tc>
          <w:tcPr>
            <w:tcW w:w="709" w:type="dxa"/>
            <w:hideMark/>
          </w:tcPr>
          <w:p w14:paraId="753D15F4" w14:textId="0443A15B" w:rsidR="008A693D" w:rsidRPr="007D5AAA" w:rsidRDefault="008A693D" w:rsidP="008A693D">
            <w:pPr>
              <w:pStyle w:val="NormalWeb"/>
              <w:jc w:val="both"/>
              <w:rPr>
                <w:rFonts w:ascii="Open Sans" w:hAnsi="Open Sans" w:cs="Open Sans"/>
                <w:sz w:val="20"/>
                <w:szCs w:val="20"/>
              </w:rPr>
            </w:pPr>
            <w:r w:rsidRPr="007D5AAA">
              <w:rPr>
                <w:rFonts w:ascii="Open Sans" w:hAnsi="Open Sans" w:cs="Open Sans"/>
                <w:sz w:val="20"/>
                <w:szCs w:val="20"/>
              </w:rPr>
              <w:t>106</w:t>
            </w:r>
          </w:p>
        </w:tc>
      </w:tr>
      <w:tr w:rsidR="008A693D" w:rsidRPr="007D5AAA" w14:paraId="2F7263E1" w14:textId="77777777" w:rsidTr="008A693D">
        <w:tc>
          <w:tcPr>
            <w:tcW w:w="1271" w:type="dxa"/>
            <w:hideMark/>
          </w:tcPr>
          <w:p w14:paraId="24F72065" w14:textId="67E0BB3A" w:rsidR="008A693D" w:rsidRPr="007D5AAA" w:rsidRDefault="008A693D" w:rsidP="008A693D">
            <w:pPr>
              <w:pStyle w:val="NormalWeb"/>
              <w:jc w:val="both"/>
              <w:rPr>
                <w:rFonts w:ascii="Open Sans" w:hAnsi="Open Sans" w:cs="Open Sans"/>
                <w:sz w:val="20"/>
                <w:szCs w:val="20"/>
              </w:rPr>
            </w:pPr>
            <w:r>
              <w:rPr>
                <w:rFonts w:ascii="Open Sans" w:hAnsi="Open Sans" w:cs="Open Sans"/>
                <w:sz w:val="20"/>
                <w:szCs w:val="20"/>
              </w:rPr>
              <w:t xml:space="preserve">Option </w:t>
            </w:r>
            <w:r w:rsidRPr="007D5AAA">
              <w:rPr>
                <w:rFonts w:ascii="Open Sans" w:hAnsi="Open Sans" w:cs="Open Sans"/>
                <w:sz w:val="20"/>
                <w:szCs w:val="20"/>
              </w:rPr>
              <w:t>I</w:t>
            </w:r>
          </w:p>
        </w:tc>
        <w:tc>
          <w:tcPr>
            <w:tcW w:w="4584" w:type="dxa"/>
            <w:hideMark/>
          </w:tcPr>
          <w:p w14:paraId="37A28514" w14:textId="77777777" w:rsidR="008A693D" w:rsidRPr="007D5AAA" w:rsidRDefault="008A693D" w:rsidP="008A693D">
            <w:pPr>
              <w:pStyle w:val="NormalWeb"/>
              <w:jc w:val="both"/>
              <w:rPr>
                <w:rFonts w:ascii="Open Sans" w:hAnsi="Open Sans" w:cs="Open Sans"/>
                <w:sz w:val="20"/>
                <w:szCs w:val="20"/>
              </w:rPr>
            </w:pPr>
            <w:r w:rsidRPr="007D5AAA">
              <w:rPr>
                <w:rFonts w:ascii="Open Sans" w:hAnsi="Open Sans" w:cs="Open Sans"/>
                <w:sz w:val="20"/>
                <w:szCs w:val="20"/>
              </w:rPr>
              <w:t>Financial abuse</w:t>
            </w:r>
          </w:p>
        </w:tc>
        <w:tc>
          <w:tcPr>
            <w:tcW w:w="1086" w:type="dxa"/>
          </w:tcPr>
          <w:p w14:paraId="31DB5B18" w14:textId="140F2B3B" w:rsidR="008A693D" w:rsidRPr="007D5AAA" w:rsidRDefault="008A693D" w:rsidP="008A693D">
            <w:pPr>
              <w:pStyle w:val="NormalWeb"/>
              <w:jc w:val="both"/>
              <w:rPr>
                <w:rFonts w:ascii="Open Sans" w:hAnsi="Open Sans" w:cs="Open Sans"/>
                <w:sz w:val="20"/>
                <w:szCs w:val="20"/>
              </w:rPr>
            </w:pPr>
            <w:r w:rsidRPr="0029469C">
              <w:rPr>
                <w:rFonts w:ascii="Open Sans" w:hAnsi="Open Sans" w:cs="Open Sans"/>
                <w:b/>
                <w:bCs/>
                <w:sz w:val="20"/>
                <w:szCs w:val="20"/>
              </w:rPr>
              <w:t>Count</w:t>
            </w:r>
          </w:p>
        </w:tc>
        <w:tc>
          <w:tcPr>
            <w:tcW w:w="709" w:type="dxa"/>
            <w:hideMark/>
          </w:tcPr>
          <w:p w14:paraId="70D8278E" w14:textId="40EBD1C5" w:rsidR="008A693D" w:rsidRPr="007D5AAA" w:rsidRDefault="008A693D" w:rsidP="008A693D">
            <w:pPr>
              <w:pStyle w:val="NormalWeb"/>
              <w:jc w:val="both"/>
              <w:rPr>
                <w:rFonts w:ascii="Open Sans" w:hAnsi="Open Sans" w:cs="Open Sans"/>
                <w:sz w:val="20"/>
                <w:szCs w:val="20"/>
              </w:rPr>
            </w:pPr>
            <w:r w:rsidRPr="007D5AAA">
              <w:rPr>
                <w:rFonts w:ascii="Open Sans" w:hAnsi="Open Sans" w:cs="Open Sans"/>
                <w:sz w:val="20"/>
                <w:szCs w:val="20"/>
              </w:rPr>
              <w:t>65</w:t>
            </w:r>
          </w:p>
        </w:tc>
      </w:tr>
      <w:tr w:rsidR="008A693D" w:rsidRPr="007D5AAA" w14:paraId="702BE141" w14:textId="77777777" w:rsidTr="008A693D">
        <w:tc>
          <w:tcPr>
            <w:tcW w:w="1271" w:type="dxa"/>
            <w:hideMark/>
          </w:tcPr>
          <w:p w14:paraId="526E7ACA" w14:textId="65B2CAA7" w:rsidR="008A693D" w:rsidRPr="007D5AAA" w:rsidRDefault="008A693D" w:rsidP="008A693D">
            <w:pPr>
              <w:pStyle w:val="NormalWeb"/>
              <w:jc w:val="both"/>
              <w:rPr>
                <w:rFonts w:ascii="Open Sans" w:hAnsi="Open Sans" w:cs="Open Sans"/>
                <w:sz w:val="20"/>
                <w:szCs w:val="20"/>
              </w:rPr>
            </w:pPr>
            <w:r>
              <w:rPr>
                <w:rFonts w:ascii="Open Sans" w:hAnsi="Open Sans" w:cs="Open Sans"/>
                <w:sz w:val="20"/>
                <w:szCs w:val="20"/>
              </w:rPr>
              <w:t>Option</w:t>
            </w:r>
            <w:r w:rsidRPr="007D5AAA">
              <w:rPr>
                <w:rFonts w:ascii="Open Sans" w:hAnsi="Open Sans" w:cs="Open Sans"/>
                <w:sz w:val="20"/>
                <w:szCs w:val="20"/>
              </w:rPr>
              <w:t xml:space="preserve"> J</w:t>
            </w:r>
          </w:p>
        </w:tc>
        <w:tc>
          <w:tcPr>
            <w:tcW w:w="4584" w:type="dxa"/>
            <w:hideMark/>
          </w:tcPr>
          <w:p w14:paraId="73697F3B" w14:textId="63953DF1" w:rsidR="008A693D" w:rsidRPr="007D5AAA" w:rsidRDefault="008A693D" w:rsidP="008A693D">
            <w:pPr>
              <w:pStyle w:val="NormalWeb"/>
              <w:jc w:val="both"/>
              <w:rPr>
                <w:rFonts w:ascii="Open Sans" w:hAnsi="Open Sans" w:cs="Open Sans"/>
                <w:sz w:val="20"/>
                <w:szCs w:val="20"/>
              </w:rPr>
            </w:pPr>
            <w:r w:rsidRPr="007D5AAA">
              <w:rPr>
                <w:rFonts w:ascii="Open Sans" w:hAnsi="Open Sans" w:cs="Open Sans"/>
                <w:sz w:val="20"/>
                <w:szCs w:val="20"/>
              </w:rPr>
              <w:t>Other -write in</w:t>
            </w:r>
          </w:p>
        </w:tc>
        <w:tc>
          <w:tcPr>
            <w:tcW w:w="1086" w:type="dxa"/>
          </w:tcPr>
          <w:p w14:paraId="59ED6519" w14:textId="24FA2FC1" w:rsidR="008A693D" w:rsidRPr="007D5AAA" w:rsidRDefault="008A693D" w:rsidP="008A693D">
            <w:pPr>
              <w:pStyle w:val="NormalWeb"/>
              <w:jc w:val="both"/>
              <w:rPr>
                <w:rFonts w:ascii="Open Sans" w:hAnsi="Open Sans" w:cs="Open Sans"/>
                <w:sz w:val="20"/>
                <w:szCs w:val="20"/>
              </w:rPr>
            </w:pPr>
            <w:r w:rsidRPr="0029469C">
              <w:rPr>
                <w:rFonts w:ascii="Open Sans" w:hAnsi="Open Sans" w:cs="Open Sans"/>
                <w:b/>
                <w:bCs/>
                <w:sz w:val="20"/>
                <w:szCs w:val="20"/>
              </w:rPr>
              <w:t>Count</w:t>
            </w:r>
          </w:p>
        </w:tc>
        <w:tc>
          <w:tcPr>
            <w:tcW w:w="709" w:type="dxa"/>
            <w:hideMark/>
          </w:tcPr>
          <w:p w14:paraId="3142F132" w14:textId="47426A1B" w:rsidR="008A693D" w:rsidRPr="007D5AAA" w:rsidRDefault="008A693D" w:rsidP="008A693D">
            <w:pPr>
              <w:pStyle w:val="NormalWeb"/>
              <w:jc w:val="both"/>
              <w:rPr>
                <w:rFonts w:ascii="Open Sans" w:hAnsi="Open Sans" w:cs="Open Sans"/>
                <w:sz w:val="20"/>
                <w:szCs w:val="20"/>
              </w:rPr>
            </w:pPr>
            <w:r w:rsidRPr="007D5AAA">
              <w:rPr>
                <w:rFonts w:ascii="Open Sans" w:hAnsi="Open Sans" w:cs="Open Sans"/>
                <w:sz w:val="20"/>
                <w:szCs w:val="20"/>
              </w:rPr>
              <w:t>57</w:t>
            </w:r>
          </w:p>
        </w:tc>
      </w:tr>
      <w:tr w:rsidR="008A693D" w:rsidRPr="007D5AAA" w14:paraId="4A839B10" w14:textId="77777777" w:rsidTr="008A693D">
        <w:trPr>
          <w:trHeight w:val="67"/>
        </w:trPr>
        <w:tc>
          <w:tcPr>
            <w:tcW w:w="1271" w:type="dxa"/>
            <w:hideMark/>
          </w:tcPr>
          <w:p w14:paraId="5E6D6F80" w14:textId="2A42B1BF" w:rsidR="008A693D" w:rsidRPr="007D5AAA" w:rsidRDefault="008A693D" w:rsidP="008A693D">
            <w:pPr>
              <w:pStyle w:val="NormalWeb"/>
              <w:jc w:val="both"/>
              <w:rPr>
                <w:rFonts w:ascii="Open Sans" w:hAnsi="Open Sans" w:cs="Open Sans"/>
                <w:sz w:val="20"/>
                <w:szCs w:val="20"/>
              </w:rPr>
            </w:pPr>
            <w:r>
              <w:rPr>
                <w:rFonts w:ascii="Open Sans" w:hAnsi="Open Sans" w:cs="Open Sans"/>
                <w:sz w:val="20"/>
                <w:szCs w:val="20"/>
              </w:rPr>
              <w:t>Option</w:t>
            </w:r>
            <w:r w:rsidRPr="007D5AAA">
              <w:rPr>
                <w:rFonts w:ascii="Open Sans" w:hAnsi="Open Sans" w:cs="Open Sans"/>
                <w:sz w:val="20"/>
                <w:szCs w:val="20"/>
              </w:rPr>
              <w:t xml:space="preserve"> K</w:t>
            </w:r>
          </w:p>
        </w:tc>
        <w:tc>
          <w:tcPr>
            <w:tcW w:w="4584" w:type="dxa"/>
            <w:hideMark/>
          </w:tcPr>
          <w:p w14:paraId="275B6921" w14:textId="77777777" w:rsidR="008A693D" w:rsidRPr="007D5AAA" w:rsidRDefault="008A693D" w:rsidP="008A693D">
            <w:pPr>
              <w:pStyle w:val="NormalWeb"/>
              <w:jc w:val="both"/>
              <w:rPr>
                <w:rFonts w:ascii="Open Sans" w:hAnsi="Open Sans" w:cs="Open Sans"/>
                <w:sz w:val="20"/>
                <w:szCs w:val="20"/>
              </w:rPr>
            </w:pPr>
            <w:r w:rsidRPr="007D5AAA">
              <w:rPr>
                <w:rFonts w:ascii="Open Sans" w:hAnsi="Open Sans" w:cs="Open Sans"/>
                <w:sz w:val="20"/>
                <w:szCs w:val="20"/>
              </w:rPr>
              <w:t>Abuse of children</w:t>
            </w:r>
          </w:p>
        </w:tc>
        <w:tc>
          <w:tcPr>
            <w:tcW w:w="1086" w:type="dxa"/>
          </w:tcPr>
          <w:p w14:paraId="24406BEE" w14:textId="2D06D73B" w:rsidR="008A693D" w:rsidRPr="007D5AAA" w:rsidRDefault="008A693D" w:rsidP="008A693D">
            <w:pPr>
              <w:pStyle w:val="NormalWeb"/>
              <w:jc w:val="both"/>
              <w:rPr>
                <w:rFonts w:ascii="Open Sans" w:hAnsi="Open Sans" w:cs="Open Sans"/>
                <w:sz w:val="20"/>
                <w:szCs w:val="20"/>
              </w:rPr>
            </w:pPr>
            <w:r w:rsidRPr="0029469C">
              <w:rPr>
                <w:rFonts w:ascii="Open Sans" w:hAnsi="Open Sans" w:cs="Open Sans"/>
                <w:b/>
                <w:bCs/>
                <w:sz w:val="20"/>
                <w:szCs w:val="20"/>
              </w:rPr>
              <w:t>Count</w:t>
            </w:r>
          </w:p>
        </w:tc>
        <w:tc>
          <w:tcPr>
            <w:tcW w:w="709" w:type="dxa"/>
            <w:hideMark/>
          </w:tcPr>
          <w:p w14:paraId="78DCD27A" w14:textId="034C6161" w:rsidR="008A693D" w:rsidRPr="007D5AAA" w:rsidRDefault="008A693D" w:rsidP="008A693D">
            <w:pPr>
              <w:pStyle w:val="NormalWeb"/>
              <w:jc w:val="both"/>
              <w:rPr>
                <w:rFonts w:ascii="Open Sans" w:hAnsi="Open Sans" w:cs="Open Sans"/>
                <w:sz w:val="20"/>
                <w:szCs w:val="20"/>
              </w:rPr>
            </w:pPr>
            <w:r w:rsidRPr="007D5AAA">
              <w:rPr>
                <w:rFonts w:ascii="Open Sans" w:hAnsi="Open Sans" w:cs="Open Sans"/>
                <w:sz w:val="20"/>
                <w:szCs w:val="20"/>
              </w:rPr>
              <w:t>43</w:t>
            </w:r>
          </w:p>
        </w:tc>
      </w:tr>
      <w:tr w:rsidR="008A693D" w:rsidRPr="007D5AAA" w14:paraId="005F105E" w14:textId="77777777" w:rsidTr="008A693D">
        <w:tc>
          <w:tcPr>
            <w:tcW w:w="1271" w:type="dxa"/>
            <w:hideMark/>
          </w:tcPr>
          <w:p w14:paraId="35E0A1AF" w14:textId="1A37DB7B" w:rsidR="008A693D" w:rsidRPr="007D5AAA" w:rsidRDefault="008A693D" w:rsidP="008A693D">
            <w:pPr>
              <w:pStyle w:val="NormalWeb"/>
              <w:jc w:val="both"/>
              <w:rPr>
                <w:rFonts w:ascii="Open Sans" w:hAnsi="Open Sans" w:cs="Open Sans"/>
                <w:sz w:val="20"/>
                <w:szCs w:val="20"/>
              </w:rPr>
            </w:pPr>
            <w:r>
              <w:rPr>
                <w:rFonts w:ascii="Open Sans" w:hAnsi="Open Sans" w:cs="Open Sans"/>
                <w:sz w:val="20"/>
                <w:szCs w:val="20"/>
              </w:rPr>
              <w:t>Option</w:t>
            </w:r>
            <w:r w:rsidRPr="007D5AAA">
              <w:rPr>
                <w:rFonts w:ascii="Open Sans" w:hAnsi="Open Sans" w:cs="Open Sans"/>
                <w:sz w:val="20"/>
                <w:szCs w:val="20"/>
              </w:rPr>
              <w:t xml:space="preserve"> L</w:t>
            </w:r>
          </w:p>
        </w:tc>
        <w:tc>
          <w:tcPr>
            <w:tcW w:w="4584" w:type="dxa"/>
            <w:hideMark/>
          </w:tcPr>
          <w:p w14:paraId="05A78D7F" w14:textId="77777777" w:rsidR="008A693D" w:rsidRPr="007D5AAA" w:rsidRDefault="008A693D" w:rsidP="008A693D">
            <w:pPr>
              <w:pStyle w:val="NormalWeb"/>
              <w:jc w:val="both"/>
              <w:rPr>
                <w:rFonts w:ascii="Open Sans" w:hAnsi="Open Sans" w:cs="Open Sans"/>
                <w:sz w:val="20"/>
                <w:szCs w:val="20"/>
              </w:rPr>
            </w:pPr>
            <w:r w:rsidRPr="007D5AAA">
              <w:rPr>
                <w:rFonts w:ascii="Open Sans" w:hAnsi="Open Sans" w:cs="Open Sans"/>
                <w:sz w:val="20"/>
                <w:szCs w:val="20"/>
              </w:rPr>
              <w:t>Abuse of pets</w:t>
            </w:r>
          </w:p>
        </w:tc>
        <w:tc>
          <w:tcPr>
            <w:tcW w:w="1086" w:type="dxa"/>
          </w:tcPr>
          <w:p w14:paraId="063D33AF" w14:textId="7A7BBD49" w:rsidR="008A693D" w:rsidRPr="007D5AAA" w:rsidRDefault="008A693D" w:rsidP="008A693D">
            <w:pPr>
              <w:pStyle w:val="NormalWeb"/>
              <w:jc w:val="both"/>
              <w:rPr>
                <w:rFonts w:ascii="Open Sans" w:hAnsi="Open Sans" w:cs="Open Sans"/>
                <w:sz w:val="20"/>
                <w:szCs w:val="20"/>
              </w:rPr>
            </w:pPr>
            <w:r w:rsidRPr="0029469C">
              <w:rPr>
                <w:rFonts w:ascii="Open Sans" w:hAnsi="Open Sans" w:cs="Open Sans"/>
                <w:b/>
                <w:bCs/>
                <w:sz w:val="20"/>
                <w:szCs w:val="20"/>
              </w:rPr>
              <w:t>Count</w:t>
            </w:r>
          </w:p>
        </w:tc>
        <w:tc>
          <w:tcPr>
            <w:tcW w:w="709" w:type="dxa"/>
            <w:hideMark/>
          </w:tcPr>
          <w:p w14:paraId="07EBE93A" w14:textId="56794AF3" w:rsidR="008A693D" w:rsidRPr="007D5AAA" w:rsidRDefault="008A693D" w:rsidP="008A693D">
            <w:pPr>
              <w:pStyle w:val="NormalWeb"/>
              <w:jc w:val="both"/>
              <w:rPr>
                <w:rFonts w:ascii="Open Sans" w:hAnsi="Open Sans" w:cs="Open Sans"/>
                <w:sz w:val="20"/>
                <w:szCs w:val="20"/>
              </w:rPr>
            </w:pPr>
            <w:r w:rsidRPr="007D5AAA">
              <w:rPr>
                <w:rFonts w:ascii="Open Sans" w:hAnsi="Open Sans" w:cs="Open Sans"/>
                <w:sz w:val="20"/>
                <w:szCs w:val="20"/>
              </w:rPr>
              <w:t>39</w:t>
            </w:r>
          </w:p>
        </w:tc>
      </w:tr>
      <w:tr w:rsidR="008A693D" w:rsidRPr="007D5AAA" w14:paraId="1F96E3BF" w14:textId="77777777" w:rsidTr="008A693D">
        <w:tc>
          <w:tcPr>
            <w:tcW w:w="1271" w:type="dxa"/>
            <w:hideMark/>
          </w:tcPr>
          <w:p w14:paraId="5A03A5C3" w14:textId="4B6B69E7" w:rsidR="008A693D" w:rsidRPr="007D5AAA" w:rsidRDefault="008A693D" w:rsidP="008A693D">
            <w:pPr>
              <w:pStyle w:val="NormalWeb"/>
              <w:jc w:val="both"/>
              <w:rPr>
                <w:rFonts w:ascii="Open Sans" w:hAnsi="Open Sans" w:cs="Open Sans"/>
                <w:sz w:val="20"/>
                <w:szCs w:val="20"/>
              </w:rPr>
            </w:pPr>
            <w:r>
              <w:rPr>
                <w:rFonts w:ascii="Open Sans" w:hAnsi="Open Sans" w:cs="Open Sans"/>
                <w:sz w:val="20"/>
                <w:szCs w:val="20"/>
              </w:rPr>
              <w:t>Option</w:t>
            </w:r>
            <w:r w:rsidRPr="007D5AAA">
              <w:rPr>
                <w:rFonts w:ascii="Open Sans" w:hAnsi="Open Sans" w:cs="Open Sans"/>
                <w:sz w:val="20"/>
                <w:szCs w:val="20"/>
              </w:rPr>
              <w:t xml:space="preserve"> M</w:t>
            </w:r>
          </w:p>
        </w:tc>
        <w:tc>
          <w:tcPr>
            <w:tcW w:w="4584" w:type="dxa"/>
            <w:hideMark/>
          </w:tcPr>
          <w:p w14:paraId="58FB0BD9" w14:textId="77777777" w:rsidR="008A693D" w:rsidRPr="007D5AAA" w:rsidRDefault="008A693D" w:rsidP="008A693D">
            <w:pPr>
              <w:pStyle w:val="NormalWeb"/>
              <w:jc w:val="both"/>
              <w:rPr>
                <w:rFonts w:ascii="Open Sans" w:hAnsi="Open Sans" w:cs="Open Sans"/>
                <w:sz w:val="20"/>
                <w:szCs w:val="20"/>
              </w:rPr>
            </w:pPr>
            <w:r w:rsidRPr="007D5AAA">
              <w:rPr>
                <w:rFonts w:ascii="Open Sans" w:hAnsi="Open Sans" w:cs="Open Sans"/>
                <w:sz w:val="20"/>
                <w:szCs w:val="20"/>
              </w:rPr>
              <w:t>Reproductive coercion</w:t>
            </w:r>
          </w:p>
        </w:tc>
        <w:tc>
          <w:tcPr>
            <w:tcW w:w="1086" w:type="dxa"/>
          </w:tcPr>
          <w:p w14:paraId="5F267EA3" w14:textId="781984F7" w:rsidR="008A693D" w:rsidRPr="007D5AAA" w:rsidRDefault="008A693D" w:rsidP="008A693D">
            <w:pPr>
              <w:pStyle w:val="NormalWeb"/>
              <w:jc w:val="both"/>
              <w:rPr>
                <w:rFonts w:ascii="Open Sans" w:hAnsi="Open Sans" w:cs="Open Sans"/>
                <w:sz w:val="20"/>
                <w:szCs w:val="20"/>
              </w:rPr>
            </w:pPr>
            <w:r w:rsidRPr="0029469C">
              <w:rPr>
                <w:rFonts w:ascii="Open Sans" w:hAnsi="Open Sans" w:cs="Open Sans"/>
                <w:b/>
                <w:bCs/>
                <w:sz w:val="20"/>
                <w:szCs w:val="20"/>
              </w:rPr>
              <w:t>Count</w:t>
            </w:r>
          </w:p>
        </w:tc>
        <w:tc>
          <w:tcPr>
            <w:tcW w:w="709" w:type="dxa"/>
            <w:hideMark/>
          </w:tcPr>
          <w:p w14:paraId="32025C2C" w14:textId="74F46729" w:rsidR="008A693D" w:rsidRPr="007D5AAA" w:rsidRDefault="008A693D" w:rsidP="008A693D">
            <w:pPr>
              <w:pStyle w:val="NormalWeb"/>
              <w:jc w:val="both"/>
              <w:rPr>
                <w:rFonts w:ascii="Open Sans" w:hAnsi="Open Sans" w:cs="Open Sans"/>
                <w:sz w:val="20"/>
                <w:szCs w:val="20"/>
              </w:rPr>
            </w:pPr>
            <w:r w:rsidRPr="007D5AAA">
              <w:rPr>
                <w:rFonts w:ascii="Open Sans" w:hAnsi="Open Sans" w:cs="Open Sans"/>
                <w:sz w:val="20"/>
                <w:szCs w:val="20"/>
              </w:rPr>
              <w:t>28</w:t>
            </w:r>
          </w:p>
        </w:tc>
      </w:tr>
      <w:tr w:rsidR="008A693D" w:rsidRPr="007D5AAA" w14:paraId="1541C31D" w14:textId="77777777" w:rsidTr="008A693D">
        <w:tc>
          <w:tcPr>
            <w:tcW w:w="1271" w:type="dxa"/>
            <w:hideMark/>
          </w:tcPr>
          <w:p w14:paraId="7AABCF1B" w14:textId="63623F56" w:rsidR="008A693D" w:rsidRPr="007D5AAA" w:rsidRDefault="008A693D" w:rsidP="008A693D">
            <w:pPr>
              <w:pStyle w:val="NormalWeb"/>
              <w:jc w:val="both"/>
              <w:rPr>
                <w:rFonts w:ascii="Open Sans" w:hAnsi="Open Sans" w:cs="Open Sans"/>
                <w:sz w:val="20"/>
                <w:szCs w:val="20"/>
              </w:rPr>
            </w:pPr>
            <w:r>
              <w:rPr>
                <w:rFonts w:ascii="Open Sans" w:hAnsi="Open Sans" w:cs="Open Sans"/>
                <w:sz w:val="20"/>
                <w:szCs w:val="20"/>
              </w:rPr>
              <w:t>Option</w:t>
            </w:r>
            <w:r w:rsidRPr="007D5AAA">
              <w:rPr>
                <w:rFonts w:ascii="Open Sans" w:hAnsi="Open Sans" w:cs="Open Sans"/>
                <w:sz w:val="20"/>
                <w:szCs w:val="20"/>
              </w:rPr>
              <w:t xml:space="preserve"> N</w:t>
            </w:r>
          </w:p>
        </w:tc>
        <w:tc>
          <w:tcPr>
            <w:tcW w:w="4584" w:type="dxa"/>
            <w:hideMark/>
          </w:tcPr>
          <w:p w14:paraId="2C352BE8" w14:textId="77777777" w:rsidR="008A693D" w:rsidRPr="007D5AAA" w:rsidRDefault="008A693D" w:rsidP="008A693D">
            <w:pPr>
              <w:pStyle w:val="NormalWeb"/>
              <w:jc w:val="both"/>
              <w:rPr>
                <w:rFonts w:ascii="Open Sans" w:hAnsi="Open Sans" w:cs="Open Sans"/>
                <w:sz w:val="20"/>
                <w:szCs w:val="20"/>
              </w:rPr>
            </w:pPr>
            <w:r w:rsidRPr="007D5AAA">
              <w:rPr>
                <w:rFonts w:ascii="Open Sans" w:hAnsi="Open Sans" w:cs="Open Sans"/>
                <w:sz w:val="20"/>
                <w:szCs w:val="20"/>
              </w:rPr>
              <w:t>Violence while residing in an institution</w:t>
            </w:r>
          </w:p>
        </w:tc>
        <w:tc>
          <w:tcPr>
            <w:tcW w:w="1086" w:type="dxa"/>
          </w:tcPr>
          <w:p w14:paraId="251484B9" w14:textId="060EE3DB" w:rsidR="008A693D" w:rsidRPr="007D5AAA" w:rsidRDefault="008A693D" w:rsidP="008A693D">
            <w:pPr>
              <w:pStyle w:val="NormalWeb"/>
              <w:jc w:val="both"/>
              <w:rPr>
                <w:rFonts w:ascii="Open Sans" w:hAnsi="Open Sans" w:cs="Open Sans"/>
                <w:sz w:val="20"/>
                <w:szCs w:val="20"/>
              </w:rPr>
            </w:pPr>
            <w:r w:rsidRPr="0029469C">
              <w:rPr>
                <w:rFonts w:ascii="Open Sans" w:hAnsi="Open Sans" w:cs="Open Sans"/>
                <w:b/>
                <w:bCs/>
                <w:sz w:val="20"/>
                <w:szCs w:val="20"/>
              </w:rPr>
              <w:t>Count</w:t>
            </w:r>
          </w:p>
        </w:tc>
        <w:tc>
          <w:tcPr>
            <w:tcW w:w="709" w:type="dxa"/>
            <w:hideMark/>
          </w:tcPr>
          <w:p w14:paraId="0EE228BE" w14:textId="62D51F09" w:rsidR="008A693D" w:rsidRPr="007D5AAA" w:rsidRDefault="008A693D" w:rsidP="008A693D">
            <w:pPr>
              <w:pStyle w:val="NormalWeb"/>
              <w:jc w:val="both"/>
              <w:rPr>
                <w:rFonts w:ascii="Open Sans" w:hAnsi="Open Sans" w:cs="Open Sans"/>
                <w:sz w:val="20"/>
                <w:szCs w:val="20"/>
              </w:rPr>
            </w:pPr>
            <w:r w:rsidRPr="007D5AAA">
              <w:rPr>
                <w:rFonts w:ascii="Open Sans" w:hAnsi="Open Sans" w:cs="Open Sans"/>
                <w:sz w:val="20"/>
                <w:szCs w:val="20"/>
              </w:rPr>
              <w:t>20</w:t>
            </w:r>
          </w:p>
        </w:tc>
      </w:tr>
      <w:tr w:rsidR="008A693D" w:rsidRPr="007D5AAA" w14:paraId="471C3827" w14:textId="77777777" w:rsidTr="008A693D">
        <w:tc>
          <w:tcPr>
            <w:tcW w:w="1271" w:type="dxa"/>
            <w:hideMark/>
          </w:tcPr>
          <w:p w14:paraId="16E6EAF5" w14:textId="574095BF" w:rsidR="008A693D" w:rsidRPr="007D5AAA" w:rsidRDefault="008A693D" w:rsidP="008A693D">
            <w:pPr>
              <w:pStyle w:val="NormalWeb"/>
              <w:jc w:val="both"/>
              <w:rPr>
                <w:rFonts w:ascii="Open Sans" w:hAnsi="Open Sans" w:cs="Open Sans"/>
                <w:sz w:val="20"/>
                <w:szCs w:val="20"/>
              </w:rPr>
            </w:pPr>
            <w:r>
              <w:rPr>
                <w:rFonts w:ascii="Open Sans" w:hAnsi="Open Sans" w:cs="Open Sans"/>
                <w:sz w:val="20"/>
                <w:szCs w:val="20"/>
              </w:rPr>
              <w:t>Option</w:t>
            </w:r>
            <w:r w:rsidRPr="007D5AAA">
              <w:rPr>
                <w:rFonts w:ascii="Open Sans" w:hAnsi="Open Sans" w:cs="Open Sans"/>
                <w:sz w:val="20"/>
                <w:szCs w:val="20"/>
              </w:rPr>
              <w:t xml:space="preserve"> O</w:t>
            </w:r>
          </w:p>
        </w:tc>
        <w:tc>
          <w:tcPr>
            <w:tcW w:w="4584" w:type="dxa"/>
            <w:hideMark/>
          </w:tcPr>
          <w:p w14:paraId="33D06E0E" w14:textId="77777777" w:rsidR="008A693D" w:rsidRPr="007D5AAA" w:rsidRDefault="008A693D" w:rsidP="008A693D">
            <w:pPr>
              <w:pStyle w:val="NormalWeb"/>
              <w:jc w:val="both"/>
              <w:rPr>
                <w:rFonts w:ascii="Open Sans" w:hAnsi="Open Sans" w:cs="Open Sans"/>
                <w:sz w:val="20"/>
                <w:szCs w:val="20"/>
              </w:rPr>
            </w:pPr>
            <w:r w:rsidRPr="007D5AAA">
              <w:rPr>
                <w:rFonts w:ascii="Open Sans" w:hAnsi="Open Sans" w:cs="Open Sans"/>
                <w:sz w:val="20"/>
                <w:szCs w:val="20"/>
              </w:rPr>
              <w:t>Cultural and spiritual abuse</w:t>
            </w:r>
          </w:p>
        </w:tc>
        <w:tc>
          <w:tcPr>
            <w:tcW w:w="1086" w:type="dxa"/>
          </w:tcPr>
          <w:p w14:paraId="389E9D8A" w14:textId="0448003C" w:rsidR="008A693D" w:rsidRPr="007D5AAA" w:rsidRDefault="008A693D" w:rsidP="008A693D">
            <w:pPr>
              <w:pStyle w:val="NormalWeb"/>
              <w:jc w:val="both"/>
              <w:rPr>
                <w:rFonts w:ascii="Open Sans" w:hAnsi="Open Sans" w:cs="Open Sans"/>
                <w:sz w:val="20"/>
                <w:szCs w:val="20"/>
              </w:rPr>
            </w:pPr>
            <w:r w:rsidRPr="0029469C">
              <w:rPr>
                <w:rFonts w:ascii="Open Sans" w:hAnsi="Open Sans" w:cs="Open Sans"/>
                <w:b/>
                <w:bCs/>
                <w:sz w:val="20"/>
                <w:szCs w:val="20"/>
              </w:rPr>
              <w:t>Count</w:t>
            </w:r>
          </w:p>
        </w:tc>
        <w:tc>
          <w:tcPr>
            <w:tcW w:w="709" w:type="dxa"/>
            <w:hideMark/>
          </w:tcPr>
          <w:p w14:paraId="5E1AD9A3" w14:textId="1F3468A1" w:rsidR="008A693D" w:rsidRPr="007D5AAA" w:rsidRDefault="008A693D" w:rsidP="008A693D">
            <w:pPr>
              <w:pStyle w:val="NormalWeb"/>
              <w:jc w:val="both"/>
              <w:rPr>
                <w:rFonts w:ascii="Open Sans" w:hAnsi="Open Sans" w:cs="Open Sans"/>
                <w:sz w:val="20"/>
                <w:szCs w:val="20"/>
              </w:rPr>
            </w:pPr>
            <w:r w:rsidRPr="007D5AAA">
              <w:rPr>
                <w:rFonts w:ascii="Open Sans" w:hAnsi="Open Sans" w:cs="Open Sans"/>
                <w:sz w:val="20"/>
                <w:szCs w:val="20"/>
              </w:rPr>
              <w:t>19</w:t>
            </w:r>
          </w:p>
        </w:tc>
      </w:tr>
      <w:tr w:rsidR="008A693D" w:rsidRPr="007D5AAA" w14:paraId="0BEC5381" w14:textId="77777777" w:rsidTr="008A693D">
        <w:tc>
          <w:tcPr>
            <w:tcW w:w="1271" w:type="dxa"/>
            <w:hideMark/>
          </w:tcPr>
          <w:p w14:paraId="20A30643" w14:textId="7FD78671" w:rsidR="008A693D" w:rsidRPr="007D5AAA" w:rsidRDefault="008A693D" w:rsidP="008A693D">
            <w:pPr>
              <w:pStyle w:val="NormalWeb"/>
              <w:jc w:val="both"/>
              <w:rPr>
                <w:rFonts w:ascii="Open Sans" w:hAnsi="Open Sans" w:cs="Open Sans"/>
                <w:sz w:val="20"/>
                <w:szCs w:val="20"/>
              </w:rPr>
            </w:pPr>
            <w:r>
              <w:rPr>
                <w:rFonts w:ascii="Open Sans" w:hAnsi="Open Sans" w:cs="Open Sans"/>
                <w:sz w:val="20"/>
                <w:szCs w:val="20"/>
              </w:rPr>
              <w:t>Option</w:t>
            </w:r>
            <w:r w:rsidRPr="007D5AAA">
              <w:rPr>
                <w:rFonts w:ascii="Open Sans" w:hAnsi="Open Sans" w:cs="Open Sans"/>
                <w:sz w:val="20"/>
                <w:szCs w:val="20"/>
              </w:rPr>
              <w:t xml:space="preserve"> P</w:t>
            </w:r>
          </w:p>
        </w:tc>
        <w:tc>
          <w:tcPr>
            <w:tcW w:w="4584" w:type="dxa"/>
            <w:hideMark/>
          </w:tcPr>
          <w:p w14:paraId="293406DE" w14:textId="77777777" w:rsidR="008A693D" w:rsidRPr="007D5AAA" w:rsidRDefault="008A693D" w:rsidP="008A693D">
            <w:pPr>
              <w:pStyle w:val="NormalWeb"/>
              <w:jc w:val="both"/>
              <w:rPr>
                <w:rFonts w:ascii="Open Sans" w:hAnsi="Open Sans" w:cs="Open Sans"/>
                <w:sz w:val="20"/>
                <w:szCs w:val="20"/>
              </w:rPr>
            </w:pPr>
            <w:r w:rsidRPr="007D5AAA">
              <w:rPr>
                <w:rFonts w:ascii="Open Sans" w:hAnsi="Open Sans" w:cs="Open Sans"/>
                <w:sz w:val="20"/>
                <w:szCs w:val="20"/>
              </w:rPr>
              <w:t>College or university hazing</w:t>
            </w:r>
          </w:p>
        </w:tc>
        <w:tc>
          <w:tcPr>
            <w:tcW w:w="1086" w:type="dxa"/>
          </w:tcPr>
          <w:p w14:paraId="1F920C83" w14:textId="593DAFB3" w:rsidR="008A693D" w:rsidRPr="007D5AAA" w:rsidRDefault="008A693D" w:rsidP="008A693D">
            <w:pPr>
              <w:pStyle w:val="NormalWeb"/>
              <w:jc w:val="both"/>
              <w:rPr>
                <w:rFonts w:ascii="Open Sans" w:hAnsi="Open Sans" w:cs="Open Sans"/>
                <w:sz w:val="20"/>
                <w:szCs w:val="20"/>
              </w:rPr>
            </w:pPr>
            <w:r w:rsidRPr="0029469C">
              <w:rPr>
                <w:rFonts w:ascii="Open Sans" w:hAnsi="Open Sans" w:cs="Open Sans"/>
                <w:b/>
                <w:bCs/>
                <w:sz w:val="20"/>
                <w:szCs w:val="20"/>
              </w:rPr>
              <w:t>Count</w:t>
            </w:r>
          </w:p>
        </w:tc>
        <w:tc>
          <w:tcPr>
            <w:tcW w:w="709" w:type="dxa"/>
            <w:hideMark/>
          </w:tcPr>
          <w:p w14:paraId="4BF833E9" w14:textId="380E81B0" w:rsidR="008A693D" w:rsidRPr="007D5AAA" w:rsidRDefault="008A693D" w:rsidP="008A693D">
            <w:pPr>
              <w:pStyle w:val="NormalWeb"/>
              <w:jc w:val="both"/>
              <w:rPr>
                <w:rFonts w:ascii="Open Sans" w:hAnsi="Open Sans" w:cs="Open Sans"/>
                <w:sz w:val="20"/>
                <w:szCs w:val="20"/>
              </w:rPr>
            </w:pPr>
            <w:r w:rsidRPr="007D5AAA">
              <w:rPr>
                <w:rFonts w:ascii="Open Sans" w:hAnsi="Open Sans" w:cs="Open Sans"/>
                <w:sz w:val="20"/>
                <w:szCs w:val="20"/>
              </w:rPr>
              <w:t>17</w:t>
            </w:r>
          </w:p>
        </w:tc>
      </w:tr>
      <w:tr w:rsidR="008A693D" w:rsidRPr="007D5AAA" w14:paraId="0156D77E" w14:textId="77777777" w:rsidTr="008A693D">
        <w:tc>
          <w:tcPr>
            <w:tcW w:w="1271" w:type="dxa"/>
            <w:hideMark/>
          </w:tcPr>
          <w:p w14:paraId="044C37E3" w14:textId="5BE4B766" w:rsidR="008A693D" w:rsidRPr="007D5AAA" w:rsidRDefault="008A693D" w:rsidP="008A693D">
            <w:pPr>
              <w:pStyle w:val="NormalWeb"/>
              <w:jc w:val="both"/>
              <w:rPr>
                <w:rFonts w:ascii="Open Sans" w:hAnsi="Open Sans" w:cs="Open Sans"/>
                <w:sz w:val="20"/>
                <w:szCs w:val="20"/>
              </w:rPr>
            </w:pPr>
            <w:r>
              <w:rPr>
                <w:rFonts w:ascii="Open Sans" w:hAnsi="Open Sans" w:cs="Open Sans"/>
                <w:sz w:val="20"/>
                <w:szCs w:val="20"/>
              </w:rPr>
              <w:t>Option</w:t>
            </w:r>
            <w:r w:rsidRPr="007D5AAA">
              <w:rPr>
                <w:rFonts w:ascii="Open Sans" w:hAnsi="Open Sans" w:cs="Open Sans"/>
                <w:sz w:val="20"/>
                <w:szCs w:val="20"/>
              </w:rPr>
              <w:t xml:space="preserve"> Q</w:t>
            </w:r>
          </w:p>
        </w:tc>
        <w:tc>
          <w:tcPr>
            <w:tcW w:w="4584" w:type="dxa"/>
            <w:hideMark/>
          </w:tcPr>
          <w:p w14:paraId="7B089F88" w14:textId="77777777" w:rsidR="008A693D" w:rsidRPr="007D5AAA" w:rsidRDefault="008A693D" w:rsidP="008A693D">
            <w:pPr>
              <w:pStyle w:val="NormalWeb"/>
              <w:jc w:val="both"/>
              <w:rPr>
                <w:rFonts w:ascii="Open Sans" w:hAnsi="Open Sans" w:cs="Open Sans"/>
                <w:sz w:val="20"/>
                <w:szCs w:val="20"/>
              </w:rPr>
            </w:pPr>
            <w:r w:rsidRPr="007D5AAA">
              <w:rPr>
                <w:rFonts w:ascii="Open Sans" w:hAnsi="Open Sans" w:cs="Open Sans"/>
                <w:sz w:val="20"/>
                <w:szCs w:val="20"/>
              </w:rPr>
              <w:t>Dowry abuse</w:t>
            </w:r>
          </w:p>
        </w:tc>
        <w:tc>
          <w:tcPr>
            <w:tcW w:w="1086" w:type="dxa"/>
          </w:tcPr>
          <w:p w14:paraId="5823AF19" w14:textId="2E8A3ED2" w:rsidR="008A693D" w:rsidRPr="007D5AAA" w:rsidRDefault="008A693D" w:rsidP="008A693D">
            <w:pPr>
              <w:pStyle w:val="NormalWeb"/>
              <w:jc w:val="both"/>
              <w:rPr>
                <w:rFonts w:ascii="Open Sans" w:hAnsi="Open Sans" w:cs="Open Sans"/>
                <w:sz w:val="20"/>
                <w:szCs w:val="20"/>
              </w:rPr>
            </w:pPr>
            <w:r w:rsidRPr="0029469C">
              <w:rPr>
                <w:rFonts w:ascii="Open Sans" w:hAnsi="Open Sans" w:cs="Open Sans"/>
                <w:b/>
                <w:bCs/>
                <w:sz w:val="20"/>
                <w:szCs w:val="20"/>
              </w:rPr>
              <w:t>Count</w:t>
            </w:r>
          </w:p>
        </w:tc>
        <w:tc>
          <w:tcPr>
            <w:tcW w:w="709" w:type="dxa"/>
            <w:hideMark/>
          </w:tcPr>
          <w:p w14:paraId="14DD1AB9" w14:textId="40F6D3AF" w:rsidR="008A693D" w:rsidRPr="007D5AAA" w:rsidRDefault="008A693D" w:rsidP="008A693D">
            <w:pPr>
              <w:pStyle w:val="NormalWeb"/>
              <w:jc w:val="both"/>
              <w:rPr>
                <w:rFonts w:ascii="Open Sans" w:hAnsi="Open Sans" w:cs="Open Sans"/>
                <w:sz w:val="20"/>
                <w:szCs w:val="20"/>
              </w:rPr>
            </w:pPr>
            <w:r w:rsidRPr="007D5AAA">
              <w:rPr>
                <w:rFonts w:ascii="Open Sans" w:hAnsi="Open Sans" w:cs="Open Sans"/>
                <w:sz w:val="20"/>
                <w:szCs w:val="20"/>
              </w:rPr>
              <w:t>7</w:t>
            </w:r>
          </w:p>
        </w:tc>
      </w:tr>
      <w:tr w:rsidR="008A693D" w:rsidRPr="007D5AAA" w14:paraId="46A54D1A" w14:textId="77777777" w:rsidTr="008A693D">
        <w:tc>
          <w:tcPr>
            <w:tcW w:w="1271" w:type="dxa"/>
            <w:hideMark/>
          </w:tcPr>
          <w:p w14:paraId="7B95BDA8" w14:textId="2BDA4F19" w:rsidR="008A693D" w:rsidRPr="007D5AAA" w:rsidRDefault="008A693D" w:rsidP="008A693D">
            <w:pPr>
              <w:pStyle w:val="NormalWeb"/>
              <w:jc w:val="both"/>
              <w:rPr>
                <w:rFonts w:ascii="Open Sans" w:hAnsi="Open Sans" w:cs="Open Sans"/>
                <w:sz w:val="20"/>
                <w:szCs w:val="20"/>
              </w:rPr>
            </w:pPr>
            <w:r>
              <w:rPr>
                <w:rFonts w:ascii="Open Sans" w:hAnsi="Open Sans" w:cs="Open Sans"/>
                <w:sz w:val="20"/>
                <w:szCs w:val="20"/>
              </w:rPr>
              <w:t>Option</w:t>
            </w:r>
            <w:r w:rsidRPr="007D5AAA">
              <w:rPr>
                <w:rFonts w:ascii="Open Sans" w:hAnsi="Open Sans" w:cs="Open Sans"/>
                <w:sz w:val="20"/>
                <w:szCs w:val="20"/>
              </w:rPr>
              <w:t xml:space="preserve"> R</w:t>
            </w:r>
          </w:p>
        </w:tc>
        <w:tc>
          <w:tcPr>
            <w:tcW w:w="4584" w:type="dxa"/>
            <w:hideMark/>
          </w:tcPr>
          <w:p w14:paraId="3A99E1C6" w14:textId="77777777" w:rsidR="008A693D" w:rsidRPr="007D5AAA" w:rsidRDefault="008A693D" w:rsidP="008A693D">
            <w:pPr>
              <w:pStyle w:val="NormalWeb"/>
              <w:jc w:val="both"/>
              <w:rPr>
                <w:rFonts w:ascii="Open Sans" w:hAnsi="Open Sans" w:cs="Open Sans"/>
                <w:sz w:val="20"/>
                <w:szCs w:val="20"/>
              </w:rPr>
            </w:pPr>
            <w:r w:rsidRPr="007D5AAA">
              <w:rPr>
                <w:rFonts w:ascii="Open Sans" w:hAnsi="Open Sans" w:cs="Open Sans"/>
                <w:sz w:val="20"/>
                <w:szCs w:val="20"/>
              </w:rPr>
              <w:t>Visa and migration abuse</w:t>
            </w:r>
          </w:p>
        </w:tc>
        <w:tc>
          <w:tcPr>
            <w:tcW w:w="1086" w:type="dxa"/>
          </w:tcPr>
          <w:p w14:paraId="060FB69D" w14:textId="0898BB22" w:rsidR="008A693D" w:rsidRPr="007D5AAA" w:rsidRDefault="008A693D" w:rsidP="008A693D">
            <w:pPr>
              <w:pStyle w:val="NormalWeb"/>
              <w:jc w:val="both"/>
              <w:rPr>
                <w:rFonts w:ascii="Open Sans" w:hAnsi="Open Sans" w:cs="Open Sans"/>
                <w:sz w:val="20"/>
                <w:szCs w:val="20"/>
              </w:rPr>
            </w:pPr>
            <w:r w:rsidRPr="0029469C">
              <w:rPr>
                <w:rFonts w:ascii="Open Sans" w:hAnsi="Open Sans" w:cs="Open Sans"/>
                <w:b/>
                <w:bCs/>
                <w:sz w:val="20"/>
                <w:szCs w:val="20"/>
              </w:rPr>
              <w:t>Count</w:t>
            </w:r>
          </w:p>
        </w:tc>
        <w:tc>
          <w:tcPr>
            <w:tcW w:w="709" w:type="dxa"/>
            <w:hideMark/>
          </w:tcPr>
          <w:p w14:paraId="3C77452B" w14:textId="6C0139B5" w:rsidR="008A693D" w:rsidRPr="007D5AAA" w:rsidRDefault="008A693D" w:rsidP="008A693D">
            <w:pPr>
              <w:pStyle w:val="NormalWeb"/>
              <w:jc w:val="both"/>
              <w:rPr>
                <w:rFonts w:ascii="Open Sans" w:hAnsi="Open Sans" w:cs="Open Sans"/>
                <w:sz w:val="20"/>
                <w:szCs w:val="20"/>
              </w:rPr>
            </w:pPr>
            <w:r w:rsidRPr="007D5AAA">
              <w:rPr>
                <w:rFonts w:ascii="Open Sans" w:hAnsi="Open Sans" w:cs="Open Sans"/>
                <w:sz w:val="20"/>
                <w:szCs w:val="20"/>
              </w:rPr>
              <w:t>3</w:t>
            </w:r>
          </w:p>
        </w:tc>
      </w:tr>
    </w:tbl>
    <w:p w14:paraId="5C68AE8E" w14:textId="77777777" w:rsidR="00F9584B" w:rsidRPr="00CE2F22" w:rsidRDefault="00F9584B" w:rsidP="00B81CAC">
      <w:pPr>
        <w:pStyle w:val="BodyText"/>
        <w:rPr>
          <w:lang w:val="en-AU"/>
        </w:rPr>
      </w:pPr>
    </w:p>
    <w:p w14:paraId="34AF4BD9" w14:textId="77777777" w:rsidR="00E3733B" w:rsidRPr="00CE2F22" w:rsidRDefault="00E3733B">
      <w:pPr>
        <w:spacing w:after="200" w:line="276" w:lineRule="auto"/>
        <w:rPr>
          <w:rFonts w:eastAsiaTheme="majorEastAsia" w:cstheme="majorBidi"/>
          <w:iCs/>
          <w:color w:val="632E62" w:themeColor="text2"/>
          <w:sz w:val="40"/>
          <w:szCs w:val="24"/>
        </w:rPr>
      </w:pPr>
      <w:r w:rsidRPr="00CE2F22">
        <w:br w:type="page"/>
      </w:r>
    </w:p>
    <w:p w14:paraId="56216D1A" w14:textId="7312D62C" w:rsidR="003150C1" w:rsidRPr="009A5B8A" w:rsidRDefault="007A7BD3" w:rsidP="009A5B8A">
      <w:pPr>
        <w:pStyle w:val="Heading1"/>
      </w:pPr>
      <w:bookmarkStart w:id="60" w:name="_Toc96092075"/>
      <w:r w:rsidRPr="009A5B8A">
        <w:t>REPORTING VIOLENCE</w:t>
      </w:r>
      <w:bookmarkEnd w:id="60"/>
    </w:p>
    <w:p w14:paraId="2318A5A8" w14:textId="73EB33B6" w:rsidR="007A7BD3" w:rsidRPr="009A5B8A" w:rsidRDefault="007A7BD3" w:rsidP="009A5B8A">
      <w:pPr>
        <w:pStyle w:val="Heading2"/>
      </w:pPr>
      <w:bookmarkStart w:id="61" w:name="_Toc96092076"/>
      <w:r w:rsidRPr="009A5B8A">
        <w:t>Reporting Violence</w:t>
      </w:r>
      <w:bookmarkEnd w:id="61"/>
    </w:p>
    <w:p w14:paraId="3CDE1463" w14:textId="2EE34245" w:rsidR="007A7BD3" w:rsidRPr="00CE2F22" w:rsidRDefault="007A7BD3" w:rsidP="007A7BD3">
      <w:pPr>
        <w:pStyle w:val="BodyText"/>
        <w:rPr>
          <w:lang w:val="en-AU"/>
        </w:rPr>
      </w:pPr>
      <w:r w:rsidRPr="00CE2F22">
        <w:rPr>
          <w:lang w:val="en-AU"/>
        </w:rPr>
        <w:t>Young women and non-binary people face multiple and compounding issues when reporting instances of gender-based violence. (2) Reasons for not reporting violence often stem from a mixture of both individual factors (e.g., shame, fear of retaliation and/or economic dependency) and societal factors (e.g., victim-blaming attitudes, gender inequality in the workforce, issues surrounding family privacy).</w:t>
      </w:r>
    </w:p>
    <w:p w14:paraId="3E4A36E0" w14:textId="77777777" w:rsidR="007A7BD3" w:rsidRPr="00CE2F22" w:rsidRDefault="007A7BD3" w:rsidP="007A7BD3">
      <w:pPr>
        <w:pStyle w:val="BodyText"/>
        <w:rPr>
          <w:lang w:val="en-AU"/>
        </w:rPr>
      </w:pPr>
    </w:p>
    <w:p w14:paraId="2EC0FA79" w14:textId="77777777" w:rsidR="007A7BD3" w:rsidRPr="00CE2F22" w:rsidRDefault="007A7BD3" w:rsidP="007A7BD3">
      <w:pPr>
        <w:pStyle w:val="BodyText"/>
        <w:rPr>
          <w:lang w:val="en-AU"/>
        </w:rPr>
      </w:pPr>
      <w:r w:rsidRPr="00CE2F22">
        <w:rPr>
          <w:lang w:val="en-AU"/>
        </w:rPr>
        <w:t>Due to their age, young women and non-binary people often experience specific barriers to reporting violence as a result of restricted financial and social autonomy; a lack of understanding of what violence is; and fewer avenues available to report violence.</w:t>
      </w:r>
    </w:p>
    <w:p w14:paraId="3C55CC00" w14:textId="77777777" w:rsidR="007A7BD3" w:rsidRPr="00CE2F22" w:rsidRDefault="007A7BD3" w:rsidP="007A7BD3">
      <w:pPr>
        <w:pStyle w:val="BodyText"/>
        <w:rPr>
          <w:lang w:val="en-AU"/>
        </w:rPr>
      </w:pPr>
    </w:p>
    <w:p w14:paraId="427FDFE3" w14:textId="77777777" w:rsidR="007A7BD3" w:rsidRPr="00CE2F22" w:rsidRDefault="007A7BD3" w:rsidP="007A7BD3">
      <w:pPr>
        <w:pStyle w:val="BodyText"/>
        <w:rPr>
          <w:lang w:val="en-AU"/>
        </w:rPr>
      </w:pPr>
      <w:r w:rsidRPr="00CE2F22">
        <w:rPr>
          <w:lang w:val="en-AU"/>
        </w:rPr>
        <w:t>To better promote safe and inclusive spaces for victim-survivors, where they feel able to disclose violence and achieve safety and justice, it is vital to understand people’s experiences with reporting.</w:t>
      </w:r>
    </w:p>
    <w:p w14:paraId="3EBCD0AC" w14:textId="77777777" w:rsidR="007A7BD3" w:rsidRPr="00CE2F22" w:rsidRDefault="007A7BD3" w:rsidP="007A7BD3">
      <w:pPr>
        <w:pStyle w:val="BodyText"/>
        <w:rPr>
          <w:lang w:val="en-AU"/>
        </w:rPr>
      </w:pPr>
    </w:p>
    <w:p w14:paraId="6C9E1BB7" w14:textId="77777777" w:rsidR="007A7BD3" w:rsidRPr="00CE2F22" w:rsidRDefault="007A7BD3" w:rsidP="007A7BD3">
      <w:pPr>
        <w:pStyle w:val="BodyText"/>
        <w:rPr>
          <w:lang w:val="en-AU"/>
        </w:rPr>
      </w:pPr>
      <w:r w:rsidRPr="00CE2F22">
        <w:rPr>
          <w:lang w:val="en-AU"/>
        </w:rPr>
        <w:t>While 78.8% of respondents told someone about their experiences of violence and/or abuse,</w:t>
      </w:r>
    </w:p>
    <w:p w14:paraId="089A3564" w14:textId="5F721660" w:rsidR="007A7BD3" w:rsidRPr="00CE2F22" w:rsidRDefault="007A7BD3" w:rsidP="007A7BD3">
      <w:pPr>
        <w:pStyle w:val="BodyText"/>
        <w:rPr>
          <w:lang w:val="en-AU"/>
        </w:rPr>
      </w:pPr>
      <w:r w:rsidRPr="00CE2F22">
        <w:rPr>
          <w:lang w:val="en-AU"/>
        </w:rPr>
        <w:t>21.2 % of respondents did not tell anyone at all. Reporting violence to ‘family and/or friends’ was the most common form of disclosure, followed by reporting violence to a ‘psychologist or counsellor’. Interestingly, these two responses outweighed formal reporting avenues including phone counsellors and/or youth services. (See Table 3.1.)</w:t>
      </w:r>
    </w:p>
    <w:p w14:paraId="36D13B64" w14:textId="77777777" w:rsidR="007A7BD3" w:rsidRPr="00CE2F22" w:rsidRDefault="007A7BD3" w:rsidP="007A7BD3">
      <w:pPr>
        <w:pStyle w:val="BodyText"/>
        <w:rPr>
          <w:lang w:val="en-AU"/>
        </w:rPr>
      </w:pPr>
    </w:p>
    <w:p w14:paraId="28EF0ED9" w14:textId="25CC716C" w:rsidR="007A7BD3" w:rsidRPr="00CE2F22" w:rsidRDefault="007A7BD3" w:rsidP="007A7BD3">
      <w:pPr>
        <w:pStyle w:val="BodyText"/>
        <w:rPr>
          <w:lang w:val="en-AU"/>
        </w:rPr>
      </w:pPr>
      <w:r w:rsidRPr="00CE2F22">
        <w:rPr>
          <w:lang w:val="en-AU"/>
        </w:rPr>
        <w:t>Most young people told someone about their experiences of violence face-to-face (94.2%), while a third told someone over the phone. (See Table 3.2.)</w:t>
      </w:r>
    </w:p>
    <w:p w14:paraId="4D0A4444" w14:textId="1DE9C3DD" w:rsidR="008E5641" w:rsidRDefault="008E5641" w:rsidP="008E5641">
      <w:pPr>
        <w:pStyle w:val="BodyText"/>
        <w:rPr>
          <w:b/>
          <w:bCs/>
        </w:rPr>
      </w:pPr>
    </w:p>
    <w:tbl>
      <w:tblPr>
        <w:tblStyle w:val="TableGrid"/>
        <w:tblW w:w="0" w:type="auto"/>
        <w:tblLook w:val="04A0" w:firstRow="1" w:lastRow="0" w:firstColumn="1" w:lastColumn="0" w:noHBand="0" w:noVBand="1"/>
      </w:tblPr>
      <w:tblGrid>
        <w:gridCol w:w="5632"/>
        <w:gridCol w:w="990"/>
        <w:gridCol w:w="1042"/>
        <w:gridCol w:w="817"/>
        <w:gridCol w:w="869"/>
      </w:tblGrid>
      <w:tr w:rsidR="008A693D" w:rsidRPr="008E5641" w14:paraId="16DC1BB3" w14:textId="77777777" w:rsidTr="0032090F">
        <w:trPr>
          <w:trHeight w:val="415"/>
        </w:trPr>
        <w:tc>
          <w:tcPr>
            <w:tcW w:w="9350" w:type="dxa"/>
            <w:gridSpan w:val="5"/>
            <w:hideMark/>
          </w:tcPr>
          <w:p w14:paraId="6042C3C7" w14:textId="77777777" w:rsidR="008A693D" w:rsidRDefault="008A693D" w:rsidP="008A693D">
            <w:pPr>
              <w:pStyle w:val="BodyText"/>
              <w:rPr>
                <w:b/>
                <w:bCs/>
              </w:rPr>
            </w:pPr>
            <w:r w:rsidRPr="008E5641">
              <w:rPr>
                <w:b/>
                <w:bCs/>
              </w:rPr>
              <w:t>Table 3.1: Who did you tell about your experiences of violence or abuse?</w:t>
            </w:r>
          </w:p>
          <w:p w14:paraId="6219E7BD" w14:textId="30BCCFD9" w:rsidR="008A693D" w:rsidRPr="008E5641" w:rsidRDefault="008A693D" w:rsidP="008E5641">
            <w:pPr>
              <w:spacing w:after="0" w:line="240" w:lineRule="auto"/>
              <w:rPr>
                <w:rFonts w:ascii="Open Sans" w:eastAsia="Times New Roman" w:hAnsi="Open Sans" w:cs="Open Sans"/>
                <w:color w:val="000000" w:themeColor="text1"/>
                <w:sz w:val="20"/>
                <w:szCs w:val="20"/>
              </w:rPr>
            </w:pPr>
          </w:p>
        </w:tc>
      </w:tr>
      <w:tr w:rsidR="008A693D" w:rsidRPr="008E5641" w14:paraId="7AA71ADC" w14:textId="77777777" w:rsidTr="008A693D">
        <w:trPr>
          <w:trHeight w:val="67"/>
        </w:trPr>
        <w:tc>
          <w:tcPr>
            <w:tcW w:w="5632" w:type="dxa"/>
            <w:hideMark/>
          </w:tcPr>
          <w:p w14:paraId="151F53EF" w14:textId="77777777"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Family and/or friends </w:t>
            </w:r>
          </w:p>
        </w:tc>
        <w:tc>
          <w:tcPr>
            <w:tcW w:w="990" w:type="dxa"/>
          </w:tcPr>
          <w:p w14:paraId="783BB634" w14:textId="3D131D66" w:rsidR="008A693D" w:rsidRPr="008E5641" w:rsidRDefault="008A693D" w:rsidP="008A693D">
            <w:pPr>
              <w:spacing w:after="0" w:line="240" w:lineRule="auto"/>
              <w:rPr>
                <w:rFonts w:ascii="Open Sans" w:eastAsia="Times New Roman" w:hAnsi="Open Sans" w:cs="Open Sans"/>
                <w:color w:val="000000"/>
                <w:sz w:val="20"/>
                <w:szCs w:val="20"/>
              </w:rPr>
            </w:pPr>
            <w:r w:rsidRPr="0051744B">
              <w:rPr>
                <w:rFonts w:ascii="Open Sans" w:eastAsia="Times New Roman" w:hAnsi="Open Sans" w:cs="Open Sans"/>
                <w:b/>
                <w:bCs/>
                <w:color w:val="000000" w:themeColor="text1"/>
                <w:sz w:val="20"/>
                <w:szCs w:val="20"/>
              </w:rPr>
              <w:t>Percent</w:t>
            </w:r>
          </w:p>
        </w:tc>
        <w:tc>
          <w:tcPr>
            <w:tcW w:w="1042" w:type="dxa"/>
            <w:hideMark/>
          </w:tcPr>
          <w:p w14:paraId="6DE3AA40" w14:textId="07162951"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92.4%</w:t>
            </w:r>
          </w:p>
        </w:tc>
        <w:tc>
          <w:tcPr>
            <w:tcW w:w="817" w:type="dxa"/>
          </w:tcPr>
          <w:p w14:paraId="724B0758" w14:textId="0AE7D6E1" w:rsidR="008A693D" w:rsidRPr="008E5641" w:rsidRDefault="008A693D" w:rsidP="008A693D">
            <w:pPr>
              <w:spacing w:after="0" w:line="240" w:lineRule="auto"/>
              <w:rPr>
                <w:rFonts w:ascii="Open Sans" w:eastAsia="Times New Roman" w:hAnsi="Open Sans" w:cs="Open Sans"/>
                <w:color w:val="000000"/>
                <w:sz w:val="20"/>
                <w:szCs w:val="20"/>
              </w:rPr>
            </w:pPr>
            <w:r w:rsidRPr="009E466A">
              <w:rPr>
                <w:rFonts w:ascii="Open Sans" w:eastAsia="Times New Roman" w:hAnsi="Open Sans" w:cs="Open Sans"/>
                <w:b/>
                <w:bCs/>
                <w:color w:val="000000" w:themeColor="text1"/>
                <w:sz w:val="20"/>
                <w:szCs w:val="20"/>
              </w:rPr>
              <w:t>Count</w:t>
            </w:r>
          </w:p>
        </w:tc>
        <w:tc>
          <w:tcPr>
            <w:tcW w:w="869" w:type="dxa"/>
            <w:hideMark/>
          </w:tcPr>
          <w:p w14:paraId="52073C74" w14:textId="2B157C37"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133</w:t>
            </w:r>
          </w:p>
        </w:tc>
      </w:tr>
      <w:tr w:rsidR="008A693D" w:rsidRPr="008E5641" w14:paraId="5EAB8441" w14:textId="77777777" w:rsidTr="008A693D">
        <w:trPr>
          <w:trHeight w:val="96"/>
        </w:trPr>
        <w:tc>
          <w:tcPr>
            <w:tcW w:w="5632" w:type="dxa"/>
            <w:hideMark/>
          </w:tcPr>
          <w:p w14:paraId="77BE5943" w14:textId="77777777"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Psychologist or counsellor </w:t>
            </w:r>
          </w:p>
        </w:tc>
        <w:tc>
          <w:tcPr>
            <w:tcW w:w="990" w:type="dxa"/>
          </w:tcPr>
          <w:p w14:paraId="4DE630B4" w14:textId="215BB4AA" w:rsidR="008A693D" w:rsidRPr="008E5641" w:rsidRDefault="008A693D" w:rsidP="008A693D">
            <w:pPr>
              <w:spacing w:after="0" w:line="240" w:lineRule="auto"/>
              <w:rPr>
                <w:rFonts w:ascii="Open Sans" w:eastAsia="Times New Roman" w:hAnsi="Open Sans" w:cs="Open Sans"/>
                <w:color w:val="000000"/>
                <w:sz w:val="20"/>
                <w:szCs w:val="20"/>
              </w:rPr>
            </w:pPr>
            <w:r w:rsidRPr="0051744B">
              <w:rPr>
                <w:rFonts w:ascii="Open Sans" w:eastAsia="Times New Roman" w:hAnsi="Open Sans" w:cs="Open Sans"/>
                <w:b/>
                <w:bCs/>
                <w:color w:val="000000" w:themeColor="text1"/>
                <w:sz w:val="20"/>
                <w:szCs w:val="20"/>
              </w:rPr>
              <w:t>Percent</w:t>
            </w:r>
          </w:p>
        </w:tc>
        <w:tc>
          <w:tcPr>
            <w:tcW w:w="1042" w:type="dxa"/>
            <w:hideMark/>
          </w:tcPr>
          <w:p w14:paraId="5C735C8B" w14:textId="25C9E86C"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69.4%</w:t>
            </w:r>
          </w:p>
        </w:tc>
        <w:tc>
          <w:tcPr>
            <w:tcW w:w="817" w:type="dxa"/>
          </w:tcPr>
          <w:p w14:paraId="2F6E8875" w14:textId="7B2B1D99" w:rsidR="008A693D" w:rsidRPr="008E5641" w:rsidRDefault="008A693D" w:rsidP="008A693D">
            <w:pPr>
              <w:spacing w:after="0" w:line="240" w:lineRule="auto"/>
              <w:rPr>
                <w:rFonts w:ascii="Open Sans" w:eastAsia="Times New Roman" w:hAnsi="Open Sans" w:cs="Open Sans"/>
                <w:color w:val="000000"/>
                <w:sz w:val="20"/>
                <w:szCs w:val="20"/>
              </w:rPr>
            </w:pPr>
            <w:r w:rsidRPr="009E466A">
              <w:rPr>
                <w:rFonts w:ascii="Open Sans" w:eastAsia="Times New Roman" w:hAnsi="Open Sans" w:cs="Open Sans"/>
                <w:b/>
                <w:bCs/>
                <w:color w:val="000000" w:themeColor="text1"/>
                <w:sz w:val="20"/>
                <w:szCs w:val="20"/>
              </w:rPr>
              <w:t>Count</w:t>
            </w:r>
          </w:p>
        </w:tc>
        <w:tc>
          <w:tcPr>
            <w:tcW w:w="869" w:type="dxa"/>
            <w:hideMark/>
          </w:tcPr>
          <w:p w14:paraId="50B22E6A" w14:textId="4365B21B"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100</w:t>
            </w:r>
          </w:p>
        </w:tc>
      </w:tr>
      <w:tr w:rsidR="008A693D" w:rsidRPr="008E5641" w14:paraId="6517898C" w14:textId="77777777" w:rsidTr="008A693D">
        <w:trPr>
          <w:trHeight w:val="127"/>
        </w:trPr>
        <w:tc>
          <w:tcPr>
            <w:tcW w:w="5632" w:type="dxa"/>
            <w:hideMark/>
          </w:tcPr>
          <w:p w14:paraId="74FD9318" w14:textId="77777777"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A support service (e.g. a domestic and family violence service) </w:t>
            </w:r>
          </w:p>
        </w:tc>
        <w:tc>
          <w:tcPr>
            <w:tcW w:w="990" w:type="dxa"/>
          </w:tcPr>
          <w:p w14:paraId="4EDF8B06" w14:textId="562E92BB" w:rsidR="008A693D" w:rsidRPr="008E5641" w:rsidRDefault="008A693D" w:rsidP="008A693D">
            <w:pPr>
              <w:spacing w:after="0" w:line="240" w:lineRule="auto"/>
              <w:rPr>
                <w:rFonts w:ascii="Open Sans" w:eastAsia="Times New Roman" w:hAnsi="Open Sans" w:cs="Open Sans"/>
                <w:color w:val="000000"/>
                <w:sz w:val="20"/>
                <w:szCs w:val="20"/>
              </w:rPr>
            </w:pPr>
            <w:r w:rsidRPr="0051744B">
              <w:rPr>
                <w:rFonts w:ascii="Open Sans" w:eastAsia="Times New Roman" w:hAnsi="Open Sans" w:cs="Open Sans"/>
                <w:b/>
                <w:bCs/>
                <w:color w:val="000000" w:themeColor="text1"/>
                <w:sz w:val="20"/>
                <w:szCs w:val="20"/>
              </w:rPr>
              <w:t>Percent</w:t>
            </w:r>
          </w:p>
        </w:tc>
        <w:tc>
          <w:tcPr>
            <w:tcW w:w="1042" w:type="dxa"/>
            <w:hideMark/>
          </w:tcPr>
          <w:p w14:paraId="3F00E59F" w14:textId="12E74F72"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33.3%</w:t>
            </w:r>
          </w:p>
        </w:tc>
        <w:tc>
          <w:tcPr>
            <w:tcW w:w="817" w:type="dxa"/>
          </w:tcPr>
          <w:p w14:paraId="44232EB5" w14:textId="401B68B3" w:rsidR="008A693D" w:rsidRPr="008E5641" w:rsidRDefault="008A693D" w:rsidP="008A693D">
            <w:pPr>
              <w:spacing w:after="0" w:line="240" w:lineRule="auto"/>
              <w:rPr>
                <w:rFonts w:ascii="Open Sans" w:eastAsia="Times New Roman" w:hAnsi="Open Sans" w:cs="Open Sans"/>
                <w:color w:val="000000"/>
                <w:sz w:val="20"/>
                <w:szCs w:val="20"/>
              </w:rPr>
            </w:pPr>
            <w:r w:rsidRPr="009E466A">
              <w:rPr>
                <w:rFonts w:ascii="Open Sans" w:eastAsia="Times New Roman" w:hAnsi="Open Sans" w:cs="Open Sans"/>
                <w:b/>
                <w:bCs/>
                <w:color w:val="000000" w:themeColor="text1"/>
                <w:sz w:val="20"/>
                <w:szCs w:val="20"/>
              </w:rPr>
              <w:t>Count</w:t>
            </w:r>
          </w:p>
        </w:tc>
        <w:tc>
          <w:tcPr>
            <w:tcW w:w="869" w:type="dxa"/>
            <w:hideMark/>
          </w:tcPr>
          <w:p w14:paraId="2075DFCD" w14:textId="3E75B164"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48</w:t>
            </w:r>
          </w:p>
        </w:tc>
      </w:tr>
      <w:tr w:rsidR="008A693D" w:rsidRPr="008E5641" w14:paraId="67045027" w14:textId="77777777" w:rsidTr="008A693D">
        <w:trPr>
          <w:trHeight w:val="159"/>
        </w:trPr>
        <w:tc>
          <w:tcPr>
            <w:tcW w:w="5632" w:type="dxa"/>
            <w:hideMark/>
          </w:tcPr>
          <w:p w14:paraId="5304A40A" w14:textId="77777777"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GP or other health professional (e.g. nurse or community health worker) </w:t>
            </w:r>
          </w:p>
        </w:tc>
        <w:tc>
          <w:tcPr>
            <w:tcW w:w="990" w:type="dxa"/>
          </w:tcPr>
          <w:p w14:paraId="286FB4CE" w14:textId="53BFF9E2" w:rsidR="008A693D" w:rsidRPr="008E5641" w:rsidRDefault="008A693D" w:rsidP="008A693D">
            <w:pPr>
              <w:spacing w:after="0" w:line="240" w:lineRule="auto"/>
              <w:rPr>
                <w:rFonts w:ascii="Open Sans" w:eastAsia="Times New Roman" w:hAnsi="Open Sans" w:cs="Open Sans"/>
                <w:color w:val="000000"/>
                <w:sz w:val="20"/>
                <w:szCs w:val="20"/>
              </w:rPr>
            </w:pPr>
            <w:r w:rsidRPr="0051744B">
              <w:rPr>
                <w:rFonts w:ascii="Open Sans" w:eastAsia="Times New Roman" w:hAnsi="Open Sans" w:cs="Open Sans"/>
                <w:b/>
                <w:bCs/>
                <w:color w:val="000000" w:themeColor="text1"/>
                <w:sz w:val="20"/>
                <w:szCs w:val="20"/>
              </w:rPr>
              <w:t>Percent</w:t>
            </w:r>
          </w:p>
        </w:tc>
        <w:tc>
          <w:tcPr>
            <w:tcW w:w="1042" w:type="dxa"/>
            <w:hideMark/>
          </w:tcPr>
          <w:p w14:paraId="7415E7D9" w14:textId="70E55160"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31.3%</w:t>
            </w:r>
          </w:p>
        </w:tc>
        <w:tc>
          <w:tcPr>
            <w:tcW w:w="817" w:type="dxa"/>
          </w:tcPr>
          <w:p w14:paraId="30D29BCD" w14:textId="768C6714" w:rsidR="008A693D" w:rsidRPr="008E5641" w:rsidRDefault="008A693D" w:rsidP="008A693D">
            <w:pPr>
              <w:spacing w:after="0" w:line="240" w:lineRule="auto"/>
              <w:rPr>
                <w:rFonts w:ascii="Open Sans" w:eastAsia="Times New Roman" w:hAnsi="Open Sans" w:cs="Open Sans"/>
                <w:color w:val="000000"/>
                <w:sz w:val="20"/>
                <w:szCs w:val="20"/>
              </w:rPr>
            </w:pPr>
            <w:r w:rsidRPr="009E466A">
              <w:rPr>
                <w:rFonts w:ascii="Open Sans" w:eastAsia="Times New Roman" w:hAnsi="Open Sans" w:cs="Open Sans"/>
                <w:b/>
                <w:bCs/>
                <w:color w:val="000000" w:themeColor="text1"/>
                <w:sz w:val="20"/>
                <w:szCs w:val="20"/>
              </w:rPr>
              <w:t>Count</w:t>
            </w:r>
          </w:p>
        </w:tc>
        <w:tc>
          <w:tcPr>
            <w:tcW w:w="869" w:type="dxa"/>
            <w:hideMark/>
          </w:tcPr>
          <w:p w14:paraId="076C7655" w14:textId="14C3A661"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45</w:t>
            </w:r>
          </w:p>
        </w:tc>
      </w:tr>
      <w:tr w:rsidR="008A693D" w:rsidRPr="008E5641" w14:paraId="165314D9" w14:textId="77777777" w:rsidTr="008A693D">
        <w:trPr>
          <w:trHeight w:val="67"/>
        </w:trPr>
        <w:tc>
          <w:tcPr>
            <w:tcW w:w="5632" w:type="dxa"/>
            <w:hideMark/>
          </w:tcPr>
          <w:p w14:paraId="2B83C7A1" w14:textId="77777777"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Police </w:t>
            </w:r>
          </w:p>
        </w:tc>
        <w:tc>
          <w:tcPr>
            <w:tcW w:w="990" w:type="dxa"/>
          </w:tcPr>
          <w:p w14:paraId="790E003E" w14:textId="06E226CD" w:rsidR="008A693D" w:rsidRPr="008E5641" w:rsidRDefault="008A693D" w:rsidP="008A693D">
            <w:pPr>
              <w:spacing w:after="0" w:line="240" w:lineRule="auto"/>
              <w:rPr>
                <w:rFonts w:ascii="Open Sans" w:eastAsia="Times New Roman" w:hAnsi="Open Sans" w:cs="Open Sans"/>
                <w:color w:val="000000"/>
                <w:sz w:val="20"/>
                <w:szCs w:val="20"/>
              </w:rPr>
            </w:pPr>
            <w:r w:rsidRPr="0051744B">
              <w:rPr>
                <w:rFonts w:ascii="Open Sans" w:eastAsia="Times New Roman" w:hAnsi="Open Sans" w:cs="Open Sans"/>
                <w:b/>
                <w:bCs/>
                <w:color w:val="000000" w:themeColor="text1"/>
                <w:sz w:val="20"/>
                <w:szCs w:val="20"/>
              </w:rPr>
              <w:t>Percent</w:t>
            </w:r>
          </w:p>
        </w:tc>
        <w:tc>
          <w:tcPr>
            <w:tcW w:w="1042" w:type="dxa"/>
            <w:hideMark/>
          </w:tcPr>
          <w:p w14:paraId="798E2EB2" w14:textId="60781016"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27.8%</w:t>
            </w:r>
          </w:p>
        </w:tc>
        <w:tc>
          <w:tcPr>
            <w:tcW w:w="817" w:type="dxa"/>
          </w:tcPr>
          <w:p w14:paraId="63CBE0A0" w14:textId="035B521F" w:rsidR="008A693D" w:rsidRPr="008E5641" w:rsidRDefault="008A693D" w:rsidP="008A693D">
            <w:pPr>
              <w:spacing w:after="0" w:line="240" w:lineRule="auto"/>
              <w:rPr>
                <w:rFonts w:ascii="Open Sans" w:eastAsia="Times New Roman" w:hAnsi="Open Sans" w:cs="Open Sans"/>
                <w:color w:val="000000"/>
                <w:sz w:val="20"/>
                <w:szCs w:val="20"/>
              </w:rPr>
            </w:pPr>
            <w:r w:rsidRPr="009E466A">
              <w:rPr>
                <w:rFonts w:ascii="Open Sans" w:eastAsia="Times New Roman" w:hAnsi="Open Sans" w:cs="Open Sans"/>
                <w:b/>
                <w:bCs/>
                <w:color w:val="000000" w:themeColor="text1"/>
                <w:sz w:val="20"/>
                <w:szCs w:val="20"/>
              </w:rPr>
              <w:t>Count</w:t>
            </w:r>
          </w:p>
        </w:tc>
        <w:tc>
          <w:tcPr>
            <w:tcW w:w="869" w:type="dxa"/>
            <w:hideMark/>
          </w:tcPr>
          <w:p w14:paraId="5EA2603E" w14:textId="1AAFC2AB"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40</w:t>
            </w:r>
          </w:p>
        </w:tc>
      </w:tr>
      <w:tr w:rsidR="008A693D" w:rsidRPr="008E5641" w14:paraId="65355ECD" w14:textId="77777777" w:rsidTr="008A693D">
        <w:trPr>
          <w:trHeight w:val="67"/>
        </w:trPr>
        <w:tc>
          <w:tcPr>
            <w:tcW w:w="5632" w:type="dxa"/>
            <w:hideMark/>
          </w:tcPr>
          <w:p w14:paraId="0C539902" w14:textId="77777777"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Phone counsellor (e.g., Kids Helpline, Lifeline, 1800RESPECT, Qlife) </w:t>
            </w:r>
          </w:p>
        </w:tc>
        <w:tc>
          <w:tcPr>
            <w:tcW w:w="990" w:type="dxa"/>
          </w:tcPr>
          <w:p w14:paraId="236F50FE" w14:textId="2CF735D4" w:rsidR="008A693D" w:rsidRPr="008E5641" w:rsidRDefault="008A693D" w:rsidP="008A693D">
            <w:pPr>
              <w:spacing w:after="0" w:line="240" w:lineRule="auto"/>
              <w:rPr>
                <w:rFonts w:ascii="Open Sans" w:eastAsia="Times New Roman" w:hAnsi="Open Sans" w:cs="Open Sans"/>
                <w:color w:val="000000"/>
                <w:sz w:val="20"/>
                <w:szCs w:val="20"/>
              </w:rPr>
            </w:pPr>
            <w:r w:rsidRPr="0051744B">
              <w:rPr>
                <w:rFonts w:ascii="Open Sans" w:eastAsia="Times New Roman" w:hAnsi="Open Sans" w:cs="Open Sans"/>
                <w:b/>
                <w:bCs/>
                <w:color w:val="000000" w:themeColor="text1"/>
                <w:sz w:val="20"/>
                <w:szCs w:val="20"/>
              </w:rPr>
              <w:t>Percent</w:t>
            </w:r>
          </w:p>
        </w:tc>
        <w:tc>
          <w:tcPr>
            <w:tcW w:w="1042" w:type="dxa"/>
            <w:hideMark/>
          </w:tcPr>
          <w:p w14:paraId="7E21A2D6" w14:textId="292C4C14"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19.4%</w:t>
            </w:r>
          </w:p>
        </w:tc>
        <w:tc>
          <w:tcPr>
            <w:tcW w:w="817" w:type="dxa"/>
          </w:tcPr>
          <w:p w14:paraId="73A6FF3A" w14:textId="616A1972" w:rsidR="008A693D" w:rsidRPr="008E5641" w:rsidRDefault="008A693D" w:rsidP="008A693D">
            <w:pPr>
              <w:spacing w:after="0" w:line="240" w:lineRule="auto"/>
              <w:rPr>
                <w:rFonts w:ascii="Open Sans" w:eastAsia="Times New Roman" w:hAnsi="Open Sans" w:cs="Open Sans"/>
                <w:color w:val="000000"/>
                <w:sz w:val="20"/>
                <w:szCs w:val="20"/>
              </w:rPr>
            </w:pPr>
            <w:r w:rsidRPr="009E466A">
              <w:rPr>
                <w:rFonts w:ascii="Open Sans" w:eastAsia="Times New Roman" w:hAnsi="Open Sans" w:cs="Open Sans"/>
                <w:b/>
                <w:bCs/>
                <w:color w:val="000000" w:themeColor="text1"/>
                <w:sz w:val="20"/>
                <w:szCs w:val="20"/>
              </w:rPr>
              <w:t>Count</w:t>
            </w:r>
          </w:p>
        </w:tc>
        <w:tc>
          <w:tcPr>
            <w:tcW w:w="869" w:type="dxa"/>
            <w:hideMark/>
          </w:tcPr>
          <w:p w14:paraId="6B70E606" w14:textId="1F755768"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28</w:t>
            </w:r>
          </w:p>
        </w:tc>
      </w:tr>
      <w:tr w:rsidR="008A693D" w:rsidRPr="008E5641" w14:paraId="3E65C6B7" w14:textId="77777777" w:rsidTr="008A693D">
        <w:trPr>
          <w:trHeight w:val="99"/>
        </w:trPr>
        <w:tc>
          <w:tcPr>
            <w:tcW w:w="5632" w:type="dxa"/>
            <w:hideMark/>
          </w:tcPr>
          <w:p w14:paraId="4B82CA98" w14:textId="77777777"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Workplace manager or HR department </w:t>
            </w:r>
          </w:p>
        </w:tc>
        <w:tc>
          <w:tcPr>
            <w:tcW w:w="990" w:type="dxa"/>
          </w:tcPr>
          <w:p w14:paraId="375E0EC6" w14:textId="22D8D810" w:rsidR="008A693D" w:rsidRPr="008E5641" w:rsidRDefault="008A693D" w:rsidP="008A693D">
            <w:pPr>
              <w:spacing w:after="0" w:line="240" w:lineRule="auto"/>
              <w:rPr>
                <w:rFonts w:ascii="Open Sans" w:eastAsia="Times New Roman" w:hAnsi="Open Sans" w:cs="Open Sans"/>
                <w:color w:val="000000"/>
                <w:sz w:val="20"/>
                <w:szCs w:val="20"/>
              </w:rPr>
            </w:pPr>
            <w:r w:rsidRPr="0051744B">
              <w:rPr>
                <w:rFonts w:ascii="Open Sans" w:eastAsia="Times New Roman" w:hAnsi="Open Sans" w:cs="Open Sans"/>
                <w:b/>
                <w:bCs/>
                <w:color w:val="000000" w:themeColor="text1"/>
                <w:sz w:val="20"/>
                <w:szCs w:val="20"/>
              </w:rPr>
              <w:t>Percent</w:t>
            </w:r>
          </w:p>
        </w:tc>
        <w:tc>
          <w:tcPr>
            <w:tcW w:w="1042" w:type="dxa"/>
            <w:hideMark/>
          </w:tcPr>
          <w:p w14:paraId="73A3072D" w14:textId="0082DCD2"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16.7%</w:t>
            </w:r>
          </w:p>
        </w:tc>
        <w:tc>
          <w:tcPr>
            <w:tcW w:w="817" w:type="dxa"/>
          </w:tcPr>
          <w:p w14:paraId="04A5677D" w14:textId="3E5F0E5E" w:rsidR="008A693D" w:rsidRPr="008E5641" w:rsidRDefault="008A693D" w:rsidP="008A693D">
            <w:pPr>
              <w:spacing w:after="0" w:line="240" w:lineRule="auto"/>
              <w:rPr>
                <w:rFonts w:ascii="Open Sans" w:eastAsia="Times New Roman" w:hAnsi="Open Sans" w:cs="Open Sans"/>
                <w:color w:val="000000"/>
                <w:sz w:val="20"/>
                <w:szCs w:val="20"/>
              </w:rPr>
            </w:pPr>
            <w:r w:rsidRPr="009E466A">
              <w:rPr>
                <w:rFonts w:ascii="Open Sans" w:eastAsia="Times New Roman" w:hAnsi="Open Sans" w:cs="Open Sans"/>
                <w:b/>
                <w:bCs/>
                <w:color w:val="000000" w:themeColor="text1"/>
                <w:sz w:val="20"/>
                <w:szCs w:val="20"/>
              </w:rPr>
              <w:t>Count</w:t>
            </w:r>
          </w:p>
        </w:tc>
        <w:tc>
          <w:tcPr>
            <w:tcW w:w="869" w:type="dxa"/>
            <w:hideMark/>
          </w:tcPr>
          <w:p w14:paraId="50574102" w14:textId="689A5B17"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24</w:t>
            </w:r>
          </w:p>
        </w:tc>
      </w:tr>
      <w:tr w:rsidR="008A693D" w:rsidRPr="008E5641" w14:paraId="6C1BA492" w14:textId="77777777" w:rsidTr="008A693D">
        <w:trPr>
          <w:trHeight w:val="131"/>
        </w:trPr>
        <w:tc>
          <w:tcPr>
            <w:tcW w:w="5632" w:type="dxa"/>
            <w:hideMark/>
          </w:tcPr>
          <w:p w14:paraId="61851DEA" w14:textId="77777777"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Other work colleague </w:t>
            </w:r>
          </w:p>
        </w:tc>
        <w:tc>
          <w:tcPr>
            <w:tcW w:w="990" w:type="dxa"/>
          </w:tcPr>
          <w:p w14:paraId="247B525A" w14:textId="73E5B3AD" w:rsidR="008A693D" w:rsidRPr="008E5641" w:rsidRDefault="008A693D" w:rsidP="008A693D">
            <w:pPr>
              <w:spacing w:after="0" w:line="240" w:lineRule="auto"/>
              <w:rPr>
                <w:rFonts w:ascii="Open Sans" w:eastAsia="Times New Roman" w:hAnsi="Open Sans" w:cs="Open Sans"/>
                <w:color w:val="000000"/>
                <w:sz w:val="20"/>
                <w:szCs w:val="20"/>
              </w:rPr>
            </w:pPr>
            <w:r w:rsidRPr="0051744B">
              <w:rPr>
                <w:rFonts w:ascii="Open Sans" w:eastAsia="Times New Roman" w:hAnsi="Open Sans" w:cs="Open Sans"/>
                <w:b/>
                <w:bCs/>
                <w:color w:val="000000" w:themeColor="text1"/>
                <w:sz w:val="20"/>
                <w:szCs w:val="20"/>
              </w:rPr>
              <w:t>Percent</w:t>
            </w:r>
          </w:p>
        </w:tc>
        <w:tc>
          <w:tcPr>
            <w:tcW w:w="1042" w:type="dxa"/>
            <w:hideMark/>
          </w:tcPr>
          <w:p w14:paraId="4AD98621" w14:textId="2E699B66"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16.7%</w:t>
            </w:r>
          </w:p>
        </w:tc>
        <w:tc>
          <w:tcPr>
            <w:tcW w:w="817" w:type="dxa"/>
          </w:tcPr>
          <w:p w14:paraId="3966E733" w14:textId="5FB711D3" w:rsidR="008A693D" w:rsidRPr="008E5641" w:rsidRDefault="008A693D" w:rsidP="008A693D">
            <w:pPr>
              <w:spacing w:after="0" w:line="240" w:lineRule="auto"/>
              <w:rPr>
                <w:rFonts w:ascii="Open Sans" w:eastAsia="Times New Roman" w:hAnsi="Open Sans" w:cs="Open Sans"/>
                <w:color w:val="000000"/>
                <w:sz w:val="20"/>
                <w:szCs w:val="20"/>
              </w:rPr>
            </w:pPr>
            <w:r w:rsidRPr="009E466A">
              <w:rPr>
                <w:rFonts w:ascii="Open Sans" w:eastAsia="Times New Roman" w:hAnsi="Open Sans" w:cs="Open Sans"/>
                <w:b/>
                <w:bCs/>
                <w:color w:val="000000" w:themeColor="text1"/>
                <w:sz w:val="20"/>
                <w:szCs w:val="20"/>
              </w:rPr>
              <w:t>Count</w:t>
            </w:r>
          </w:p>
        </w:tc>
        <w:tc>
          <w:tcPr>
            <w:tcW w:w="869" w:type="dxa"/>
            <w:hideMark/>
          </w:tcPr>
          <w:p w14:paraId="15FB7DF4" w14:textId="587FC9A0"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24</w:t>
            </w:r>
          </w:p>
        </w:tc>
      </w:tr>
      <w:tr w:rsidR="008A693D" w:rsidRPr="008E5641" w14:paraId="14B6AE00" w14:textId="77777777" w:rsidTr="008A693D">
        <w:trPr>
          <w:trHeight w:val="152"/>
        </w:trPr>
        <w:tc>
          <w:tcPr>
            <w:tcW w:w="5632" w:type="dxa"/>
            <w:hideMark/>
          </w:tcPr>
          <w:p w14:paraId="7B85784F" w14:textId="77777777"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University/TAFE/school administration </w:t>
            </w:r>
          </w:p>
        </w:tc>
        <w:tc>
          <w:tcPr>
            <w:tcW w:w="990" w:type="dxa"/>
          </w:tcPr>
          <w:p w14:paraId="36E5E6B5" w14:textId="4E2AFA32" w:rsidR="008A693D" w:rsidRPr="008E5641" w:rsidRDefault="008A693D" w:rsidP="008A693D">
            <w:pPr>
              <w:spacing w:after="0" w:line="240" w:lineRule="auto"/>
              <w:rPr>
                <w:rFonts w:ascii="Open Sans" w:eastAsia="Times New Roman" w:hAnsi="Open Sans" w:cs="Open Sans"/>
                <w:color w:val="000000"/>
                <w:sz w:val="20"/>
                <w:szCs w:val="20"/>
              </w:rPr>
            </w:pPr>
            <w:r w:rsidRPr="0051744B">
              <w:rPr>
                <w:rFonts w:ascii="Open Sans" w:eastAsia="Times New Roman" w:hAnsi="Open Sans" w:cs="Open Sans"/>
                <w:b/>
                <w:bCs/>
                <w:color w:val="000000" w:themeColor="text1"/>
                <w:sz w:val="20"/>
                <w:szCs w:val="20"/>
              </w:rPr>
              <w:t>Percent</w:t>
            </w:r>
          </w:p>
        </w:tc>
        <w:tc>
          <w:tcPr>
            <w:tcW w:w="1042" w:type="dxa"/>
            <w:hideMark/>
          </w:tcPr>
          <w:p w14:paraId="4A6577E5" w14:textId="2A130650"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13.9%</w:t>
            </w:r>
          </w:p>
        </w:tc>
        <w:tc>
          <w:tcPr>
            <w:tcW w:w="817" w:type="dxa"/>
          </w:tcPr>
          <w:p w14:paraId="614ED908" w14:textId="0D33B827" w:rsidR="008A693D" w:rsidRPr="008E5641" w:rsidRDefault="008A693D" w:rsidP="008A693D">
            <w:pPr>
              <w:spacing w:after="0" w:line="240" w:lineRule="auto"/>
              <w:rPr>
                <w:rFonts w:ascii="Open Sans" w:eastAsia="Times New Roman" w:hAnsi="Open Sans" w:cs="Open Sans"/>
                <w:color w:val="000000"/>
                <w:sz w:val="20"/>
                <w:szCs w:val="20"/>
              </w:rPr>
            </w:pPr>
            <w:r w:rsidRPr="009E466A">
              <w:rPr>
                <w:rFonts w:ascii="Open Sans" w:eastAsia="Times New Roman" w:hAnsi="Open Sans" w:cs="Open Sans"/>
                <w:b/>
                <w:bCs/>
                <w:color w:val="000000" w:themeColor="text1"/>
                <w:sz w:val="20"/>
                <w:szCs w:val="20"/>
              </w:rPr>
              <w:t>Count</w:t>
            </w:r>
          </w:p>
        </w:tc>
        <w:tc>
          <w:tcPr>
            <w:tcW w:w="869" w:type="dxa"/>
            <w:hideMark/>
          </w:tcPr>
          <w:p w14:paraId="31B55626" w14:textId="3BC074D5"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20</w:t>
            </w:r>
          </w:p>
        </w:tc>
      </w:tr>
      <w:tr w:rsidR="008A693D" w:rsidRPr="008E5641" w14:paraId="05F9E240" w14:textId="77777777" w:rsidTr="008A693D">
        <w:trPr>
          <w:trHeight w:val="158"/>
        </w:trPr>
        <w:tc>
          <w:tcPr>
            <w:tcW w:w="5632" w:type="dxa"/>
            <w:hideMark/>
          </w:tcPr>
          <w:p w14:paraId="3F3DE056" w14:textId="77777777"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University/TAFE/school teacher or lecturer </w:t>
            </w:r>
          </w:p>
        </w:tc>
        <w:tc>
          <w:tcPr>
            <w:tcW w:w="990" w:type="dxa"/>
          </w:tcPr>
          <w:p w14:paraId="548D3F4F" w14:textId="61CD1DDD" w:rsidR="008A693D" w:rsidRPr="008E5641" w:rsidRDefault="008A693D" w:rsidP="008A693D">
            <w:pPr>
              <w:spacing w:after="0" w:line="240" w:lineRule="auto"/>
              <w:rPr>
                <w:rFonts w:ascii="Open Sans" w:eastAsia="Times New Roman" w:hAnsi="Open Sans" w:cs="Open Sans"/>
                <w:color w:val="000000"/>
                <w:sz w:val="20"/>
                <w:szCs w:val="20"/>
              </w:rPr>
            </w:pPr>
            <w:r w:rsidRPr="0051744B">
              <w:rPr>
                <w:rFonts w:ascii="Open Sans" w:eastAsia="Times New Roman" w:hAnsi="Open Sans" w:cs="Open Sans"/>
                <w:b/>
                <w:bCs/>
                <w:color w:val="000000" w:themeColor="text1"/>
                <w:sz w:val="20"/>
                <w:szCs w:val="20"/>
              </w:rPr>
              <w:t>Percent</w:t>
            </w:r>
          </w:p>
        </w:tc>
        <w:tc>
          <w:tcPr>
            <w:tcW w:w="1042" w:type="dxa"/>
            <w:hideMark/>
          </w:tcPr>
          <w:p w14:paraId="43D40EC5" w14:textId="2CD077B6"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11.1%</w:t>
            </w:r>
          </w:p>
        </w:tc>
        <w:tc>
          <w:tcPr>
            <w:tcW w:w="817" w:type="dxa"/>
          </w:tcPr>
          <w:p w14:paraId="0C56A976" w14:textId="142C643F" w:rsidR="008A693D" w:rsidRPr="008E5641" w:rsidRDefault="008A693D" w:rsidP="008A693D">
            <w:pPr>
              <w:spacing w:after="0" w:line="240" w:lineRule="auto"/>
              <w:rPr>
                <w:rFonts w:ascii="Open Sans" w:eastAsia="Times New Roman" w:hAnsi="Open Sans" w:cs="Open Sans"/>
                <w:color w:val="000000"/>
                <w:sz w:val="20"/>
                <w:szCs w:val="20"/>
              </w:rPr>
            </w:pPr>
            <w:r w:rsidRPr="009E466A">
              <w:rPr>
                <w:rFonts w:ascii="Open Sans" w:eastAsia="Times New Roman" w:hAnsi="Open Sans" w:cs="Open Sans"/>
                <w:b/>
                <w:bCs/>
                <w:color w:val="000000" w:themeColor="text1"/>
                <w:sz w:val="20"/>
                <w:szCs w:val="20"/>
              </w:rPr>
              <w:t>Count</w:t>
            </w:r>
          </w:p>
        </w:tc>
        <w:tc>
          <w:tcPr>
            <w:tcW w:w="869" w:type="dxa"/>
            <w:hideMark/>
          </w:tcPr>
          <w:p w14:paraId="39477901" w14:textId="28E8F6F4"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16</w:t>
            </w:r>
          </w:p>
        </w:tc>
      </w:tr>
      <w:tr w:rsidR="008A693D" w:rsidRPr="008E5641" w14:paraId="269891CC" w14:textId="77777777" w:rsidTr="008A693D">
        <w:trPr>
          <w:trHeight w:val="292"/>
        </w:trPr>
        <w:tc>
          <w:tcPr>
            <w:tcW w:w="5632" w:type="dxa"/>
            <w:hideMark/>
          </w:tcPr>
          <w:p w14:paraId="5E695E48" w14:textId="77777777"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A disability or mental health support or advocacy service </w:t>
            </w:r>
          </w:p>
        </w:tc>
        <w:tc>
          <w:tcPr>
            <w:tcW w:w="990" w:type="dxa"/>
          </w:tcPr>
          <w:p w14:paraId="47443695" w14:textId="14FF8EFD" w:rsidR="008A693D" w:rsidRPr="008E5641" w:rsidRDefault="008A693D" w:rsidP="008A693D">
            <w:pPr>
              <w:spacing w:after="0" w:line="240" w:lineRule="auto"/>
              <w:rPr>
                <w:rFonts w:ascii="Open Sans" w:eastAsia="Times New Roman" w:hAnsi="Open Sans" w:cs="Open Sans"/>
                <w:color w:val="000000"/>
                <w:sz w:val="20"/>
                <w:szCs w:val="20"/>
              </w:rPr>
            </w:pPr>
            <w:r w:rsidRPr="0051744B">
              <w:rPr>
                <w:rFonts w:ascii="Open Sans" w:eastAsia="Times New Roman" w:hAnsi="Open Sans" w:cs="Open Sans"/>
                <w:b/>
                <w:bCs/>
                <w:color w:val="000000" w:themeColor="text1"/>
                <w:sz w:val="20"/>
                <w:szCs w:val="20"/>
              </w:rPr>
              <w:t>Percent</w:t>
            </w:r>
          </w:p>
        </w:tc>
        <w:tc>
          <w:tcPr>
            <w:tcW w:w="1042" w:type="dxa"/>
            <w:hideMark/>
          </w:tcPr>
          <w:p w14:paraId="0B52D05E" w14:textId="49C28A66"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8.3%</w:t>
            </w:r>
          </w:p>
        </w:tc>
        <w:tc>
          <w:tcPr>
            <w:tcW w:w="817" w:type="dxa"/>
          </w:tcPr>
          <w:p w14:paraId="3CE085B7" w14:textId="060E8195" w:rsidR="008A693D" w:rsidRPr="008E5641" w:rsidRDefault="008A693D" w:rsidP="008A693D">
            <w:pPr>
              <w:spacing w:after="0" w:line="240" w:lineRule="auto"/>
              <w:rPr>
                <w:rFonts w:ascii="Open Sans" w:eastAsia="Times New Roman" w:hAnsi="Open Sans" w:cs="Open Sans"/>
                <w:color w:val="000000"/>
                <w:sz w:val="20"/>
                <w:szCs w:val="20"/>
              </w:rPr>
            </w:pPr>
            <w:r w:rsidRPr="009E466A">
              <w:rPr>
                <w:rFonts w:ascii="Open Sans" w:eastAsia="Times New Roman" w:hAnsi="Open Sans" w:cs="Open Sans"/>
                <w:b/>
                <w:bCs/>
                <w:color w:val="000000" w:themeColor="text1"/>
                <w:sz w:val="20"/>
                <w:szCs w:val="20"/>
              </w:rPr>
              <w:t>Count</w:t>
            </w:r>
          </w:p>
        </w:tc>
        <w:tc>
          <w:tcPr>
            <w:tcW w:w="869" w:type="dxa"/>
            <w:hideMark/>
          </w:tcPr>
          <w:p w14:paraId="03106252" w14:textId="73AFDDE5"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12</w:t>
            </w:r>
          </w:p>
        </w:tc>
      </w:tr>
      <w:tr w:rsidR="008A693D" w:rsidRPr="008E5641" w14:paraId="4CD7BBB6" w14:textId="77777777" w:rsidTr="008A693D">
        <w:trPr>
          <w:trHeight w:val="311"/>
        </w:trPr>
        <w:tc>
          <w:tcPr>
            <w:tcW w:w="5632" w:type="dxa"/>
            <w:hideMark/>
          </w:tcPr>
          <w:p w14:paraId="461E06D1" w14:textId="77777777"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University/TAFE/school student union or student representative (e.g., women’s officer) </w:t>
            </w:r>
          </w:p>
        </w:tc>
        <w:tc>
          <w:tcPr>
            <w:tcW w:w="990" w:type="dxa"/>
          </w:tcPr>
          <w:p w14:paraId="4A9DB48F" w14:textId="2B1D4260" w:rsidR="008A693D" w:rsidRPr="008E5641" w:rsidRDefault="008A693D" w:rsidP="008A693D">
            <w:pPr>
              <w:spacing w:after="0" w:line="240" w:lineRule="auto"/>
              <w:rPr>
                <w:rFonts w:ascii="Open Sans" w:eastAsia="Times New Roman" w:hAnsi="Open Sans" w:cs="Open Sans"/>
                <w:color w:val="000000"/>
                <w:sz w:val="20"/>
                <w:szCs w:val="20"/>
              </w:rPr>
            </w:pPr>
            <w:r w:rsidRPr="0051744B">
              <w:rPr>
                <w:rFonts w:ascii="Open Sans" w:eastAsia="Times New Roman" w:hAnsi="Open Sans" w:cs="Open Sans"/>
                <w:b/>
                <w:bCs/>
                <w:color w:val="000000" w:themeColor="text1"/>
                <w:sz w:val="20"/>
                <w:szCs w:val="20"/>
              </w:rPr>
              <w:t>Percent</w:t>
            </w:r>
          </w:p>
        </w:tc>
        <w:tc>
          <w:tcPr>
            <w:tcW w:w="1042" w:type="dxa"/>
            <w:hideMark/>
          </w:tcPr>
          <w:p w14:paraId="08F86A41" w14:textId="1EEECF91"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6.3%</w:t>
            </w:r>
          </w:p>
        </w:tc>
        <w:tc>
          <w:tcPr>
            <w:tcW w:w="817" w:type="dxa"/>
          </w:tcPr>
          <w:p w14:paraId="3A9E0D39" w14:textId="758DE98C" w:rsidR="008A693D" w:rsidRPr="008E5641" w:rsidRDefault="008A693D" w:rsidP="008A693D">
            <w:pPr>
              <w:spacing w:after="0" w:line="240" w:lineRule="auto"/>
              <w:rPr>
                <w:rFonts w:ascii="Open Sans" w:eastAsia="Times New Roman" w:hAnsi="Open Sans" w:cs="Open Sans"/>
                <w:color w:val="000000"/>
                <w:sz w:val="20"/>
                <w:szCs w:val="20"/>
              </w:rPr>
            </w:pPr>
            <w:r w:rsidRPr="009E466A">
              <w:rPr>
                <w:rFonts w:ascii="Open Sans" w:eastAsia="Times New Roman" w:hAnsi="Open Sans" w:cs="Open Sans"/>
                <w:b/>
                <w:bCs/>
                <w:color w:val="000000" w:themeColor="text1"/>
                <w:sz w:val="20"/>
                <w:szCs w:val="20"/>
              </w:rPr>
              <w:t>Count</w:t>
            </w:r>
          </w:p>
        </w:tc>
        <w:tc>
          <w:tcPr>
            <w:tcW w:w="869" w:type="dxa"/>
            <w:hideMark/>
          </w:tcPr>
          <w:p w14:paraId="3D10E96C" w14:textId="0C768A23"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9</w:t>
            </w:r>
          </w:p>
        </w:tc>
      </w:tr>
      <w:tr w:rsidR="008A693D" w:rsidRPr="008E5641" w14:paraId="6DAC2E5D" w14:textId="77777777" w:rsidTr="008A693D">
        <w:trPr>
          <w:trHeight w:val="162"/>
        </w:trPr>
        <w:tc>
          <w:tcPr>
            <w:tcW w:w="5632" w:type="dxa"/>
            <w:hideMark/>
          </w:tcPr>
          <w:p w14:paraId="0B49090A" w14:textId="77777777"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A youth service </w:t>
            </w:r>
          </w:p>
        </w:tc>
        <w:tc>
          <w:tcPr>
            <w:tcW w:w="990" w:type="dxa"/>
          </w:tcPr>
          <w:p w14:paraId="5BE8012D" w14:textId="5AB98053" w:rsidR="008A693D" w:rsidRPr="008E5641" w:rsidRDefault="008A693D" w:rsidP="008A693D">
            <w:pPr>
              <w:spacing w:after="0" w:line="240" w:lineRule="auto"/>
              <w:rPr>
                <w:rFonts w:ascii="Open Sans" w:eastAsia="Times New Roman" w:hAnsi="Open Sans" w:cs="Open Sans"/>
                <w:color w:val="000000"/>
                <w:sz w:val="20"/>
                <w:szCs w:val="20"/>
              </w:rPr>
            </w:pPr>
            <w:r w:rsidRPr="001C2660">
              <w:rPr>
                <w:rFonts w:ascii="Open Sans" w:eastAsia="Times New Roman" w:hAnsi="Open Sans" w:cs="Open Sans"/>
                <w:b/>
                <w:bCs/>
                <w:color w:val="000000" w:themeColor="text1"/>
                <w:sz w:val="20"/>
                <w:szCs w:val="20"/>
              </w:rPr>
              <w:t>Percent</w:t>
            </w:r>
          </w:p>
        </w:tc>
        <w:tc>
          <w:tcPr>
            <w:tcW w:w="1042" w:type="dxa"/>
            <w:hideMark/>
          </w:tcPr>
          <w:p w14:paraId="0BEC88E5" w14:textId="1F24A559"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5.6%</w:t>
            </w:r>
          </w:p>
        </w:tc>
        <w:tc>
          <w:tcPr>
            <w:tcW w:w="817" w:type="dxa"/>
          </w:tcPr>
          <w:p w14:paraId="06D51C85" w14:textId="6503C58C" w:rsidR="008A693D" w:rsidRPr="008E5641" w:rsidRDefault="008A693D" w:rsidP="008A693D">
            <w:pPr>
              <w:spacing w:after="0" w:line="240" w:lineRule="auto"/>
              <w:rPr>
                <w:rFonts w:ascii="Open Sans" w:eastAsia="Times New Roman" w:hAnsi="Open Sans" w:cs="Open Sans"/>
                <w:color w:val="000000"/>
                <w:sz w:val="20"/>
                <w:szCs w:val="20"/>
              </w:rPr>
            </w:pPr>
            <w:r w:rsidRPr="009E466A">
              <w:rPr>
                <w:rFonts w:ascii="Open Sans" w:eastAsia="Times New Roman" w:hAnsi="Open Sans" w:cs="Open Sans"/>
                <w:b/>
                <w:bCs/>
                <w:color w:val="000000" w:themeColor="text1"/>
                <w:sz w:val="20"/>
                <w:szCs w:val="20"/>
              </w:rPr>
              <w:t>Count</w:t>
            </w:r>
          </w:p>
        </w:tc>
        <w:tc>
          <w:tcPr>
            <w:tcW w:w="869" w:type="dxa"/>
            <w:hideMark/>
          </w:tcPr>
          <w:p w14:paraId="0C4C7EE1" w14:textId="5C6E1980"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8</w:t>
            </w:r>
          </w:p>
        </w:tc>
      </w:tr>
      <w:tr w:rsidR="008A693D" w:rsidRPr="008E5641" w14:paraId="6035B11E" w14:textId="77777777" w:rsidTr="008A693D">
        <w:trPr>
          <w:trHeight w:val="295"/>
        </w:trPr>
        <w:tc>
          <w:tcPr>
            <w:tcW w:w="5632" w:type="dxa"/>
            <w:hideMark/>
          </w:tcPr>
          <w:p w14:paraId="017BA192" w14:textId="77777777"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Community legal centre/women’s legal centre/Aboriginal legal centre </w:t>
            </w:r>
          </w:p>
        </w:tc>
        <w:tc>
          <w:tcPr>
            <w:tcW w:w="990" w:type="dxa"/>
          </w:tcPr>
          <w:p w14:paraId="0BF5751C" w14:textId="197CD888" w:rsidR="008A693D" w:rsidRPr="008E5641" w:rsidRDefault="008A693D" w:rsidP="008A693D">
            <w:pPr>
              <w:spacing w:after="0" w:line="240" w:lineRule="auto"/>
              <w:rPr>
                <w:rFonts w:ascii="Open Sans" w:eastAsia="Times New Roman" w:hAnsi="Open Sans" w:cs="Open Sans"/>
                <w:color w:val="000000"/>
                <w:sz w:val="20"/>
                <w:szCs w:val="20"/>
              </w:rPr>
            </w:pPr>
            <w:r w:rsidRPr="001C2660">
              <w:rPr>
                <w:rFonts w:ascii="Open Sans" w:eastAsia="Times New Roman" w:hAnsi="Open Sans" w:cs="Open Sans"/>
                <w:b/>
                <w:bCs/>
                <w:color w:val="000000" w:themeColor="text1"/>
                <w:sz w:val="20"/>
                <w:szCs w:val="20"/>
              </w:rPr>
              <w:t>Percent</w:t>
            </w:r>
          </w:p>
        </w:tc>
        <w:tc>
          <w:tcPr>
            <w:tcW w:w="1042" w:type="dxa"/>
            <w:hideMark/>
          </w:tcPr>
          <w:p w14:paraId="7EF21435" w14:textId="6E81FDE0"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4.9%</w:t>
            </w:r>
          </w:p>
        </w:tc>
        <w:tc>
          <w:tcPr>
            <w:tcW w:w="817" w:type="dxa"/>
          </w:tcPr>
          <w:p w14:paraId="63B44462" w14:textId="5CBE7B6D" w:rsidR="008A693D" w:rsidRPr="008E5641" w:rsidRDefault="008A693D" w:rsidP="008A693D">
            <w:pPr>
              <w:spacing w:after="0" w:line="240" w:lineRule="auto"/>
              <w:rPr>
                <w:rFonts w:ascii="Open Sans" w:eastAsia="Times New Roman" w:hAnsi="Open Sans" w:cs="Open Sans"/>
                <w:color w:val="000000"/>
                <w:sz w:val="20"/>
                <w:szCs w:val="20"/>
              </w:rPr>
            </w:pPr>
            <w:r w:rsidRPr="009E466A">
              <w:rPr>
                <w:rFonts w:ascii="Open Sans" w:eastAsia="Times New Roman" w:hAnsi="Open Sans" w:cs="Open Sans"/>
                <w:b/>
                <w:bCs/>
                <w:color w:val="000000" w:themeColor="text1"/>
                <w:sz w:val="20"/>
                <w:szCs w:val="20"/>
              </w:rPr>
              <w:t>Count</w:t>
            </w:r>
          </w:p>
        </w:tc>
        <w:tc>
          <w:tcPr>
            <w:tcW w:w="869" w:type="dxa"/>
            <w:hideMark/>
          </w:tcPr>
          <w:p w14:paraId="27FE41F9" w14:textId="38B3C5B3"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7</w:t>
            </w:r>
          </w:p>
        </w:tc>
      </w:tr>
      <w:tr w:rsidR="008A693D" w:rsidRPr="008E5641" w14:paraId="54F29285" w14:textId="77777777" w:rsidTr="008A693D">
        <w:trPr>
          <w:trHeight w:val="301"/>
        </w:trPr>
        <w:tc>
          <w:tcPr>
            <w:tcW w:w="5632" w:type="dxa"/>
            <w:hideMark/>
          </w:tcPr>
          <w:p w14:paraId="06D8A691" w14:textId="77777777"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Faith-based service (such as a family relationship centre) </w:t>
            </w:r>
          </w:p>
        </w:tc>
        <w:tc>
          <w:tcPr>
            <w:tcW w:w="990" w:type="dxa"/>
          </w:tcPr>
          <w:p w14:paraId="5B6E9CCC" w14:textId="658B8DDB" w:rsidR="008A693D" w:rsidRPr="008E5641" w:rsidRDefault="008A693D" w:rsidP="008A693D">
            <w:pPr>
              <w:spacing w:after="0" w:line="240" w:lineRule="auto"/>
              <w:rPr>
                <w:rFonts w:ascii="Open Sans" w:eastAsia="Times New Roman" w:hAnsi="Open Sans" w:cs="Open Sans"/>
                <w:color w:val="000000"/>
                <w:sz w:val="20"/>
                <w:szCs w:val="20"/>
              </w:rPr>
            </w:pPr>
            <w:r w:rsidRPr="001C2660">
              <w:rPr>
                <w:rFonts w:ascii="Open Sans" w:eastAsia="Times New Roman" w:hAnsi="Open Sans" w:cs="Open Sans"/>
                <w:b/>
                <w:bCs/>
                <w:color w:val="000000" w:themeColor="text1"/>
                <w:sz w:val="20"/>
                <w:szCs w:val="20"/>
              </w:rPr>
              <w:t>Percent</w:t>
            </w:r>
          </w:p>
        </w:tc>
        <w:tc>
          <w:tcPr>
            <w:tcW w:w="1042" w:type="dxa"/>
            <w:hideMark/>
          </w:tcPr>
          <w:p w14:paraId="407AB3E9" w14:textId="629A7B07"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4.2%</w:t>
            </w:r>
          </w:p>
        </w:tc>
        <w:tc>
          <w:tcPr>
            <w:tcW w:w="817" w:type="dxa"/>
          </w:tcPr>
          <w:p w14:paraId="289602AB" w14:textId="1291F033" w:rsidR="008A693D" w:rsidRPr="008E5641" w:rsidRDefault="008A693D" w:rsidP="008A693D">
            <w:pPr>
              <w:spacing w:after="0" w:line="240" w:lineRule="auto"/>
              <w:rPr>
                <w:rFonts w:ascii="Open Sans" w:eastAsia="Times New Roman" w:hAnsi="Open Sans" w:cs="Open Sans"/>
                <w:color w:val="000000"/>
                <w:sz w:val="20"/>
                <w:szCs w:val="20"/>
              </w:rPr>
            </w:pPr>
            <w:r w:rsidRPr="009E466A">
              <w:rPr>
                <w:rFonts w:ascii="Open Sans" w:eastAsia="Times New Roman" w:hAnsi="Open Sans" w:cs="Open Sans"/>
                <w:b/>
                <w:bCs/>
                <w:color w:val="000000" w:themeColor="text1"/>
                <w:sz w:val="20"/>
                <w:szCs w:val="20"/>
              </w:rPr>
              <w:t>Count</w:t>
            </w:r>
          </w:p>
        </w:tc>
        <w:tc>
          <w:tcPr>
            <w:tcW w:w="869" w:type="dxa"/>
            <w:hideMark/>
          </w:tcPr>
          <w:p w14:paraId="3E54C411" w14:textId="15B05412"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6</w:t>
            </w:r>
          </w:p>
        </w:tc>
      </w:tr>
      <w:tr w:rsidR="008A693D" w:rsidRPr="008E5641" w14:paraId="220A66F0" w14:textId="77777777" w:rsidTr="008A693D">
        <w:trPr>
          <w:trHeight w:val="151"/>
        </w:trPr>
        <w:tc>
          <w:tcPr>
            <w:tcW w:w="5632" w:type="dxa"/>
            <w:hideMark/>
          </w:tcPr>
          <w:p w14:paraId="78EBEA0E" w14:textId="77777777"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College Residential Advisor or Pastoral Care </w:t>
            </w:r>
          </w:p>
        </w:tc>
        <w:tc>
          <w:tcPr>
            <w:tcW w:w="990" w:type="dxa"/>
          </w:tcPr>
          <w:p w14:paraId="474A23FF" w14:textId="35CDEA18" w:rsidR="008A693D" w:rsidRPr="008E5641" w:rsidRDefault="008A693D" w:rsidP="008A693D">
            <w:pPr>
              <w:spacing w:after="0" w:line="240" w:lineRule="auto"/>
              <w:rPr>
                <w:rFonts w:ascii="Open Sans" w:eastAsia="Times New Roman" w:hAnsi="Open Sans" w:cs="Open Sans"/>
                <w:color w:val="000000"/>
                <w:sz w:val="20"/>
                <w:szCs w:val="20"/>
              </w:rPr>
            </w:pPr>
            <w:r w:rsidRPr="001C2660">
              <w:rPr>
                <w:rFonts w:ascii="Open Sans" w:eastAsia="Times New Roman" w:hAnsi="Open Sans" w:cs="Open Sans"/>
                <w:b/>
                <w:bCs/>
                <w:color w:val="000000" w:themeColor="text1"/>
                <w:sz w:val="20"/>
                <w:szCs w:val="20"/>
              </w:rPr>
              <w:t>Percent</w:t>
            </w:r>
          </w:p>
        </w:tc>
        <w:tc>
          <w:tcPr>
            <w:tcW w:w="1042" w:type="dxa"/>
            <w:hideMark/>
          </w:tcPr>
          <w:p w14:paraId="0D7F10F4" w14:textId="3D823578"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2.8%</w:t>
            </w:r>
          </w:p>
        </w:tc>
        <w:tc>
          <w:tcPr>
            <w:tcW w:w="817" w:type="dxa"/>
          </w:tcPr>
          <w:p w14:paraId="46C8540B" w14:textId="03B881B7" w:rsidR="008A693D" w:rsidRPr="008E5641" w:rsidRDefault="008A693D" w:rsidP="008A693D">
            <w:pPr>
              <w:spacing w:after="0" w:line="240" w:lineRule="auto"/>
              <w:rPr>
                <w:rFonts w:ascii="Open Sans" w:eastAsia="Times New Roman" w:hAnsi="Open Sans" w:cs="Open Sans"/>
                <w:color w:val="000000"/>
                <w:sz w:val="20"/>
                <w:szCs w:val="20"/>
              </w:rPr>
            </w:pPr>
            <w:r w:rsidRPr="009E466A">
              <w:rPr>
                <w:rFonts w:ascii="Open Sans" w:eastAsia="Times New Roman" w:hAnsi="Open Sans" w:cs="Open Sans"/>
                <w:b/>
                <w:bCs/>
                <w:color w:val="000000" w:themeColor="text1"/>
                <w:sz w:val="20"/>
                <w:szCs w:val="20"/>
              </w:rPr>
              <w:t>Count</w:t>
            </w:r>
          </w:p>
        </w:tc>
        <w:tc>
          <w:tcPr>
            <w:tcW w:w="869" w:type="dxa"/>
            <w:hideMark/>
          </w:tcPr>
          <w:p w14:paraId="5EBA097A" w14:textId="1DF12294"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4</w:t>
            </w:r>
          </w:p>
        </w:tc>
      </w:tr>
      <w:tr w:rsidR="008A693D" w:rsidRPr="008E5641" w14:paraId="58118010" w14:textId="77777777" w:rsidTr="008A693D">
        <w:trPr>
          <w:trHeight w:val="127"/>
        </w:trPr>
        <w:tc>
          <w:tcPr>
            <w:tcW w:w="5632" w:type="dxa"/>
            <w:hideMark/>
          </w:tcPr>
          <w:p w14:paraId="041BC1F5" w14:textId="77777777"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Union delegate or young worker’s centre </w:t>
            </w:r>
          </w:p>
        </w:tc>
        <w:tc>
          <w:tcPr>
            <w:tcW w:w="990" w:type="dxa"/>
          </w:tcPr>
          <w:p w14:paraId="6129FB3C" w14:textId="379A64E6" w:rsidR="008A693D" w:rsidRPr="008E5641" w:rsidRDefault="008A693D" w:rsidP="008A693D">
            <w:pPr>
              <w:spacing w:after="0" w:line="240" w:lineRule="auto"/>
              <w:rPr>
                <w:rFonts w:ascii="Open Sans" w:eastAsia="Times New Roman" w:hAnsi="Open Sans" w:cs="Open Sans"/>
                <w:color w:val="000000"/>
                <w:sz w:val="20"/>
                <w:szCs w:val="20"/>
              </w:rPr>
            </w:pPr>
            <w:r w:rsidRPr="001C2660">
              <w:rPr>
                <w:rFonts w:ascii="Open Sans" w:eastAsia="Times New Roman" w:hAnsi="Open Sans" w:cs="Open Sans"/>
                <w:b/>
                <w:bCs/>
                <w:color w:val="000000" w:themeColor="text1"/>
                <w:sz w:val="20"/>
                <w:szCs w:val="20"/>
              </w:rPr>
              <w:t>Percent</w:t>
            </w:r>
          </w:p>
        </w:tc>
        <w:tc>
          <w:tcPr>
            <w:tcW w:w="1042" w:type="dxa"/>
            <w:hideMark/>
          </w:tcPr>
          <w:p w14:paraId="37EC9365" w14:textId="0253BA98"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1.40%</w:t>
            </w:r>
          </w:p>
        </w:tc>
        <w:tc>
          <w:tcPr>
            <w:tcW w:w="817" w:type="dxa"/>
          </w:tcPr>
          <w:p w14:paraId="3B14C05D" w14:textId="5854EAE6" w:rsidR="008A693D" w:rsidRPr="008E5641" w:rsidRDefault="008A693D" w:rsidP="008A693D">
            <w:pPr>
              <w:spacing w:after="0" w:line="240" w:lineRule="auto"/>
              <w:rPr>
                <w:rFonts w:ascii="Open Sans" w:eastAsia="Times New Roman" w:hAnsi="Open Sans" w:cs="Open Sans"/>
                <w:color w:val="000000"/>
                <w:sz w:val="20"/>
                <w:szCs w:val="20"/>
              </w:rPr>
            </w:pPr>
            <w:r w:rsidRPr="009E466A">
              <w:rPr>
                <w:rFonts w:ascii="Open Sans" w:eastAsia="Times New Roman" w:hAnsi="Open Sans" w:cs="Open Sans"/>
                <w:b/>
                <w:bCs/>
                <w:color w:val="000000" w:themeColor="text1"/>
                <w:sz w:val="20"/>
                <w:szCs w:val="20"/>
              </w:rPr>
              <w:t>Count</w:t>
            </w:r>
          </w:p>
        </w:tc>
        <w:tc>
          <w:tcPr>
            <w:tcW w:w="869" w:type="dxa"/>
            <w:hideMark/>
          </w:tcPr>
          <w:p w14:paraId="09DF56CC" w14:textId="0E4D0064"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2</w:t>
            </w:r>
          </w:p>
        </w:tc>
      </w:tr>
      <w:tr w:rsidR="008A693D" w:rsidRPr="008E5641" w14:paraId="28CA8BD1" w14:textId="77777777" w:rsidTr="008A693D">
        <w:trPr>
          <w:trHeight w:val="189"/>
        </w:trPr>
        <w:tc>
          <w:tcPr>
            <w:tcW w:w="5632" w:type="dxa"/>
            <w:hideMark/>
          </w:tcPr>
          <w:p w14:paraId="326AC93E" w14:textId="77777777"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Other - Write In </w:t>
            </w:r>
          </w:p>
        </w:tc>
        <w:tc>
          <w:tcPr>
            <w:tcW w:w="990" w:type="dxa"/>
          </w:tcPr>
          <w:p w14:paraId="3FEFA51C" w14:textId="391D9EA7" w:rsidR="008A693D" w:rsidRPr="008E5641" w:rsidRDefault="008A693D" w:rsidP="008A693D">
            <w:pPr>
              <w:spacing w:after="0" w:line="240" w:lineRule="auto"/>
              <w:rPr>
                <w:rFonts w:ascii="Open Sans" w:eastAsia="Times New Roman" w:hAnsi="Open Sans" w:cs="Open Sans"/>
                <w:color w:val="000000"/>
                <w:sz w:val="20"/>
                <w:szCs w:val="20"/>
              </w:rPr>
            </w:pPr>
            <w:r w:rsidRPr="001C2660">
              <w:rPr>
                <w:rFonts w:ascii="Open Sans" w:eastAsia="Times New Roman" w:hAnsi="Open Sans" w:cs="Open Sans"/>
                <w:b/>
                <w:bCs/>
                <w:color w:val="000000" w:themeColor="text1"/>
                <w:sz w:val="20"/>
                <w:szCs w:val="20"/>
              </w:rPr>
              <w:t>Percent</w:t>
            </w:r>
          </w:p>
        </w:tc>
        <w:tc>
          <w:tcPr>
            <w:tcW w:w="1042" w:type="dxa"/>
            <w:hideMark/>
          </w:tcPr>
          <w:p w14:paraId="45B72AC9" w14:textId="22981879"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4.20%</w:t>
            </w:r>
          </w:p>
        </w:tc>
        <w:tc>
          <w:tcPr>
            <w:tcW w:w="817" w:type="dxa"/>
          </w:tcPr>
          <w:p w14:paraId="62591573" w14:textId="4CC453D8" w:rsidR="008A693D" w:rsidRPr="008E5641" w:rsidRDefault="008A693D" w:rsidP="008A693D">
            <w:pPr>
              <w:spacing w:after="0" w:line="240" w:lineRule="auto"/>
              <w:rPr>
                <w:rFonts w:ascii="Open Sans" w:eastAsia="Times New Roman" w:hAnsi="Open Sans" w:cs="Open Sans"/>
                <w:color w:val="000000"/>
                <w:sz w:val="20"/>
                <w:szCs w:val="20"/>
              </w:rPr>
            </w:pPr>
            <w:r w:rsidRPr="009E466A">
              <w:rPr>
                <w:rFonts w:ascii="Open Sans" w:eastAsia="Times New Roman" w:hAnsi="Open Sans" w:cs="Open Sans"/>
                <w:b/>
                <w:bCs/>
                <w:color w:val="000000" w:themeColor="text1"/>
                <w:sz w:val="20"/>
                <w:szCs w:val="20"/>
              </w:rPr>
              <w:t>Count</w:t>
            </w:r>
          </w:p>
        </w:tc>
        <w:tc>
          <w:tcPr>
            <w:tcW w:w="869" w:type="dxa"/>
            <w:hideMark/>
          </w:tcPr>
          <w:p w14:paraId="1EF14401" w14:textId="262486EE"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6</w:t>
            </w:r>
          </w:p>
        </w:tc>
      </w:tr>
    </w:tbl>
    <w:p w14:paraId="2C0BC2FD" w14:textId="77777777" w:rsidR="008E5641" w:rsidRDefault="008E5641" w:rsidP="008E5641">
      <w:pPr>
        <w:pStyle w:val="BodyText"/>
        <w:rPr>
          <w:b/>
          <w:bCs/>
        </w:rPr>
      </w:pPr>
    </w:p>
    <w:p w14:paraId="7EAD196F" w14:textId="51B5B8E0" w:rsidR="008E5641" w:rsidRDefault="008E5641" w:rsidP="008E5641">
      <w:pPr>
        <w:pStyle w:val="BodyText"/>
        <w:rPr>
          <w:b/>
          <w:bCs/>
        </w:rPr>
      </w:pPr>
    </w:p>
    <w:p w14:paraId="54F150FE" w14:textId="77777777" w:rsidR="008E5641" w:rsidRPr="008E5641" w:rsidRDefault="008E5641" w:rsidP="008E5641">
      <w:pPr>
        <w:pStyle w:val="BodyText"/>
        <w:rPr>
          <w:b/>
          <w:bCs/>
        </w:rPr>
      </w:pPr>
    </w:p>
    <w:tbl>
      <w:tblPr>
        <w:tblStyle w:val="TableGrid"/>
        <w:tblW w:w="0" w:type="auto"/>
        <w:tblLook w:val="04A0" w:firstRow="1" w:lastRow="0" w:firstColumn="1" w:lastColumn="0" w:noHBand="0" w:noVBand="1"/>
      </w:tblPr>
      <w:tblGrid>
        <w:gridCol w:w="5098"/>
        <w:gridCol w:w="1042"/>
        <w:gridCol w:w="1042"/>
        <w:gridCol w:w="869"/>
        <w:gridCol w:w="869"/>
      </w:tblGrid>
      <w:tr w:rsidR="008A693D" w:rsidRPr="008E5641" w14:paraId="711240C2" w14:textId="77777777" w:rsidTr="00B67846">
        <w:trPr>
          <w:trHeight w:val="415"/>
        </w:trPr>
        <w:tc>
          <w:tcPr>
            <w:tcW w:w="8920" w:type="dxa"/>
            <w:gridSpan w:val="5"/>
            <w:hideMark/>
          </w:tcPr>
          <w:p w14:paraId="0D221F2A" w14:textId="7719CE8D" w:rsidR="008A693D" w:rsidRPr="008A693D" w:rsidRDefault="008A693D" w:rsidP="008A693D">
            <w:pPr>
              <w:pStyle w:val="BodyText"/>
              <w:rPr>
                <w:b/>
                <w:bCs/>
              </w:rPr>
            </w:pPr>
            <w:r w:rsidRPr="008E5641">
              <w:rPr>
                <w:b/>
                <w:bCs/>
              </w:rPr>
              <w:t>Table 3.2: How did you report violence?</w:t>
            </w:r>
          </w:p>
        </w:tc>
      </w:tr>
      <w:tr w:rsidR="008A693D" w:rsidRPr="008E5641" w14:paraId="164A1747" w14:textId="77777777" w:rsidTr="00376F87">
        <w:trPr>
          <w:trHeight w:val="117"/>
        </w:trPr>
        <w:tc>
          <w:tcPr>
            <w:tcW w:w="5098" w:type="dxa"/>
            <w:hideMark/>
          </w:tcPr>
          <w:p w14:paraId="644B3CA6" w14:textId="77777777"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Face to face </w:t>
            </w:r>
          </w:p>
        </w:tc>
        <w:tc>
          <w:tcPr>
            <w:tcW w:w="1042" w:type="dxa"/>
          </w:tcPr>
          <w:p w14:paraId="2EB946E2" w14:textId="2A146771" w:rsidR="008A693D" w:rsidRPr="008E5641" w:rsidRDefault="008A693D" w:rsidP="008A693D">
            <w:pPr>
              <w:spacing w:after="0" w:line="240" w:lineRule="auto"/>
              <w:rPr>
                <w:rFonts w:ascii="Open Sans" w:eastAsia="Times New Roman" w:hAnsi="Open Sans" w:cs="Open Sans"/>
                <w:color w:val="000000"/>
                <w:sz w:val="20"/>
                <w:szCs w:val="20"/>
              </w:rPr>
            </w:pPr>
            <w:r w:rsidRPr="001C2660">
              <w:rPr>
                <w:rFonts w:ascii="Open Sans" w:eastAsia="Times New Roman" w:hAnsi="Open Sans" w:cs="Open Sans"/>
                <w:b/>
                <w:bCs/>
                <w:color w:val="000000" w:themeColor="text1"/>
                <w:sz w:val="20"/>
                <w:szCs w:val="20"/>
              </w:rPr>
              <w:t>Percent</w:t>
            </w:r>
          </w:p>
        </w:tc>
        <w:tc>
          <w:tcPr>
            <w:tcW w:w="1042" w:type="dxa"/>
            <w:hideMark/>
          </w:tcPr>
          <w:p w14:paraId="356294FB" w14:textId="7DDD52AA"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94.2%</w:t>
            </w:r>
          </w:p>
        </w:tc>
        <w:tc>
          <w:tcPr>
            <w:tcW w:w="869" w:type="dxa"/>
          </w:tcPr>
          <w:p w14:paraId="3B55FA6E" w14:textId="1339C7AD" w:rsidR="008A693D" w:rsidRPr="008E5641" w:rsidRDefault="008A693D" w:rsidP="008A693D">
            <w:pPr>
              <w:spacing w:after="0" w:line="240" w:lineRule="auto"/>
              <w:rPr>
                <w:rFonts w:ascii="Open Sans" w:eastAsia="Times New Roman" w:hAnsi="Open Sans" w:cs="Open Sans"/>
                <w:color w:val="000000"/>
                <w:sz w:val="20"/>
                <w:szCs w:val="20"/>
              </w:rPr>
            </w:pPr>
            <w:r w:rsidRPr="009E466A">
              <w:rPr>
                <w:rFonts w:ascii="Open Sans" w:eastAsia="Times New Roman" w:hAnsi="Open Sans" w:cs="Open Sans"/>
                <w:b/>
                <w:bCs/>
                <w:color w:val="000000" w:themeColor="text1"/>
                <w:sz w:val="20"/>
                <w:szCs w:val="20"/>
              </w:rPr>
              <w:t>Count</w:t>
            </w:r>
          </w:p>
        </w:tc>
        <w:tc>
          <w:tcPr>
            <w:tcW w:w="869" w:type="dxa"/>
            <w:hideMark/>
          </w:tcPr>
          <w:p w14:paraId="21FA3182" w14:textId="1999C637"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131</w:t>
            </w:r>
          </w:p>
        </w:tc>
      </w:tr>
      <w:tr w:rsidR="008A693D" w:rsidRPr="008E5641" w14:paraId="4EB5D071" w14:textId="77777777" w:rsidTr="00376F87">
        <w:trPr>
          <w:trHeight w:val="67"/>
        </w:trPr>
        <w:tc>
          <w:tcPr>
            <w:tcW w:w="5098" w:type="dxa"/>
            <w:hideMark/>
          </w:tcPr>
          <w:p w14:paraId="336BCA79" w14:textId="77777777"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Over the phone </w:t>
            </w:r>
          </w:p>
        </w:tc>
        <w:tc>
          <w:tcPr>
            <w:tcW w:w="1042" w:type="dxa"/>
          </w:tcPr>
          <w:p w14:paraId="1BC16881" w14:textId="6BD11C5C" w:rsidR="008A693D" w:rsidRPr="008E5641" w:rsidRDefault="008A693D" w:rsidP="008A693D">
            <w:pPr>
              <w:spacing w:after="0" w:line="240" w:lineRule="auto"/>
              <w:rPr>
                <w:rFonts w:ascii="Open Sans" w:eastAsia="Times New Roman" w:hAnsi="Open Sans" w:cs="Open Sans"/>
                <w:color w:val="000000"/>
                <w:sz w:val="20"/>
                <w:szCs w:val="20"/>
              </w:rPr>
            </w:pPr>
            <w:r w:rsidRPr="001C2660">
              <w:rPr>
                <w:rFonts w:ascii="Open Sans" w:eastAsia="Times New Roman" w:hAnsi="Open Sans" w:cs="Open Sans"/>
                <w:b/>
                <w:bCs/>
                <w:color w:val="000000" w:themeColor="text1"/>
                <w:sz w:val="20"/>
                <w:szCs w:val="20"/>
              </w:rPr>
              <w:t>Percent</w:t>
            </w:r>
          </w:p>
        </w:tc>
        <w:tc>
          <w:tcPr>
            <w:tcW w:w="1042" w:type="dxa"/>
            <w:hideMark/>
          </w:tcPr>
          <w:p w14:paraId="494348F7" w14:textId="14E12126"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29.5%</w:t>
            </w:r>
          </w:p>
        </w:tc>
        <w:tc>
          <w:tcPr>
            <w:tcW w:w="869" w:type="dxa"/>
          </w:tcPr>
          <w:p w14:paraId="668A4960" w14:textId="2AADF3B8" w:rsidR="008A693D" w:rsidRPr="008E5641" w:rsidRDefault="008A693D" w:rsidP="008A693D">
            <w:pPr>
              <w:spacing w:after="0" w:line="240" w:lineRule="auto"/>
              <w:rPr>
                <w:rFonts w:ascii="Open Sans" w:eastAsia="Times New Roman" w:hAnsi="Open Sans" w:cs="Open Sans"/>
                <w:color w:val="000000"/>
                <w:sz w:val="20"/>
                <w:szCs w:val="20"/>
              </w:rPr>
            </w:pPr>
            <w:r w:rsidRPr="009E466A">
              <w:rPr>
                <w:rFonts w:ascii="Open Sans" w:eastAsia="Times New Roman" w:hAnsi="Open Sans" w:cs="Open Sans"/>
                <w:b/>
                <w:bCs/>
                <w:color w:val="000000" w:themeColor="text1"/>
                <w:sz w:val="20"/>
                <w:szCs w:val="20"/>
              </w:rPr>
              <w:t>Count</w:t>
            </w:r>
          </w:p>
        </w:tc>
        <w:tc>
          <w:tcPr>
            <w:tcW w:w="869" w:type="dxa"/>
            <w:hideMark/>
          </w:tcPr>
          <w:p w14:paraId="355310BC" w14:textId="6C752E9E"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41</w:t>
            </w:r>
          </w:p>
        </w:tc>
      </w:tr>
      <w:tr w:rsidR="008A693D" w:rsidRPr="008E5641" w14:paraId="3210463B" w14:textId="77777777" w:rsidTr="00376F87">
        <w:trPr>
          <w:trHeight w:val="181"/>
        </w:trPr>
        <w:tc>
          <w:tcPr>
            <w:tcW w:w="5098" w:type="dxa"/>
            <w:hideMark/>
          </w:tcPr>
          <w:p w14:paraId="300A5837" w14:textId="77777777"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A friend or support person reported for me </w:t>
            </w:r>
          </w:p>
        </w:tc>
        <w:tc>
          <w:tcPr>
            <w:tcW w:w="1042" w:type="dxa"/>
          </w:tcPr>
          <w:p w14:paraId="62C63454" w14:textId="5039EC1C" w:rsidR="008A693D" w:rsidRPr="008E5641" w:rsidRDefault="008A693D" w:rsidP="008A693D">
            <w:pPr>
              <w:spacing w:after="0" w:line="240" w:lineRule="auto"/>
              <w:rPr>
                <w:rFonts w:ascii="Open Sans" w:eastAsia="Times New Roman" w:hAnsi="Open Sans" w:cs="Open Sans"/>
                <w:color w:val="000000"/>
                <w:sz w:val="20"/>
                <w:szCs w:val="20"/>
              </w:rPr>
            </w:pPr>
            <w:r w:rsidRPr="001C2660">
              <w:rPr>
                <w:rFonts w:ascii="Open Sans" w:eastAsia="Times New Roman" w:hAnsi="Open Sans" w:cs="Open Sans"/>
                <w:b/>
                <w:bCs/>
                <w:color w:val="000000" w:themeColor="text1"/>
                <w:sz w:val="20"/>
                <w:szCs w:val="20"/>
              </w:rPr>
              <w:t>Percent</w:t>
            </w:r>
          </w:p>
        </w:tc>
        <w:tc>
          <w:tcPr>
            <w:tcW w:w="1042" w:type="dxa"/>
            <w:hideMark/>
          </w:tcPr>
          <w:p w14:paraId="17E715AB" w14:textId="65D2CB18"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15.8%</w:t>
            </w:r>
          </w:p>
        </w:tc>
        <w:tc>
          <w:tcPr>
            <w:tcW w:w="869" w:type="dxa"/>
          </w:tcPr>
          <w:p w14:paraId="11A98CEE" w14:textId="6E6B9256" w:rsidR="008A693D" w:rsidRPr="008E5641" w:rsidRDefault="008A693D" w:rsidP="008A693D">
            <w:pPr>
              <w:spacing w:after="0" w:line="240" w:lineRule="auto"/>
              <w:rPr>
                <w:rFonts w:ascii="Open Sans" w:eastAsia="Times New Roman" w:hAnsi="Open Sans" w:cs="Open Sans"/>
                <w:color w:val="000000"/>
                <w:sz w:val="20"/>
                <w:szCs w:val="20"/>
              </w:rPr>
            </w:pPr>
            <w:r w:rsidRPr="009E466A">
              <w:rPr>
                <w:rFonts w:ascii="Open Sans" w:eastAsia="Times New Roman" w:hAnsi="Open Sans" w:cs="Open Sans"/>
                <w:b/>
                <w:bCs/>
                <w:color w:val="000000" w:themeColor="text1"/>
                <w:sz w:val="20"/>
                <w:szCs w:val="20"/>
              </w:rPr>
              <w:t>Count</w:t>
            </w:r>
          </w:p>
        </w:tc>
        <w:tc>
          <w:tcPr>
            <w:tcW w:w="869" w:type="dxa"/>
            <w:hideMark/>
          </w:tcPr>
          <w:p w14:paraId="1736F2E0" w14:textId="622DC9F4"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22</w:t>
            </w:r>
          </w:p>
        </w:tc>
      </w:tr>
      <w:tr w:rsidR="008A693D" w:rsidRPr="008E5641" w14:paraId="4EAABFCD" w14:textId="77777777" w:rsidTr="00376F87">
        <w:trPr>
          <w:trHeight w:val="67"/>
        </w:trPr>
        <w:tc>
          <w:tcPr>
            <w:tcW w:w="5098" w:type="dxa"/>
            <w:hideMark/>
          </w:tcPr>
          <w:p w14:paraId="35630A85" w14:textId="77777777"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Via email </w:t>
            </w:r>
          </w:p>
        </w:tc>
        <w:tc>
          <w:tcPr>
            <w:tcW w:w="1042" w:type="dxa"/>
          </w:tcPr>
          <w:p w14:paraId="6AE6571A" w14:textId="5923BD38" w:rsidR="008A693D" w:rsidRPr="008E5641" w:rsidRDefault="008A693D" w:rsidP="008A693D">
            <w:pPr>
              <w:spacing w:after="0" w:line="240" w:lineRule="auto"/>
              <w:rPr>
                <w:rFonts w:ascii="Open Sans" w:eastAsia="Times New Roman" w:hAnsi="Open Sans" w:cs="Open Sans"/>
                <w:color w:val="000000"/>
                <w:sz w:val="20"/>
                <w:szCs w:val="20"/>
              </w:rPr>
            </w:pPr>
            <w:r w:rsidRPr="001C2660">
              <w:rPr>
                <w:rFonts w:ascii="Open Sans" w:eastAsia="Times New Roman" w:hAnsi="Open Sans" w:cs="Open Sans"/>
                <w:b/>
                <w:bCs/>
                <w:color w:val="000000" w:themeColor="text1"/>
                <w:sz w:val="20"/>
                <w:szCs w:val="20"/>
              </w:rPr>
              <w:t>Percent</w:t>
            </w:r>
          </w:p>
        </w:tc>
        <w:tc>
          <w:tcPr>
            <w:tcW w:w="1042" w:type="dxa"/>
            <w:hideMark/>
          </w:tcPr>
          <w:p w14:paraId="339755ED" w14:textId="68D267D5"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12.9%</w:t>
            </w:r>
          </w:p>
        </w:tc>
        <w:tc>
          <w:tcPr>
            <w:tcW w:w="869" w:type="dxa"/>
          </w:tcPr>
          <w:p w14:paraId="2908727B" w14:textId="2FD9EBCC" w:rsidR="008A693D" w:rsidRPr="008E5641" w:rsidRDefault="008A693D" w:rsidP="008A693D">
            <w:pPr>
              <w:spacing w:after="0" w:line="240" w:lineRule="auto"/>
              <w:rPr>
                <w:rFonts w:ascii="Open Sans" w:eastAsia="Times New Roman" w:hAnsi="Open Sans" w:cs="Open Sans"/>
                <w:color w:val="000000"/>
                <w:sz w:val="20"/>
                <w:szCs w:val="20"/>
              </w:rPr>
            </w:pPr>
            <w:r w:rsidRPr="009E466A">
              <w:rPr>
                <w:rFonts w:ascii="Open Sans" w:eastAsia="Times New Roman" w:hAnsi="Open Sans" w:cs="Open Sans"/>
                <w:b/>
                <w:bCs/>
                <w:color w:val="000000" w:themeColor="text1"/>
                <w:sz w:val="20"/>
                <w:szCs w:val="20"/>
              </w:rPr>
              <w:t>Count</w:t>
            </w:r>
          </w:p>
        </w:tc>
        <w:tc>
          <w:tcPr>
            <w:tcW w:w="869" w:type="dxa"/>
            <w:hideMark/>
          </w:tcPr>
          <w:p w14:paraId="4FC8351F" w14:textId="30904088"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18</w:t>
            </w:r>
          </w:p>
        </w:tc>
      </w:tr>
      <w:tr w:rsidR="008A693D" w:rsidRPr="008E5641" w14:paraId="72C23C72" w14:textId="77777777" w:rsidTr="00376F87">
        <w:trPr>
          <w:trHeight w:val="223"/>
        </w:trPr>
        <w:tc>
          <w:tcPr>
            <w:tcW w:w="5098" w:type="dxa"/>
            <w:hideMark/>
          </w:tcPr>
          <w:p w14:paraId="078CF7A3" w14:textId="77777777"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Via text message </w:t>
            </w:r>
          </w:p>
        </w:tc>
        <w:tc>
          <w:tcPr>
            <w:tcW w:w="1042" w:type="dxa"/>
          </w:tcPr>
          <w:p w14:paraId="58B26E2C" w14:textId="4B1EFF62" w:rsidR="008A693D" w:rsidRPr="008E5641" w:rsidRDefault="008A693D" w:rsidP="008A693D">
            <w:pPr>
              <w:spacing w:after="0" w:line="240" w:lineRule="auto"/>
              <w:rPr>
                <w:rFonts w:ascii="Open Sans" w:eastAsia="Times New Roman" w:hAnsi="Open Sans" w:cs="Open Sans"/>
                <w:color w:val="000000"/>
                <w:sz w:val="20"/>
                <w:szCs w:val="20"/>
              </w:rPr>
            </w:pPr>
            <w:r w:rsidRPr="001C2660">
              <w:rPr>
                <w:rFonts w:ascii="Open Sans" w:eastAsia="Times New Roman" w:hAnsi="Open Sans" w:cs="Open Sans"/>
                <w:b/>
                <w:bCs/>
                <w:color w:val="000000" w:themeColor="text1"/>
                <w:sz w:val="20"/>
                <w:szCs w:val="20"/>
              </w:rPr>
              <w:t>Percent</w:t>
            </w:r>
          </w:p>
        </w:tc>
        <w:tc>
          <w:tcPr>
            <w:tcW w:w="1042" w:type="dxa"/>
            <w:hideMark/>
          </w:tcPr>
          <w:p w14:paraId="4604EBBA" w14:textId="21A882E6"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11.5%</w:t>
            </w:r>
          </w:p>
        </w:tc>
        <w:tc>
          <w:tcPr>
            <w:tcW w:w="869" w:type="dxa"/>
          </w:tcPr>
          <w:p w14:paraId="194D6F22" w14:textId="5637C301" w:rsidR="008A693D" w:rsidRPr="008E5641" w:rsidRDefault="008A693D" w:rsidP="008A693D">
            <w:pPr>
              <w:spacing w:after="0" w:line="240" w:lineRule="auto"/>
              <w:rPr>
                <w:rFonts w:ascii="Open Sans" w:eastAsia="Times New Roman" w:hAnsi="Open Sans" w:cs="Open Sans"/>
                <w:color w:val="000000"/>
                <w:sz w:val="20"/>
                <w:szCs w:val="20"/>
              </w:rPr>
            </w:pPr>
            <w:r w:rsidRPr="009E466A">
              <w:rPr>
                <w:rFonts w:ascii="Open Sans" w:eastAsia="Times New Roman" w:hAnsi="Open Sans" w:cs="Open Sans"/>
                <w:b/>
                <w:bCs/>
                <w:color w:val="000000" w:themeColor="text1"/>
                <w:sz w:val="20"/>
                <w:szCs w:val="20"/>
              </w:rPr>
              <w:t>Count</w:t>
            </w:r>
          </w:p>
        </w:tc>
        <w:tc>
          <w:tcPr>
            <w:tcW w:w="869" w:type="dxa"/>
            <w:hideMark/>
          </w:tcPr>
          <w:p w14:paraId="45D40B4C" w14:textId="441CA0B1"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16</w:t>
            </w:r>
          </w:p>
        </w:tc>
      </w:tr>
      <w:tr w:rsidR="008A693D" w:rsidRPr="008E5641" w14:paraId="63A6C15D" w14:textId="77777777" w:rsidTr="00376F87">
        <w:trPr>
          <w:trHeight w:val="129"/>
        </w:trPr>
        <w:tc>
          <w:tcPr>
            <w:tcW w:w="5098" w:type="dxa"/>
            <w:hideMark/>
          </w:tcPr>
          <w:p w14:paraId="2095D974" w14:textId="77777777"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Via a website or online portal </w:t>
            </w:r>
          </w:p>
        </w:tc>
        <w:tc>
          <w:tcPr>
            <w:tcW w:w="1042" w:type="dxa"/>
          </w:tcPr>
          <w:p w14:paraId="45033ED1" w14:textId="7F383DF8" w:rsidR="008A693D" w:rsidRPr="008E5641" w:rsidRDefault="008A693D" w:rsidP="008A693D">
            <w:pPr>
              <w:spacing w:after="0" w:line="240" w:lineRule="auto"/>
              <w:rPr>
                <w:rFonts w:ascii="Open Sans" w:eastAsia="Times New Roman" w:hAnsi="Open Sans" w:cs="Open Sans"/>
                <w:color w:val="000000"/>
                <w:sz w:val="20"/>
                <w:szCs w:val="20"/>
              </w:rPr>
            </w:pPr>
            <w:r w:rsidRPr="001C2660">
              <w:rPr>
                <w:rFonts w:ascii="Open Sans" w:eastAsia="Times New Roman" w:hAnsi="Open Sans" w:cs="Open Sans"/>
                <w:b/>
                <w:bCs/>
                <w:color w:val="000000" w:themeColor="text1"/>
                <w:sz w:val="20"/>
                <w:szCs w:val="20"/>
              </w:rPr>
              <w:t>Percent</w:t>
            </w:r>
          </w:p>
        </w:tc>
        <w:tc>
          <w:tcPr>
            <w:tcW w:w="1042" w:type="dxa"/>
            <w:hideMark/>
          </w:tcPr>
          <w:p w14:paraId="2FC3EA51" w14:textId="503965CD"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10.8%</w:t>
            </w:r>
          </w:p>
        </w:tc>
        <w:tc>
          <w:tcPr>
            <w:tcW w:w="869" w:type="dxa"/>
          </w:tcPr>
          <w:p w14:paraId="71B4D7F5" w14:textId="3440EBA9" w:rsidR="008A693D" w:rsidRPr="008E5641" w:rsidRDefault="008A693D" w:rsidP="008A693D">
            <w:pPr>
              <w:spacing w:after="0" w:line="240" w:lineRule="auto"/>
              <w:rPr>
                <w:rFonts w:ascii="Open Sans" w:eastAsia="Times New Roman" w:hAnsi="Open Sans" w:cs="Open Sans"/>
                <w:color w:val="000000"/>
                <w:sz w:val="20"/>
                <w:szCs w:val="20"/>
              </w:rPr>
            </w:pPr>
            <w:r w:rsidRPr="009E466A">
              <w:rPr>
                <w:rFonts w:ascii="Open Sans" w:eastAsia="Times New Roman" w:hAnsi="Open Sans" w:cs="Open Sans"/>
                <w:b/>
                <w:bCs/>
                <w:color w:val="000000" w:themeColor="text1"/>
                <w:sz w:val="20"/>
                <w:szCs w:val="20"/>
              </w:rPr>
              <w:t>Count</w:t>
            </w:r>
          </w:p>
        </w:tc>
        <w:tc>
          <w:tcPr>
            <w:tcW w:w="869" w:type="dxa"/>
            <w:hideMark/>
          </w:tcPr>
          <w:p w14:paraId="0A010197" w14:textId="4AAD341B"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15</w:t>
            </w:r>
          </w:p>
        </w:tc>
      </w:tr>
      <w:tr w:rsidR="008A693D" w:rsidRPr="008E5641" w14:paraId="6458510E" w14:textId="77777777" w:rsidTr="00376F87">
        <w:trPr>
          <w:trHeight w:val="67"/>
        </w:trPr>
        <w:tc>
          <w:tcPr>
            <w:tcW w:w="5098" w:type="dxa"/>
            <w:hideMark/>
          </w:tcPr>
          <w:p w14:paraId="0F54FFE1" w14:textId="77777777"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Other - Write In </w:t>
            </w:r>
          </w:p>
        </w:tc>
        <w:tc>
          <w:tcPr>
            <w:tcW w:w="1042" w:type="dxa"/>
          </w:tcPr>
          <w:p w14:paraId="5E45A53F" w14:textId="2BAE5E76" w:rsidR="008A693D" w:rsidRPr="008E5641" w:rsidRDefault="008A693D" w:rsidP="008A693D">
            <w:pPr>
              <w:spacing w:after="0" w:line="240" w:lineRule="auto"/>
              <w:rPr>
                <w:rFonts w:ascii="Open Sans" w:eastAsia="Times New Roman" w:hAnsi="Open Sans" w:cs="Open Sans"/>
                <w:color w:val="000000"/>
                <w:sz w:val="20"/>
                <w:szCs w:val="20"/>
              </w:rPr>
            </w:pPr>
            <w:r w:rsidRPr="001C2660">
              <w:rPr>
                <w:rFonts w:ascii="Open Sans" w:eastAsia="Times New Roman" w:hAnsi="Open Sans" w:cs="Open Sans"/>
                <w:b/>
                <w:bCs/>
                <w:color w:val="000000" w:themeColor="text1"/>
                <w:sz w:val="20"/>
                <w:szCs w:val="20"/>
              </w:rPr>
              <w:t>Percent</w:t>
            </w:r>
          </w:p>
        </w:tc>
        <w:tc>
          <w:tcPr>
            <w:tcW w:w="1042" w:type="dxa"/>
            <w:hideMark/>
          </w:tcPr>
          <w:p w14:paraId="4AE90E37" w14:textId="288DAD7F"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2.9%</w:t>
            </w:r>
          </w:p>
        </w:tc>
        <w:tc>
          <w:tcPr>
            <w:tcW w:w="869" w:type="dxa"/>
          </w:tcPr>
          <w:p w14:paraId="0D096F68" w14:textId="399D7442" w:rsidR="008A693D" w:rsidRPr="008E5641" w:rsidRDefault="008A693D" w:rsidP="008A693D">
            <w:pPr>
              <w:spacing w:after="0" w:line="240" w:lineRule="auto"/>
              <w:rPr>
                <w:rFonts w:ascii="Open Sans" w:eastAsia="Times New Roman" w:hAnsi="Open Sans" w:cs="Open Sans"/>
                <w:color w:val="000000"/>
                <w:sz w:val="20"/>
                <w:szCs w:val="20"/>
              </w:rPr>
            </w:pPr>
            <w:r w:rsidRPr="009E466A">
              <w:rPr>
                <w:rFonts w:ascii="Open Sans" w:eastAsia="Times New Roman" w:hAnsi="Open Sans" w:cs="Open Sans"/>
                <w:b/>
                <w:bCs/>
                <w:color w:val="000000" w:themeColor="text1"/>
                <w:sz w:val="20"/>
                <w:szCs w:val="20"/>
              </w:rPr>
              <w:t>Count</w:t>
            </w:r>
          </w:p>
        </w:tc>
        <w:tc>
          <w:tcPr>
            <w:tcW w:w="869" w:type="dxa"/>
            <w:hideMark/>
          </w:tcPr>
          <w:p w14:paraId="69D325A6" w14:textId="41CDBE47" w:rsidR="008A693D" w:rsidRPr="008E5641" w:rsidRDefault="008A693D" w:rsidP="008A693D">
            <w:pPr>
              <w:spacing w:after="0" w:line="240" w:lineRule="auto"/>
              <w:rPr>
                <w:rFonts w:ascii="Open Sans" w:eastAsia="Times New Roman" w:hAnsi="Open Sans" w:cs="Open Sans"/>
                <w:sz w:val="20"/>
                <w:szCs w:val="20"/>
              </w:rPr>
            </w:pPr>
            <w:r w:rsidRPr="008E5641">
              <w:rPr>
                <w:rFonts w:ascii="Open Sans" w:eastAsia="Times New Roman" w:hAnsi="Open Sans" w:cs="Open Sans"/>
                <w:color w:val="000000"/>
                <w:sz w:val="20"/>
                <w:szCs w:val="20"/>
              </w:rPr>
              <w:t>4</w:t>
            </w:r>
          </w:p>
        </w:tc>
      </w:tr>
    </w:tbl>
    <w:p w14:paraId="2E71ABBA" w14:textId="77777777" w:rsidR="008E5641" w:rsidRDefault="008E5641" w:rsidP="008E5641">
      <w:pPr>
        <w:pStyle w:val="BodyText"/>
        <w:rPr>
          <w:b/>
          <w:bCs/>
        </w:rPr>
      </w:pPr>
    </w:p>
    <w:p w14:paraId="79A25683" w14:textId="77777777" w:rsidR="004E5372" w:rsidRDefault="004E5372" w:rsidP="008E5641">
      <w:pPr>
        <w:pStyle w:val="BodyText"/>
        <w:rPr>
          <w:b/>
          <w:bCs/>
        </w:rPr>
      </w:pPr>
    </w:p>
    <w:tbl>
      <w:tblPr>
        <w:tblStyle w:val="TableGrid"/>
        <w:tblpPr w:leftFromText="180" w:rightFromText="180" w:vertAnchor="text" w:horzAnchor="margin" w:tblpXSpec="center" w:tblpY="4"/>
        <w:tblW w:w="10060" w:type="dxa"/>
        <w:tblLook w:val="04A0" w:firstRow="1" w:lastRow="0" w:firstColumn="1" w:lastColumn="0" w:noHBand="0" w:noVBand="1"/>
      </w:tblPr>
      <w:tblGrid>
        <w:gridCol w:w="2605"/>
        <w:gridCol w:w="559"/>
        <w:gridCol w:w="829"/>
        <w:gridCol w:w="556"/>
        <w:gridCol w:w="829"/>
        <w:gridCol w:w="939"/>
        <w:gridCol w:w="829"/>
        <w:gridCol w:w="600"/>
        <w:gridCol w:w="845"/>
        <w:gridCol w:w="725"/>
        <w:gridCol w:w="744"/>
      </w:tblGrid>
      <w:tr w:rsidR="008A693D" w:rsidRPr="007D5AAA" w14:paraId="4493BFFE" w14:textId="77777777" w:rsidTr="00F66C66">
        <w:trPr>
          <w:trHeight w:val="355"/>
        </w:trPr>
        <w:tc>
          <w:tcPr>
            <w:tcW w:w="10060" w:type="dxa"/>
            <w:gridSpan w:val="11"/>
          </w:tcPr>
          <w:p w14:paraId="3389509F" w14:textId="77777777" w:rsidR="008A693D" w:rsidRDefault="008A693D" w:rsidP="008A693D">
            <w:pPr>
              <w:pStyle w:val="BodyText"/>
              <w:rPr>
                <w:b/>
                <w:bCs/>
              </w:rPr>
            </w:pPr>
            <w:r w:rsidRPr="008E5641">
              <w:rPr>
                <w:b/>
                <w:bCs/>
              </w:rPr>
              <w:t>Table 3.3: What were the outcomes of you reporting violence?</w:t>
            </w:r>
          </w:p>
          <w:p w14:paraId="63801ADF" w14:textId="77777777" w:rsidR="008A693D" w:rsidRPr="008E5641" w:rsidRDefault="008A693D" w:rsidP="004E5372">
            <w:pPr>
              <w:spacing w:after="0" w:line="240" w:lineRule="auto"/>
              <w:rPr>
                <w:rFonts w:ascii="Open Sans" w:eastAsia="Times New Roman" w:hAnsi="Open Sans" w:cs="Open Sans"/>
                <w:color w:val="000000" w:themeColor="text1"/>
                <w:sz w:val="20"/>
                <w:szCs w:val="20"/>
              </w:rPr>
            </w:pPr>
          </w:p>
        </w:tc>
      </w:tr>
      <w:tr w:rsidR="004E5372" w:rsidRPr="007D5AAA" w14:paraId="559937A1" w14:textId="77777777" w:rsidTr="004E5372">
        <w:trPr>
          <w:trHeight w:val="355"/>
        </w:trPr>
        <w:tc>
          <w:tcPr>
            <w:tcW w:w="2605" w:type="dxa"/>
            <w:hideMark/>
          </w:tcPr>
          <w:p w14:paraId="0E31C7F6" w14:textId="77777777"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7D5AAA">
              <w:rPr>
                <w:rFonts w:ascii="Open Sans" w:eastAsia="Times New Roman" w:hAnsi="Open Sans" w:cs="Open Sans"/>
                <w:color w:val="000000" w:themeColor="text1"/>
                <w:sz w:val="20"/>
                <w:szCs w:val="20"/>
              </w:rPr>
              <w:t>Nothing happened and nothing changed</w:t>
            </w:r>
          </w:p>
        </w:tc>
        <w:tc>
          <w:tcPr>
            <w:tcW w:w="559" w:type="dxa"/>
          </w:tcPr>
          <w:p w14:paraId="26D0EC8E" w14:textId="77777777" w:rsidR="004E5372" w:rsidRPr="004E5372" w:rsidRDefault="004E5372" w:rsidP="004E5372">
            <w:pPr>
              <w:spacing w:after="0" w:line="240" w:lineRule="auto"/>
              <w:rPr>
                <w:rFonts w:ascii="Open Sans" w:eastAsia="Times New Roman" w:hAnsi="Open Sans" w:cs="Open Sans"/>
                <w:b/>
                <w:bCs/>
                <w:color w:val="000000" w:themeColor="text1"/>
                <w:sz w:val="20"/>
                <w:szCs w:val="20"/>
              </w:rPr>
            </w:pPr>
            <w:r w:rsidRPr="004E5372">
              <w:rPr>
                <w:rFonts w:ascii="Open Sans" w:eastAsia="Times New Roman" w:hAnsi="Open Sans" w:cs="Open Sans"/>
                <w:b/>
                <w:bCs/>
                <w:color w:val="000000" w:themeColor="text1"/>
                <w:sz w:val="20"/>
                <w:szCs w:val="20"/>
              </w:rPr>
              <w:t>Yes</w:t>
            </w:r>
          </w:p>
        </w:tc>
        <w:tc>
          <w:tcPr>
            <w:tcW w:w="829" w:type="dxa"/>
            <w:hideMark/>
          </w:tcPr>
          <w:p w14:paraId="4F9DDF16" w14:textId="77777777"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8E5641">
              <w:rPr>
                <w:rFonts w:ascii="Open Sans" w:eastAsia="Times New Roman" w:hAnsi="Open Sans" w:cs="Open Sans"/>
                <w:color w:val="000000" w:themeColor="text1"/>
                <w:sz w:val="20"/>
                <w:szCs w:val="20"/>
              </w:rPr>
              <w:t>67.9% </w:t>
            </w:r>
          </w:p>
        </w:tc>
        <w:tc>
          <w:tcPr>
            <w:tcW w:w="556" w:type="dxa"/>
          </w:tcPr>
          <w:p w14:paraId="76842408" w14:textId="77777777"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8E5641">
              <w:rPr>
                <w:rFonts w:ascii="Open Sans" w:eastAsia="Times New Roman" w:hAnsi="Open Sans" w:cs="Open Sans"/>
                <w:b/>
                <w:bCs/>
                <w:color w:val="000000" w:themeColor="text1"/>
                <w:sz w:val="20"/>
                <w:szCs w:val="20"/>
              </w:rPr>
              <w:t>No </w:t>
            </w:r>
          </w:p>
        </w:tc>
        <w:tc>
          <w:tcPr>
            <w:tcW w:w="829" w:type="dxa"/>
            <w:hideMark/>
          </w:tcPr>
          <w:p w14:paraId="040E6443" w14:textId="77777777"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8E5641">
              <w:rPr>
                <w:rFonts w:ascii="Open Sans" w:eastAsia="Times New Roman" w:hAnsi="Open Sans" w:cs="Open Sans"/>
                <w:color w:val="000000" w:themeColor="text1"/>
                <w:sz w:val="20"/>
                <w:szCs w:val="20"/>
              </w:rPr>
              <w:t>12.9% </w:t>
            </w:r>
          </w:p>
        </w:tc>
        <w:tc>
          <w:tcPr>
            <w:tcW w:w="939" w:type="dxa"/>
          </w:tcPr>
          <w:p w14:paraId="6BC44112" w14:textId="106FA143"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8E5641">
              <w:rPr>
                <w:rFonts w:ascii="Open Sans" w:eastAsia="Times New Roman" w:hAnsi="Open Sans" w:cs="Open Sans"/>
                <w:b/>
                <w:bCs/>
                <w:color w:val="000000" w:themeColor="text1"/>
                <w:sz w:val="20"/>
                <w:szCs w:val="20"/>
              </w:rPr>
              <w:t>Unsure</w:t>
            </w:r>
          </w:p>
        </w:tc>
        <w:tc>
          <w:tcPr>
            <w:tcW w:w="829" w:type="dxa"/>
            <w:hideMark/>
          </w:tcPr>
          <w:p w14:paraId="401E53C2" w14:textId="77777777"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8E5641">
              <w:rPr>
                <w:rFonts w:ascii="Open Sans" w:eastAsia="Times New Roman" w:hAnsi="Open Sans" w:cs="Open Sans"/>
                <w:color w:val="000000" w:themeColor="text1"/>
                <w:sz w:val="20"/>
                <w:szCs w:val="20"/>
              </w:rPr>
              <w:t>10% </w:t>
            </w:r>
          </w:p>
        </w:tc>
        <w:tc>
          <w:tcPr>
            <w:tcW w:w="600" w:type="dxa"/>
            <w:hideMark/>
          </w:tcPr>
          <w:p w14:paraId="66801496" w14:textId="46877624" w:rsidR="004E5372" w:rsidRPr="004E5372" w:rsidRDefault="004E5372" w:rsidP="004E5372">
            <w:pPr>
              <w:spacing w:after="0" w:line="240" w:lineRule="auto"/>
              <w:rPr>
                <w:rFonts w:ascii="Open Sans" w:eastAsia="Times New Roman" w:hAnsi="Open Sans" w:cs="Open Sans"/>
                <w:b/>
                <w:bCs/>
                <w:color w:val="000000" w:themeColor="text1"/>
                <w:sz w:val="20"/>
                <w:szCs w:val="20"/>
              </w:rPr>
            </w:pPr>
            <w:r w:rsidRPr="004E5372">
              <w:rPr>
                <w:rFonts w:ascii="Open Sans" w:eastAsia="Times New Roman" w:hAnsi="Open Sans" w:cs="Open Sans"/>
                <w:b/>
                <w:bCs/>
                <w:color w:val="000000" w:themeColor="text1"/>
                <w:sz w:val="20"/>
                <w:szCs w:val="20"/>
              </w:rPr>
              <w:t>N/A</w:t>
            </w:r>
          </w:p>
        </w:tc>
        <w:tc>
          <w:tcPr>
            <w:tcW w:w="845" w:type="dxa"/>
            <w:hideMark/>
          </w:tcPr>
          <w:p w14:paraId="5AA2B9E6" w14:textId="77777777"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8E5641">
              <w:rPr>
                <w:rFonts w:ascii="Open Sans" w:eastAsia="Times New Roman" w:hAnsi="Open Sans" w:cs="Open Sans"/>
                <w:color w:val="000000" w:themeColor="text1"/>
                <w:sz w:val="20"/>
                <w:szCs w:val="20"/>
              </w:rPr>
              <w:t>9.3% </w:t>
            </w:r>
          </w:p>
        </w:tc>
        <w:tc>
          <w:tcPr>
            <w:tcW w:w="725" w:type="dxa"/>
          </w:tcPr>
          <w:p w14:paraId="61E799EF" w14:textId="67BE3E46" w:rsidR="004E5372" w:rsidRPr="004E5372" w:rsidRDefault="004E5372" w:rsidP="004E5372">
            <w:pPr>
              <w:spacing w:after="0" w:line="240" w:lineRule="auto"/>
              <w:rPr>
                <w:rFonts w:ascii="Open Sans" w:eastAsia="Times New Roman" w:hAnsi="Open Sans" w:cs="Open Sans"/>
                <w:b/>
                <w:bCs/>
                <w:color w:val="000000" w:themeColor="text1"/>
                <w:sz w:val="20"/>
                <w:szCs w:val="20"/>
              </w:rPr>
            </w:pPr>
            <w:r w:rsidRPr="004E5372">
              <w:rPr>
                <w:rFonts w:ascii="Open Sans" w:eastAsia="Times New Roman" w:hAnsi="Open Sans" w:cs="Open Sans"/>
                <w:b/>
                <w:bCs/>
                <w:color w:val="000000" w:themeColor="text1"/>
                <w:sz w:val="20"/>
                <w:szCs w:val="20"/>
              </w:rPr>
              <w:t>Total</w:t>
            </w:r>
          </w:p>
        </w:tc>
        <w:tc>
          <w:tcPr>
            <w:tcW w:w="744" w:type="dxa"/>
            <w:hideMark/>
          </w:tcPr>
          <w:p w14:paraId="2FC28C9D" w14:textId="672A6EC0"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8E5641">
              <w:rPr>
                <w:rFonts w:ascii="Open Sans" w:eastAsia="Times New Roman" w:hAnsi="Open Sans" w:cs="Open Sans"/>
                <w:color w:val="000000" w:themeColor="text1"/>
                <w:sz w:val="20"/>
                <w:szCs w:val="20"/>
              </w:rPr>
              <w:t>140</w:t>
            </w:r>
          </w:p>
        </w:tc>
      </w:tr>
      <w:tr w:rsidR="004E5372" w:rsidRPr="007D5AAA" w14:paraId="4C6934C1" w14:textId="77777777" w:rsidTr="004E5372">
        <w:trPr>
          <w:trHeight w:val="355"/>
        </w:trPr>
        <w:tc>
          <w:tcPr>
            <w:tcW w:w="2605" w:type="dxa"/>
            <w:hideMark/>
          </w:tcPr>
          <w:p w14:paraId="71F7F819" w14:textId="77777777"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8E5641">
              <w:rPr>
                <w:rFonts w:ascii="Open Sans" w:eastAsia="Times New Roman" w:hAnsi="Open Sans" w:cs="Open Sans"/>
                <w:color w:val="000000" w:themeColor="text1"/>
                <w:sz w:val="20"/>
                <w:szCs w:val="20"/>
              </w:rPr>
              <w:t>I was believed and validated, and supported to achieve safety and to heal. </w:t>
            </w:r>
          </w:p>
        </w:tc>
        <w:tc>
          <w:tcPr>
            <w:tcW w:w="559" w:type="dxa"/>
          </w:tcPr>
          <w:p w14:paraId="50F5C467" w14:textId="77777777" w:rsidR="004E5372" w:rsidRPr="004E5372" w:rsidRDefault="004E5372" w:rsidP="004E5372">
            <w:pPr>
              <w:spacing w:after="0" w:line="240" w:lineRule="auto"/>
              <w:rPr>
                <w:rFonts w:ascii="Open Sans" w:eastAsia="Times New Roman" w:hAnsi="Open Sans" w:cs="Open Sans"/>
                <w:b/>
                <w:bCs/>
                <w:color w:val="000000" w:themeColor="text1"/>
                <w:sz w:val="20"/>
                <w:szCs w:val="20"/>
              </w:rPr>
            </w:pPr>
            <w:r w:rsidRPr="004E5372">
              <w:rPr>
                <w:rFonts w:ascii="Open Sans" w:eastAsia="Times New Roman" w:hAnsi="Open Sans" w:cs="Open Sans"/>
                <w:b/>
                <w:bCs/>
                <w:color w:val="000000" w:themeColor="text1"/>
                <w:sz w:val="20"/>
                <w:szCs w:val="20"/>
              </w:rPr>
              <w:t>Yes</w:t>
            </w:r>
          </w:p>
        </w:tc>
        <w:tc>
          <w:tcPr>
            <w:tcW w:w="829" w:type="dxa"/>
            <w:hideMark/>
          </w:tcPr>
          <w:p w14:paraId="65F51D9D" w14:textId="77777777"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8E5641">
              <w:rPr>
                <w:rFonts w:ascii="Open Sans" w:eastAsia="Times New Roman" w:hAnsi="Open Sans" w:cs="Open Sans"/>
                <w:color w:val="000000" w:themeColor="text1"/>
                <w:sz w:val="20"/>
                <w:szCs w:val="20"/>
              </w:rPr>
              <w:t>32.1% </w:t>
            </w:r>
          </w:p>
        </w:tc>
        <w:tc>
          <w:tcPr>
            <w:tcW w:w="556" w:type="dxa"/>
          </w:tcPr>
          <w:p w14:paraId="077DEEF9" w14:textId="77777777"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2621E3">
              <w:rPr>
                <w:rFonts w:ascii="Open Sans" w:eastAsia="Times New Roman" w:hAnsi="Open Sans" w:cs="Open Sans"/>
                <w:b/>
                <w:bCs/>
                <w:color w:val="000000" w:themeColor="text1"/>
                <w:sz w:val="20"/>
                <w:szCs w:val="20"/>
              </w:rPr>
              <w:t>No </w:t>
            </w:r>
          </w:p>
        </w:tc>
        <w:tc>
          <w:tcPr>
            <w:tcW w:w="829" w:type="dxa"/>
            <w:hideMark/>
          </w:tcPr>
          <w:p w14:paraId="562FAE50" w14:textId="77777777"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8E5641">
              <w:rPr>
                <w:rFonts w:ascii="Open Sans" w:eastAsia="Times New Roman" w:hAnsi="Open Sans" w:cs="Open Sans"/>
                <w:color w:val="000000" w:themeColor="text1"/>
                <w:sz w:val="20"/>
                <w:szCs w:val="20"/>
              </w:rPr>
              <w:t>40.4% </w:t>
            </w:r>
          </w:p>
        </w:tc>
        <w:tc>
          <w:tcPr>
            <w:tcW w:w="939" w:type="dxa"/>
          </w:tcPr>
          <w:p w14:paraId="44545E15" w14:textId="7AB7630D"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E557F6">
              <w:rPr>
                <w:rFonts w:ascii="Open Sans" w:eastAsia="Times New Roman" w:hAnsi="Open Sans" w:cs="Open Sans"/>
                <w:b/>
                <w:bCs/>
                <w:color w:val="000000" w:themeColor="text1"/>
                <w:sz w:val="20"/>
                <w:szCs w:val="20"/>
              </w:rPr>
              <w:t>Unsure</w:t>
            </w:r>
          </w:p>
        </w:tc>
        <w:tc>
          <w:tcPr>
            <w:tcW w:w="829" w:type="dxa"/>
            <w:hideMark/>
          </w:tcPr>
          <w:p w14:paraId="55F293AA" w14:textId="77777777"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8E5641">
              <w:rPr>
                <w:rFonts w:ascii="Open Sans" w:eastAsia="Times New Roman" w:hAnsi="Open Sans" w:cs="Open Sans"/>
                <w:color w:val="000000" w:themeColor="text1"/>
                <w:sz w:val="20"/>
                <w:szCs w:val="20"/>
              </w:rPr>
              <w:t>21.2% </w:t>
            </w:r>
          </w:p>
        </w:tc>
        <w:tc>
          <w:tcPr>
            <w:tcW w:w="600" w:type="dxa"/>
            <w:hideMark/>
          </w:tcPr>
          <w:p w14:paraId="5617BF17" w14:textId="318E33BE"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B41C7E">
              <w:rPr>
                <w:rFonts w:ascii="Open Sans" w:eastAsia="Times New Roman" w:hAnsi="Open Sans" w:cs="Open Sans"/>
                <w:b/>
                <w:bCs/>
                <w:color w:val="000000" w:themeColor="text1"/>
                <w:sz w:val="20"/>
                <w:szCs w:val="20"/>
              </w:rPr>
              <w:t>N/A</w:t>
            </w:r>
          </w:p>
        </w:tc>
        <w:tc>
          <w:tcPr>
            <w:tcW w:w="845" w:type="dxa"/>
            <w:hideMark/>
          </w:tcPr>
          <w:p w14:paraId="680AC97E" w14:textId="77777777"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8E5641">
              <w:rPr>
                <w:rFonts w:ascii="Open Sans" w:eastAsia="Times New Roman" w:hAnsi="Open Sans" w:cs="Open Sans"/>
                <w:color w:val="000000" w:themeColor="text1"/>
                <w:sz w:val="20"/>
                <w:szCs w:val="20"/>
              </w:rPr>
              <w:t>6.4% </w:t>
            </w:r>
          </w:p>
        </w:tc>
        <w:tc>
          <w:tcPr>
            <w:tcW w:w="725" w:type="dxa"/>
          </w:tcPr>
          <w:p w14:paraId="38B67917" w14:textId="0B7D4C70"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8B0D88">
              <w:rPr>
                <w:rFonts w:ascii="Open Sans" w:eastAsia="Times New Roman" w:hAnsi="Open Sans" w:cs="Open Sans"/>
                <w:b/>
                <w:bCs/>
                <w:color w:val="000000" w:themeColor="text1"/>
                <w:sz w:val="20"/>
                <w:szCs w:val="20"/>
              </w:rPr>
              <w:t>Total</w:t>
            </w:r>
          </w:p>
        </w:tc>
        <w:tc>
          <w:tcPr>
            <w:tcW w:w="744" w:type="dxa"/>
            <w:hideMark/>
          </w:tcPr>
          <w:p w14:paraId="00E0D572" w14:textId="0D094C08"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8E5641">
              <w:rPr>
                <w:rFonts w:ascii="Open Sans" w:eastAsia="Times New Roman" w:hAnsi="Open Sans" w:cs="Open Sans"/>
                <w:color w:val="000000" w:themeColor="text1"/>
                <w:sz w:val="20"/>
                <w:szCs w:val="20"/>
              </w:rPr>
              <w:t>156</w:t>
            </w:r>
          </w:p>
        </w:tc>
      </w:tr>
      <w:tr w:rsidR="004E5372" w:rsidRPr="007D5AAA" w14:paraId="33EBAD19" w14:textId="77777777" w:rsidTr="004E5372">
        <w:trPr>
          <w:trHeight w:val="355"/>
        </w:trPr>
        <w:tc>
          <w:tcPr>
            <w:tcW w:w="2605" w:type="dxa"/>
            <w:hideMark/>
          </w:tcPr>
          <w:p w14:paraId="7B19AEBF" w14:textId="77777777"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8E5641">
              <w:rPr>
                <w:rFonts w:ascii="Open Sans" w:eastAsia="Times New Roman" w:hAnsi="Open Sans" w:cs="Open Sans"/>
                <w:color w:val="000000" w:themeColor="text1"/>
                <w:sz w:val="20"/>
                <w:szCs w:val="20"/>
              </w:rPr>
              <w:t>I was given access to supports I hadn’t previously had.  </w:t>
            </w:r>
          </w:p>
        </w:tc>
        <w:tc>
          <w:tcPr>
            <w:tcW w:w="559" w:type="dxa"/>
          </w:tcPr>
          <w:p w14:paraId="2351CA80" w14:textId="77777777"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4E5372">
              <w:rPr>
                <w:rFonts w:ascii="Open Sans" w:eastAsia="Times New Roman" w:hAnsi="Open Sans" w:cs="Open Sans"/>
                <w:b/>
                <w:bCs/>
                <w:color w:val="000000" w:themeColor="text1"/>
                <w:sz w:val="20"/>
                <w:szCs w:val="20"/>
              </w:rPr>
              <w:t>Yes</w:t>
            </w:r>
          </w:p>
        </w:tc>
        <w:tc>
          <w:tcPr>
            <w:tcW w:w="829" w:type="dxa"/>
            <w:hideMark/>
          </w:tcPr>
          <w:p w14:paraId="09BC637D" w14:textId="77777777"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8E5641">
              <w:rPr>
                <w:rFonts w:ascii="Open Sans" w:eastAsia="Times New Roman" w:hAnsi="Open Sans" w:cs="Open Sans"/>
                <w:color w:val="000000" w:themeColor="text1"/>
                <w:sz w:val="20"/>
                <w:szCs w:val="20"/>
              </w:rPr>
              <w:t>20% </w:t>
            </w:r>
          </w:p>
        </w:tc>
        <w:tc>
          <w:tcPr>
            <w:tcW w:w="556" w:type="dxa"/>
          </w:tcPr>
          <w:p w14:paraId="1B416B6F" w14:textId="77777777"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2621E3">
              <w:rPr>
                <w:rFonts w:ascii="Open Sans" w:eastAsia="Times New Roman" w:hAnsi="Open Sans" w:cs="Open Sans"/>
                <w:b/>
                <w:bCs/>
                <w:color w:val="000000" w:themeColor="text1"/>
                <w:sz w:val="20"/>
                <w:szCs w:val="20"/>
              </w:rPr>
              <w:t>No </w:t>
            </w:r>
          </w:p>
        </w:tc>
        <w:tc>
          <w:tcPr>
            <w:tcW w:w="829" w:type="dxa"/>
            <w:hideMark/>
          </w:tcPr>
          <w:p w14:paraId="581DBF03" w14:textId="77777777"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8E5641">
              <w:rPr>
                <w:rFonts w:ascii="Open Sans" w:eastAsia="Times New Roman" w:hAnsi="Open Sans" w:cs="Open Sans"/>
                <w:color w:val="000000" w:themeColor="text1"/>
                <w:sz w:val="20"/>
                <w:szCs w:val="20"/>
              </w:rPr>
              <w:t>67.6% </w:t>
            </w:r>
          </w:p>
        </w:tc>
        <w:tc>
          <w:tcPr>
            <w:tcW w:w="939" w:type="dxa"/>
          </w:tcPr>
          <w:p w14:paraId="633549B3" w14:textId="685FE761"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E557F6">
              <w:rPr>
                <w:rFonts w:ascii="Open Sans" w:eastAsia="Times New Roman" w:hAnsi="Open Sans" w:cs="Open Sans"/>
                <w:b/>
                <w:bCs/>
                <w:color w:val="000000" w:themeColor="text1"/>
                <w:sz w:val="20"/>
                <w:szCs w:val="20"/>
              </w:rPr>
              <w:t>Unsure</w:t>
            </w:r>
          </w:p>
        </w:tc>
        <w:tc>
          <w:tcPr>
            <w:tcW w:w="829" w:type="dxa"/>
            <w:hideMark/>
          </w:tcPr>
          <w:p w14:paraId="11151355" w14:textId="77777777"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8E5641">
              <w:rPr>
                <w:rFonts w:ascii="Open Sans" w:eastAsia="Times New Roman" w:hAnsi="Open Sans" w:cs="Open Sans"/>
                <w:color w:val="000000" w:themeColor="text1"/>
                <w:sz w:val="20"/>
                <w:szCs w:val="20"/>
              </w:rPr>
              <w:t>4.1% </w:t>
            </w:r>
          </w:p>
        </w:tc>
        <w:tc>
          <w:tcPr>
            <w:tcW w:w="600" w:type="dxa"/>
            <w:hideMark/>
          </w:tcPr>
          <w:p w14:paraId="7093533B" w14:textId="0C0E8BF2"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B41C7E">
              <w:rPr>
                <w:rFonts w:ascii="Open Sans" w:eastAsia="Times New Roman" w:hAnsi="Open Sans" w:cs="Open Sans"/>
                <w:b/>
                <w:bCs/>
                <w:color w:val="000000" w:themeColor="text1"/>
                <w:sz w:val="20"/>
                <w:szCs w:val="20"/>
              </w:rPr>
              <w:t>N/A</w:t>
            </w:r>
          </w:p>
        </w:tc>
        <w:tc>
          <w:tcPr>
            <w:tcW w:w="845" w:type="dxa"/>
            <w:hideMark/>
          </w:tcPr>
          <w:p w14:paraId="5EECF6D8" w14:textId="77777777"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8E5641">
              <w:rPr>
                <w:rFonts w:ascii="Open Sans" w:eastAsia="Times New Roman" w:hAnsi="Open Sans" w:cs="Open Sans"/>
                <w:color w:val="000000" w:themeColor="text1"/>
                <w:sz w:val="20"/>
                <w:szCs w:val="20"/>
              </w:rPr>
              <w:t>8.3% </w:t>
            </w:r>
          </w:p>
        </w:tc>
        <w:tc>
          <w:tcPr>
            <w:tcW w:w="725" w:type="dxa"/>
          </w:tcPr>
          <w:p w14:paraId="6265FB60" w14:textId="0F26BB03"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8B0D88">
              <w:rPr>
                <w:rFonts w:ascii="Open Sans" w:eastAsia="Times New Roman" w:hAnsi="Open Sans" w:cs="Open Sans"/>
                <w:b/>
                <w:bCs/>
                <w:color w:val="000000" w:themeColor="text1"/>
                <w:sz w:val="20"/>
                <w:szCs w:val="20"/>
              </w:rPr>
              <w:t>Total</w:t>
            </w:r>
          </w:p>
        </w:tc>
        <w:tc>
          <w:tcPr>
            <w:tcW w:w="744" w:type="dxa"/>
            <w:hideMark/>
          </w:tcPr>
          <w:p w14:paraId="43C69269" w14:textId="4B504B4F"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8E5641">
              <w:rPr>
                <w:rFonts w:ascii="Open Sans" w:eastAsia="Times New Roman" w:hAnsi="Open Sans" w:cs="Open Sans"/>
                <w:color w:val="000000" w:themeColor="text1"/>
                <w:sz w:val="20"/>
                <w:szCs w:val="20"/>
              </w:rPr>
              <w:t>145</w:t>
            </w:r>
          </w:p>
        </w:tc>
      </w:tr>
      <w:tr w:rsidR="004E5372" w:rsidRPr="007D5AAA" w14:paraId="78073B7B" w14:textId="77777777" w:rsidTr="004E5372">
        <w:trPr>
          <w:trHeight w:val="355"/>
        </w:trPr>
        <w:tc>
          <w:tcPr>
            <w:tcW w:w="2605" w:type="dxa"/>
            <w:hideMark/>
          </w:tcPr>
          <w:p w14:paraId="735C6195" w14:textId="77777777"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8E5641">
              <w:rPr>
                <w:rFonts w:ascii="Open Sans" w:eastAsia="Times New Roman" w:hAnsi="Open Sans" w:cs="Open Sans"/>
                <w:color w:val="000000" w:themeColor="text1"/>
                <w:sz w:val="20"/>
                <w:szCs w:val="20"/>
              </w:rPr>
              <w:t>The perpetrator was held to account in my social network and community. </w:t>
            </w:r>
          </w:p>
        </w:tc>
        <w:tc>
          <w:tcPr>
            <w:tcW w:w="559" w:type="dxa"/>
          </w:tcPr>
          <w:p w14:paraId="3A18989A" w14:textId="77777777"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4E5372">
              <w:rPr>
                <w:rFonts w:ascii="Open Sans" w:eastAsia="Times New Roman" w:hAnsi="Open Sans" w:cs="Open Sans"/>
                <w:b/>
                <w:bCs/>
                <w:color w:val="000000" w:themeColor="text1"/>
                <w:sz w:val="20"/>
                <w:szCs w:val="20"/>
              </w:rPr>
              <w:t>Yes</w:t>
            </w:r>
          </w:p>
        </w:tc>
        <w:tc>
          <w:tcPr>
            <w:tcW w:w="829" w:type="dxa"/>
            <w:hideMark/>
          </w:tcPr>
          <w:p w14:paraId="76838901" w14:textId="77777777"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8E5641">
              <w:rPr>
                <w:rFonts w:ascii="Open Sans" w:eastAsia="Times New Roman" w:hAnsi="Open Sans" w:cs="Open Sans"/>
                <w:color w:val="000000" w:themeColor="text1"/>
                <w:sz w:val="20"/>
                <w:szCs w:val="20"/>
              </w:rPr>
              <w:t>8% </w:t>
            </w:r>
          </w:p>
        </w:tc>
        <w:tc>
          <w:tcPr>
            <w:tcW w:w="556" w:type="dxa"/>
          </w:tcPr>
          <w:p w14:paraId="2F2BDDEE" w14:textId="77777777"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2621E3">
              <w:rPr>
                <w:rFonts w:ascii="Open Sans" w:eastAsia="Times New Roman" w:hAnsi="Open Sans" w:cs="Open Sans"/>
                <w:b/>
                <w:bCs/>
                <w:color w:val="000000" w:themeColor="text1"/>
                <w:sz w:val="20"/>
                <w:szCs w:val="20"/>
              </w:rPr>
              <w:t>No </w:t>
            </w:r>
          </w:p>
        </w:tc>
        <w:tc>
          <w:tcPr>
            <w:tcW w:w="829" w:type="dxa"/>
            <w:hideMark/>
          </w:tcPr>
          <w:p w14:paraId="7C5D267D" w14:textId="77777777"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8E5641">
              <w:rPr>
                <w:rFonts w:ascii="Open Sans" w:eastAsia="Times New Roman" w:hAnsi="Open Sans" w:cs="Open Sans"/>
                <w:color w:val="000000" w:themeColor="text1"/>
                <w:sz w:val="20"/>
                <w:szCs w:val="20"/>
              </w:rPr>
              <w:t>72% </w:t>
            </w:r>
          </w:p>
        </w:tc>
        <w:tc>
          <w:tcPr>
            <w:tcW w:w="939" w:type="dxa"/>
          </w:tcPr>
          <w:p w14:paraId="1416670F" w14:textId="423C562B"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E557F6">
              <w:rPr>
                <w:rFonts w:ascii="Open Sans" w:eastAsia="Times New Roman" w:hAnsi="Open Sans" w:cs="Open Sans"/>
                <w:b/>
                <w:bCs/>
                <w:color w:val="000000" w:themeColor="text1"/>
                <w:sz w:val="20"/>
                <w:szCs w:val="20"/>
              </w:rPr>
              <w:t>Unsure</w:t>
            </w:r>
          </w:p>
        </w:tc>
        <w:tc>
          <w:tcPr>
            <w:tcW w:w="829" w:type="dxa"/>
            <w:hideMark/>
          </w:tcPr>
          <w:p w14:paraId="6E8A2A32" w14:textId="77777777"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8E5641">
              <w:rPr>
                <w:rFonts w:ascii="Open Sans" w:eastAsia="Times New Roman" w:hAnsi="Open Sans" w:cs="Open Sans"/>
                <w:color w:val="000000" w:themeColor="text1"/>
                <w:sz w:val="20"/>
                <w:szCs w:val="20"/>
              </w:rPr>
              <w:t>8% </w:t>
            </w:r>
          </w:p>
        </w:tc>
        <w:tc>
          <w:tcPr>
            <w:tcW w:w="600" w:type="dxa"/>
            <w:hideMark/>
          </w:tcPr>
          <w:p w14:paraId="4581AC83" w14:textId="286339F8"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B41C7E">
              <w:rPr>
                <w:rFonts w:ascii="Open Sans" w:eastAsia="Times New Roman" w:hAnsi="Open Sans" w:cs="Open Sans"/>
                <w:b/>
                <w:bCs/>
                <w:color w:val="000000" w:themeColor="text1"/>
                <w:sz w:val="20"/>
                <w:szCs w:val="20"/>
              </w:rPr>
              <w:t>N/A</w:t>
            </w:r>
          </w:p>
        </w:tc>
        <w:tc>
          <w:tcPr>
            <w:tcW w:w="845" w:type="dxa"/>
            <w:hideMark/>
          </w:tcPr>
          <w:p w14:paraId="1AC3EA3E" w14:textId="77777777"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8E5641">
              <w:rPr>
                <w:rFonts w:ascii="Open Sans" w:eastAsia="Times New Roman" w:hAnsi="Open Sans" w:cs="Open Sans"/>
                <w:color w:val="000000" w:themeColor="text1"/>
                <w:sz w:val="20"/>
                <w:szCs w:val="20"/>
              </w:rPr>
              <w:t>12% </w:t>
            </w:r>
          </w:p>
        </w:tc>
        <w:tc>
          <w:tcPr>
            <w:tcW w:w="725" w:type="dxa"/>
          </w:tcPr>
          <w:p w14:paraId="5321DCF3" w14:textId="653BCAE3"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8B0D88">
              <w:rPr>
                <w:rFonts w:ascii="Open Sans" w:eastAsia="Times New Roman" w:hAnsi="Open Sans" w:cs="Open Sans"/>
                <w:b/>
                <w:bCs/>
                <w:color w:val="000000" w:themeColor="text1"/>
                <w:sz w:val="20"/>
                <w:szCs w:val="20"/>
              </w:rPr>
              <w:t>Total</w:t>
            </w:r>
          </w:p>
        </w:tc>
        <w:tc>
          <w:tcPr>
            <w:tcW w:w="744" w:type="dxa"/>
            <w:hideMark/>
          </w:tcPr>
          <w:p w14:paraId="68FE1F64" w14:textId="7D697E5E"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8E5641">
              <w:rPr>
                <w:rFonts w:ascii="Open Sans" w:eastAsia="Times New Roman" w:hAnsi="Open Sans" w:cs="Open Sans"/>
                <w:color w:val="000000" w:themeColor="text1"/>
                <w:sz w:val="20"/>
                <w:szCs w:val="20"/>
              </w:rPr>
              <w:t>150</w:t>
            </w:r>
          </w:p>
        </w:tc>
      </w:tr>
      <w:tr w:rsidR="004E5372" w:rsidRPr="007D5AAA" w14:paraId="3E3F3A39" w14:textId="77777777" w:rsidTr="004E5372">
        <w:trPr>
          <w:trHeight w:val="355"/>
        </w:trPr>
        <w:tc>
          <w:tcPr>
            <w:tcW w:w="2605" w:type="dxa"/>
            <w:hideMark/>
          </w:tcPr>
          <w:p w14:paraId="4881DD10" w14:textId="77777777"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8E5641">
              <w:rPr>
                <w:rFonts w:ascii="Open Sans" w:eastAsia="Times New Roman" w:hAnsi="Open Sans" w:cs="Open Sans"/>
                <w:color w:val="000000" w:themeColor="text1"/>
                <w:sz w:val="20"/>
                <w:szCs w:val="20"/>
              </w:rPr>
              <w:t>The perpetrator was removed from my place of education/work/housing. </w:t>
            </w:r>
          </w:p>
        </w:tc>
        <w:tc>
          <w:tcPr>
            <w:tcW w:w="559" w:type="dxa"/>
          </w:tcPr>
          <w:p w14:paraId="390A808F" w14:textId="77777777"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4E5372">
              <w:rPr>
                <w:rFonts w:ascii="Open Sans" w:eastAsia="Times New Roman" w:hAnsi="Open Sans" w:cs="Open Sans"/>
                <w:b/>
                <w:bCs/>
                <w:color w:val="000000" w:themeColor="text1"/>
                <w:sz w:val="20"/>
                <w:szCs w:val="20"/>
              </w:rPr>
              <w:t>Yes</w:t>
            </w:r>
          </w:p>
        </w:tc>
        <w:tc>
          <w:tcPr>
            <w:tcW w:w="829" w:type="dxa"/>
            <w:hideMark/>
          </w:tcPr>
          <w:p w14:paraId="17E176CE" w14:textId="77777777"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8E5641">
              <w:rPr>
                <w:rFonts w:ascii="Open Sans" w:eastAsia="Times New Roman" w:hAnsi="Open Sans" w:cs="Open Sans"/>
                <w:color w:val="000000" w:themeColor="text1"/>
                <w:sz w:val="20"/>
                <w:szCs w:val="20"/>
              </w:rPr>
              <w:t>7.6% </w:t>
            </w:r>
          </w:p>
        </w:tc>
        <w:tc>
          <w:tcPr>
            <w:tcW w:w="556" w:type="dxa"/>
          </w:tcPr>
          <w:p w14:paraId="3F9788F7" w14:textId="77777777"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2621E3">
              <w:rPr>
                <w:rFonts w:ascii="Open Sans" w:eastAsia="Times New Roman" w:hAnsi="Open Sans" w:cs="Open Sans"/>
                <w:b/>
                <w:bCs/>
                <w:color w:val="000000" w:themeColor="text1"/>
                <w:sz w:val="20"/>
                <w:szCs w:val="20"/>
              </w:rPr>
              <w:t>No </w:t>
            </w:r>
          </w:p>
        </w:tc>
        <w:tc>
          <w:tcPr>
            <w:tcW w:w="829" w:type="dxa"/>
            <w:hideMark/>
          </w:tcPr>
          <w:p w14:paraId="25D4E1B7" w14:textId="77777777"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8E5641">
              <w:rPr>
                <w:rFonts w:ascii="Open Sans" w:eastAsia="Times New Roman" w:hAnsi="Open Sans" w:cs="Open Sans"/>
                <w:color w:val="000000" w:themeColor="text1"/>
                <w:sz w:val="20"/>
                <w:szCs w:val="20"/>
              </w:rPr>
              <w:t>63.2% </w:t>
            </w:r>
          </w:p>
        </w:tc>
        <w:tc>
          <w:tcPr>
            <w:tcW w:w="939" w:type="dxa"/>
          </w:tcPr>
          <w:p w14:paraId="4FC4A36D" w14:textId="1FC298F9"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E557F6">
              <w:rPr>
                <w:rFonts w:ascii="Open Sans" w:eastAsia="Times New Roman" w:hAnsi="Open Sans" w:cs="Open Sans"/>
                <w:b/>
                <w:bCs/>
                <w:color w:val="000000" w:themeColor="text1"/>
                <w:sz w:val="20"/>
                <w:szCs w:val="20"/>
              </w:rPr>
              <w:t>Unsure</w:t>
            </w:r>
          </w:p>
        </w:tc>
        <w:tc>
          <w:tcPr>
            <w:tcW w:w="829" w:type="dxa"/>
            <w:hideMark/>
          </w:tcPr>
          <w:p w14:paraId="2FDBF869" w14:textId="77777777"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8E5641">
              <w:rPr>
                <w:rFonts w:ascii="Open Sans" w:eastAsia="Times New Roman" w:hAnsi="Open Sans" w:cs="Open Sans"/>
                <w:color w:val="000000" w:themeColor="text1"/>
                <w:sz w:val="20"/>
                <w:szCs w:val="20"/>
              </w:rPr>
              <w:t>2.1% </w:t>
            </w:r>
          </w:p>
        </w:tc>
        <w:tc>
          <w:tcPr>
            <w:tcW w:w="600" w:type="dxa"/>
            <w:hideMark/>
          </w:tcPr>
          <w:p w14:paraId="24D5AB4A" w14:textId="646ED5A7"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B41C7E">
              <w:rPr>
                <w:rFonts w:ascii="Open Sans" w:eastAsia="Times New Roman" w:hAnsi="Open Sans" w:cs="Open Sans"/>
                <w:b/>
                <w:bCs/>
                <w:color w:val="000000" w:themeColor="text1"/>
                <w:sz w:val="20"/>
                <w:szCs w:val="20"/>
              </w:rPr>
              <w:t>N/A</w:t>
            </w:r>
          </w:p>
        </w:tc>
        <w:tc>
          <w:tcPr>
            <w:tcW w:w="845" w:type="dxa"/>
            <w:hideMark/>
          </w:tcPr>
          <w:p w14:paraId="3418F2E0" w14:textId="77777777"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8E5641">
              <w:rPr>
                <w:rFonts w:ascii="Open Sans" w:eastAsia="Times New Roman" w:hAnsi="Open Sans" w:cs="Open Sans"/>
                <w:color w:val="000000" w:themeColor="text1"/>
                <w:sz w:val="20"/>
                <w:szCs w:val="20"/>
              </w:rPr>
              <w:t>27.1% </w:t>
            </w:r>
          </w:p>
        </w:tc>
        <w:tc>
          <w:tcPr>
            <w:tcW w:w="725" w:type="dxa"/>
          </w:tcPr>
          <w:p w14:paraId="36753089" w14:textId="4B98E349"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8B0D88">
              <w:rPr>
                <w:rFonts w:ascii="Open Sans" w:eastAsia="Times New Roman" w:hAnsi="Open Sans" w:cs="Open Sans"/>
                <w:b/>
                <w:bCs/>
                <w:color w:val="000000" w:themeColor="text1"/>
                <w:sz w:val="20"/>
                <w:szCs w:val="20"/>
              </w:rPr>
              <w:t>Total</w:t>
            </w:r>
          </w:p>
        </w:tc>
        <w:tc>
          <w:tcPr>
            <w:tcW w:w="744" w:type="dxa"/>
            <w:hideMark/>
          </w:tcPr>
          <w:p w14:paraId="3C2A4FAB" w14:textId="55263968"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8E5641">
              <w:rPr>
                <w:rFonts w:ascii="Open Sans" w:eastAsia="Times New Roman" w:hAnsi="Open Sans" w:cs="Open Sans"/>
                <w:color w:val="000000" w:themeColor="text1"/>
                <w:sz w:val="20"/>
                <w:szCs w:val="20"/>
              </w:rPr>
              <w:t>144</w:t>
            </w:r>
          </w:p>
        </w:tc>
      </w:tr>
      <w:tr w:rsidR="004E5372" w:rsidRPr="007D5AAA" w14:paraId="0FD0939D" w14:textId="77777777" w:rsidTr="004E5372">
        <w:trPr>
          <w:trHeight w:val="355"/>
        </w:trPr>
        <w:tc>
          <w:tcPr>
            <w:tcW w:w="2605" w:type="dxa"/>
            <w:hideMark/>
          </w:tcPr>
          <w:p w14:paraId="1AA97427" w14:textId="77777777"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8E5641">
              <w:rPr>
                <w:rFonts w:ascii="Open Sans" w:eastAsia="Times New Roman" w:hAnsi="Open Sans" w:cs="Open Sans"/>
                <w:color w:val="000000" w:themeColor="text1"/>
                <w:sz w:val="20"/>
                <w:szCs w:val="20"/>
              </w:rPr>
              <w:t>I received financial compensation (e.g., I was eligible for a payment from Victims Services) </w:t>
            </w:r>
          </w:p>
        </w:tc>
        <w:tc>
          <w:tcPr>
            <w:tcW w:w="559" w:type="dxa"/>
          </w:tcPr>
          <w:p w14:paraId="71D9AEAB" w14:textId="77777777"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4E5372">
              <w:rPr>
                <w:rFonts w:ascii="Open Sans" w:eastAsia="Times New Roman" w:hAnsi="Open Sans" w:cs="Open Sans"/>
                <w:b/>
                <w:bCs/>
                <w:color w:val="000000" w:themeColor="text1"/>
                <w:sz w:val="20"/>
                <w:szCs w:val="20"/>
              </w:rPr>
              <w:t>Yes</w:t>
            </w:r>
          </w:p>
        </w:tc>
        <w:tc>
          <w:tcPr>
            <w:tcW w:w="829" w:type="dxa"/>
            <w:hideMark/>
          </w:tcPr>
          <w:p w14:paraId="1BF3E5EC" w14:textId="77777777"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8E5641">
              <w:rPr>
                <w:rFonts w:ascii="Open Sans" w:eastAsia="Times New Roman" w:hAnsi="Open Sans" w:cs="Open Sans"/>
                <w:color w:val="000000" w:themeColor="text1"/>
                <w:sz w:val="20"/>
                <w:szCs w:val="20"/>
              </w:rPr>
              <w:t>6.2% </w:t>
            </w:r>
          </w:p>
        </w:tc>
        <w:tc>
          <w:tcPr>
            <w:tcW w:w="556" w:type="dxa"/>
          </w:tcPr>
          <w:p w14:paraId="76C85F0E" w14:textId="77777777"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2621E3">
              <w:rPr>
                <w:rFonts w:ascii="Open Sans" w:eastAsia="Times New Roman" w:hAnsi="Open Sans" w:cs="Open Sans"/>
                <w:b/>
                <w:bCs/>
                <w:color w:val="000000" w:themeColor="text1"/>
                <w:sz w:val="20"/>
                <w:szCs w:val="20"/>
              </w:rPr>
              <w:t>No </w:t>
            </w:r>
          </w:p>
        </w:tc>
        <w:tc>
          <w:tcPr>
            <w:tcW w:w="829" w:type="dxa"/>
            <w:hideMark/>
          </w:tcPr>
          <w:p w14:paraId="3E21A741" w14:textId="77777777"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8E5641">
              <w:rPr>
                <w:rFonts w:ascii="Open Sans" w:eastAsia="Times New Roman" w:hAnsi="Open Sans" w:cs="Open Sans"/>
                <w:color w:val="000000" w:themeColor="text1"/>
                <w:sz w:val="20"/>
                <w:szCs w:val="20"/>
              </w:rPr>
              <w:t>76.6% </w:t>
            </w:r>
          </w:p>
        </w:tc>
        <w:tc>
          <w:tcPr>
            <w:tcW w:w="939" w:type="dxa"/>
          </w:tcPr>
          <w:p w14:paraId="3397F1EE" w14:textId="07734AC6"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E557F6">
              <w:rPr>
                <w:rFonts w:ascii="Open Sans" w:eastAsia="Times New Roman" w:hAnsi="Open Sans" w:cs="Open Sans"/>
                <w:b/>
                <w:bCs/>
                <w:color w:val="000000" w:themeColor="text1"/>
                <w:sz w:val="20"/>
                <w:szCs w:val="20"/>
              </w:rPr>
              <w:t>Unsure</w:t>
            </w:r>
          </w:p>
        </w:tc>
        <w:tc>
          <w:tcPr>
            <w:tcW w:w="829" w:type="dxa"/>
            <w:hideMark/>
          </w:tcPr>
          <w:p w14:paraId="0463459D" w14:textId="77777777"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8E5641">
              <w:rPr>
                <w:rFonts w:ascii="Open Sans" w:eastAsia="Times New Roman" w:hAnsi="Open Sans" w:cs="Open Sans"/>
                <w:color w:val="000000" w:themeColor="text1"/>
                <w:sz w:val="20"/>
                <w:szCs w:val="20"/>
              </w:rPr>
              <w:t>2.1% </w:t>
            </w:r>
          </w:p>
        </w:tc>
        <w:tc>
          <w:tcPr>
            <w:tcW w:w="600" w:type="dxa"/>
            <w:hideMark/>
          </w:tcPr>
          <w:p w14:paraId="6F724211" w14:textId="338DDCB1"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B41C7E">
              <w:rPr>
                <w:rFonts w:ascii="Open Sans" w:eastAsia="Times New Roman" w:hAnsi="Open Sans" w:cs="Open Sans"/>
                <w:b/>
                <w:bCs/>
                <w:color w:val="000000" w:themeColor="text1"/>
                <w:sz w:val="20"/>
                <w:szCs w:val="20"/>
              </w:rPr>
              <w:t>N/A</w:t>
            </w:r>
          </w:p>
        </w:tc>
        <w:tc>
          <w:tcPr>
            <w:tcW w:w="845" w:type="dxa"/>
            <w:hideMark/>
          </w:tcPr>
          <w:p w14:paraId="0D5D828F" w14:textId="77777777"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8E5641">
              <w:rPr>
                <w:rFonts w:ascii="Open Sans" w:eastAsia="Times New Roman" w:hAnsi="Open Sans" w:cs="Open Sans"/>
                <w:color w:val="000000" w:themeColor="text1"/>
                <w:sz w:val="20"/>
                <w:szCs w:val="20"/>
              </w:rPr>
              <w:t>15.2% </w:t>
            </w:r>
          </w:p>
        </w:tc>
        <w:tc>
          <w:tcPr>
            <w:tcW w:w="725" w:type="dxa"/>
          </w:tcPr>
          <w:p w14:paraId="7F347553" w14:textId="11B85F78"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8B0D88">
              <w:rPr>
                <w:rFonts w:ascii="Open Sans" w:eastAsia="Times New Roman" w:hAnsi="Open Sans" w:cs="Open Sans"/>
                <w:b/>
                <w:bCs/>
                <w:color w:val="000000" w:themeColor="text1"/>
                <w:sz w:val="20"/>
                <w:szCs w:val="20"/>
              </w:rPr>
              <w:t>Total</w:t>
            </w:r>
          </w:p>
        </w:tc>
        <w:tc>
          <w:tcPr>
            <w:tcW w:w="744" w:type="dxa"/>
            <w:hideMark/>
          </w:tcPr>
          <w:p w14:paraId="57666F81" w14:textId="48D3C4DF"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8E5641">
              <w:rPr>
                <w:rFonts w:ascii="Open Sans" w:eastAsia="Times New Roman" w:hAnsi="Open Sans" w:cs="Open Sans"/>
                <w:color w:val="000000" w:themeColor="text1"/>
                <w:sz w:val="20"/>
                <w:szCs w:val="20"/>
              </w:rPr>
              <w:t>145</w:t>
            </w:r>
          </w:p>
        </w:tc>
      </w:tr>
      <w:tr w:rsidR="004E5372" w:rsidRPr="007D5AAA" w14:paraId="2C93FD17" w14:textId="77777777" w:rsidTr="004E5372">
        <w:trPr>
          <w:trHeight w:val="355"/>
        </w:trPr>
        <w:tc>
          <w:tcPr>
            <w:tcW w:w="2605" w:type="dxa"/>
            <w:hideMark/>
          </w:tcPr>
          <w:p w14:paraId="4FBBA927" w14:textId="77777777"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8E5641">
              <w:rPr>
                <w:rFonts w:ascii="Open Sans" w:eastAsia="Times New Roman" w:hAnsi="Open Sans" w:cs="Open Sans"/>
                <w:color w:val="000000" w:themeColor="text1"/>
                <w:sz w:val="20"/>
                <w:szCs w:val="20"/>
              </w:rPr>
              <w:t>The perpetrator formally apologised. </w:t>
            </w:r>
          </w:p>
        </w:tc>
        <w:tc>
          <w:tcPr>
            <w:tcW w:w="559" w:type="dxa"/>
          </w:tcPr>
          <w:p w14:paraId="6D552311" w14:textId="77777777"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4E5372">
              <w:rPr>
                <w:rFonts w:ascii="Open Sans" w:eastAsia="Times New Roman" w:hAnsi="Open Sans" w:cs="Open Sans"/>
                <w:b/>
                <w:bCs/>
                <w:color w:val="000000" w:themeColor="text1"/>
                <w:sz w:val="20"/>
                <w:szCs w:val="20"/>
              </w:rPr>
              <w:t>Yes</w:t>
            </w:r>
          </w:p>
        </w:tc>
        <w:tc>
          <w:tcPr>
            <w:tcW w:w="829" w:type="dxa"/>
            <w:hideMark/>
          </w:tcPr>
          <w:p w14:paraId="0E66AFEB" w14:textId="77777777"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8E5641">
              <w:rPr>
                <w:rFonts w:ascii="Open Sans" w:eastAsia="Times New Roman" w:hAnsi="Open Sans" w:cs="Open Sans"/>
                <w:color w:val="000000" w:themeColor="text1"/>
                <w:sz w:val="20"/>
                <w:szCs w:val="20"/>
              </w:rPr>
              <w:t>5.5% </w:t>
            </w:r>
          </w:p>
        </w:tc>
        <w:tc>
          <w:tcPr>
            <w:tcW w:w="556" w:type="dxa"/>
          </w:tcPr>
          <w:p w14:paraId="14778F3C" w14:textId="77777777"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2621E3">
              <w:rPr>
                <w:rFonts w:ascii="Open Sans" w:eastAsia="Times New Roman" w:hAnsi="Open Sans" w:cs="Open Sans"/>
                <w:b/>
                <w:bCs/>
                <w:color w:val="000000" w:themeColor="text1"/>
                <w:sz w:val="20"/>
                <w:szCs w:val="20"/>
              </w:rPr>
              <w:t>No </w:t>
            </w:r>
          </w:p>
        </w:tc>
        <w:tc>
          <w:tcPr>
            <w:tcW w:w="829" w:type="dxa"/>
            <w:hideMark/>
          </w:tcPr>
          <w:p w14:paraId="314687E3" w14:textId="77777777"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8E5641">
              <w:rPr>
                <w:rFonts w:ascii="Open Sans" w:eastAsia="Times New Roman" w:hAnsi="Open Sans" w:cs="Open Sans"/>
                <w:color w:val="000000" w:themeColor="text1"/>
                <w:sz w:val="20"/>
                <w:szCs w:val="20"/>
              </w:rPr>
              <w:t>83.4% </w:t>
            </w:r>
          </w:p>
        </w:tc>
        <w:tc>
          <w:tcPr>
            <w:tcW w:w="939" w:type="dxa"/>
          </w:tcPr>
          <w:p w14:paraId="2D2D8CC9" w14:textId="6D0837E3"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E557F6">
              <w:rPr>
                <w:rFonts w:ascii="Open Sans" w:eastAsia="Times New Roman" w:hAnsi="Open Sans" w:cs="Open Sans"/>
                <w:b/>
                <w:bCs/>
                <w:color w:val="000000" w:themeColor="text1"/>
                <w:sz w:val="20"/>
                <w:szCs w:val="20"/>
              </w:rPr>
              <w:t>Unsure</w:t>
            </w:r>
          </w:p>
        </w:tc>
        <w:tc>
          <w:tcPr>
            <w:tcW w:w="829" w:type="dxa"/>
            <w:hideMark/>
          </w:tcPr>
          <w:p w14:paraId="6AE78976" w14:textId="77777777"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8E5641">
              <w:rPr>
                <w:rFonts w:ascii="Open Sans" w:eastAsia="Times New Roman" w:hAnsi="Open Sans" w:cs="Open Sans"/>
                <w:color w:val="000000" w:themeColor="text1"/>
                <w:sz w:val="20"/>
                <w:szCs w:val="20"/>
              </w:rPr>
              <w:t>2.8% </w:t>
            </w:r>
          </w:p>
        </w:tc>
        <w:tc>
          <w:tcPr>
            <w:tcW w:w="600" w:type="dxa"/>
            <w:hideMark/>
          </w:tcPr>
          <w:p w14:paraId="4F917545" w14:textId="288DC859"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B41C7E">
              <w:rPr>
                <w:rFonts w:ascii="Open Sans" w:eastAsia="Times New Roman" w:hAnsi="Open Sans" w:cs="Open Sans"/>
                <w:b/>
                <w:bCs/>
                <w:color w:val="000000" w:themeColor="text1"/>
                <w:sz w:val="20"/>
                <w:szCs w:val="20"/>
              </w:rPr>
              <w:t>N/A</w:t>
            </w:r>
          </w:p>
        </w:tc>
        <w:tc>
          <w:tcPr>
            <w:tcW w:w="845" w:type="dxa"/>
            <w:hideMark/>
          </w:tcPr>
          <w:p w14:paraId="1A4CA638" w14:textId="77777777"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8E5641">
              <w:rPr>
                <w:rFonts w:ascii="Open Sans" w:eastAsia="Times New Roman" w:hAnsi="Open Sans" w:cs="Open Sans"/>
                <w:color w:val="000000" w:themeColor="text1"/>
                <w:sz w:val="20"/>
                <w:szCs w:val="20"/>
              </w:rPr>
              <w:t>8.3% </w:t>
            </w:r>
          </w:p>
        </w:tc>
        <w:tc>
          <w:tcPr>
            <w:tcW w:w="725" w:type="dxa"/>
          </w:tcPr>
          <w:p w14:paraId="20F8F141" w14:textId="6CB886D6"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8B0D88">
              <w:rPr>
                <w:rFonts w:ascii="Open Sans" w:eastAsia="Times New Roman" w:hAnsi="Open Sans" w:cs="Open Sans"/>
                <w:b/>
                <w:bCs/>
                <w:color w:val="000000" w:themeColor="text1"/>
                <w:sz w:val="20"/>
                <w:szCs w:val="20"/>
              </w:rPr>
              <w:t>Total</w:t>
            </w:r>
          </w:p>
        </w:tc>
        <w:tc>
          <w:tcPr>
            <w:tcW w:w="744" w:type="dxa"/>
            <w:hideMark/>
          </w:tcPr>
          <w:p w14:paraId="09917722" w14:textId="1A85FAF3"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8E5641">
              <w:rPr>
                <w:rFonts w:ascii="Open Sans" w:eastAsia="Times New Roman" w:hAnsi="Open Sans" w:cs="Open Sans"/>
                <w:color w:val="000000" w:themeColor="text1"/>
                <w:sz w:val="20"/>
                <w:szCs w:val="20"/>
              </w:rPr>
              <w:t>145</w:t>
            </w:r>
          </w:p>
        </w:tc>
      </w:tr>
      <w:tr w:rsidR="004E5372" w:rsidRPr="007D5AAA" w14:paraId="7BB289AD" w14:textId="77777777" w:rsidTr="004E5372">
        <w:trPr>
          <w:trHeight w:val="355"/>
        </w:trPr>
        <w:tc>
          <w:tcPr>
            <w:tcW w:w="2605" w:type="dxa"/>
            <w:hideMark/>
          </w:tcPr>
          <w:p w14:paraId="44611580" w14:textId="77777777"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8E5641">
              <w:rPr>
                <w:rFonts w:ascii="Open Sans" w:eastAsia="Times New Roman" w:hAnsi="Open Sans" w:cs="Open Sans"/>
                <w:color w:val="000000" w:themeColor="text1"/>
                <w:sz w:val="20"/>
                <w:szCs w:val="20"/>
              </w:rPr>
              <w:t>The perpetrator was held to account by the criminal justice system. </w:t>
            </w:r>
          </w:p>
        </w:tc>
        <w:tc>
          <w:tcPr>
            <w:tcW w:w="559" w:type="dxa"/>
          </w:tcPr>
          <w:p w14:paraId="5B82A78A" w14:textId="77777777"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4E5372">
              <w:rPr>
                <w:rFonts w:ascii="Open Sans" w:eastAsia="Times New Roman" w:hAnsi="Open Sans" w:cs="Open Sans"/>
                <w:b/>
                <w:bCs/>
                <w:color w:val="000000" w:themeColor="text1"/>
                <w:sz w:val="20"/>
                <w:szCs w:val="20"/>
              </w:rPr>
              <w:t>Yes</w:t>
            </w:r>
          </w:p>
        </w:tc>
        <w:tc>
          <w:tcPr>
            <w:tcW w:w="829" w:type="dxa"/>
            <w:hideMark/>
          </w:tcPr>
          <w:p w14:paraId="5ABFCFCE" w14:textId="77777777"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8E5641">
              <w:rPr>
                <w:rFonts w:ascii="Open Sans" w:eastAsia="Times New Roman" w:hAnsi="Open Sans" w:cs="Open Sans"/>
                <w:color w:val="000000" w:themeColor="text1"/>
                <w:sz w:val="20"/>
                <w:szCs w:val="20"/>
              </w:rPr>
              <w:t>3.4% </w:t>
            </w:r>
          </w:p>
        </w:tc>
        <w:tc>
          <w:tcPr>
            <w:tcW w:w="556" w:type="dxa"/>
          </w:tcPr>
          <w:p w14:paraId="0B93FD70" w14:textId="77777777"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B8223B">
              <w:rPr>
                <w:rFonts w:ascii="Open Sans" w:eastAsia="Times New Roman" w:hAnsi="Open Sans" w:cs="Open Sans"/>
                <w:b/>
                <w:bCs/>
                <w:color w:val="000000" w:themeColor="text1"/>
                <w:sz w:val="20"/>
                <w:szCs w:val="20"/>
              </w:rPr>
              <w:t>No </w:t>
            </w:r>
          </w:p>
        </w:tc>
        <w:tc>
          <w:tcPr>
            <w:tcW w:w="829" w:type="dxa"/>
            <w:hideMark/>
          </w:tcPr>
          <w:p w14:paraId="703A58CA" w14:textId="77777777"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8E5641">
              <w:rPr>
                <w:rFonts w:ascii="Open Sans" w:eastAsia="Times New Roman" w:hAnsi="Open Sans" w:cs="Open Sans"/>
                <w:color w:val="000000" w:themeColor="text1"/>
                <w:sz w:val="20"/>
                <w:szCs w:val="20"/>
              </w:rPr>
              <w:t>71.8% </w:t>
            </w:r>
          </w:p>
        </w:tc>
        <w:tc>
          <w:tcPr>
            <w:tcW w:w="939" w:type="dxa"/>
          </w:tcPr>
          <w:p w14:paraId="646BB39D" w14:textId="4C3630FE"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4E3BE0">
              <w:rPr>
                <w:rFonts w:ascii="Open Sans" w:eastAsia="Times New Roman" w:hAnsi="Open Sans" w:cs="Open Sans"/>
                <w:b/>
                <w:bCs/>
                <w:color w:val="000000" w:themeColor="text1"/>
                <w:sz w:val="20"/>
                <w:szCs w:val="20"/>
              </w:rPr>
              <w:t>Unsure</w:t>
            </w:r>
          </w:p>
        </w:tc>
        <w:tc>
          <w:tcPr>
            <w:tcW w:w="829" w:type="dxa"/>
            <w:hideMark/>
          </w:tcPr>
          <w:p w14:paraId="3EF1B477" w14:textId="77777777"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8E5641">
              <w:rPr>
                <w:rFonts w:ascii="Open Sans" w:eastAsia="Times New Roman" w:hAnsi="Open Sans" w:cs="Open Sans"/>
                <w:color w:val="000000" w:themeColor="text1"/>
                <w:sz w:val="20"/>
                <w:szCs w:val="20"/>
              </w:rPr>
              <w:t>4.7% </w:t>
            </w:r>
          </w:p>
        </w:tc>
        <w:tc>
          <w:tcPr>
            <w:tcW w:w="600" w:type="dxa"/>
            <w:hideMark/>
          </w:tcPr>
          <w:p w14:paraId="59A500DC" w14:textId="12468672"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B41C7E">
              <w:rPr>
                <w:rFonts w:ascii="Open Sans" w:eastAsia="Times New Roman" w:hAnsi="Open Sans" w:cs="Open Sans"/>
                <w:b/>
                <w:bCs/>
                <w:color w:val="000000" w:themeColor="text1"/>
                <w:sz w:val="20"/>
                <w:szCs w:val="20"/>
              </w:rPr>
              <w:t>N/A</w:t>
            </w:r>
          </w:p>
        </w:tc>
        <w:tc>
          <w:tcPr>
            <w:tcW w:w="845" w:type="dxa"/>
            <w:hideMark/>
          </w:tcPr>
          <w:p w14:paraId="2A1EEAA4" w14:textId="77777777"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8E5641">
              <w:rPr>
                <w:rFonts w:ascii="Open Sans" w:eastAsia="Times New Roman" w:hAnsi="Open Sans" w:cs="Open Sans"/>
                <w:color w:val="000000" w:themeColor="text1"/>
                <w:sz w:val="20"/>
                <w:szCs w:val="20"/>
              </w:rPr>
              <w:t>20.1% </w:t>
            </w:r>
          </w:p>
        </w:tc>
        <w:tc>
          <w:tcPr>
            <w:tcW w:w="725" w:type="dxa"/>
          </w:tcPr>
          <w:p w14:paraId="45C98E39" w14:textId="3C1F21A9"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8B0D88">
              <w:rPr>
                <w:rFonts w:ascii="Open Sans" w:eastAsia="Times New Roman" w:hAnsi="Open Sans" w:cs="Open Sans"/>
                <w:b/>
                <w:bCs/>
                <w:color w:val="000000" w:themeColor="text1"/>
                <w:sz w:val="20"/>
                <w:szCs w:val="20"/>
              </w:rPr>
              <w:t>Total</w:t>
            </w:r>
          </w:p>
        </w:tc>
        <w:tc>
          <w:tcPr>
            <w:tcW w:w="744" w:type="dxa"/>
            <w:hideMark/>
          </w:tcPr>
          <w:p w14:paraId="7F1C4C92" w14:textId="094C0E34"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8E5641">
              <w:rPr>
                <w:rFonts w:ascii="Open Sans" w:eastAsia="Times New Roman" w:hAnsi="Open Sans" w:cs="Open Sans"/>
                <w:color w:val="000000" w:themeColor="text1"/>
                <w:sz w:val="20"/>
                <w:szCs w:val="20"/>
              </w:rPr>
              <w:t>149</w:t>
            </w:r>
          </w:p>
        </w:tc>
      </w:tr>
      <w:tr w:rsidR="004E5372" w:rsidRPr="007D5AAA" w14:paraId="0F328D87" w14:textId="77777777" w:rsidTr="004E5372">
        <w:trPr>
          <w:trHeight w:val="355"/>
        </w:trPr>
        <w:tc>
          <w:tcPr>
            <w:tcW w:w="2605" w:type="dxa"/>
            <w:hideMark/>
          </w:tcPr>
          <w:p w14:paraId="0B58AFCE" w14:textId="77777777"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8E5641">
              <w:rPr>
                <w:rFonts w:ascii="Open Sans" w:eastAsia="Times New Roman" w:hAnsi="Open Sans" w:cs="Open Sans"/>
                <w:color w:val="000000" w:themeColor="text1"/>
                <w:sz w:val="20"/>
                <w:szCs w:val="20"/>
              </w:rPr>
              <w:t>Institutional change (e.g., my university or workplace implemented new policies and procedures to prevent violence and support victim/survivors) </w:t>
            </w:r>
          </w:p>
        </w:tc>
        <w:tc>
          <w:tcPr>
            <w:tcW w:w="559" w:type="dxa"/>
          </w:tcPr>
          <w:p w14:paraId="645D3259" w14:textId="77777777"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4E5372">
              <w:rPr>
                <w:rFonts w:ascii="Open Sans" w:eastAsia="Times New Roman" w:hAnsi="Open Sans" w:cs="Open Sans"/>
                <w:b/>
                <w:bCs/>
                <w:color w:val="000000" w:themeColor="text1"/>
                <w:sz w:val="20"/>
                <w:szCs w:val="20"/>
              </w:rPr>
              <w:t>Yes</w:t>
            </w:r>
          </w:p>
        </w:tc>
        <w:tc>
          <w:tcPr>
            <w:tcW w:w="829" w:type="dxa"/>
            <w:hideMark/>
          </w:tcPr>
          <w:p w14:paraId="420EE1A9" w14:textId="77777777"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8E5641">
              <w:rPr>
                <w:rFonts w:ascii="Open Sans" w:eastAsia="Times New Roman" w:hAnsi="Open Sans" w:cs="Open Sans"/>
                <w:color w:val="000000" w:themeColor="text1"/>
                <w:sz w:val="20"/>
                <w:szCs w:val="20"/>
              </w:rPr>
              <w:t>2.8% </w:t>
            </w:r>
          </w:p>
        </w:tc>
        <w:tc>
          <w:tcPr>
            <w:tcW w:w="556" w:type="dxa"/>
          </w:tcPr>
          <w:p w14:paraId="4FF3F971" w14:textId="77777777"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B8223B">
              <w:rPr>
                <w:rFonts w:ascii="Open Sans" w:eastAsia="Times New Roman" w:hAnsi="Open Sans" w:cs="Open Sans"/>
                <w:b/>
                <w:bCs/>
                <w:color w:val="000000" w:themeColor="text1"/>
                <w:sz w:val="20"/>
                <w:szCs w:val="20"/>
              </w:rPr>
              <w:t>No </w:t>
            </w:r>
          </w:p>
        </w:tc>
        <w:tc>
          <w:tcPr>
            <w:tcW w:w="829" w:type="dxa"/>
            <w:hideMark/>
          </w:tcPr>
          <w:p w14:paraId="10DFB9CB" w14:textId="77777777"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8E5641">
              <w:rPr>
                <w:rFonts w:ascii="Open Sans" w:eastAsia="Times New Roman" w:hAnsi="Open Sans" w:cs="Open Sans"/>
                <w:color w:val="000000" w:themeColor="text1"/>
                <w:sz w:val="20"/>
                <w:szCs w:val="20"/>
              </w:rPr>
              <w:t>69.2% </w:t>
            </w:r>
          </w:p>
        </w:tc>
        <w:tc>
          <w:tcPr>
            <w:tcW w:w="939" w:type="dxa"/>
          </w:tcPr>
          <w:p w14:paraId="49A32849" w14:textId="560269FF"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4E3BE0">
              <w:rPr>
                <w:rFonts w:ascii="Open Sans" w:eastAsia="Times New Roman" w:hAnsi="Open Sans" w:cs="Open Sans"/>
                <w:b/>
                <w:bCs/>
                <w:color w:val="000000" w:themeColor="text1"/>
                <w:sz w:val="20"/>
                <w:szCs w:val="20"/>
              </w:rPr>
              <w:t>Unsure</w:t>
            </w:r>
          </w:p>
        </w:tc>
        <w:tc>
          <w:tcPr>
            <w:tcW w:w="829" w:type="dxa"/>
            <w:hideMark/>
          </w:tcPr>
          <w:p w14:paraId="50BF7596" w14:textId="77777777"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8E5641">
              <w:rPr>
                <w:rFonts w:ascii="Open Sans" w:eastAsia="Times New Roman" w:hAnsi="Open Sans" w:cs="Open Sans"/>
                <w:color w:val="000000" w:themeColor="text1"/>
                <w:sz w:val="20"/>
                <w:szCs w:val="20"/>
              </w:rPr>
              <w:t>3.5% </w:t>
            </w:r>
          </w:p>
        </w:tc>
        <w:tc>
          <w:tcPr>
            <w:tcW w:w="600" w:type="dxa"/>
            <w:hideMark/>
          </w:tcPr>
          <w:p w14:paraId="5C0EECB5" w14:textId="2A7A5DF8"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4E5372">
              <w:rPr>
                <w:rFonts w:ascii="Open Sans" w:eastAsia="Times New Roman" w:hAnsi="Open Sans" w:cs="Open Sans"/>
                <w:b/>
                <w:bCs/>
                <w:color w:val="000000" w:themeColor="text1"/>
                <w:sz w:val="20"/>
                <w:szCs w:val="20"/>
              </w:rPr>
              <w:t>N/A</w:t>
            </w:r>
          </w:p>
        </w:tc>
        <w:tc>
          <w:tcPr>
            <w:tcW w:w="845" w:type="dxa"/>
            <w:hideMark/>
          </w:tcPr>
          <w:p w14:paraId="439BC734" w14:textId="77777777"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8E5641">
              <w:rPr>
                <w:rFonts w:ascii="Open Sans" w:eastAsia="Times New Roman" w:hAnsi="Open Sans" w:cs="Open Sans"/>
                <w:color w:val="000000" w:themeColor="text1"/>
                <w:sz w:val="20"/>
                <w:szCs w:val="20"/>
              </w:rPr>
              <w:t>24.5% </w:t>
            </w:r>
          </w:p>
        </w:tc>
        <w:tc>
          <w:tcPr>
            <w:tcW w:w="725" w:type="dxa"/>
          </w:tcPr>
          <w:p w14:paraId="293785A5" w14:textId="701720FC"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4E5372">
              <w:rPr>
                <w:rFonts w:ascii="Open Sans" w:eastAsia="Times New Roman" w:hAnsi="Open Sans" w:cs="Open Sans"/>
                <w:b/>
                <w:bCs/>
                <w:color w:val="000000" w:themeColor="text1"/>
                <w:sz w:val="20"/>
                <w:szCs w:val="20"/>
              </w:rPr>
              <w:t>Total</w:t>
            </w:r>
          </w:p>
        </w:tc>
        <w:tc>
          <w:tcPr>
            <w:tcW w:w="744" w:type="dxa"/>
            <w:hideMark/>
          </w:tcPr>
          <w:p w14:paraId="4A35DB80" w14:textId="6061F66C" w:rsidR="004E5372" w:rsidRPr="008E5641" w:rsidRDefault="004E5372" w:rsidP="004E5372">
            <w:pPr>
              <w:spacing w:after="0" w:line="240" w:lineRule="auto"/>
              <w:rPr>
                <w:rFonts w:ascii="Open Sans" w:eastAsia="Times New Roman" w:hAnsi="Open Sans" w:cs="Open Sans"/>
                <w:color w:val="000000" w:themeColor="text1"/>
                <w:sz w:val="20"/>
                <w:szCs w:val="20"/>
              </w:rPr>
            </w:pPr>
            <w:r w:rsidRPr="008E5641">
              <w:rPr>
                <w:rFonts w:ascii="Open Sans" w:eastAsia="Times New Roman" w:hAnsi="Open Sans" w:cs="Open Sans"/>
                <w:color w:val="000000" w:themeColor="text1"/>
                <w:sz w:val="20"/>
                <w:szCs w:val="20"/>
              </w:rPr>
              <w:t>143</w:t>
            </w:r>
          </w:p>
        </w:tc>
      </w:tr>
    </w:tbl>
    <w:p w14:paraId="4194316C" w14:textId="77777777" w:rsidR="008E5641" w:rsidRPr="008E5641" w:rsidRDefault="008E5641" w:rsidP="008E5641">
      <w:pPr>
        <w:pStyle w:val="BodyText"/>
        <w:rPr>
          <w:b/>
          <w:bCs/>
        </w:rPr>
      </w:pPr>
    </w:p>
    <w:p w14:paraId="7397D619" w14:textId="77777777" w:rsidR="008E5641" w:rsidRDefault="008E5641" w:rsidP="008E5641">
      <w:pPr>
        <w:pStyle w:val="BodyText"/>
        <w:rPr>
          <w:b/>
          <w:bCs/>
        </w:rPr>
      </w:pPr>
    </w:p>
    <w:p w14:paraId="09723B81" w14:textId="77777777" w:rsidR="008E5641" w:rsidRPr="008E5641" w:rsidRDefault="008E5641" w:rsidP="008E5641">
      <w:pPr>
        <w:pStyle w:val="BodyText"/>
        <w:rPr>
          <w:b/>
          <w:bCs/>
        </w:rPr>
      </w:pPr>
    </w:p>
    <w:p w14:paraId="3B275E7F" w14:textId="77777777" w:rsidR="007A7BD3" w:rsidRPr="00CE2F22" w:rsidRDefault="007A7BD3" w:rsidP="007A7BD3"/>
    <w:p w14:paraId="0A487E2F" w14:textId="52867A6E" w:rsidR="007A7BD3" w:rsidRPr="009A5B8A" w:rsidRDefault="007A7BD3" w:rsidP="009A5B8A">
      <w:pPr>
        <w:pStyle w:val="Heading2"/>
      </w:pPr>
      <w:bookmarkStart w:id="62" w:name="_Toc96092077"/>
      <w:r w:rsidRPr="009A5B8A">
        <w:t>Barriers that delayed/prevented people from reporting violence</w:t>
      </w:r>
      <w:bookmarkEnd w:id="62"/>
    </w:p>
    <w:p w14:paraId="248F21D1" w14:textId="05674F1F" w:rsidR="007A7BD3" w:rsidRPr="00CE2F22" w:rsidRDefault="007A7BD3" w:rsidP="007A7BD3">
      <w:pPr>
        <w:pStyle w:val="BodyText"/>
        <w:rPr>
          <w:lang w:val="en-AU"/>
        </w:rPr>
      </w:pPr>
      <w:r w:rsidRPr="00CE2F22">
        <w:rPr>
          <w:lang w:val="en-AU"/>
        </w:rPr>
        <w:t>Respondents were asked to indicate any barriers that delayed or prevented them from reporting violence and abuse. ‘Shame’, ‘embarrassment’, and ‘fear of being blamed or not believed’ were the leading barriers identified. (See Table 3.4.)</w:t>
      </w:r>
    </w:p>
    <w:p w14:paraId="67531D91" w14:textId="77777777" w:rsidR="007A7BD3" w:rsidRPr="00CE2F22" w:rsidRDefault="007A7BD3" w:rsidP="007A7BD3">
      <w:pPr>
        <w:pStyle w:val="BodyText"/>
        <w:rPr>
          <w:lang w:val="en-AU"/>
        </w:rPr>
      </w:pPr>
    </w:p>
    <w:p w14:paraId="139EAE45" w14:textId="77777777" w:rsidR="008E5641" w:rsidRDefault="007A7BD3" w:rsidP="008E5641">
      <w:pPr>
        <w:pStyle w:val="BodyText"/>
        <w:rPr>
          <w:lang w:val="en-AU"/>
        </w:rPr>
      </w:pPr>
      <w:r w:rsidRPr="00CE2F22">
        <w:rPr>
          <w:lang w:val="en-AU"/>
        </w:rPr>
        <w:t>These findings align closely with respondents’ written responses, many of whom described being shamed, blamed, and disbelieved when reporting violence to both informal supports, such as family and friends, and formal supports, such as police and community services.</w:t>
      </w:r>
    </w:p>
    <w:p w14:paraId="653C5AF9" w14:textId="6C91D9D6" w:rsidR="00753A99" w:rsidRPr="008A693D" w:rsidRDefault="00753A99" w:rsidP="008A693D">
      <w:pPr>
        <w:pStyle w:val="BodyText"/>
        <w:rPr>
          <w:lang w:val="en-AU"/>
        </w:rPr>
      </w:pPr>
      <w:r w:rsidRPr="00CE2F22">
        <w:rPr>
          <w:lang w:val="en-AU"/>
        </w:rPr>
        <w:t xml:space="preserve"> </w:t>
      </w:r>
    </w:p>
    <w:tbl>
      <w:tblPr>
        <w:tblStyle w:val="TableGrid2"/>
        <w:tblW w:w="9351" w:type="dxa"/>
        <w:tblLayout w:type="fixed"/>
        <w:tblLook w:val="04A0" w:firstRow="1" w:lastRow="0" w:firstColumn="1" w:lastColumn="0" w:noHBand="0" w:noVBand="1"/>
      </w:tblPr>
      <w:tblGrid>
        <w:gridCol w:w="7792"/>
        <w:gridCol w:w="708"/>
        <w:gridCol w:w="851"/>
      </w:tblGrid>
      <w:tr w:rsidR="008A693D" w:rsidRPr="007D5AAA" w14:paraId="58BDB20D" w14:textId="77777777" w:rsidTr="00C26EE6">
        <w:tc>
          <w:tcPr>
            <w:tcW w:w="9351" w:type="dxa"/>
            <w:gridSpan w:val="3"/>
          </w:tcPr>
          <w:p w14:paraId="0E7279F7" w14:textId="365EC3FF" w:rsidR="008A693D" w:rsidRPr="007D5AAA" w:rsidRDefault="008A693D" w:rsidP="008A693D">
            <w:pPr>
              <w:pStyle w:val="BodyText"/>
              <w:rPr>
                <w:b/>
                <w:bCs/>
              </w:rPr>
            </w:pPr>
            <w:r w:rsidRPr="008E5641">
              <w:rPr>
                <w:b/>
                <w:bCs/>
              </w:rPr>
              <w:t>Table 3.4: Barriers that delayed of prevented people from reporting violence</w:t>
            </w:r>
          </w:p>
        </w:tc>
      </w:tr>
      <w:tr w:rsidR="008A693D" w:rsidRPr="007D5AAA" w14:paraId="5391A064" w14:textId="77777777" w:rsidTr="008A693D">
        <w:trPr>
          <w:trHeight w:val="189"/>
        </w:trPr>
        <w:tc>
          <w:tcPr>
            <w:tcW w:w="7792" w:type="dxa"/>
          </w:tcPr>
          <w:p w14:paraId="4E357CCC" w14:textId="1DC1A6F2" w:rsidR="008A693D" w:rsidRPr="007D5AAA" w:rsidRDefault="008A693D" w:rsidP="008A693D">
            <w:pPr>
              <w:jc w:val="both"/>
              <w:rPr>
                <w:rFonts w:ascii="Open Sans" w:hAnsi="Open Sans" w:cs="Open Sans"/>
                <w:sz w:val="20"/>
                <w:szCs w:val="20"/>
              </w:rPr>
            </w:pPr>
            <w:r w:rsidRPr="007D5AAA">
              <w:rPr>
                <w:rFonts w:ascii="Open Sans" w:hAnsi="Open Sans" w:cs="Open Sans"/>
                <w:sz w:val="20"/>
                <w:szCs w:val="20"/>
              </w:rPr>
              <w:t>Fear of being judged</w:t>
            </w:r>
          </w:p>
        </w:tc>
        <w:tc>
          <w:tcPr>
            <w:tcW w:w="708" w:type="dxa"/>
          </w:tcPr>
          <w:p w14:paraId="77A91F6A" w14:textId="73FEA149" w:rsidR="008A693D" w:rsidRPr="007D5AAA" w:rsidRDefault="008A693D" w:rsidP="008A693D">
            <w:pPr>
              <w:jc w:val="both"/>
              <w:rPr>
                <w:rFonts w:ascii="Open Sans" w:hAnsi="Open Sans" w:cs="Open Sans"/>
                <w:sz w:val="20"/>
                <w:szCs w:val="20"/>
              </w:rPr>
            </w:pPr>
            <w:r w:rsidRPr="00A014B6">
              <w:rPr>
                <w:rFonts w:ascii="Open Sans" w:hAnsi="Open Sans" w:cs="Open Sans"/>
                <w:b/>
                <w:bCs/>
                <w:sz w:val="20"/>
                <w:szCs w:val="20"/>
              </w:rPr>
              <w:t>%</w:t>
            </w:r>
          </w:p>
        </w:tc>
        <w:tc>
          <w:tcPr>
            <w:tcW w:w="851" w:type="dxa"/>
          </w:tcPr>
          <w:p w14:paraId="7501727A" w14:textId="541D0080" w:rsidR="008A693D" w:rsidRPr="007D5AAA" w:rsidRDefault="008A693D" w:rsidP="008A693D">
            <w:pPr>
              <w:jc w:val="both"/>
              <w:rPr>
                <w:rFonts w:ascii="Open Sans" w:hAnsi="Open Sans" w:cs="Open Sans"/>
                <w:sz w:val="20"/>
                <w:szCs w:val="20"/>
              </w:rPr>
            </w:pPr>
            <w:r w:rsidRPr="007D5AAA">
              <w:rPr>
                <w:rFonts w:ascii="Open Sans" w:hAnsi="Open Sans" w:cs="Open Sans"/>
                <w:sz w:val="20"/>
                <w:szCs w:val="20"/>
              </w:rPr>
              <w:t>51.3%</w:t>
            </w:r>
          </w:p>
        </w:tc>
      </w:tr>
      <w:tr w:rsidR="008A693D" w:rsidRPr="007D5AAA" w14:paraId="0813010B" w14:textId="77777777" w:rsidTr="008A693D">
        <w:trPr>
          <w:trHeight w:val="281"/>
        </w:trPr>
        <w:tc>
          <w:tcPr>
            <w:tcW w:w="7792" w:type="dxa"/>
          </w:tcPr>
          <w:p w14:paraId="14C2EFBA" w14:textId="292E66CF" w:rsidR="008A693D" w:rsidRPr="007D5AAA" w:rsidRDefault="008A693D" w:rsidP="008A693D">
            <w:pPr>
              <w:jc w:val="both"/>
              <w:rPr>
                <w:rFonts w:ascii="Open Sans" w:hAnsi="Open Sans" w:cs="Open Sans"/>
                <w:sz w:val="20"/>
                <w:szCs w:val="20"/>
              </w:rPr>
            </w:pPr>
            <w:r w:rsidRPr="007D5AAA">
              <w:rPr>
                <w:rFonts w:ascii="Open Sans" w:hAnsi="Open Sans" w:cs="Open Sans"/>
                <w:sz w:val="20"/>
                <w:szCs w:val="20"/>
              </w:rPr>
              <w:t>I was embarrassed or ashamed</w:t>
            </w:r>
          </w:p>
        </w:tc>
        <w:tc>
          <w:tcPr>
            <w:tcW w:w="708" w:type="dxa"/>
          </w:tcPr>
          <w:p w14:paraId="2D54BAA8" w14:textId="0A7E608A" w:rsidR="008A693D" w:rsidRPr="007D5AAA" w:rsidRDefault="008A693D" w:rsidP="008A693D">
            <w:pPr>
              <w:jc w:val="both"/>
              <w:rPr>
                <w:rFonts w:ascii="Open Sans" w:hAnsi="Open Sans" w:cs="Open Sans"/>
                <w:sz w:val="20"/>
                <w:szCs w:val="20"/>
              </w:rPr>
            </w:pPr>
            <w:r w:rsidRPr="00A014B6">
              <w:rPr>
                <w:rFonts w:ascii="Open Sans" w:hAnsi="Open Sans" w:cs="Open Sans"/>
                <w:b/>
                <w:bCs/>
                <w:sz w:val="20"/>
                <w:szCs w:val="20"/>
              </w:rPr>
              <w:t>%</w:t>
            </w:r>
          </w:p>
        </w:tc>
        <w:tc>
          <w:tcPr>
            <w:tcW w:w="851" w:type="dxa"/>
          </w:tcPr>
          <w:p w14:paraId="15736C6B" w14:textId="2E271B72" w:rsidR="008A693D" w:rsidRPr="007D5AAA" w:rsidRDefault="008A693D" w:rsidP="008A693D">
            <w:pPr>
              <w:jc w:val="both"/>
              <w:rPr>
                <w:rFonts w:ascii="Open Sans" w:hAnsi="Open Sans" w:cs="Open Sans"/>
                <w:sz w:val="20"/>
                <w:szCs w:val="20"/>
              </w:rPr>
            </w:pPr>
            <w:r w:rsidRPr="007D5AAA">
              <w:rPr>
                <w:rFonts w:ascii="Open Sans" w:hAnsi="Open Sans" w:cs="Open Sans"/>
                <w:sz w:val="20"/>
                <w:szCs w:val="20"/>
              </w:rPr>
              <w:t>74.4%</w:t>
            </w:r>
          </w:p>
        </w:tc>
      </w:tr>
      <w:tr w:rsidR="008A693D" w:rsidRPr="007D5AAA" w14:paraId="2C80F4DC" w14:textId="77777777" w:rsidTr="008A693D">
        <w:tc>
          <w:tcPr>
            <w:tcW w:w="7792" w:type="dxa"/>
          </w:tcPr>
          <w:p w14:paraId="5C1BB100" w14:textId="742AE551" w:rsidR="008A693D" w:rsidRPr="007D5AAA" w:rsidRDefault="008A693D" w:rsidP="008A693D">
            <w:pPr>
              <w:jc w:val="both"/>
              <w:rPr>
                <w:rFonts w:ascii="Open Sans" w:hAnsi="Open Sans" w:cs="Open Sans"/>
                <w:sz w:val="20"/>
                <w:szCs w:val="20"/>
              </w:rPr>
            </w:pPr>
            <w:r w:rsidRPr="007D5AAA">
              <w:rPr>
                <w:rFonts w:ascii="Open Sans" w:hAnsi="Open Sans" w:cs="Open Sans"/>
                <w:sz w:val="20"/>
                <w:szCs w:val="20"/>
              </w:rPr>
              <w:t>I was not personally ready to report violence</w:t>
            </w:r>
          </w:p>
        </w:tc>
        <w:tc>
          <w:tcPr>
            <w:tcW w:w="708" w:type="dxa"/>
          </w:tcPr>
          <w:p w14:paraId="081F1029" w14:textId="2D4A3AB7" w:rsidR="008A693D" w:rsidRPr="007D5AAA" w:rsidRDefault="008A693D" w:rsidP="008A693D">
            <w:pPr>
              <w:jc w:val="both"/>
              <w:rPr>
                <w:rFonts w:ascii="Open Sans" w:hAnsi="Open Sans" w:cs="Open Sans"/>
                <w:sz w:val="20"/>
                <w:szCs w:val="20"/>
              </w:rPr>
            </w:pPr>
            <w:r w:rsidRPr="00A014B6">
              <w:rPr>
                <w:rFonts w:ascii="Open Sans" w:hAnsi="Open Sans" w:cs="Open Sans"/>
                <w:b/>
                <w:bCs/>
                <w:sz w:val="20"/>
                <w:szCs w:val="20"/>
              </w:rPr>
              <w:t>%</w:t>
            </w:r>
          </w:p>
        </w:tc>
        <w:tc>
          <w:tcPr>
            <w:tcW w:w="851" w:type="dxa"/>
          </w:tcPr>
          <w:p w14:paraId="2D623B12" w14:textId="26899B7F" w:rsidR="008A693D" w:rsidRPr="007D5AAA" w:rsidRDefault="008A693D" w:rsidP="008A693D">
            <w:pPr>
              <w:jc w:val="both"/>
              <w:rPr>
                <w:rFonts w:ascii="Open Sans" w:hAnsi="Open Sans" w:cs="Open Sans"/>
                <w:sz w:val="20"/>
                <w:szCs w:val="20"/>
              </w:rPr>
            </w:pPr>
            <w:r w:rsidRPr="007D5AAA">
              <w:rPr>
                <w:rFonts w:ascii="Open Sans" w:hAnsi="Open Sans" w:cs="Open Sans"/>
                <w:sz w:val="20"/>
                <w:szCs w:val="20"/>
              </w:rPr>
              <w:t>38.5%</w:t>
            </w:r>
          </w:p>
        </w:tc>
      </w:tr>
      <w:tr w:rsidR="008A693D" w:rsidRPr="007D5AAA" w14:paraId="1719AADB" w14:textId="77777777" w:rsidTr="008A693D">
        <w:tc>
          <w:tcPr>
            <w:tcW w:w="7792" w:type="dxa"/>
          </w:tcPr>
          <w:p w14:paraId="6A3E7529" w14:textId="2CAC57A0" w:rsidR="008A693D" w:rsidRPr="007D5AAA" w:rsidRDefault="008A693D" w:rsidP="008A693D">
            <w:pPr>
              <w:jc w:val="both"/>
              <w:rPr>
                <w:rFonts w:ascii="Open Sans" w:hAnsi="Open Sans" w:cs="Open Sans"/>
                <w:sz w:val="20"/>
                <w:szCs w:val="20"/>
              </w:rPr>
            </w:pPr>
            <w:r w:rsidRPr="007D5AAA">
              <w:rPr>
                <w:rFonts w:ascii="Open Sans" w:hAnsi="Open Sans" w:cs="Open Sans"/>
                <w:sz w:val="20"/>
                <w:szCs w:val="20"/>
              </w:rPr>
              <w:t>I was being controlled by the perpetrator</w:t>
            </w:r>
          </w:p>
        </w:tc>
        <w:tc>
          <w:tcPr>
            <w:tcW w:w="708" w:type="dxa"/>
          </w:tcPr>
          <w:p w14:paraId="7D87670D" w14:textId="13BB5B3F" w:rsidR="008A693D" w:rsidRPr="007D5AAA" w:rsidRDefault="008A693D" w:rsidP="008A693D">
            <w:pPr>
              <w:jc w:val="both"/>
              <w:rPr>
                <w:rFonts w:ascii="Open Sans" w:hAnsi="Open Sans" w:cs="Open Sans"/>
                <w:sz w:val="20"/>
                <w:szCs w:val="20"/>
              </w:rPr>
            </w:pPr>
            <w:r w:rsidRPr="00A014B6">
              <w:rPr>
                <w:rFonts w:ascii="Open Sans" w:hAnsi="Open Sans" w:cs="Open Sans"/>
                <w:b/>
                <w:bCs/>
                <w:sz w:val="20"/>
                <w:szCs w:val="20"/>
              </w:rPr>
              <w:t>%</w:t>
            </w:r>
          </w:p>
        </w:tc>
        <w:tc>
          <w:tcPr>
            <w:tcW w:w="851" w:type="dxa"/>
          </w:tcPr>
          <w:p w14:paraId="79218C8B" w14:textId="2ABBB123" w:rsidR="008A693D" w:rsidRPr="007D5AAA" w:rsidRDefault="008A693D" w:rsidP="008A693D">
            <w:pPr>
              <w:jc w:val="both"/>
              <w:rPr>
                <w:rFonts w:ascii="Open Sans" w:hAnsi="Open Sans" w:cs="Open Sans"/>
                <w:sz w:val="20"/>
                <w:szCs w:val="20"/>
              </w:rPr>
            </w:pPr>
            <w:r w:rsidRPr="007D5AAA">
              <w:rPr>
                <w:rFonts w:ascii="Open Sans" w:hAnsi="Open Sans" w:cs="Open Sans"/>
                <w:sz w:val="20"/>
                <w:szCs w:val="20"/>
              </w:rPr>
              <w:t>23.1%</w:t>
            </w:r>
          </w:p>
        </w:tc>
      </w:tr>
      <w:tr w:rsidR="008A693D" w:rsidRPr="007D5AAA" w14:paraId="5048812C" w14:textId="77777777" w:rsidTr="008A693D">
        <w:tc>
          <w:tcPr>
            <w:tcW w:w="7792" w:type="dxa"/>
          </w:tcPr>
          <w:p w14:paraId="4EBC5EDC" w14:textId="6AAA710F" w:rsidR="008A693D" w:rsidRPr="007D5AAA" w:rsidRDefault="008A693D" w:rsidP="008A693D">
            <w:pPr>
              <w:jc w:val="both"/>
              <w:rPr>
                <w:rFonts w:ascii="Open Sans" w:hAnsi="Open Sans" w:cs="Open Sans"/>
                <w:sz w:val="20"/>
                <w:szCs w:val="20"/>
              </w:rPr>
            </w:pPr>
            <w:r w:rsidRPr="007D5AAA">
              <w:rPr>
                <w:rFonts w:ascii="Open Sans" w:hAnsi="Open Sans" w:cs="Open Sans"/>
                <w:sz w:val="20"/>
                <w:szCs w:val="20"/>
              </w:rPr>
              <w:t>I was scared of retaliation from the perpetrator/from those associated with the perpetrator</w:t>
            </w:r>
          </w:p>
        </w:tc>
        <w:tc>
          <w:tcPr>
            <w:tcW w:w="708" w:type="dxa"/>
          </w:tcPr>
          <w:p w14:paraId="038F6555" w14:textId="15A82E6C" w:rsidR="008A693D" w:rsidRPr="007D5AAA" w:rsidRDefault="008A693D" w:rsidP="008A693D">
            <w:pPr>
              <w:jc w:val="both"/>
              <w:rPr>
                <w:rFonts w:ascii="Open Sans" w:hAnsi="Open Sans" w:cs="Open Sans"/>
                <w:sz w:val="20"/>
                <w:szCs w:val="20"/>
              </w:rPr>
            </w:pPr>
            <w:r w:rsidRPr="00A014B6">
              <w:rPr>
                <w:rFonts w:ascii="Open Sans" w:hAnsi="Open Sans" w:cs="Open Sans"/>
                <w:b/>
                <w:bCs/>
                <w:sz w:val="20"/>
                <w:szCs w:val="20"/>
              </w:rPr>
              <w:t>%</w:t>
            </w:r>
          </w:p>
        </w:tc>
        <w:tc>
          <w:tcPr>
            <w:tcW w:w="851" w:type="dxa"/>
          </w:tcPr>
          <w:p w14:paraId="2B900CD1" w14:textId="4E8947AC" w:rsidR="008A693D" w:rsidRPr="007D5AAA" w:rsidRDefault="008A693D" w:rsidP="008A693D">
            <w:pPr>
              <w:jc w:val="both"/>
              <w:rPr>
                <w:rFonts w:ascii="Open Sans" w:hAnsi="Open Sans" w:cs="Open Sans"/>
                <w:sz w:val="20"/>
                <w:szCs w:val="20"/>
              </w:rPr>
            </w:pPr>
            <w:r w:rsidRPr="007D5AAA">
              <w:rPr>
                <w:rFonts w:ascii="Open Sans" w:hAnsi="Open Sans" w:cs="Open Sans"/>
                <w:sz w:val="20"/>
                <w:szCs w:val="20"/>
              </w:rPr>
              <w:t>46.2%</w:t>
            </w:r>
          </w:p>
        </w:tc>
      </w:tr>
      <w:tr w:rsidR="008A693D" w:rsidRPr="007D5AAA" w14:paraId="05F97097" w14:textId="77777777" w:rsidTr="008A693D">
        <w:tc>
          <w:tcPr>
            <w:tcW w:w="7792" w:type="dxa"/>
          </w:tcPr>
          <w:p w14:paraId="08904742" w14:textId="27C047C8" w:rsidR="008A693D" w:rsidRPr="007D5AAA" w:rsidRDefault="008A693D" w:rsidP="008A693D">
            <w:pPr>
              <w:jc w:val="both"/>
              <w:rPr>
                <w:rFonts w:ascii="Open Sans" w:hAnsi="Open Sans" w:cs="Open Sans"/>
                <w:sz w:val="20"/>
                <w:szCs w:val="20"/>
              </w:rPr>
            </w:pPr>
            <w:r w:rsidRPr="007D5AAA">
              <w:rPr>
                <w:rFonts w:ascii="Open Sans" w:hAnsi="Open Sans" w:cs="Open Sans"/>
                <w:sz w:val="20"/>
                <w:szCs w:val="20"/>
              </w:rPr>
              <w:t>I did not want to get the perpetrator in trouble</w:t>
            </w:r>
          </w:p>
        </w:tc>
        <w:tc>
          <w:tcPr>
            <w:tcW w:w="708" w:type="dxa"/>
          </w:tcPr>
          <w:p w14:paraId="3F9800CA" w14:textId="700990FD" w:rsidR="008A693D" w:rsidRPr="007D5AAA" w:rsidRDefault="008A693D" w:rsidP="008A693D">
            <w:pPr>
              <w:jc w:val="both"/>
              <w:rPr>
                <w:rFonts w:ascii="Open Sans" w:hAnsi="Open Sans" w:cs="Open Sans"/>
                <w:sz w:val="20"/>
                <w:szCs w:val="20"/>
              </w:rPr>
            </w:pPr>
            <w:r w:rsidRPr="00A014B6">
              <w:rPr>
                <w:rFonts w:ascii="Open Sans" w:hAnsi="Open Sans" w:cs="Open Sans"/>
                <w:b/>
                <w:bCs/>
                <w:sz w:val="20"/>
                <w:szCs w:val="20"/>
              </w:rPr>
              <w:t>%</w:t>
            </w:r>
          </w:p>
        </w:tc>
        <w:tc>
          <w:tcPr>
            <w:tcW w:w="851" w:type="dxa"/>
          </w:tcPr>
          <w:p w14:paraId="220A7363" w14:textId="2F2F2B2C" w:rsidR="008A693D" w:rsidRPr="007D5AAA" w:rsidRDefault="008A693D" w:rsidP="008A693D">
            <w:pPr>
              <w:jc w:val="both"/>
              <w:rPr>
                <w:rFonts w:ascii="Open Sans" w:hAnsi="Open Sans" w:cs="Open Sans"/>
                <w:sz w:val="20"/>
                <w:szCs w:val="20"/>
              </w:rPr>
            </w:pPr>
            <w:r w:rsidRPr="007D5AAA">
              <w:rPr>
                <w:rFonts w:ascii="Open Sans" w:hAnsi="Open Sans" w:cs="Open Sans"/>
                <w:sz w:val="20"/>
                <w:szCs w:val="20"/>
              </w:rPr>
              <w:t>38.5%</w:t>
            </w:r>
          </w:p>
        </w:tc>
      </w:tr>
      <w:tr w:rsidR="008A693D" w:rsidRPr="007D5AAA" w14:paraId="5AE97CCB" w14:textId="77777777" w:rsidTr="008A693D">
        <w:tc>
          <w:tcPr>
            <w:tcW w:w="7792" w:type="dxa"/>
          </w:tcPr>
          <w:p w14:paraId="4D60F93E" w14:textId="168E9CC0" w:rsidR="008A693D" w:rsidRPr="007D5AAA" w:rsidRDefault="008A693D" w:rsidP="008A693D">
            <w:pPr>
              <w:jc w:val="both"/>
              <w:rPr>
                <w:rFonts w:ascii="Open Sans" w:hAnsi="Open Sans" w:cs="Open Sans"/>
                <w:sz w:val="20"/>
                <w:szCs w:val="20"/>
              </w:rPr>
            </w:pPr>
            <w:r w:rsidRPr="007D5AAA">
              <w:rPr>
                <w:rFonts w:ascii="Open Sans" w:hAnsi="Open Sans" w:cs="Open Sans"/>
                <w:sz w:val="20"/>
                <w:szCs w:val="20"/>
              </w:rPr>
              <w:t>I did not trust that I would be believed and was fearful of my experiences being trivialised</w:t>
            </w:r>
          </w:p>
        </w:tc>
        <w:tc>
          <w:tcPr>
            <w:tcW w:w="708" w:type="dxa"/>
          </w:tcPr>
          <w:p w14:paraId="063604F2" w14:textId="3A0C3D1C" w:rsidR="008A693D" w:rsidRPr="007D5AAA" w:rsidRDefault="008A693D" w:rsidP="008A693D">
            <w:pPr>
              <w:jc w:val="both"/>
              <w:rPr>
                <w:rFonts w:ascii="Open Sans" w:hAnsi="Open Sans" w:cs="Open Sans"/>
                <w:sz w:val="20"/>
                <w:szCs w:val="20"/>
              </w:rPr>
            </w:pPr>
            <w:r w:rsidRPr="00A014B6">
              <w:rPr>
                <w:rFonts w:ascii="Open Sans" w:hAnsi="Open Sans" w:cs="Open Sans"/>
                <w:b/>
                <w:bCs/>
                <w:sz w:val="20"/>
                <w:szCs w:val="20"/>
              </w:rPr>
              <w:t>%</w:t>
            </w:r>
          </w:p>
        </w:tc>
        <w:tc>
          <w:tcPr>
            <w:tcW w:w="851" w:type="dxa"/>
          </w:tcPr>
          <w:p w14:paraId="1C4695B2" w14:textId="45631C00" w:rsidR="008A693D" w:rsidRPr="007D5AAA" w:rsidRDefault="008A693D" w:rsidP="008A693D">
            <w:pPr>
              <w:jc w:val="both"/>
              <w:rPr>
                <w:rFonts w:ascii="Open Sans" w:hAnsi="Open Sans" w:cs="Open Sans"/>
                <w:sz w:val="20"/>
                <w:szCs w:val="20"/>
              </w:rPr>
            </w:pPr>
            <w:r w:rsidRPr="007D5AAA">
              <w:rPr>
                <w:rFonts w:ascii="Open Sans" w:hAnsi="Open Sans" w:cs="Open Sans"/>
                <w:sz w:val="20"/>
                <w:szCs w:val="20"/>
              </w:rPr>
              <w:t>69.2%</w:t>
            </w:r>
          </w:p>
        </w:tc>
      </w:tr>
      <w:tr w:rsidR="008A693D" w:rsidRPr="007D5AAA" w14:paraId="6B02B58A" w14:textId="77777777" w:rsidTr="008A693D">
        <w:tc>
          <w:tcPr>
            <w:tcW w:w="7792" w:type="dxa"/>
          </w:tcPr>
          <w:p w14:paraId="4A655B40" w14:textId="78202419" w:rsidR="008A693D" w:rsidRPr="007D5AAA" w:rsidRDefault="008A693D" w:rsidP="008A693D">
            <w:pPr>
              <w:jc w:val="both"/>
              <w:rPr>
                <w:rFonts w:ascii="Open Sans" w:hAnsi="Open Sans" w:cs="Open Sans"/>
                <w:sz w:val="20"/>
                <w:szCs w:val="20"/>
              </w:rPr>
            </w:pPr>
            <w:r w:rsidRPr="007D5AAA">
              <w:rPr>
                <w:rFonts w:ascii="Open Sans" w:hAnsi="Open Sans" w:cs="Open Sans"/>
                <w:sz w:val="20"/>
                <w:szCs w:val="20"/>
              </w:rPr>
              <w:t>I was scared that I may be blamed and lose my social network including friends and/or family</w:t>
            </w:r>
          </w:p>
        </w:tc>
        <w:tc>
          <w:tcPr>
            <w:tcW w:w="708" w:type="dxa"/>
          </w:tcPr>
          <w:p w14:paraId="7BAAE6FE" w14:textId="45C2A175" w:rsidR="008A693D" w:rsidRPr="007D5AAA" w:rsidRDefault="008A693D" w:rsidP="008A693D">
            <w:pPr>
              <w:jc w:val="both"/>
              <w:rPr>
                <w:rFonts w:ascii="Open Sans" w:hAnsi="Open Sans" w:cs="Open Sans"/>
                <w:sz w:val="20"/>
                <w:szCs w:val="20"/>
              </w:rPr>
            </w:pPr>
            <w:r w:rsidRPr="00EA063F">
              <w:rPr>
                <w:rFonts w:ascii="Open Sans" w:hAnsi="Open Sans" w:cs="Open Sans"/>
                <w:b/>
                <w:bCs/>
                <w:sz w:val="20"/>
                <w:szCs w:val="20"/>
              </w:rPr>
              <w:t>%</w:t>
            </w:r>
          </w:p>
        </w:tc>
        <w:tc>
          <w:tcPr>
            <w:tcW w:w="851" w:type="dxa"/>
          </w:tcPr>
          <w:p w14:paraId="2D6A887C" w14:textId="61685C54" w:rsidR="008A693D" w:rsidRPr="007D5AAA" w:rsidRDefault="008A693D" w:rsidP="008A693D">
            <w:pPr>
              <w:jc w:val="both"/>
              <w:rPr>
                <w:rFonts w:ascii="Open Sans" w:hAnsi="Open Sans" w:cs="Open Sans"/>
                <w:sz w:val="20"/>
                <w:szCs w:val="20"/>
              </w:rPr>
            </w:pPr>
            <w:r w:rsidRPr="007D5AAA">
              <w:rPr>
                <w:rFonts w:ascii="Open Sans" w:hAnsi="Open Sans" w:cs="Open Sans"/>
                <w:sz w:val="20"/>
                <w:szCs w:val="20"/>
              </w:rPr>
              <w:t>43.6%</w:t>
            </w:r>
          </w:p>
        </w:tc>
      </w:tr>
      <w:tr w:rsidR="008A693D" w:rsidRPr="007D5AAA" w14:paraId="2A913BAD" w14:textId="77777777" w:rsidTr="008A693D">
        <w:tc>
          <w:tcPr>
            <w:tcW w:w="7792" w:type="dxa"/>
          </w:tcPr>
          <w:p w14:paraId="61FB6DAF" w14:textId="0415D5B0" w:rsidR="008A693D" w:rsidRPr="007D5AAA" w:rsidRDefault="008A693D" w:rsidP="008A693D">
            <w:pPr>
              <w:jc w:val="both"/>
              <w:rPr>
                <w:rFonts w:ascii="Open Sans" w:hAnsi="Open Sans" w:cs="Open Sans"/>
                <w:sz w:val="20"/>
                <w:szCs w:val="20"/>
              </w:rPr>
            </w:pPr>
            <w:r w:rsidRPr="007D5AAA">
              <w:rPr>
                <w:rFonts w:ascii="Open Sans" w:hAnsi="Open Sans" w:cs="Open Sans"/>
                <w:sz w:val="20"/>
                <w:szCs w:val="20"/>
              </w:rPr>
              <w:t>I did not trust that reporting violence would result in justice</w:t>
            </w:r>
          </w:p>
        </w:tc>
        <w:tc>
          <w:tcPr>
            <w:tcW w:w="708" w:type="dxa"/>
          </w:tcPr>
          <w:p w14:paraId="6D9E7BCB" w14:textId="56B8EF3A" w:rsidR="008A693D" w:rsidRPr="007D5AAA" w:rsidRDefault="008A693D" w:rsidP="008A693D">
            <w:pPr>
              <w:jc w:val="both"/>
              <w:rPr>
                <w:rFonts w:ascii="Open Sans" w:hAnsi="Open Sans" w:cs="Open Sans"/>
                <w:sz w:val="20"/>
                <w:szCs w:val="20"/>
              </w:rPr>
            </w:pPr>
            <w:r w:rsidRPr="00EA063F">
              <w:rPr>
                <w:rFonts w:ascii="Open Sans" w:hAnsi="Open Sans" w:cs="Open Sans"/>
                <w:b/>
                <w:bCs/>
                <w:sz w:val="20"/>
                <w:szCs w:val="20"/>
              </w:rPr>
              <w:t>%</w:t>
            </w:r>
          </w:p>
        </w:tc>
        <w:tc>
          <w:tcPr>
            <w:tcW w:w="851" w:type="dxa"/>
          </w:tcPr>
          <w:p w14:paraId="05ABCAD7" w14:textId="666C8E5D" w:rsidR="008A693D" w:rsidRPr="007D5AAA" w:rsidRDefault="008A693D" w:rsidP="008A693D">
            <w:pPr>
              <w:jc w:val="both"/>
              <w:rPr>
                <w:rFonts w:ascii="Open Sans" w:hAnsi="Open Sans" w:cs="Open Sans"/>
                <w:sz w:val="20"/>
                <w:szCs w:val="20"/>
              </w:rPr>
            </w:pPr>
            <w:r w:rsidRPr="007D5AAA">
              <w:rPr>
                <w:rFonts w:ascii="Open Sans" w:hAnsi="Open Sans" w:cs="Open Sans"/>
                <w:sz w:val="20"/>
                <w:szCs w:val="20"/>
              </w:rPr>
              <w:t>61.5%</w:t>
            </w:r>
          </w:p>
        </w:tc>
      </w:tr>
      <w:tr w:rsidR="008A693D" w:rsidRPr="007D5AAA" w14:paraId="0930470E" w14:textId="77777777" w:rsidTr="008A693D">
        <w:tc>
          <w:tcPr>
            <w:tcW w:w="7792" w:type="dxa"/>
          </w:tcPr>
          <w:p w14:paraId="20AB1DB6" w14:textId="54B36520" w:rsidR="008A693D" w:rsidRPr="007D5AAA" w:rsidRDefault="008A693D" w:rsidP="008A693D">
            <w:pPr>
              <w:jc w:val="both"/>
              <w:rPr>
                <w:rFonts w:ascii="Open Sans" w:hAnsi="Open Sans" w:cs="Open Sans"/>
                <w:sz w:val="20"/>
                <w:szCs w:val="20"/>
              </w:rPr>
            </w:pPr>
            <w:r w:rsidRPr="007D5AAA">
              <w:rPr>
                <w:rFonts w:ascii="Open Sans" w:hAnsi="Open Sans" w:cs="Open Sans"/>
                <w:sz w:val="20"/>
                <w:szCs w:val="20"/>
              </w:rPr>
              <w:t>My community does not have a good relationship with authorities such as the police or courts</w:t>
            </w:r>
          </w:p>
        </w:tc>
        <w:tc>
          <w:tcPr>
            <w:tcW w:w="708" w:type="dxa"/>
          </w:tcPr>
          <w:p w14:paraId="4392488A" w14:textId="0FBE693A" w:rsidR="008A693D" w:rsidRPr="007D5AAA" w:rsidRDefault="008A693D" w:rsidP="008A693D">
            <w:pPr>
              <w:jc w:val="both"/>
              <w:rPr>
                <w:rFonts w:ascii="Open Sans" w:hAnsi="Open Sans" w:cs="Open Sans"/>
                <w:sz w:val="20"/>
                <w:szCs w:val="20"/>
              </w:rPr>
            </w:pPr>
            <w:r w:rsidRPr="00EA063F">
              <w:rPr>
                <w:rFonts w:ascii="Open Sans" w:hAnsi="Open Sans" w:cs="Open Sans"/>
                <w:b/>
                <w:bCs/>
                <w:sz w:val="20"/>
                <w:szCs w:val="20"/>
              </w:rPr>
              <w:t>%</w:t>
            </w:r>
          </w:p>
        </w:tc>
        <w:tc>
          <w:tcPr>
            <w:tcW w:w="851" w:type="dxa"/>
          </w:tcPr>
          <w:p w14:paraId="5F9F9BFE" w14:textId="74001E2B" w:rsidR="008A693D" w:rsidRPr="007D5AAA" w:rsidRDefault="008A693D" w:rsidP="008A693D">
            <w:pPr>
              <w:jc w:val="both"/>
              <w:rPr>
                <w:rFonts w:ascii="Open Sans" w:hAnsi="Open Sans" w:cs="Open Sans"/>
                <w:sz w:val="20"/>
                <w:szCs w:val="20"/>
              </w:rPr>
            </w:pPr>
            <w:r w:rsidRPr="007D5AAA">
              <w:rPr>
                <w:rFonts w:ascii="Open Sans" w:hAnsi="Open Sans" w:cs="Open Sans"/>
                <w:sz w:val="20"/>
                <w:szCs w:val="20"/>
              </w:rPr>
              <w:t>12.8%</w:t>
            </w:r>
          </w:p>
        </w:tc>
      </w:tr>
      <w:tr w:rsidR="008A693D" w:rsidRPr="007D5AAA" w14:paraId="051646E3" w14:textId="77777777" w:rsidTr="008A693D">
        <w:tc>
          <w:tcPr>
            <w:tcW w:w="7792" w:type="dxa"/>
          </w:tcPr>
          <w:p w14:paraId="1C228728" w14:textId="013B7291" w:rsidR="008A693D" w:rsidRPr="007D5AAA" w:rsidRDefault="008A693D" w:rsidP="008A693D">
            <w:pPr>
              <w:jc w:val="both"/>
              <w:rPr>
                <w:rFonts w:ascii="Open Sans" w:hAnsi="Open Sans" w:cs="Open Sans"/>
                <w:sz w:val="20"/>
                <w:szCs w:val="20"/>
              </w:rPr>
            </w:pPr>
            <w:r w:rsidRPr="007D5AAA">
              <w:rPr>
                <w:rFonts w:ascii="Open Sans" w:hAnsi="Open Sans" w:cs="Open Sans"/>
                <w:sz w:val="20"/>
                <w:szCs w:val="20"/>
              </w:rPr>
              <w:t>I was scared my education, income or work would be put at risk</w:t>
            </w:r>
          </w:p>
        </w:tc>
        <w:tc>
          <w:tcPr>
            <w:tcW w:w="708" w:type="dxa"/>
          </w:tcPr>
          <w:p w14:paraId="33E5C6B8" w14:textId="16D791CA" w:rsidR="008A693D" w:rsidRPr="007D5AAA" w:rsidRDefault="008A693D" w:rsidP="008A693D">
            <w:pPr>
              <w:jc w:val="both"/>
              <w:rPr>
                <w:rFonts w:ascii="Open Sans" w:hAnsi="Open Sans" w:cs="Open Sans"/>
                <w:sz w:val="20"/>
                <w:szCs w:val="20"/>
              </w:rPr>
            </w:pPr>
            <w:r w:rsidRPr="00EA063F">
              <w:rPr>
                <w:rFonts w:ascii="Open Sans" w:hAnsi="Open Sans" w:cs="Open Sans"/>
                <w:b/>
                <w:bCs/>
                <w:sz w:val="20"/>
                <w:szCs w:val="20"/>
              </w:rPr>
              <w:t>%</w:t>
            </w:r>
          </w:p>
        </w:tc>
        <w:tc>
          <w:tcPr>
            <w:tcW w:w="851" w:type="dxa"/>
          </w:tcPr>
          <w:p w14:paraId="73A7BD4E" w14:textId="5DF5A5C8" w:rsidR="008A693D" w:rsidRPr="007D5AAA" w:rsidRDefault="008A693D" w:rsidP="008A693D">
            <w:pPr>
              <w:jc w:val="both"/>
              <w:rPr>
                <w:rFonts w:ascii="Open Sans" w:hAnsi="Open Sans" w:cs="Open Sans"/>
                <w:sz w:val="20"/>
                <w:szCs w:val="20"/>
              </w:rPr>
            </w:pPr>
            <w:r w:rsidRPr="007D5AAA">
              <w:rPr>
                <w:rFonts w:ascii="Open Sans" w:hAnsi="Open Sans" w:cs="Open Sans"/>
                <w:sz w:val="20"/>
                <w:szCs w:val="20"/>
              </w:rPr>
              <w:t>7.7%</w:t>
            </w:r>
          </w:p>
        </w:tc>
      </w:tr>
      <w:tr w:rsidR="008A693D" w:rsidRPr="007D5AAA" w14:paraId="51A19C96" w14:textId="77777777" w:rsidTr="008A693D">
        <w:tc>
          <w:tcPr>
            <w:tcW w:w="7792" w:type="dxa"/>
          </w:tcPr>
          <w:p w14:paraId="42AA1528" w14:textId="60A6D467" w:rsidR="008A693D" w:rsidRPr="007D5AAA" w:rsidRDefault="008A693D" w:rsidP="008A693D">
            <w:pPr>
              <w:jc w:val="both"/>
              <w:rPr>
                <w:rFonts w:ascii="Open Sans" w:hAnsi="Open Sans" w:cs="Open Sans"/>
                <w:sz w:val="20"/>
                <w:szCs w:val="20"/>
              </w:rPr>
            </w:pPr>
            <w:r w:rsidRPr="007D5AAA">
              <w:rPr>
                <w:rFonts w:ascii="Open Sans" w:hAnsi="Open Sans" w:cs="Open Sans"/>
                <w:sz w:val="20"/>
                <w:szCs w:val="20"/>
              </w:rPr>
              <w:t>I was scared my housing would be put at risk</w:t>
            </w:r>
          </w:p>
        </w:tc>
        <w:tc>
          <w:tcPr>
            <w:tcW w:w="708" w:type="dxa"/>
          </w:tcPr>
          <w:p w14:paraId="132497E4" w14:textId="6700C34E" w:rsidR="008A693D" w:rsidRPr="007D5AAA" w:rsidRDefault="008A693D" w:rsidP="008A693D">
            <w:pPr>
              <w:jc w:val="both"/>
              <w:rPr>
                <w:rFonts w:ascii="Open Sans" w:hAnsi="Open Sans" w:cs="Open Sans"/>
                <w:sz w:val="20"/>
                <w:szCs w:val="20"/>
              </w:rPr>
            </w:pPr>
            <w:r w:rsidRPr="00EA063F">
              <w:rPr>
                <w:rFonts w:ascii="Open Sans" w:hAnsi="Open Sans" w:cs="Open Sans"/>
                <w:b/>
                <w:bCs/>
                <w:sz w:val="20"/>
                <w:szCs w:val="20"/>
              </w:rPr>
              <w:t>%</w:t>
            </w:r>
          </w:p>
        </w:tc>
        <w:tc>
          <w:tcPr>
            <w:tcW w:w="851" w:type="dxa"/>
          </w:tcPr>
          <w:p w14:paraId="11FA7D32" w14:textId="11054B40" w:rsidR="008A693D" w:rsidRPr="007D5AAA" w:rsidRDefault="008A693D" w:rsidP="008A693D">
            <w:pPr>
              <w:jc w:val="both"/>
              <w:rPr>
                <w:rFonts w:ascii="Open Sans" w:hAnsi="Open Sans" w:cs="Open Sans"/>
                <w:sz w:val="20"/>
                <w:szCs w:val="20"/>
              </w:rPr>
            </w:pPr>
            <w:r w:rsidRPr="007D5AAA">
              <w:rPr>
                <w:rFonts w:ascii="Open Sans" w:hAnsi="Open Sans" w:cs="Open Sans"/>
                <w:sz w:val="20"/>
                <w:szCs w:val="20"/>
              </w:rPr>
              <w:t>5.1%</w:t>
            </w:r>
          </w:p>
        </w:tc>
      </w:tr>
      <w:tr w:rsidR="008A693D" w:rsidRPr="007D5AAA" w14:paraId="2A118614" w14:textId="77777777" w:rsidTr="008A693D">
        <w:tc>
          <w:tcPr>
            <w:tcW w:w="7792" w:type="dxa"/>
          </w:tcPr>
          <w:p w14:paraId="400113E3" w14:textId="4FAC7E37" w:rsidR="008A693D" w:rsidRPr="007D5AAA" w:rsidRDefault="008A693D" w:rsidP="008A693D">
            <w:pPr>
              <w:jc w:val="both"/>
              <w:rPr>
                <w:rFonts w:ascii="Open Sans" w:hAnsi="Open Sans" w:cs="Open Sans"/>
                <w:sz w:val="20"/>
                <w:szCs w:val="20"/>
              </w:rPr>
            </w:pPr>
            <w:r w:rsidRPr="007D5AAA">
              <w:rPr>
                <w:rFonts w:ascii="Open Sans" w:hAnsi="Open Sans" w:cs="Open Sans"/>
                <w:sz w:val="20"/>
                <w:szCs w:val="20"/>
              </w:rPr>
              <w:t>Nowhere to report violence in my location</w:t>
            </w:r>
          </w:p>
        </w:tc>
        <w:tc>
          <w:tcPr>
            <w:tcW w:w="708" w:type="dxa"/>
          </w:tcPr>
          <w:p w14:paraId="24F52F40" w14:textId="235167C5" w:rsidR="008A693D" w:rsidRPr="007D5AAA" w:rsidRDefault="008A693D" w:rsidP="008A693D">
            <w:pPr>
              <w:jc w:val="both"/>
              <w:rPr>
                <w:rFonts w:ascii="Open Sans" w:hAnsi="Open Sans" w:cs="Open Sans"/>
                <w:sz w:val="20"/>
                <w:szCs w:val="20"/>
              </w:rPr>
            </w:pPr>
            <w:r w:rsidRPr="00EA063F">
              <w:rPr>
                <w:rFonts w:ascii="Open Sans" w:hAnsi="Open Sans" w:cs="Open Sans"/>
                <w:b/>
                <w:bCs/>
                <w:sz w:val="20"/>
                <w:szCs w:val="20"/>
              </w:rPr>
              <w:t>%</w:t>
            </w:r>
          </w:p>
        </w:tc>
        <w:tc>
          <w:tcPr>
            <w:tcW w:w="851" w:type="dxa"/>
          </w:tcPr>
          <w:p w14:paraId="0464CCCD" w14:textId="7DE3BDCC" w:rsidR="008A693D" w:rsidRPr="007D5AAA" w:rsidRDefault="008A693D" w:rsidP="008A693D">
            <w:pPr>
              <w:jc w:val="both"/>
              <w:rPr>
                <w:rFonts w:ascii="Open Sans" w:hAnsi="Open Sans" w:cs="Open Sans"/>
                <w:sz w:val="20"/>
                <w:szCs w:val="20"/>
              </w:rPr>
            </w:pPr>
            <w:r w:rsidRPr="007D5AAA">
              <w:rPr>
                <w:rFonts w:ascii="Open Sans" w:hAnsi="Open Sans" w:cs="Open Sans"/>
                <w:sz w:val="20"/>
                <w:szCs w:val="20"/>
              </w:rPr>
              <w:t>5.1%</w:t>
            </w:r>
          </w:p>
        </w:tc>
      </w:tr>
      <w:tr w:rsidR="008A693D" w:rsidRPr="007D5AAA" w14:paraId="798FE646" w14:textId="77777777" w:rsidTr="008A693D">
        <w:tc>
          <w:tcPr>
            <w:tcW w:w="7792" w:type="dxa"/>
          </w:tcPr>
          <w:p w14:paraId="7D516A2E" w14:textId="2772E517" w:rsidR="008A693D" w:rsidRPr="007D5AAA" w:rsidRDefault="008A693D" w:rsidP="008A693D">
            <w:pPr>
              <w:jc w:val="both"/>
              <w:rPr>
                <w:rFonts w:ascii="Open Sans" w:hAnsi="Open Sans" w:cs="Open Sans"/>
                <w:sz w:val="20"/>
                <w:szCs w:val="20"/>
              </w:rPr>
            </w:pPr>
            <w:r w:rsidRPr="007D5AAA">
              <w:rPr>
                <w:rFonts w:ascii="Open Sans" w:hAnsi="Open Sans" w:cs="Open Sans"/>
                <w:sz w:val="20"/>
                <w:szCs w:val="20"/>
              </w:rPr>
              <w:t>Difficulty travelling to or contacting someone to report violence</w:t>
            </w:r>
          </w:p>
        </w:tc>
        <w:tc>
          <w:tcPr>
            <w:tcW w:w="708" w:type="dxa"/>
          </w:tcPr>
          <w:p w14:paraId="5D975608" w14:textId="0506C1A5" w:rsidR="008A693D" w:rsidRPr="007D5AAA" w:rsidRDefault="008A693D" w:rsidP="008A693D">
            <w:pPr>
              <w:jc w:val="both"/>
              <w:rPr>
                <w:rFonts w:ascii="Open Sans" w:hAnsi="Open Sans" w:cs="Open Sans"/>
                <w:sz w:val="20"/>
                <w:szCs w:val="20"/>
              </w:rPr>
            </w:pPr>
            <w:r w:rsidRPr="00EA063F">
              <w:rPr>
                <w:rFonts w:ascii="Open Sans" w:hAnsi="Open Sans" w:cs="Open Sans"/>
                <w:b/>
                <w:bCs/>
                <w:sz w:val="20"/>
                <w:szCs w:val="20"/>
              </w:rPr>
              <w:t>%</w:t>
            </w:r>
          </w:p>
        </w:tc>
        <w:tc>
          <w:tcPr>
            <w:tcW w:w="851" w:type="dxa"/>
          </w:tcPr>
          <w:p w14:paraId="37635A67" w14:textId="6D2272B4" w:rsidR="008A693D" w:rsidRPr="007D5AAA" w:rsidRDefault="008A693D" w:rsidP="008A693D">
            <w:pPr>
              <w:jc w:val="both"/>
              <w:rPr>
                <w:rFonts w:ascii="Open Sans" w:hAnsi="Open Sans" w:cs="Open Sans"/>
                <w:sz w:val="20"/>
                <w:szCs w:val="20"/>
              </w:rPr>
            </w:pPr>
            <w:r w:rsidRPr="007D5AAA">
              <w:rPr>
                <w:rFonts w:ascii="Open Sans" w:hAnsi="Open Sans" w:cs="Open Sans"/>
                <w:sz w:val="20"/>
                <w:szCs w:val="20"/>
              </w:rPr>
              <w:t>5.1%</w:t>
            </w:r>
          </w:p>
        </w:tc>
      </w:tr>
      <w:tr w:rsidR="008A693D" w:rsidRPr="007D5AAA" w14:paraId="463CBADB" w14:textId="77777777" w:rsidTr="008A693D">
        <w:tc>
          <w:tcPr>
            <w:tcW w:w="7792" w:type="dxa"/>
          </w:tcPr>
          <w:p w14:paraId="208208DD" w14:textId="7DCB666A" w:rsidR="008A693D" w:rsidRPr="007D5AAA" w:rsidRDefault="008A693D" w:rsidP="008A693D">
            <w:pPr>
              <w:jc w:val="both"/>
              <w:rPr>
                <w:rFonts w:ascii="Open Sans" w:hAnsi="Open Sans" w:cs="Open Sans"/>
                <w:sz w:val="20"/>
                <w:szCs w:val="20"/>
              </w:rPr>
            </w:pPr>
            <w:r w:rsidRPr="007D5AAA">
              <w:rPr>
                <w:rFonts w:ascii="Open Sans" w:hAnsi="Open Sans" w:cs="Open Sans"/>
                <w:sz w:val="20"/>
                <w:szCs w:val="20"/>
              </w:rPr>
              <w:t>No culturally safe or accessible way to report violence (e.g., no interpreter made available, no Aboriginal worker, no understanding of the experience of being disabled and what this means)</w:t>
            </w:r>
          </w:p>
        </w:tc>
        <w:tc>
          <w:tcPr>
            <w:tcW w:w="708" w:type="dxa"/>
          </w:tcPr>
          <w:p w14:paraId="64DDD8BF" w14:textId="6F3F7895" w:rsidR="008A693D" w:rsidRPr="007D5AAA" w:rsidRDefault="008A693D" w:rsidP="008A693D">
            <w:pPr>
              <w:jc w:val="both"/>
              <w:rPr>
                <w:rFonts w:ascii="Open Sans" w:hAnsi="Open Sans" w:cs="Open Sans"/>
                <w:sz w:val="20"/>
                <w:szCs w:val="20"/>
              </w:rPr>
            </w:pPr>
            <w:r w:rsidRPr="00EA063F">
              <w:rPr>
                <w:rFonts w:ascii="Open Sans" w:hAnsi="Open Sans" w:cs="Open Sans"/>
                <w:b/>
                <w:bCs/>
                <w:sz w:val="20"/>
                <w:szCs w:val="20"/>
              </w:rPr>
              <w:t>%</w:t>
            </w:r>
          </w:p>
        </w:tc>
        <w:tc>
          <w:tcPr>
            <w:tcW w:w="851" w:type="dxa"/>
          </w:tcPr>
          <w:p w14:paraId="379ABC76" w14:textId="11CC4774" w:rsidR="008A693D" w:rsidRPr="007D5AAA" w:rsidRDefault="008A693D" w:rsidP="008A693D">
            <w:pPr>
              <w:jc w:val="both"/>
              <w:rPr>
                <w:rFonts w:ascii="Open Sans" w:hAnsi="Open Sans" w:cs="Open Sans"/>
                <w:sz w:val="20"/>
                <w:szCs w:val="20"/>
              </w:rPr>
            </w:pPr>
            <w:r w:rsidRPr="007D5AAA">
              <w:rPr>
                <w:rFonts w:ascii="Open Sans" w:hAnsi="Open Sans" w:cs="Open Sans"/>
                <w:sz w:val="20"/>
                <w:szCs w:val="20"/>
              </w:rPr>
              <w:t>5.1%</w:t>
            </w:r>
          </w:p>
        </w:tc>
      </w:tr>
      <w:tr w:rsidR="008A693D" w:rsidRPr="007D5AAA" w14:paraId="16E1B52F" w14:textId="77777777" w:rsidTr="008A693D">
        <w:tc>
          <w:tcPr>
            <w:tcW w:w="7792" w:type="dxa"/>
          </w:tcPr>
          <w:p w14:paraId="22D9420C" w14:textId="7F24E026" w:rsidR="008A693D" w:rsidRPr="007D5AAA" w:rsidRDefault="008A693D" w:rsidP="008A693D">
            <w:pPr>
              <w:jc w:val="both"/>
              <w:rPr>
                <w:rFonts w:ascii="Open Sans" w:hAnsi="Open Sans" w:cs="Open Sans"/>
                <w:sz w:val="20"/>
                <w:szCs w:val="20"/>
              </w:rPr>
            </w:pPr>
            <w:r w:rsidRPr="007D5AAA">
              <w:rPr>
                <w:rFonts w:ascii="Open Sans" w:hAnsi="Open Sans" w:cs="Open Sans"/>
                <w:sz w:val="20"/>
                <w:szCs w:val="20"/>
              </w:rPr>
              <w:t>Not having the financial means to engage with a service (e.g., money for transport, phone credit, fees and charges)</w:t>
            </w:r>
          </w:p>
        </w:tc>
        <w:tc>
          <w:tcPr>
            <w:tcW w:w="708" w:type="dxa"/>
          </w:tcPr>
          <w:p w14:paraId="47DF2069" w14:textId="7101DB52" w:rsidR="008A693D" w:rsidRPr="007D5AAA" w:rsidRDefault="008A693D" w:rsidP="008A693D">
            <w:pPr>
              <w:jc w:val="both"/>
              <w:rPr>
                <w:rFonts w:ascii="Open Sans" w:hAnsi="Open Sans" w:cs="Open Sans"/>
                <w:sz w:val="20"/>
                <w:szCs w:val="20"/>
              </w:rPr>
            </w:pPr>
            <w:r w:rsidRPr="00EA063F">
              <w:rPr>
                <w:rFonts w:ascii="Open Sans" w:hAnsi="Open Sans" w:cs="Open Sans"/>
                <w:b/>
                <w:bCs/>
                <w:sz w:val="20"/>
                <w:szCs w:val="20"/>
              </w:rPr>
              <w:t>%</w:t>
            </w:r>
          </w:p>
        </w:tc>
        <w:tc>
          <w:tcPr>
            <w:tcW w:w="851" w:type="dxa"/>
          </w:tcPr>
          <w:p w14:paraId="03C77BB6" w14:textId="2DD10CA7" w:rsidR="008A693D" w:rsidRPr="007D5AAA" w:rsidRDefault="008A693D" w:rsidP="008A693D">
            <w:pPr>
              <w:jc w:val="both"/>
              <w:rPr>
                <w:rFonts w:ascii="Open Sans" w:hAnsi="Open Sans" w:cs="Open Sans"/>
                <w:sz w:val="20"/>
                <w:szCs w:val="20"/>
              </w:rPr>
            </w:pPr>
            <w:r w:rsidRPr="007D5AAA">
              <w:rPr>
                <w:rFonts w:ascii="Open Sans" w:hAnsi="Open Sans" w:cs="Open Sans"/>
                <w:sz w:val="20"/>
                <w:szCs w:val="20"/>
              </w:rPr>
              <w:t>5.1%</w:t>
            </w:r>
          </w:p>
        </w:tc>
      </w:tr>
      <w:tr w:rsidR="008A693D" w:rsidRPr="007D5AAA" w14:paraId="53A8E8B5" w14:textId="77777777" w:rsidTr="008A693D">
        <w:tc>
          <w:tcPr>
            <w:tcW w:w="7792" w:type="dxa"/>
          </w:tcPr>
          <w:p w14:paraId="6BF08B29" w14:textId="44B80485" w:rsidR="008A693D" w:rsidRPr="007D5AAA" w:rsidRDefault="008A693D" w:rsidP="008A693D">
            <w:pPr>
              <w:jc w:val="both"/>
              <w:rPr>
                <w:rFonts w:ascii="Open Sans" w:hAnsi="Open Sans" w:cs="Open Sans"/>
                <w:sz w:val="20"/>
                <w:szCs w:val="20"/>
              </w:rPr>
            </w:pPr>
            <w:r w:rsidRPr="007D5AAA">
              <w:rPr>
                <w:rFonts w:ascii="Open Sans" w:hAnsi="Open Sans" w:cs="Open Sans"/>
                <w:sz w:val="20"/>
                <w:szCs w:val="20"/>
              </w:rPr>
              <w:t>Not knowing enough information about where or how I could report violence</w:t>
            </w:r>
          </w:p>
        </w:tc>
        <w:tc>
          <w:tcPr>
            <w:tcW w:w="708" w:type="dxa"/>
          </w:tcPr>
          <w:p w14:paraId="399FEBF2" w14:textId="6F47C7E8" w:rsidR="008A693D" w:rsidRPr="007D5AAA" w:rsidRDefault="008A693D" w:rsidP="008A693D">
            <w:pPr>
              <w:jc w:val="both"/>
              <w:rPr>
                <w:rFonts w:ascii="Open Sans" w:hAnsi="Open Sans" w:cs="Open Sans"/>
                <w:sz w:val="20"/>
                <w:szCs w:val="20"/>
              </w:rPr>
            </w:pPr>
            <w:r w:rsidRPr="00EA063F">
              <w:rPr>
                <w:rFonts w:ascii="Open Sans" w:hAnsi="Open Sans" w:cs="Open Sans"/>
                <w:b/>
                <w:bCs/>
                <w:sz w:val="20"/>
                <w:szCs w:val="20"/>
              </w:rPr>
              <w:t>%</w:t>
            </w:r>
          </w:p>
        </w:tc>
        <w:tc>
          <w:tcPr>
            <w:tcW w:w="851" w:type="dxa"/>
          </w:tcPr>
          <w:p w14:paraId="0617A1DA" w14:textId="55EB2965" w:rsidR="008A693D" w:rsidRPr="007D5AAA" w:rsidRDefault="008A693D" w:rsidP="008A693D">
            <w:pPr>
              <w:jc w:val="both"/>
              <w:rPr>
                <w:rFonts w:ascii="Open Sans" w:hAnsi="Open Sans" w:cs="Open Sans"/>
                <w:sz w:val="20"/>
                <w:szCs w:val="20"/>
              </w:rPr>
            </w:pPr>
            <w:r w:rsidRPr="007D5AAA">
              <w:rPr>
                <w:rFonts w:ascii="Open Sans" w:hAnsi="Open Sans" w:cs="Open Sans"/>
                <w:sz w:val="20"/>
                <w:szCs w:val="20"/>
              </w:rPr>
              <w:t>30.8%</w:t>
            </w:r>
          </w:p>
        </w:tc>
      </w:tr>
      <w:tr w:rsidR="008A693D" w:rsidRPr="007D5AAA" w14:paraId="40BA693E" w14:textId="77777777" w:rsidTr="008A693D">
        <w:tc>
          <w:tcPr>
            <w:tcW w:w="7792" w:type="dxa"/>
          </w:tcPr>
          <w:p w14:paraId="11F450A8" w14:textId="62923FC0" w:rsidR="008A693D" w:rsidRPr="007D5AAA" w:rsidRDefault="008A693D" w:rsidP="008A693D">
            <w:pPr>
              <w:jc w:val="both"/>
              <w:rPr>
                <w:rFonts w:ascii="Open Sans" w:hAnsi="Open Sans" w:cs="Open Sans"/>
                <w:sz w:val="20"/>
                <w:szCs w:val="20"/>
              </w:rPr>
            </w:pPr>
            <w:r w:rsidRPr="007D5AAA">
              <w:rPr>
                <w:rFonts w:ascii="Open Sans" w:hAnsi="Open Sans" w:cs="Open Sans"/>
                <w:sz w:val="20"/>
                <w:szCs w:val="20"/>
              </w:rPr>
              <w:t>Other - Write In</w:t>
            </w:r>
          </w:p>
        </w:tc>
        <w:tc>
          <w:tcPr>
            <w:tcW w:w="708" w:type="dxa"/>
          </w:tcPr>
          <w:p w14:paraId="6A918774" w14:textId="2FCCF782" w:rsidR="008A693D" w:rsidRPr="007D5AAA" w:rsidRDefault="008A693D" w:rsidP="008A693D">
            <w:pPr>
              <w:jc w:val="both"/>
              <w:rPr>
                <w:rFonts w:ascii="Open Sans" w:hAnsi="Open Sans" w:cs="Open Sans"/>
                <w:sz w:val="20"/>
                <w:szCs w:val="20"/>
              </w:rPr>
            </w:pPr>
            <w:r w:rsidRPr="00EA063F">
              <w:rPr>
                <w:rFonts w:ascii="Open Sans" w:hAnsi="Open Sans" w:cs="Open Sans"/>
                <w:b/>
                <w:bCs/>
                <w:sz w:val="20"/>
                <w:szCs w:val="20"/>
              </w:rPr>
              <w:t>%</w:t>
            </w:r>
          </w:p>
        </w:tc>
        <w:tc>
          <w:tcPr>
            <w:tcW w:w="851" w:type="dxa"/>
          </w:tcPr>
          <w:p w14:paraId="64C6FBE5" w14:textId="472B7E1A" w:rsidR="008A693D" w:rsidRPr="007D5AAA" w:rsidRDefault="008A693D" w:rsidP="008A693D">
            <w:pPr>
              <w:jc w:val="both"/>
              <w:rPr>
                <w:rFonts w:ascii="Open Sans" w:hAnsi="Open Sans" w:cs="Open Sans"/>
                <w:sz w:val="20"/>
                <w:szCs w:val="20"/>
              </w:rPr>
            </w:pPr>
            <w:r w:rsidRPr="007D5AAA">
              <w:rPr>
                <w:rFonts w:ascii="Open Sans" w:hAnsi="Open Sans" w:cs="Open Sans"/>
                <w:sz w:val="20"/>
                <w:szCs w:val="20"/>
              </w:rPr>
              <w:t>25.6%</w:t>
            </w:r>
          </w:p>
        </w:tc>
      </w:tr>
    </w:tbl>
    <w:p w14:paraId="24CC5715" w14:textId="77777777" w:rsidR="00330831" w:rsidRPr="00CE2F22" w:rsidRDefault="00330831" w:rsidP="003150C1"/>
    <w:p w14:paraId="17ECDE5D" w14:textId="2D386CCF" w:rsidR="00753A99" w:rsidRPr="00CE2F22" w:rsidRDefault="00753A99" w:rsidP="009A5B8A">
      <w:pPr>
        <w:pStyle w:val="Heading2"/>
      </w:pPr>
      <w:bookmarkStart w:id="63" w:name="_Toc96092078"/>
      <w:r w:rsidRPr="00CE2F22">
        <w:t>Barriers that young victim-survivors experienced when reporting violence</w:t>
      </w:r>
      <w:bookmarkEnd w:id="63"/>
    </w:p>
    <w:p w14:paraId="1A015E17" w14:textId="1C74C6A6" w:rsidR="00753A99" w:rsidRPr="00CE2F22" w:rsidRDefault="00753A99" w:rsidP="00753A99">
      <w:pPr>
        <w:pStyle w:val="BodyText"/>
        <w:rPr>
          <w:lang w:val="en-AU"/>
        </w:rPr>
      </w:pPr>
      <w:r w:rsidRPr="00CE2F22">
        <w:rPr>
          <w:lang w:val="en-AU"/>
        </w:rPr>
        <w:t>While many young victim-survivors experienced barriers that delayed/prevented them from reporting violence, those who did report struggled significantly with inaccessible and insensitive reporting mechanisms and processes. (See Table 3.5.)</w:t>
      </w:r>
    </w:p>
    <w:p w14:paraId="46F581B5" w14:textId="537DC775" w:rsidR="00753A99" w:rsidRPr="00CE2F22" w:rsidRDefault="00753A99" w:rsidP="00753A99">
      <w:pPr>
        <w:pStyle w:val="BodyText"/>
        <w:rPr>
          <w:lang w:val="en-AU"/>
        </w:rPr>
      </w:pPr>
    </w:p>
    <w:p w14:paraId="1B59B104" w14:textId="52B3BDBE" w:rsidR="00753A99" w:rsidRPr="00CE2F22" w:rsidRDefault="00753A99" w:rsidP="00753A99">
      <w:pPr>
        <w:pStyle w:val="IntenseQuote"/>
      </w:pPr>
      <w:r w:rsidRPr="00CE2F22">
        <w:t>When I tried [to report the assault to police], the constable on the phone told me he didn’t believe me as I didn’t report it immediately.</w:t>
      </w:r>
    </w:p>
    <w:p w14:paraId="2A4BE8CD" w14:textId="77777777" w:rsidR="003150C1" w:rsidRPr="00CE2F22" w:rsidRDefault="003150C1" w:rsidP="003150C1"/>
    <w:p w14:paraId="0551026C" w14:textId="633335AF" w:rsidR="003150C1" w:rsidRPr="00CE2F22" w:rsidRDefault="00753A99" w:rsidP="00753A99">
      <w:pPr>
        <w:pStyle w:val="Heading3"/>
        <w:numPr>
          <w:ilvl w:val="0"/>
          <w:numId w:val="13"/>
        </w:numPr>
      </w:pPr>
      <w:bookmarkStart w:id="64" w:name="_Toc96092079"/>
      <w:r w:rsidRPr="00CE2F22">
        <w:t>Not being believed when reporting violence</w:t>
      </w:r>
      <w:bookmarkEnd w:id="64"/>
    </w:p>
    <w:p w14:paraId="5141C519" w14:textId="39D099D5" w:rsidR="00753A99" w:rsidRPr="00CE2F22" w:rsidRDefault="00753A99" w:rsidP="00753A99"/>
    <w:p w14:paraId="218B4D38" w14:textId="59C6D004" w:rsidR="00753A99" w:rsidRPr="00CE2F22" w:rsidRDefault="00753A99" w:rsidP="00D32B4A">
      <w:pPr>
        <w:pStyle w:val="BodyText"/>
        <w:rPr>
          <w:lang w:val="en-AU"/>
        </w:rPr>
      </w:pPr>
      <w:r w:rsidRPr="00CE2F22">
        <w:rPr>
          <w:lang w:val="en-AU"/>
        </w:rPr>
        <w:t>Forty per cent of respondents indicated that when they reported violence, they were not believed.</w:t>
      </w:r>
      <w:r w:rsidR="00D32B4A" w:rsidRPr="00CE2F22">
        <w:rPr>
          <w:lang w:val="en-AU"/>
        </w:rPr>
        <w:t xml:space="preserve"> </w:t>
      </w:r>
      <w:r w:rsidRPr="00CE2F22">
        <w:rPr>
          <w:lang w:val="en-AU"/>
        </w:rPr>
        <w:t>Numerous respondents indicated that not being believed when reporting violence made it harder to speak up again in the future. While a number of</w:t>
      </w:r>
      <w:r w:rsidR="00D32B4A" w:rsidRPr="00CE2F22">
        <w:rPr>
          <w:lang w:val="en-AU"/>
        </w:rPr>
        <w:t xml:space="preserve"> </w:t>
      </w:r>
      <w:r w:rsidRPr="00CE2F22">
        <w:rPr>
          <w:lang w:val="en-AU"/>
        </w:rPr>
        <w:t>respondents had their experiences validated by both their friends and family and psychologists, many reported negative experiences of not being believed by services designed to support victim-survivors.</w:t>
      </w:r>
    </w:p>
    <w:p w14:paraId="3B2714E7" w14:textId="77777777" w:rsidR="00D32B4A" w:rsidRPr="00CE2F22" w:rsidRDefault="00D32B4A" w:rsidP="00D32B4A">
      <w:pPr>
        <w:pStyle w:val="BodyText"/>
        <w:rPr>
          <w:lang w:val="en-AU"/>
        </w:rPr>
      </w:pPr>
    </w:p>
    <w:p w14:paraId="12AA52E1" w14:textId="4A06DFA4" w:rsidR="00753A99" w:rsidRPr="00CE2F22" w:rsidRDefault="00753A99" w:rsidP="00D32B4A">
      <w:pPr>
        <w:pStyle w:val="BodyText"/>
        <w:rPr>
          <w:lang w:val="en-AU"/>
        </w:rPr>
      </w:pPr>
      <w:r w:rsidRPr="00CE2F22">
        <w:rPr>
          <w:lang w:val="en-AU"/>
        </w:rPr>
        <w:t>Similarly, one victim-survivor outlined their experience receiving victim-blaming comments, including being asked about ‘what they were wearing’ when the assault occurred. Another respondent described being repeatedly pushed by police to provide ‘proof’ that she did not consent to forced sexual acts, before they were willing to take any action.</w:t>
      </w:r>
    </w:p>
    <w:p w14:paraId="03766E68" w14:textId="70733542" w:rsidR="00D32B4A" w:rsidRDefault="00D32B4A" w:rsidP="00D32B4A"/>
    <w:tbl>
      <w:tblPr>
        <w:tblStyle w:val="TableGrid1"/>
        <w:tblW w:w="9350" w:type="dxa"/>
        <w:tblLook w:val="04A0" w:firstRow="1" w:lastRow="0" w:firstColumn="1" w:lastColumn="0" w:noHBand="0" w:noVBand="1"/>
      </w:tblPr>
      <w:tblGrid>
        <w:gridCol w:w="7664"/>
        <w:gridCol w:w="837"/>
        <w:gridCol w:w="849"/>
      </w:tblGrid>
      <w:tr w:rsidR="00837D8B" w:rsidRPr="007D5AAA" w14:paraId="1DA00580" w14:textId="77777777" w:rsidTr="00A7218E">
        <w:tc>
          <w:tcPr>
            <w:tcW w:w="9350" w:type="dxa"/>
            <w:gridSpan w:val="3"/>
          </w:tcPr>
          <w:p w14:paraId="5A0219AE" w14:textId="59F1D7E9" w:rsidR="00837D8B" w:rsidRPr="007D5AAA" w:rsidRDefault="00837D8B" w:rsidP="00837D8B">
            <w:pPr>
              <w:pStyle w:val="BodyText"/>
              <w:rPr>
                <w:b/>
                <w:bCs/>
              </w:rPr>
            </w:pPr>
            <w:r w:rsidRPr="00330831">
              <w:rPr>
                <w:b/>
                <w:bCs/>
              </w:rPr>
              <w:t>Table 3.5: Barriers that young victim-survivors experienced when reporting violence</w:t>
            </w:r>
          </w:p>
        </w:tc>
      </w:tr>
      <w:tr w:rsidR="00837D8B" w:rsidRPr="007D5AAA" w14:paraId="5974BA4D" w14:textId="77777777" w:rsidTr="00837D8B">
        <w:tc>
          <w:tcPr>
            <w:tcW w:w="7664" w:type="dxa"/>
          </w:tcPr>
          <w:p w14:paraId="3AA734E9" w14:textId="77777777"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I didn’t know how to report or who to report to.</w:t>
            </w:r>
          </w:p>
        </w:tc>
        <w:tc>
          <w:tcPr>
            <w:tcW w:w="837" w:type="dxa"/>
          </w:tcPr>
          <w:p w14:paraId="57E6F6CA" w14:textId="680B7CD9" w:rsidR="00837D8B" w:rsidRPr="007D5AAA" w:rsidRDefault="00837D8B" w:rsidP="00837D8B">
            <w:pPr>
              <w:jc w:val="both"/>
              <w:rPr>
                <w:rFonts w:ascii="Open Sans" w:hAnsi="Open Sans" w:cs="Open Sans"/>
                <w:sz w:val="20"/>
                <w:szCs w:val="20"/>
              </w:rPr>
            </w:pPr>
            <w:r w:rsidRPr="00E05115">
              <w:rPr>
                <w:rFonts w:ascii="Open Sans" w:hAnsi="Open Sans" w:cs="Open Sans"/>
                <w:b/>
                <w:bCs/>
                <w:sz w:val="20"/>
                <w:szCs w:val="20"/>
              </w:rPr>
              <w:t>%</w:t>
            </w:r>
          </w:p>
        </w:tc>
        <w:tc>
          <w:tcPr>
            <w:tcW w:w="849" w:type="dxa"/>
          </w:tcPr>
          <w:p w14:paraId="3BA58F3C" w14:textId="06E9F19E"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47.4%</w:t>
            </w:r>
          </w:p>
        </w:tc>
      </w:tr>
      <w:tr w:rsidR="00837D8B" w:rsidRPr="007D5AAA" w14:paraId="2D213CA8" w14:textId="77777777" w:rsidTr="00837D8B">
        <w:tc>
          <w:tcPr>
            <w:tcW w:w="7664" w:type="dxa"/>
          </w:tcPr>
          <w:p w14:paraId="6E1BFD14" w14:textId="77777777"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I was not believed.</w:t>
            </w:r>
          </w:p>
        </w:tc>
        <w:tc>
          <w:tcPr>
            <w:tcW w:w="837" w:type="dxa"/>
          </w:tcPr>
          <w:p w14:paraId="765826EC" w14:textId="1BC188DF" w:rsidR="00837D8B" w:rsidRPr="007D5AAA" w:rsidRDefault="00837D8B" w:rsidP="00837D8B">
            <w:pPr>
              <w:jc w:val="both"/>
              <w:rPr>
                <w:rFonts w:ascii="Open Sans" w:hAnsi="Open Sans" w:cs="Open Sans"/>
                <w:sz w:val="20"/>
                <w:szCs w:val="20"/>
              </w:rPr>
            </w:pPr>
            <w:r w:rsidRPr="00E05115">
              <w:rPr>
                <w:rFonts w:ascii="Open Sans" w:hAnsi="Open Sans" w:cs="Open Sans"/>
                <w:b/>
                <w:bCs/>
                <w:sz w:val="20"/>
                <w:szCs w:val="20"/>
              </w:rPr>
              <w:t>%</w:t>
            </w:r>
          </w:p>
        </w:tc>
        <w:tc>
          <w:tcPr>
            <w:tcW w:w="849" w:type="dxa"/>
          </w:tcPr>
          <w:p w14:paraId="42C8D1B1" w14:textId="52969828"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40.0%</w:t>
            </w:r>
          </w:p>
        </w:tc>
      </w:tr>
      <w:tr w:rsidR="00837D8B" w:rsidRPr="007D5AAA" w14:paraId="2B2EF0C5" w14:textId="77777777" w:rsidTr="00837D8B">
        <w:trPr>
          <w:trHeight w:val="349"/>
        </w:trPr>
        <w:tc>
          <w:tcPr>
            <w:tcW w:w="7664" w:type="dxa"/>
          </w:tcPr>
          <w:p w14:paraId="6F20CC33" w14:textId="77777777"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I was discouraged by a family member or friend from making an official report as no justice can be obtained.</w:t>
            </w:r>
          </w:p>
        </w:tc>
        <w:tc>
          <w:tcPr>
            <w:tcW w:w="837" w:type="dxa"/>
          </w:tcPr>
          <w:p w14:paraId="7FBB0BA0" w14:textId="6AAC8609" w:rsidR="00837D8B" w:rsidRPr="007D5AAA" w:rsidRDefault="00837D8B" w:rsidP="00837D8B">
            <w:pPr>
              <w:jc w:val="both"/>
              <w:rPr>
                <w:rFonts w:ascii="Open Sans" w:hAnsi="Open Sans" w:cs="Open Sans"/>
                <w:sz w:val="20"/>
                <w:szCs w:val="20"/>
              </w:rPr>
            </w:pPr>
            <w:r w:rsidRPr="00E05115">
              <w:rPr>
                <w:rFonts w:ascii="Open Sans" w:hAnsi="Open Sans" w:cs="Open Sans"/>
                <w:b/>
                <w:bCs/>
                <w:sz w:val="20"/>
                <w:szCs w:val="20"/>
              </w:rPr>
              <w:t>%</w:t>
            </w:r>
          </w:p>
        </w:tc>
        <w:tc>
          <w:tcPr>
            <w:tcW w:w="849" w:type="dxa"/>
          </w:tcPr>
          <w:p w14:paraId="5846B231" w14:textId="2EDA1742"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43.7%</w:t>
            </w:r>
          </w:p>
        </w:tc>
      </w:tr>
      <w:tr w:rsidR="00837D8B" w:rsidRPr="007D5AAA" w14:paraId="23EBFEFC" w14:textId="77777777" w:rsidTr="00837D8B">
        <w:tc>
          <w:tcPr>
            <w:tcW w:w="7664" w:type="dxa"/>
          </w:tcPr>
          <w:p w14:paraId="42D78FC8" w14:textId="77777777"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I wanted to report to a service, but there was a waiting list.</w:t>
            </w:r>
          </w:p>
        </w:tc>
        <w:tc>
          <w:tcPr>
            <w:tcW w:w="837" w:type="dxa"/>
          </w:tcPr>
          <w:p w14:paraId="0993895E" w14:textId="779EFBDB" w:rsidR="00837D8B" w:rsidRPr="007D5AAA" w:rsidRDefault="00837D8B" w:rsidP="00837D8B">
            <w:pPr>
              <w:jc w:val="both"/>
              <w:rPr>
                <w:rFonts w:ascii="Open Sans" w:hAnsi="Open Sans" w:cs="Open Sans"/>
                <w:sz w:val="20"/>
                <w:szCs w:val="20"/>
              </w:rPr>
            </w:pPr>
            <w:r w:rsidRPr="00E05115">
              <w:rPr>
                <w:rFonts w:ascii="Open Sans" w:hAnsi="Open Sans" w:cs="Open Sans"/>
                <w:b/>
                <w:bCs/>
                <w:sz w:val="20"/>
                <w:szCs w:val="20"/>
              </w:rPr>
              <w:t>%</w:t>
            </w:r>
          </w:p>
        </w:tc>
        <w:tc>
          <w:tcPr>
            <w:tcW w:w="849" w:type="dxa"/>
          </w:tcPr>
          <w:p w14:paraId="62B3B9CE" w14:textId="45B9F25C"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5.9%</w:t>
            </w:r>
          </w:p>
        </w:tc>
      </w:tr>
      <w:tr w:rsidR="00837D8B" w:rsidRPr="007D5AAA" w14:paraId="56EB66D1" w14:textId="77777777" w:rsidTr="00837D8B">
        <w:tc>
          <w:tcPr>
            <w:tcW w:w="7664" w:type="dxa"/>
          </w:tcPr>
          <w:p w14:paraId="2FA1D9A6" w14:textId="77777777"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I wanted to report to a service but the process was not accessible (e.g. not in Easy English, Auslan, my first language).</w:t>
            </w:r>
          </w:p>
        </w:tc>
        <w:tc>
          <w:tcPr>
            <w:tcW w:w="837" w:type="dxa"/>
          </w:tcPr>
          <w:p w14:paraId="17A86B2B" w14:textId="2930F2AD" w:rsidR="00837D8B" w:rsidRPr="007D5AAA" w:rsidRDefault="00837D8B" w:rsidP="00837D8B">
            <w:pPr>
              <w:jc w:val="both"/>
              <w:rPr>
                <w:rFonts w:ascii="Open Sans" w:hAnsi="Open Sans" w:cs="Open Sans"/>
                <w:sz w:val="20"/>
                <w:szCs w:val="20"/>
              </w:rPr>
            </w:pPr>
            <w:r w:rsidRPr="00E05115">
              <w:rPr>
                <w:rFonts w:ascii="Open Sans" w:hAnsi="Open Sans" w:cs="Open Sans"/>
                <w:b/>
                <w:bCs/>
                <w:sz w:val="20"/>
                <w:szCs w:val="20"/>
              </w:rPr>
              <w:t>%</w:t>
            </w:r>
          </w:p>
        </w:tc>
        <w:tc>
          <w:tcPr>
            <w:tcW w:w="849" w:type="dxa"/>
          </w:tcPr>
          <w:p w14:paraId="6F276F72" w14:textId="7C099BBC"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3.7%</w:t>
            </w:r>
          </w:p>
        </w:tc>
      </w:tr>
      <w:tr w:rsidR="00837D8B" w:rsidRPr="007D5AAA" w14:paraId="33DA9BB6" w14:textId="77777777" w:rsidTr="00837D8B">
        <w:tc>
          <w:tcPr>
            <w:tcW w:w="7664" w:type="dxa"/>
          </w:tcPr>
          <w:p w14:paraId="1FD44A40" w14:textId="77777777"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I did not trust that my GP would be able to do something about it.</w:t>
            </w:r>
          </w:p>
        </w:tc>
        <w:tc>
          <w:tcPr>
            <w:tcW w:w="837" w:type="dxa"/>
          </w:tcPr>
          <w:p w14:paraId="08D7B815" w14:textId="55DAA2E6" w:rsidR="00837D8B" w:rsidRPr="007D5AAA" w:rsidRDefault="00837D8B" w:rsidP="00837D8B">
            <w:pPr>
              <w:jc w:val="both"/>
              <w:rPr>
                <w:rFonts w:ascii="Open Sans" w:hAnsi="Open Sans" w:cs="Open Sans"/>
                <w:sz w:val="20"/>
                <w:szCs w:val="20"/>
              </w:rPr>
            </w:pPr>
            <w:r w:rsidRPr="00E05115">
              <w:rPr>
                <w:rFonts w:ascii="Open Sans" w:hAnsi="Open Sans" w:cs="Open Sans"/>
                <w:b/>
                <w:bCs/>
                <w:sz w:val="20"/>
                <w:szCs w:val="20"/>
              </w:rPr>
              <w:t>%</w:t>
            </w:r>
          </w:p>
        </w:tc>
        <w:tc>
          <w:tcPr>
            <w:tcW w:w="849" w:type="dxa"/>
          </w:tcPr>
          <w:p w14:paraId="2E31496D" w14:textId="33240B71"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16.3%</w:t>
            </w:r>
          </w:p>
        </w:tc>
      </w:tr>
      <w:tr w:rsidR="00837D8B" w:rsidRPr="007D5AAA" w14:paraId="6E5ADEDF" w14:textId="77777777" w:rsidTr="00837D8B">
        <w:tc>
          <w:tcPr>
            <w:tcW w:w="7664" w:type="dxa"/>
          </w:tcPr>
          <w:p w14:paraId="64946909" w14:textId="77777777"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 xml:space="preserve">Person I reported to had a lack of knowledge about what counts as violence (e.g., financial or economic abuse). </w:t>
            </w:r>
          </w:p>
        </w:tc>
        <w:tc>
          <w:tcPr>
            <w:tcW w:w="837" w:type="dxa"/>
          </w:tcPr>
          <w:p w14:paraId="48E68BF6" w14:textId="3FA83968" w:rsidR="00837D8B" w:rsidRPr="007D5AAA" w:rsidRDefault="00837D8B" w:rsidP="00837D8B">
            <w:pPr>
              <w:jc w:val="both"/>
              <w:rPr>
                <w:rFonts w:ascii="Open Sans" w:hAnsi="Open Sans" w:cs="Open Sans"/>
                <w:sz w:val="20"/>
                <w:szCs w:val="20"/>
              </w:rPr>
            </w:pPr>
            <w:r w:rsidRPr="00E05115">
              <w:rPr>
                <w:rFonts w:ascii="Open Sans" w:hAnsi="Open Sans" w:cs="Open Sans"/>
                <w:b/>
                <w:bCs/>
                <w:sz w:val="20"/>
                <w:szCs w:val="20"/>
              </w:rPr>
              <w:t>%</w:t>
            </w:r>
          </w:p>
        </w:tc>
        <w:tc>
          <w:tcPr>
            <w:tcW w:w="849" w:type="dxa"/>
          </w:tcPr>
          <w:p w14:paraId="2C8E68E5" w14:textId="56BDC2C9"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27.4%</w:t>
            </w:r>
          </w:p>
        </w:tc>
      </w:tr>
      <w:tr w:rsidR="00837D8B" w:rsidRPr="007D5AAA" w14:paraId="443CD415" w14:textId="77777777" w:rsidTr="00837D8B">
        <w:tc>
          <w:tcPr>
            <w:tcW w:w="7664" w:type="dxa"/>
          </w:tcPr>
          <w:p w14:paraId="2F250E5E" w14:textId="77777777"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I was required to repeat my story multiple times.</w:t>
            </w:r>
          </w:p>
        </w:tc>
        <w:tc>
          <w:tcPr>
            <w:tcW w:w="837" w:type="dxa"/>
          </w:tcPr>
          <w:p w14:paraId="01D9B8FC" w14:textId="33AF1B2E" w:rsidR="00837D8B" w:rsidRPr="007D5AAA" w:rsidRDefault="00837D8B" w:rsidP="00837D8B">
            <w:pPr>
              <w:jc w:val="both"/>
              <w:rPr>
                <w:rFonts w:ascii="Open Sans" w:hAnsi="Open Sans" w:cs="Open Sans"/>
                <w:sz w:val="20"/>
                <w:szCs w:val="20"/>
              </w:rPr>
            </w:pPr>
            <w:r w:rsidRPr="00E05115">
              <w:rPr>
                <w:rFonts w:ascii="Open Sans" w:hAnsi="Open Sans" w:cs="Open Sans"/>
                <w:b/>
                <w:bCs/>
                <w:sz w:val="20"/>
                <w:szCs w:val="20"/>
              </w:rPr>
              <w:t>%</w:t>
            </w:r>
          </w:p>
        </w:tc>
        <w:tc>
          <w:tcPr>
            <w:tcW w:w="849" w:type="dxa"/>
          </w:tcPr>
          <w:p w14:paraId="3BA501A4" w14:textId="4F942845"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48.1%</w:t>
            </w:r>
          </w:p>
        </w:tc>
      </w:tr>
      <w:tr w:rsidR="00837D8B" w:rsidRPr="007D5AAA" w14:paraId="2D263200" w14:textId="77777777" w:rsidTr="00837D8B">
        <w:tc>
          <w:tcPr>
            <w:tcW w:w="7664" w:type="dxa"/>
          </w:tcPr>
          <w:p w14:paraId="6CA10BDC" w14:textId="77777777"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 xml:space="preserve">I felt discriminated against because of my race, ethnicity, religion, nationality, sexual orientation, gender identity, class, age, disability and/or migration status. </w:t>
            </w:r>
          </w:p>
        </w:tc>
        <w:tc>
          <w:tcPr>
            <w:tcW w:w="837" w:type="dxa"/>
          </w:tcPr>
          <w:p w14:paraId="72A86CEC" w14:textId="5FB289BA" w:rsidR="00837D8B" w:rsidRPr="007D5AAA" w:rsidRDefault="00837D8B" w:rsidP="00837D8B">
            <w:pPr>
              <w:jc w:val="both"/>
              <w:rPr>
                <w:rFonts w:ascii="Open Sans" w:hAnsi="Open Sans" w:cs="Open Sans"/>
                <w:sz w:val="20"/>
                <w:szCs w:val="20"/>
              </w:rPr>
            </w:pPr>
            <w:r w:rsidRPr="00E05115">
              <w:rPr>
                <w:rFonts w:ascii="Open Sans" w:hAnsi="Open Sans" w:cs="Open Sans"/>
                <w:b/>
                <w:bCs/>
                <w:sz w:val="20"/>
                <w:szCs w:val="20"/>
              </w:rPr>
              <w:t>%</w:t>
            </w:r>
          </w:p>
        </w:tc>
        <w:tc>
          <w:tcPr>
            <w:tcW w:w="849" w:type="dxa"/>
          </w:tcPr>
          <w:p w14:paraId="7950D5C7" w14:textId="189A4DD4"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28.9%</w:t>
            </w:r>
          </w:p>
        </w:tc>
      </w:tr>
      <w:tr w:rsidR="00837D8B" w:rsidRPr="007D5AAA" w14:paraId="22249AEB" w14:textId="77777777" w:rsidTr="00837D8B">
        <w:tc>
          <w:tcPr>
            <w:tcW w:w="7664" w:type="dxa"/>
          </w:tcPr>
          <w:p w14:paraId="2D58E379" w14:textId="77777777"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 xml:space="preserve">I felt pressured to protect the perception of my community (e.g. I did not want to increase the perception of Aboriginal men as violent or Muslim men as controlling). </w:t>
            </w:r>
          </w:p>
        </w:tc>
        <w:tc>
          <w:tcPr>
            <w:tcW w:w="837" w:type="dxa"/>
          </w:tcPr>
          <w:p w14:paraId="178CEBC6" w14:textId="5F5A927D" w:rsidR="00837D8B" w:rsidRPr="007D5AAA" w:rsidRDefault="00837D8B" w:rsidP="00837D8B">
            <w:pPr>
              <w:jc w:val="both"/>
              <w:rPr>
                <w:rFonts w:ascii="Open Sans" w:hAnsi="Open Sans" w:cs="Open Sans"/>
                <w:sz w:val="20"/>
                <w:szCs w:val="20"/>
              </w:rPr>
            </w:pPr>
            <w:r w:rsidRPr="00E05115">
              <w:rPr>
                <w:rFonts w:ascii="Open Sans" w:hAnsi="Open Sans" w:cs="Open Sans"/>
                <w:b/>
                <w:bCs/>
                <w:sz w:val="20"/>
                <w:szCs w:val="20"/>
              </w:rPr>
              <w:t>%</w:t>
            </w:r>
          </w:p>
        </w:tc>
        <w:tc>
          <w:tcPr>
            <w:tcW w:w="849" w:type="dxa"/>
          </w:tcPr>
          <w:p w14:paraId="461B58A5" w14:textId="42677F56"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11.9%</w:t>
            </w:r>
          </w:p>
        </w:tc>
      </w:tr>
      <w:tr w:rsidR="00837D8B" w:rsidRPr="007D5AAA" w14:paraId="3E277F8A" w14:textId="77777777" w:rsidTr="00837D8B">
        <w:tc>
          <w:tcPr>
            <w:tcW w:w="7664" w:type="dxa"/>
          </w:tcPr>
          <w:p w14:paraId="7157EF34" w14:textId="77777777"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 xml:space="preserve">I was not believed by police and was discouraged from proceeding. </w:t>
            </w:r>
          </w:p>
        </w:tc>
        <w:tc>
          <w:tcPr>
            <w:tcW w:w="837" w:type="dxa"/>
          </w:tcPr>
          <w:p w14:paraId="2073854F" w14:textId="30B2B129" w:rsidR="00837D8B" w:rsidRPr="007D5AAA" w:rsidRDefault="00837D8B" w:rsidP="00837D8B">
            <w:pPr>
              <w:jc w:val="both"/>
              <w:rPr>
                <w:rFonts w:ascii="Open Sans" w:hAnsi="Open Sans" w:cs="Open Sans"/>
                <w:sz w:val="20"/>
                <w:szCs w:val="20"/>
              </w:rPr>
            </w:pPr>
            <w:r w:rsidRPr="00E05115">
              <w:rPr>
                <w:rFonts w:ascii="Open Sans" w:hAnsi="Open Sans" w:cs="Open Sans"/>
                <w:b/>
                <w:bCs/>
                <w:sz w:val="20"/>
                <w:szCs w:val="20"/>
              </w:rPr>
              <w:t>%</w:t>
            </w:r>
          </w:p>
        </w:tc>
        <w:tc>
          <w:tcPr>
            <w:tcW w:w="849" w:type="dxa"/>
          </w:tcPr>
          <w:p w14:paraId="558082D1" w14:textId="143DC321"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20.0%</w:t>
            </w:r>
          </w:p>
        </w:tc>
      </w:tr>
      <w:tr w:rsidR="00837D8B" w:rsidRPr="007D5AAA" w14:paraId="538B1E2E" w14:textId="77777777" w:rsidTr="00837D8B">
        <w:tc>
          <w:tcPr>
            <w:tcW w:w="7664" w:type="dxa"/>
          </w:tcPr>
          <w:p w14:paraId="0C54B564" w14:textId="77777777"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My workplace did not know how to deal with my disclosure.</w:t>
            </w:r>
          </w:p>
        </w:tc>
        <w:tc>
          <w:tcPr>
            <w:tcW w:w="837" w:type="dxa"/>
          </w:tcPr>
          <w:p w14:paraId="17A2F069" w14:textId="52432D03" w:rsidR="00837D8B" w:rsidRPr="007D5AAA" w:rsidRDefault="00837D8B" w:rsidP="00837D8B">
            <w:pPr>
              <w:jc w:val="both"/>
              <w:rPr>
                <w:rFonts w:ascii="Open Sans" w:hAnsi="Open Sans" w:cs="Open Sans"/>
                <w:sz w:val="20"/>
                <w:szCs w:val="20"/>
              </w:rPr>
            </w:pPr>
            <w:r w:rsidRPr="00E05115">
              <w:rPr>
                <w:rFonts w:ascii="Open Sans" w:hAnsi="Open Sans" w:cs="Open Sans"/>
                <w:b/>
                <w:bCs/>
                <w:sz w:val="20"/>
                <w:szCs w:val="20"/>
              </w:rPr>
              <w:t>%</w:t>
            </w:r>
          </w:p>
        </w:tc>
        <w:tc>
          <w:tcPr>
            <w:tcW w:w="849" w:type="dxa"/>
          </w:tcPr>
          <w:p w14:paraId="28BF7228" w14:textId="0ACDE3A5"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18.5%</w:t>
            </w:r>
          </w:p>
        </w:tc>
      </w:tr>
      <w:tr w:rsidR="00837D8B" w:rsidRPr="007D5AAA" w14:paraId="33116D85" w14:textId="77777777" w:rsidTr="00837D8B">
        <w:tc>
          <w:tcPr>
            <w:tcW w:w="7664" w:type="dxa"/>
          </w:tcPr>
          <w:p w14:paraId="1B11A6A7" w14:textId="77777777"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Other - Write In.</w:t>
            </w:r>
          </w:p>
        </w:tc>
        <w:tc>
          <w:tcPr>
            <w:tcW w:w="837" w:type="dxa"/>
          </w:tcPr>
          <w:p w14:paraId="16341265" w14:textId="7622B1FD" w:rsidR="00837D8B" w:rsidRPr="007D5AAA" w:rsidRDefault="00837D8B" w:rsidP="00837D8B">
            <w:pPr>
              <w:jc w:val="both"/>
              <w:rPr>
                <w:rFonts w:ascii="Open Sans" w:hAnsi="Open Sans" w:cs="Open Sans"/>
                <w:sz w:val="20"/>
                <w:szCs w:val="20"/>
              </w:rPr>
            </w:pPr>
            <w:r w:rsidRPr="00E05115">
              <w:rPr>
                <w:rFonts w:ascii="Open Sans" w:hAnsi="Open Sans" w:cs="Open Sans"/>
                <w:b/>
                <w:bCs/>
                <w:sz w:val="20"/>
                <w:szCs w:val="20"/>
              </w:rPr>
              <w:t>%</w:t>
            </w:r>
          </w:p>
        </w:tc>
        <w:tc>
          <w:tcPr>
            <w:tcW w:w="849" w:type="dxa"/>
          </w:tcPr>
          <w:p w14:paraId="0F330347" w14:textId="60ED99D9"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31.9%</w:t>
            </w:r>
          </w:p>
        </w:tc>
      </w:tr>
    </w:tbl>
    <w:p w14:paraId="0ECF1D64" w14:textId="77777777" w:rsidR="00330831" w:rsidRPr="00CE2F22" w:rsidRDefault="00330831" w:rsidP="00D32B4A"/>
    <w:p w14:paraId="23B51116" w14:textId="71A601F0" w:rsidR="00D32B4A" w:rsidRPr="00CE2F22" w:rsidRDefault="00D32B4A" w:rsidP="00D32B4A">
      <w:pPr>
        <w:pStyle w:val="IntenseQuote"/>
      </w:pPr>
      <w:r w:rsidRPr="00CE2F22">
        <w:t xml:space="preserve">Reporting to friends, family and my psychologist were good. It helped me deal with the trauma I had been through. However, reporting to the University and the police was entirely negative and traumatic. I was not believed; I was told it was my fault and given no support whatsoever. </w:t>
      </w:r>
    </w:p>
    <w:p w14:paraId="4E0B547D" w14:textId="77777777" w:rsidR="00D32B4A" w:rsidRPr="00CE2F22" w:rsidRDefault="00D32B4A" w:rsidP="00D32B4A">
      <w:pPr>
        <w:pStyle w:val="BodyText"/>
        <w:rPr>
          <w:lang w:val="en-AU"/>
        </w:rPr>
      </w:pPr>
    </w:p>
    <w:p w14:paraId="697CA5B1" w14:textId="6B96EF88" w:rsidR="00D32B4A" w:rsidRPr="00CE2F22" w:rsidRDefault="00D32B4A" w:rsidP="00D32B4A">
      <w:pPr>
        <w:pStyle w:val="Heading3"/>
        <w:numPr>
          <w:ilvl w:val="0"/>
          <w:numId w:val="13"/>
        </w:numPr>
      </w:pPr>
      <w:bookmarkStart w:id="65" w:name="_Toc96092080"/>
      <w:r w:rsidRPr="00CE2F22">
        <w:t>Being required to repeat your story</w:t>
      </w:r>
      <w:bookmarkEnd w:id="65"/>
    </w:p>
    <w:p w14:paraId="187025C7" w14:textId="2165F007" w:rsidR="00D32B4A" w:rsidRPr="00CE2F22" w:rsidRDefault="00D32B4A" w:rsidP="00D32B4A"/>
    <w:p w14:paraId="5EB600E0" w14:textId="1A338E71" w:rsidR="00D32B4A" w:rsidRPr="00CE2F22" w:rsidRDefault="00D32B4A" w:rsidP="00D32B4A">
      <w:pPr>
        <w:pStyle w:val="BodyText"/>
        <w:rPr>
          <w:lang w:val="en-AU"/>
        </w:rPr>
      </w:pPr>
      <w:r w:rsidRPr="00CE2F22">
        <w:rPr>
          <w:lang w:val="en-AU"/>
        </w:rPr>
        <w:t>Of those who reported violence, 48.1% highlighted that they were required to repeat their stories multiple times, with many respondents describing this experience as ‘re-traumatising’, ‘humiliating’, and/or ‘worse than the assault itself’.</w:t>
      </w:r>
    </w:p>
    <w:p w14:paraId="41AE5789" w14:textId="11935341" w:rsidR="003150C1" w:rsidRPr="00CE2F22" w:rsidRDefault="003150C1" w:rsidP="003150C1"/>
    <w:p w14:paraId="4868B411" w14:textId="75E33375" w:rsidR="00D32B4A" w:rsidRPr="00CE2F22" w:rsidRDefault="00D32B4A" w:rsidP="00D32B4A">
      <w:pPr>
        <w:pStyle w:val="Heading3"/>
        <w:numPr>
          <w:ilvl w:val="0"/>
          <w:numId w:val="13"/>
        </w:numPr>
      </w:pPr>
      <w:bookmarkStart w:id="66" w:name="_Toc96092081"/>
      <w:r w:rsidRPr="00CE2F22">
        <w:t>Discrimination</w:t>
      </w:r>
      <w:bookmarkEnd w:id="66"/>
    </w:p>
    <w:p w14:paraId="5BEDAF3E" w14:textId="77777777" w:rsidR="00D32B4A" w:rsidRPr="00CE2F22" w:rsidRDefault="00D32B4A" w:rsidP="003150C1"/>
    <w:p w14:paraId="6554CA1E" w14:textId="63C54950" w:rsidR="00D32B4A" w:rsidRPr="00CE2F22" w:rsidRDefault="00D909F2" w:rsidP="00D909F2">
      <w:pPr>
        <w:pStyle w:val="BodyText"/>
        <w:rPr>
          <w:lang w:val="en-AU"/>
        </w:rPr>
      </w:pPr>
      <w:r w:rsidRPr="00CE2F22">
        <w:rPr>
          <w:lang w:val="en-AU"/>
        </w:rPr>
        <w:t>Encountering discrimination (on the basis of race, ethnicity, religion, nationality, gender identity, sexual orientation, class, age, disability and/or migration status) was reported as a common barrier when reporting violence for young victim-survivors. (See Figure 3.1.)</w:t>
      </w:r>
    </w:p>
    <w:p w14:paraId="229A7D2C" w14:textId="1BC0C52C" w:rsidR="00D909F2" w:rsidRPr="00CE2F22" w:rsidRDefault="00D909F2" w:rsidP="00D909F2">
      <w:pPr>
        <w:pStyle w:val="BodyText"/>
        <w:rPr>
          <w:lang w:val="en-AU"/>
        </w:rPr>
      </w:pPr>
    </w:p>
    <w:p w14:paraId="4D58E7B3" w14:textId="45071478" w:rsidR="00D909F2" w:rsidRPr="00CE2F22" w:rsidRDefault="00D909F2" w:rsidP="00D909F2">
      <w:pPr>
        <w:pStyle w:val="BodyText"/>
        <w:rPr>
          <w:b/>
          <w:bCs/>
          <w:lang w:val="en-AU"/>
        </w:rPr>
      </w:pPr>
      <w:r w:rsidRPr="00CE2F22">
        <w:rPr>
          <w:b/>
          <w:bCs/>
          <w:lang w:val="en-AU"/>
        </w:rPr>
        <w:t>Figure 3.1: Discrimination experienced when reporting violence</w:t>
      </w:r>
    </w:p>
    <w:p w14:paraId="3BA90AE6" w14:textId="5F13E215" w:rsidR="00D909F2" w:rsidRPr="00CE2F22" w:rsidRDefault="00D909F2" w:rsidP="00D909F2">
      <w:pPr>
        <w:pStyle w:val="BodyText"/>
        <w:rPr>
          <w:lang w:val="en-AU"/>
        </w:rPr>
      </w:pPr>
    </w:p>
    <w:p w14:paraId="18D5393E" w14:textId="1D1CF8FF" w:rsidR="00D909F2" w:rsidRPr="00CE2F22" w:rsidRDefault="00D909F2" w:rsidP="00D909F2">
      <w:pPr>
        <w:pStyle w:val="BodyText"/>
        <w:rPr>
          <w:rStyle w:val="Emphasis"/>
          <w:lang w:val="en-AU"/>
        </w:rPr>
      </w:pPr>
      <w:r w:rsidRPr="00CE2F22">
        <w:rPr>
          <w:rStyle w:val="Emphasis"/>
          <w:lang w:val="en-AU"/>
        </w:rPr>
        <w:t>Who is experiencing discrimination when reporting violence?</w:t>
      </w:r>
    </w:p>
    <w:p w14:paraId="7B890CD3" w14:textId="6FBC09E3" w:rsidR="00D909F2" w:rsidRPr="00CE2F22" w:rsidRDefault="00D909F2" w:rsidP="00D909F2">
      <w:pPr>
        <w:pStyle w:val="BodyText"/>
        <w:numPr>
          <w:ilvl w:val="0"/>
          <w:numId w:val="16"/>
        </w:numPr>
        <w:rPr>
          <w:rStyle w:val="SubtleEmphasis"/>
          <w:b/>
          <w:color w:val="auto"/>
          <w:lang w:val="en-AU"/>
        </w:rPr>
      </w:pPr>
      <w:r w:rsidRPr="00CE2F22">
        <w:rPr>
          <w:rStyle w:val="SubtleEmphasis"/>
          <w:lang w:val="en-AU"/>
        </w:rPr>
        <w:t>28% of people with a psychosocial disability or mental illness</w:t>
      </w:r>
    </w:p>
    <w:p w14:paraId="1BD43524" w14:textId="621C01E8" w:rsidR="00D909F2" w:rsidRPr="00CE2F22" w:rsidRDefault="00D909F2" w:rsidP="00D909F2">
      <w:pPr>
        <w:pStyle w:val="BodyText"/>
        <w:numPr>
          <w:ilvl w:val="0"/>
          <w:numId w:val="16"/>
        </w:numPr>
        <w:rPr>
          <w:rStyle w:val="SubtleEmphasis"/>
          <w:b/>
          <w:color w:val="auto"/>
          <w:lang w:val="en-AU"/>
        </w:rPr>
      </w:pPr>
      <w:r w:rsidRPr="00CE2F22">
        <w:rPr>
          <w:rStyle w:val="SubtleEmphasis"/>
          <w:lang w:val="en-AU"/>
        </w:rPr>
        <w:t>32% of LGBTQI+ respondents</w:t>
      </w:r>
    </w:p>
    <w:p w14:paraId="6782139F" w14:textId="42283DD8" w:rsidR="00D909F2" w:rsidRPr="00CE2F22" w:rsidRDefault="00D909F2" w:rsidP="00D909F2">
      <w:pPr>
        <w:pStyle w:val="BodyText"/>
        <w:numPr>
          <w:ilvl w:val="0"/>
          <w:numId w:val="16"/>
        </w:numPr>
        <w:rPr>
          <w:rStyle w:val="SubtleEmphasis"/>
          <w:b/>
          <w:color w:val="auto"/>
          <w:lang w:val="en-AU"/>
        </w:rPr>
      </w:pPr>
      <w:r w:rsidRPr="00CE2F22">
        <w:rPr>
          <w:rStyle w:val="SubtleEmphasis"/>
          <w:lang w:val="en-AU"/>
        </w:rPr>
        <w:t>46% of people with</w:t>
      </w:r>
      <w:r w:rsidR="00C32A1A" w:rsidRPr="00CE2F22">
        <w:rPr>
          <w:rStyle w:val="SubtleEmphasis"/>
          <w:lang w:val="en-AU"/>
        </w:rPr>
        <w:t xml:space="preserve"> a physical disability</w:t>
      </w:r>
    </w:p>
    <w:p w14:paraId="1CD9632D" w14:textId="35482299" w:rsidR="00C32A1A" w:rsidRPr="00CE2F22" w:rsidRDefault="00C32A1A" w:rsidP="00D909F2">
      <w:pPr>
        <w:pStyle w:val="BodyText"/>
        <w:numPr>
          <w:ilvl w:val="0"/>
          <w:numId w:val="16"/>
        </w:numPr>
        <w:rPr>
          <w:rStyle w:val="SubtleEmphasis"/>
          <w:b/>
          <w:color w:val="auto"/>
          <w:lang w:val="en-AU"/>
        </w:rPr>
      </w:pPr>
      <w:r w:rsidRPr="00CE2F22">
        <w:rPr>
          <w:rStyle w:val="SubtleEmphasis"/>
          <w:lang w:val="en-AU"/>
        </w:rPr>
        <w:t>48% of respondents from CALD background</w:t>
      </w:r>
    </w:p>
    <w:p w14:paraId="2B641C07" w14:textId="6664E5C6" w:rsidR="00C32A1A" w:rsidRPr="00CE2F22" w:rsidRDefault="00C32A1A" w:rsidP="00D909F2">
      <w:pPr>
        <w:pStyle w:val="BodyText"/>
        <w:numPr>
          <w:ilvl w:val="0"/>
          <w:numId w:val="16"/>
        </w:numPr>
        <w:rPr>
          <w:rStyle w:val="SubtleEmphasis"/>
          <w:b/>
          <w:color w:val="auto"/>
          <w:lang w:val="en-AU"/>
        </w:rPr>
      </w:pPr>
      <w:r w:rsidRPr="00CE2F22">
        <w:rPr>
          <w:rStyle w:val="SubtleEmphasis"/>
          <w:lang w:val="en-AU"/>
        </w:rPr>
        <w:t>50% of ATSI respondents</w:t>
      </w:r>
    </w:p>
    <w:p w14:paraId="47CFC468" w14:textId="092BE905" w:rsidR="00C32A1A" w:rsidRPr="00CE2F22" w:rsidRDefault="00C32A1A" w:rsidP="00D909F2">
      <w:pPr>
        <w:pStyle w:val="BodyText"/>
        <w:numPr>
          <w:ilvl w:val="0"/>
          <w:numId w:val="16"/>
        </w:numPr>
        <w:rPr>
          <w:rStyle w:val="SubtleEmphasis"/>
          <w:b/>
          <w:color w:val="auto"/>
          <w:lang w:val="en-AU"/>
        </w:rPr>
      </w:pPr>
      <w:r w:rsidRPr="00CE2F22">
        <w:rPr>
          <w:rStyle w:val="SubtleEmphasis"/>
          <w:lang w:val="en-AU"/>
        </w:rPr>
        <w:t>75% of respondents from migrant background</w:t>
      </w:r>
    </w:p>
    <w:p w14:paraId="74970808" w14:textId="58AB5C87" w:rsidR="00C32A1A" w:rsidRPr="00CE2F22" w:rsidRDefault="00C32A1A" w:rsidP="00D909F2">
      <w:pPr>
        <w:pStyle w:val="BodyText"/>
        <w:numPr>
          <w:ilvl w:val="0"/>
          <w:numId w:val="16"/>
        </w:numPr>
        <w:rPr>
          <w:rStyle w:val="Emphasis"/>
          <w:lang w:val="en-AU"/>
        </w:rPr>
      </w:pPr>
      <w:r w:rsidRPr="00CE2F22">
        <w:rPr>
          <w:rStyle w:val="SubtleEmphasis"/>
          <w:lang w:val="en-AU"/>
        </w:rPr>
        <w:t>88% of people who worked in the sex industry</w:t>
      </w:r>
    </w:p>
    <w:p w14:paraId="2450C73E" w14:textId="7387A31F" w:rsidR="005A0296" w:rsidRPr="00CE2F22" w:rsidRDefault="005A0296" w:rsidP="005A0296"/>
    <w:p w14:paraId="3589E382" w14:textId="32585796" w:rsidR="00D909F2" w:rsidRPr="00CE2F22" w:rsidRDefault="00D909F2" w:rsidP="00D909F2">
      <w:pPr>
        <w:pStyle w:val="BodyText"/>
        <w:rPr>
          <w:lang w:val="en-AU"/>
        </w:rPr>
      </w:pPr>
      <w:r w:rsidRPr="00CE2F22">
        <w:rPr>
          <w:lang w:val="en-AU"/>
        </w:rPr>
        <w:t xml:space="preserve">Importantly, respondents indicated that often their experiences of sexism intersected with other forms of discrimination, including racism, </w:t>
      </w:r>
      <w:r w:rsidR="001B2068" w:rsidRPr="00CE2F22">
        <w:rPr>
          <w:lang w:val="en-AU"/>
        </w:rPr>
        <w:t>classism,</w:t>
      </w:r>
      <w:r w:rsidRPr="00CE2F22">
        <w:rPr>
          <w:lang w:val="en-AU"/>
        </w:rPr>
        <w:t xml:space="preserve"> and ableism. One respondent outlined her experience of being disbelieved and discriminated against on the basis of both her sex and her cultural background.</w:t>
      </w:r>
    </w:p>
    <w:p w14:paraId="73B8B883" w14:textId="108B6740" w:rsidR="00D909F2" w:rsidRPr="00CE2F22" w:rsidRDefault="00D909F2" w:rsidP="00D909F2">
      <w:pPr>
        <w:pStyle w:val="BodyText"/>
        <w:rPr>
          <w:lang w:val="en-AU"/>
        </w:rPr>
      </w:pPr>
    </w:p>
    <w:p w14:paraId="4F04C277" w14:textId="7AB09807" w:rsidR="00D909F2" w:rsidRPr="00CE2F22" w:rsidRDefault="00D909F2" w:rsidP="00D909F2">
      <w:pPr>
        <w:pStyle w:val="IntenseQuote"/>
      </w:pPr>
      <w:r w:rsidRPr="00CE2F22">
        <w:t>The police laughed and said, ‘who would rape a woman in a burqa’.</w:t>
      </w:r>
    </w:p>
    <w:p w14:paraId="100D8D5C" w14:textId="433D1E98" w:rsidR="005A0296" w:rsidRPr="00CE2F22" w:rsidRDefault="005A0296" w:rsidP="005A0296">
      <w:pPr>
        <w:jc w:val="center"/>
      </w:pPr>
    </w:p>
    <w:p w14:paraId="0EA149C3" w14:textId="7489513A" w:rsidR="00C32A1A" w:rsidRPr="00CE2F22" w:rsidRDefault="00C32A1A" w:rsidP="00C32A1A">
      <w:pPr>
        <w:pStyle w:val="Heading3"/>
        <w:numPr>
          <w:ilvl w:val="0"/>
          <w:numId w:val="13"/>
        </w:numPr>
      </w:pPr>
      <w:bookmarkStart w:id="67" w:name="_Toc96092082"/>
      <w:r w:rsidRPr="00CE2F22">
        <w:t>Lack of information</w:t>
      </w:r>
      <w:bookmarkEnd w:id="67"/>
    </w:p>
    <w:p w14:paraId="52FE1BCD" w14:textId="479BCCD1" w:rsidR="00C32A1A" w:rsidRPr="00CE2F22" w:rsidRDefault="00C32A1A" w:rsidP="00C32A1A"/>
    <w:p w14:paraId="3F0D466B" w14:textId="769C954C" w:rsidR="00C32A1A" w:rsidRPr="00CE2F22" w:rsidRDefault="00C32A1A" w:rsidP="00C32A1A">
      <w:pPr>
        <w:pStyle w:val="BodyText"/>
        <w:rPr>
          <w:lang w:val="en-AU"/>
        </w:rPr>
      </w:pPr>
      <w:r w:rsidRPr="00CE2F22">
        <w:rPr>
          <w:lang w:val="en-AU"/>
        </w:rPr>
        <w:t>Further, 47.4% of respondents highlighted that when they went to report violence, they did not know how to report or who to report to, whilst 27.4% of respondents highlighted that the support workers had a lack of understanding of what counts as violence.</w:t>
      </w:r>
    </w:p>
    <w:p w14:paraId="1ACB91B3" w14:textId="2E13FE01" w:rsidR="00C32A1A" w:rsidRPr="00CE2F22" w:rsidRDefault="00C32A1A" w:rsidP="00C32A1A"/>
    <w:p w14:paraId="4D625D72" w14:textId="059ED044" w:rsidR="00C32A1A" w:rsidRPr="009A5B8A" w:rsidRDefault="00C32A1A" w:rsidP="009A5B8A">
      <w:pPr>
        <w:pStyle w:val="Heading2"/>
      </w:pPr>
      <w:bookmarkStart w:id="68" w:name="_Toc96092083"/>
      <w:r w:rsidRPr="009A5B8A">
        <w:t>Reporting violence outcomes</w:t>
      </w:r>
      <w:bookmarkEnd w:id="68"/>
    </w:p>
    <w:p w14:paraId="50043B43" w14:textId="49A8557F" w:rsidR="00C32A1A" w:rsidRPr="00CE2F22" w:rsidRDefault="00C32A1A" w:rsidP="00C32A1A"/>
    <w:p w14:paraId="32715907" w14:textId="1CF2A75B" w:rsidR="005A0296" w:rsidRPr="00CE2F22" w:rsidRDefault="00C32A1A" w:rsidP="00C32A1A">
      <w:pPr>
        <w:pStyle w:val="ListParagraph"/>
        <w:numPr>
          <w:ilvl w:val="0"/>
          <w:numId w:val="18"/>
        </w:numPr>
        <w:rPr>
          <w:rFonts w:asciiTheme="majorHAnsi" w:eastAsiaTheme="majorEastAsia" w:hAnsiTheme="majorHAnsi" w:cstheme="majorBidi"/>
          <w:bCs/>
          <w:spacing w:val="14"/>
          <w:sz w:val="24"/>
        </w:rPr>
      </w:pPr>
      <w:r w:rsidRPr="00CE2F22">
        <w:rPr>
          <w:rFonts w:asciiTheme="majorHAnsi" w:eastAsiaTheme="majorEastAsia" w:hAnsiTheme="majorHAnsi" w:cstheme="majorBidi"/>
          <w:bCs/>
          <w:spacing w:val="14"/>
          <w:sz w:val="24"/>
        </w:rPr>
        <w:t>Perpetrator accountability</w:t>
      </w:r>
    </w:p>
    <w:p w14:paraId="1BB63DDB" w14:textId="7274B309" w:rsidR="00C32A1A" w:rsidRPr="00CE2F22" w:rsidRDefault="00C32A1A" w:rsidP="00C32A1A">
      <w:pPr>
        <w:pStyle w:val="BodyText"/>
        <w:rPr>
          <w:lang w:val="en-AU"/>
        </w:rPr>
      </w:pPr>
      <w:r w:rsidRPr="00CE2F22">
        <w:rPr>
          <w:lang w:val="en-AU"/>
        </w:rPr>
        <w:t>Holding perpetrators to account for their behaviour is key to delivering justice to victim-survivors and reducing gender-based violence more broadly.</w:t>
      </w:r>
    </w:p>
    <w:p w14:paraId="02055337" w14:textId="77777777" w:rsidR="00C32A1A" w:rsidRPr="00CE2F22" w:rsidRDefault="00C32A1A" w:rsidP="00C32A1A">
      <w:pPr>
        <w:pStyle w:val="BodyText"/>
        <w:rPr>
          <w:lang w:val="en-AU"/>
        </w:rPr>
      </w:pPr>
    </w:p>
    <w:p w14:paraId="396FC869" w14:textId="5957CE6A" w:rsidR="00C32A1A" w:rsidRPr="00CE2F22" w:rsidRDefault="00C32A1A" w:rsidP="00C32A1A">
      <w:pPr>
        <w:pStyle w:val="BodyText"/>
        <w:rPr>
          <w:lang w:val="en-AU"/>
        </w:rPr>
      </w:pPr>
      <w:r w:rsidRPr="00CE2F22">
        <w:rPr>
          <w:lang w:val="en-AU"/>
        </w:rPr>
        <w:t>Recent research by ANROWS indicates that often traditional mechanisms of accountability (e.g., legal prosecution) only work to hold perpetrators accountable to the state, rather than to the victim- survivor as an individual. As is outlined in the ANROW’s report ‘this kind of accountability might not acknowledge the impact of violence on the victim or align with their wishes’. (3)</w:t>
      </w:r>
    </w:p>
    <w:p w14:paraId="31DC0014" w14:textId="77777777" w:rsidR="00C32A1A" w:rsidRPr="00CE2F22" w:rsidRDefault="00C32A1A" w:rsidP="00C32A1A">
      <w:pPr>
        <w:pStyle w:val="BodyText"/>
        <w:rPr>
          <w:lang w:val="en-AU"/>
        </w:rPr>
      </w:pPr>
    </w:p>
    <w:p w14:paraId="1068336C" w14:textId="2E4F24EF" w:rsidR="00C32A1A" w:rsidRPr="00CE2F22" w:rsidRDefault="00C32A1A" w:rsidP="00C32A1A">
      <w:pPr>
        <w:pStyle w:val="BodyText"/>
        <w:rPr>
          <w:lang w:val="en-AU"/>
        </w:rPr>
      </w:pPr>
      <w:r w:rsidRPr="00CE2F22">
        <w:rPr>
          <w:lang w:val="en-AU"/>
        </w:rPr>
        <w:t>Keeping this in mind, the survey provided respondents with a range of options that covered different forms of perpetrator accountability.</w:t>
      </w:r>
    </w:p>
    <w:p w14:paraId="2D48AE68" w14:textId="77777777" w:rsidR="00C32A1A" w:rsidRPr="00CE2F22" w:rsidRDefault="00C32A1A" w:rsidP="00C32A1A">
      <w:pPr>
        <w:pStyle w:val="BodyText"/>
        <w:rPr>
          <w:lang w:val="en-AU"/>
        </w:rPr>
      </w:pPr>
    </w:p>
    <w:p w14:paraId="08897075" w14:textId="77777777" w:rsidR="00C32A1A" w:rsidRPr="00CE2F22" w:rsidRDefault="00C32A1A" w:rsidP="00C32A1A">
      <w:pPr>
        <w:pStyle w:val="BodyText"/>
        <w:rPr>
          <w:lang w:val="en-AU"/>
        </w:rPr>
      </w:pPr>
      <w:r w:rsidRPr="00CE2F22">
        <w:rPr>
          <w:lang w:val="en-AU"/>
        </w:rPr>
        <w:t>The large majority of respondents who reported violence indicated that their perpetrator was not held accountable for their actions in their communities, social networks, criminal justice</w:t>
      </w:r>
    </w:p>
    <w:p w14:paraId="03E5F50C" w14:textId="21560AAC" w:rsidR="00C32A1A" w:rsidRPr="00CE2F22" w:rsidRDefault="00C32A1A" w:rsidP="00C32A1A">
      <w:pPr>
        <w:pStyle w:val="BodyText"/>
        <w:rPr>
          <w:lang w:val="en-AU"/>
        </w:rPr>
      </w:pPr>
      <w:r w:rsidRPr="00CE2F22">
        <w:rPr>
          <w:lang w:val="en-AU"/>
        </w:rPr>
        <w:t>systems, workplaces, education systems, and/or to the victim-survivor themselves.</w:t>
      </w:r>
    </w:p>
    <w:p w14:paraId="7CE429F8" w14:textId="582B1CDB" w:rsidR="00C32A1A" w:rsidRPr="00CE2F22" w:rsidRDefault="00C32A1A" w:rsidP="00C32A1A">
      <w:pPr>
        <w:pStyle w:val="BodyText"/>
        <w:rPr>
          <w:lang w:val="en-AU"/>
        </w:rPr>
      </w:pPr>
    </w:p>
    <w:p w14:paraId="4478B43A" w14:textId="3C2E20FE" w:rsidR="003150C1" w:rsidRPr="00CE2F22" w:rsidRDefault="00C32A1A" w:rsidP="00C32A1A">
      <w:pPr>
        <w:pStyle w:val="IntenseQuote"/>
      </w:pPr>
      <w:r w:rsidRPr="00CE2F22">
        <w:t>The police responded to my complaint of sexual assault at a festival and found the offender. They were very supportive of me through the process, but the offender’s story contradicted my own in some details so it could not be taken</w:t>
      </w:r>
      <w:r w:rsidR="001B2068" w:rsidRPr="00CE2F22">
        <w:t xml:space="preserve"> </w:t>
      </w:r>
      <w:r w:rsidRPr="00CE2F22">
        <w:t>to court.</w:t>
      </w:r>
    </w:p>
    <w:p w14:paraId="528F56A4" w14:textId="071A16AC" w:rsidR="003150C1" w:rsidRPr="00CE2F22" w:rsidRDefault="003150C1" w:rsidP="005A0296">
      <w:pPr>
        <w:jc w:val="center"/>
      </w:pPr>
    </w:p>
    <w:p w14:paraId="3524CC4D" w14:textId="77777777" w:rsidR="00C32A1A" w:rsidRPr="00CE2F22" w:rsidRDefault="00C32A1A" w:rsidP="00C32A1A">
      <w:pPr>
        <w:pStyle w:val="BodyText"/>
        <w:rPr>
          <w:lang w:val="en-AU"/>
        </w:rPr>
      </w:pPr>
      <w:r w:rsidRPr="00CE2F22">
        <w:rPr>
          <w:lang w:val="en-AU"/>
        </w:rPr>
        <w:t>This low level of perpetrator accountability was additionally confirmed in the survey’s written responses. Here, many respondents outlined that while their stories were believed, police and institutions were unwilling to hold perpetrators to account, often due to a lack of evidence. Other</w:t>
      </w:r>
    </w:p>
    <w:p w14:paraId="0EE474E4" w14:textId="26350E89" w:rsidR="00C32A1A" w:rsidRPr="00CE2F22" w:rsidRDefault="00C32A1A" w:rsidP="00C32A1A">
      <w:pPr>
        <w:pStyle w:val="BodyText"/>
        <w:rPr>
          <w:lang w:val="en-AU"/>
        </w:rPr>
      </w:pPr>
      <w:r w:rsidRPr="00CE2F22">
        <w:rPr>
          <w:lang w:val="en-AU"/>
        </w:rPr>
        <w:t>respondents indicated that the perpetrator’s status in society was another determining factor.</w:t>
      </w:r>
    </w:p>
    <w:p w14:paraId="5C7B6254" w14:textId="04781214" w:rsidR="00C32A1A" w:rsidRPr="00CE2F22" w:rsidRDefault="00C32A1A" w:rsidP="00C32A1A">
      <w:pPr>
        <w:pStyle w:val="BodyText"/>
        <w:rPr>
          <w:lang w:val="en-AU"/>
        </w:rPr>
      </w:pPr>
    </w:p>
    <w:p w14:paraId="0D5A296A" w14:textId="7AB0FE88" w:rsidR="00C32A1A" w:rsidRPr="00CE2F22" w:rsidRDefault="00C32A1A" w:rsidP="00C32A1A">
      <w:pPr>
        <w:pStyle w:val="IntenseQuote"/>
      </w:pPr>
      <w:r w:rsidRPr="00CE2F22">
        <w:t>The Islamic community told me to be quiet because my abuser was a high religious authority and revealing his sins is not what a good Muslim should do.</w:t>
      </w:r>
    </w:p>
    <w:p w14:paraId="7321AA4E" w14:textId="60C2A37D" w:rsidR="00C32A1A" w:rsidRPr="00CE2F22" w:rsidRDefault="00C32A1A" w:rsidP="00C32A1A">
      <w:pPr>
        <w:pStyle w:val="BodyText"/>
        <w:rPr>
          <w:lang w:val="en-AU"/>
        </w:rPr>
      </w:pPr>
      <w:r w:rsidRPr="00CE2F22">
        <w:rPr>
          <w:lang w:val="en-AU"/>
        </w:rPr>
        <w:t>Such low levels of perpetrator accountability indicate that current reporting mechanisms are not doing enough to intervene and push perpetrators to change their behaviour. Better reporting mechanisms, that work effectively to hold perpetrators to account, in a manner that suits the wishes of victim-survivors, is essential to ensure individual safety, reinforce sustainable societal responses and challenge violence condoning attitudes. (4)</w:t>
      </w:r>
    </w:p>
    <w:p w14:paraId="2606C9B4" w14:textId="6D74D7B4" w:rsidR="00C32A1A" w:rsidRPr="00CE2F22" w:rsidRDefault="00C32A1A" w:rsidP="00C32A1A">
      <w:pPr>
        <w:pStyle w:val="BodyText"/>
        <w:rPr>
          <w:lang w:val="en-AU"/>
        </w:rPr>
      </w:pPr>
    </w:p>
    <w:p w14:paraId="36840203" w14:textId="55B28D56" w:rsidR="00C32A1A" w:rsidRPr="00CE2F22" w:rsidRDefault="00C32A1A" w:rsidP="00C32A1A">
      <w:pPr>
        <w:pStyle w:val="IntenseQuote"/>
      </w:pPr>
      <w:r w:rsidRPr="00CE2F22">
        <w:t>The University admin staff contacted me and arranged a meeting. The meeting was with two men, so I did not feel comfortable disclosing everything that had happened. They said they had talked to the perpetrator and he had denied he did anything wrong so there was nothing more they could do unless I reported to police.</w:t>
      </w:r>
    </w:p>
    <w:p w14:paraId="55AC102C" w14:textId="03651FE8" w:rsidR="00C32A1A" w:rsidRPr="00CE2F22" w:rsidRDefault="00C32A1A" w:rsidP="00C32A1A">
      <w:pPr>
        <w:pStyle w:val="ListParagraph"/>
        <w:numPr>
          <w:ilvl w:val="0"/>
          <w:numId w:val="18"/>
        </w:numPr>
        <w:rPr>
          <w:rFonts w:asciiTheme="majorHAnsi" w:eastAsiaTheme="majorEastAsia" w:hAnsiTheme="majorHAnsi" w:cstheme="majorBidi"/>
          <w:bCs/>
          <w:spacing w:val="14"/>
          <w:sz w:val="24"/>
        </w:rPr>
      </w:pPr>
      <w:r w:rsidRPr="00CE2F22">
        <w:rPr>
          <w:rFonts w:asciiTheme="majorHAnsi" w:eastAsiaTheme="majorEastAsia" w:hAnsiTheme="majorHAnsi" w:cstheme="majorBidi"/>
          <w:bCs/>
          <w:spacing w:val="14"/>
          <w:sz w:val="24"/>
        </w:rPr>
        <w:t>Safety, wellbeing, and mental health</w:t>
      </w:r>
    </w:p>
    <w:p w14:paraId="0F7474EF" w14:textId="000A8842" w:rsidR="00C32A1A" w:rsidRPr="00CE2F22" w:rsidRDefault="00C32A1A" w:rsidP="00C32A1A">
      <w:pPr>
        <w:pStyle w:val="BodyText"/>
        <w:rPr>
          <w:lang w:val="en-AU"/>
        </w:rPr>
      </w:pPr>
      <w:r w:rsidRPr="00CE2F22">
        <w:rPr>
          <w:lang w:val="en-AU"/>
        </w:rPr>
        <w:t xml:space="preserve">Young victim-survivors who answered the survey indicated a mixture of both positive and negative experiences in terms of being believed, </w:t>
      </w:r>
      <w:r w:rsidR="00CE2F22" w:rsidRPr="00CE2F22">
        <w:rPr>
          <w:lang w:val="en-AU"/>
        </w:rPr>
        <w:t>validated,</w:t>
      </w:r>
      <w:r w:rsidRPr="00CE2F22">
        <w:rPr>
          <w:lang w:val="en-AU"/>
        </w:rPr>
        <w:t xml:space="preserve"> and supported to achieve safety and heal after reporting violence. (See Table 3.3.)</w:t>
      </w:r>
    </w:p>
    <w:p w14:paraId="45774D41" w14:textId="77777777" w:rsidR="00C32A1A" w:rsidRPr="00CE2F22" w:rsidRDefault="00C32A1A" w:rsidP="00C32A1A">
      <w:pPr>
        <w:pStyle w:val="BodyText"/>
        <w:rPr>
          <w:lang w:val="en-AU"/>
        </w:rPr>
      </w:pPr>
    </w:p>
    <w:p w14:paraId="01B6A4EF" w14:textId="6809FA3A" w:rsidR="00C32A1A" w:rsidRPr="00CE2F22" w:rsidRDefault="00C32A1A" w:rsidP="00C32A1A">
      <w:pPr>
        <w:pStyle w:val="BodyText"/>
        <w:rPr>
          <w:lang w:val="en-AU"/>
        </w:rPr>
      </w:pPr>
      <w:r w:rsidRPr="00CE2F22">
        <w:rPr>
          <w:lang w:val="en-AU"/>
        </w:rPr>
        <w:t xml:space="preserve">Respondents were more trusting of women’s and community organisations helping them, than they were of institutions, including police, </w:t>
      </w:r>
      <w:r w:rsidR="00CE2F22" w:rsidRPr="00CE2F22">
        <w:rPr>
          <w:lang w:val="en-AU"/>
        </w:rPr>
        <w:t>hospitals,</w:t>
      </w:r>
      <w:r w:rsidRPr="00CE2F22">
        <w:rPr>
          <w:lang w:val="en-AU"/>
        </w:rPr>
        <w:t xml:space="preserve"> or universities. This aligns with previous findings from AWAVA’s 2019 Survey Report on Victim-survivors Experiences of Seeking Help.</w:t>
      </w:r>
      <w:r w:rsidR="00CE2F22" w:rsidRPr="00CE2F22">
        <w:rPr>
          <w:lang w:val="en-AU"/>
        </w:rPr>
        <w:t xml:space="preserve"> (</w:t>
      </w:r>
      <w:r w:rsidRPr="00CE2F22">
        <w:rPr>
          <w:lang w:val="en-AU"/>
        </w:rPr>
        <w:t>5</w:t>
      </w:r>
      <w:r w:rsidR="00CE2F22" w:rsidRPr="00CE2F22">
        <w:rPr>
          <w:lang w:val="en-AU"/>
        </w:rPr>
        <w:t>)</w:t>
      </w:r>
      <w:r w:rsidRPr="00CE2F22">
        <w:rPr>
          <w:lang w:val="en-AU"/>
        </w:rPr>
        <w:t xml:space="preserve"> Other respondents reported positive experiences with health professionals, </w:t>
      </w:r>
      <w:r w:rsidR="00CE2F22" w:rsidRPr="00CE2F22">
        <w:rPr>
          <w:lang w:val="en-AU"/>
        </w:rPr>
        <w:t>universities,</w:t>
      </w:r>
      <w:r w:rsidRPr="00CE2F22">
        <w:rPr>
          <w:lang w:val="en-AU"/>
        </w:rPr>
        <w:t xml:space="preserve"> and call services.</w:t>
      </w:r>
    </w:p>
    <w:p w14:paraId="56E20977" w14:textId="0CDB89F0" w:rsidR="00C32A1A" w:rsidRPr="00CE2F22" w:rsidRDefault="00C32A1A" w:rsidP="00C32A1A">
      <w:pPr>
        <w:pStyle w:val="BodyText"/>
        <w:rPr>
          <w:lang w:val="en-AU"/>
        </w:rPr>
      </w:pPr>
      <w:r w:rsidRPr="00CE2F22">
        <w:rPr>
          <w:lang w:val="en-AU"/>
        </w:rPr>
        <w:t>While these positive experiences are encouraging, the small number of young victim-survivors who received financial compensation indicates broader issues with financial assistance, victim compensation and victim support schemes.</w:t>
      </w:r>
    </w:p>
    <w:p w14:paraId="5D476F10" w14:textId="77777777" w:rsidR="00C32A1A" w:rsidRPr="00CE2F22" w:rsidRDefault="00C32A1A" w:rsidP="00C32A1A">
      <w:pPr>
        <w:pStyle w:val="BodyText"/>
        <w:rPr>
          <w:lang w:val="en-AU"/>
        </w:rPr>
      </w:pPr>
    </w:p>
    <w:p w14:paraId="49DA7D9A" w14:textId="7D445AD4" w:rsidR="00C32A1A" w:rsidRPr="00CE2F22" w:rsidRDefault="00C32A1A" w:rsidP="00C32A1A">
      <w:pPr>
        <w:pStyle w:val="BodyText"/>
        <w:rPr>
          <w:lang w:val="en-AU"/>
        </w:rPr>
      </w:pPr>
      <w:r w:rsidRPr="00CE2F22">
        <w:rPr>
          <w:lang w:val="en-AU"/>
        </w:rPr>
        <w:t>Advocacy groups have long been calling for improvements to victim-compensation schemes, with Community Legal Centres NSW describing the payments under these schemes as ‘so low they are practically insulting to victims of violence, assault and abuse’.</w:t>
      </w:r>
      <w:r w:rsidR="00CE2F22" w:rsidRPr="00CE2F22">
        <w:rPr>
          <w:lang w:val="en-AU"/>
        </w:rPr>
        <w:t xml:space="preserve"> (</w:t>
      </w:r>
      <w:r w:rsidRPr="00CE2F22">
        <w:rPr>
          <w:lang w:val="en-AU"/>
        </w:rPr>
        <w:t>6</w:t>
      </w:r>
      <w:r w:rsidR="00CE2F22" w:rsidRPr="00CE2F22">
        <w:rPr>
          <w:lang w:val="en-AU"/>
        </w:rPr>
        <w:t>)</w:t>
      </w:r>
      <w:r w:rsidRPr="00CE2F22">
        <w:rPr>
          <w:lang w:val="en-AU"/>
        </w:rPr>
        <w:t xml:space="preserve"> More research is needed to explore the specific experiences of young victim-survivors navigating victim-compensation schemes to better understand how to improve these services.</w:t>
      </w:r>
    </w:p>
    <w:p w14:paraId="78D6679B" w14:textId="545191F4" w:rsidR="00C32A1A" w:rsidRPr="00CE2F22" w:rsidRDefault="00C32A1A" w:rsidP="00C32A1A">
      <w:pPr>
        <w:pStyle w:val="BodyText"/>
        <w:rPr>
          <w:lang w:val="en-AU"/>
        </w:rPr>
      </w:pPr>
    </w:p>
    <w:p w14:paraId="5859262A" w14:textId="56DF7F69" w:rsidR="00C32A1A" w:rsidRPr="00CE2F22" w:rsidRDefault="00C32A1A" w:rsidP="00C32A1A">
      <w:pPr>
        <w:pStyle w:val="IntenseQuote"/>
      </w:pPr>
      <w:r w:rsidRPr="00CE2F22">
        <w:t>I reported my history with family violence to health professionals, phone help services and psychologists. They were all very receptive and supportive in my attempts to access care and they were happy to assist if I wanted to pursue it in a legal capacity.</w:t>
      </w:r>
    </w:p>
    <w:p w14:paraId="5727D11C" w14:textId="56FE9D3F" w:rsidR="00C32A1A" w:rsidRPr="00CE2F22" w:rsidRDefault="00C32A1A" w:rsidP="00C32A1A"/>
    <w:p w14:paraId="00E36E2E" w14:textId="492386D3" w:rsidR="00C32A1A" w:rsidRPr="00CE2F22" w:rsidRDefault="00C32A1A" w:rsidP="00C32A1A">
      <w:pPr>
        <w:pStyle w:val="ListParagraph"/>
        <w:numPr>
          <w:ilvl w:val="0"/>
          <w:numId w:val="18"/>
        </w:numPr>
      </w:pPr>
      <w:r w:rsidRPr="00CE2F22">
        <w:rPr>
          <w:rFonts w:asciiTheme="majorHAnsi" w:eastAsiaTheme="majorEastAsia" w:hAnsiTheme="majorHAnsi" w:cstheme="majorBidi"/>
          <w:bCs/>
          <w:spacing w:val="14"/>
          <w:sz w:val="24"/>
        </w:rPr>
        <w:t>Institutional change</w:t>
      </w:r>
    </w:p>
    <w:p w14:paraId="72F830AE" w14:textId="720A52F7" w:rsidR="00C32A1A" w:rsidRPr="00CE2F22" w:rsidRDefault="00C32A1A" w:rsidP="00C32A1A">
      <w:pPr>
        <w:pStyle w:val="BodyText"/>
        <w:rPr>
          <w:lang w:val="en-AU"/>
        </w:rPr>
      </w:pPr>
      <w:r w:rsidRPr="00CE2F22">
        <w:rPr>
          <w:lang w:val="en-AU"/>
        </w:rPr>
        <w:t>According to respondents, only 2.8% of victim- survivor reports resulted in institutional change. Respondents’ written responses confirmed that institutional change, as an outcome of reporting violence, was very rare. Instead, respondents outlined how gender inequality and violence condoning attitudes can be perpetuated throughout institutions designed to protect young women and non-binary people.</w:t>
      </w:r>
    </w:p>
    <w:p w14:paraId="111DBA14" w14:textId="3C785DEB" w:rsidR="00FA3B66" w:rsidRPr="00CE2F22" w:rsidRDefault="00FA3B66" w:rsidP="00C32A1A">
      <w:pPr>
        <w:pStyle w:val="BodyText"/>
        <w:rPr>
          <w:lang w:val="en-AU"/>
        </w:rPr>
      </w:pPr>
    </w:p>
    <w:p w14:paraId="70B7D33D" w14:textId="541DEE39" w:rsidR="00FA3B66" w:rsidRPr="00CE2F22" w:rsidRDefault="00FA3B66" w:rsidP="00FA3B66">
      <w:pPr>
        <w:pStyle w:val="IntenseQuote"/>
      </w:pPr>
      <w:r w:rsidRPr="00CE2F22">
        <w:t>I had a horrid experience with Centrelink while I was homeless, who insisted, due to their regulations, on calling my abusers because I was under 21, to confirm I was a dependent living out of home so I could get some money.</w:t>
      </w:r>
    </w:p>
    <w:p w14:paraId="1B48E3C4" w14:textId="4396C755" w:rsidR="00FA3B66" w:rsidRPr="00CE2F22" w:rsidRDefault="00FA3B66" w:rsidP="00FA3B66">
      <w:pPr>
        <w:pStyle w:val="BodyText"/>
        <w:rPr>
          <w:lang w:val="en-AU"/>
        </w:rPr>
      </w:pPr>
      <w:r w:rsidRPr="00CE2F22">
        <w:rPr>
          <w:lang w:val="en-AU"/>
        </w:rPr>
        <w:t>Other respondents highlighted that while the institutions they reported to did take action to remove the perpetrator from their direct vicinity, they did little to promote institutional change, instead simply moving the perpetrators to other institutions.</w:t>
      </w:r>
    </w:p>
    <w:p w14:paraId="0A69DF40" w14:textId="3BBBD8F5" w:rsidR="00FA3B66" w:rsidRPr="00CE2F22" w:rsidRDefault="00FA3B66" w:rsidP="00FA3B66">
      <w:pPr>
        <w:pStyle w:val="IntenseQuote"/>
      </w:pPr>
      <w:r w:rsidRPr="00CE2F22">
        <w:t>A school was on alert for a grooming teacher that I alerted them to. He was fired eventually for inappropriate conduct with another student, but he still works in the education system at another school.</w:t>
      </w:r>
    </w:p>
    <w:p w14:paraId="307F1249" w14:textId="7FF29FEA" w:rsidR="00FA3B66" w:rsidRPr="00CE2F22" w:rsidRDefault="00FA3B66" w:rsidP="00FA3B66"/>
    <w:p w14:paraId="52691F28" w14:textId="7DD8EB73" w:rsidR="00CB68BF" w:rsidRPr="009A5B8A" w:rsidRDefault="00CB68BF" w:rsidP="009A5B8A">
      <w:pPr>
        <w:pStyle w:val="Heading2"/>
      </w:pPr>
      <w:bookmarkStart w:id="69" w:name="_Toc96092084"/>
      <w:r w:rsidRPr="009A5B8A">
        <w:t>How to improve reporting mechanism</w:t>
      </w:r>
      <w:bookmarkEnd w:id="69"/>
    </w:p>
    <w:p w14:paraId="05CD8B53" w14:textId="39669C09" w:rsidR="00CB68BF" w:rsidRPr="00CE2F22" w:rsidRDefault="00CB68BF" w:rsidP="00CB68BF"/>
    <w:p w14:paraId="307CD78B" w14:textId="56F082A7" w:rsidR="00CB68BF" w:rsidRPr="00CE2F22" w:rsidRDefault="00CB68BF" w:rsidP="00CB68BF">
      <w:pPr>
        <w:pStyle w:val="Heading3"/>
        <w:numPr>
          <w:ilvl w:val="0"/>
          <w:numId w:val="21"/>
        </w:numPr>
      </w:pPr>
      <w:bookmarkStart w:id="70" w:name="_Toc96092085"/>
      <w:r w:rsidRPr="00CE2F22">
        <w:t>Design reporting avenues separated from police</w:t>
      </w:r>
      <w:bookmarkEnd w:id="70"/>
    </w:p>
    <w:p w14:paraId="63D1230C" w14:textId="693A7027" w:rsidR="00CB68BF" w:rsidRPr="00CE2F22" w:rsidRDefault="00CB68BF" w:rsidP="00CB68BF"/>
    <w:p w14:paraId="060C1E6B" w14:textId="52AB1672" w:rsidR="00CB68BF" w:rsidRPr="00CE2F22" w:rsidRDefault="00CB68BF" w:rsidP="00CB68BF">
      <w:pPr>
        <w:pStyle w:val="BodyText"/>
        <w:rPr>
          <w:lang w:val="en-AU"/>
        </w:rPr>
      </w:pPr>
      <w:r w:rsidRPr="00CE2F22">
        <w:rPr>
          <w:lang w:val="en-AU"/>
        </w:rPr>
        <w:t>In both the forum and the survey, young women and non-binary people called for more reporting avenues that do not require the involvement of the police.</w:t>
      </w:r>
    </w:p>
    <w:p w14:paraId="0888E324" w14:textId="77777777" w:rsidR="00CB68BF" w:rsidRPr="00CE2F22" w:rsidRDefault="00CB68BF" w:rsidP="00CB68BF">
      <w:pPr>
        <w:pStyle w:val="BodyText"/>
        <w:rPr>
          <w:lang w:val="en-AU"/>
        </w:rPr>
      </w:pPr>
    </w:p>
    <w:p w14:paraId="19F79FE0" w14:textId="77777777" w:rsidR="00CB68BF" w:rsidRPr="00CE2F22" w:rsidRDefault="00CB68BF" w:rsidP="00CB68BF">
      <w:pPr>
        <w:pStyle w:val="BodyText"/>
        <w:rPr>
          <w:lang w:val="en-AU"/>
        </w:rPr>
      </w:pPr>
      <w:r w:rsidRPr="00CE2F22">
        <w:rPr>
          <w:lang w:val="en-AU"/>
        </w:rPr>
        <w:t>Throughout the written survey responses, respondents described feeling unsafe reporting to law enforcement agencies because ‘police are often perpetrators of violence themselves’. These experiences were especially acute for victim- survivors from diverse communities, including</w:t>
      </w:r>
    </w:p>
    <w:p w14:paraId="3272135D" w14:textId="425D6203" w:rsidR="00CB68BF" w:rsidRPr="00CE2F22" w:rsidRDefault="00CB68BF" w:rsidP="00CB68BF">
      <w:pPr>
        <w:pStyle w:val="BodyText"/>
        <w:rPr>
          <w:lang w:val="en-AU"/>
        </w:rPr>
      </w:pPr>
      <w:r w:rsidRPr="00CE2F22">
        <w:rPr>
          <w:lang w:val="en-AU"/>
        </w:rPr>
        <w:t>Aboriginal and Torres Strait Islander and Culturally and Linguistically Diverse communities, who experience high rates of racism, discrimination</w:t>
      </w:r>
      <w:r w:rsidR="00CE2F22" w:rsidRPr="00CE2F22">
        <w:rPr>
          <w:lang w:val="en-AU"/>
        </w:rPr>
        <w:t>,</w:t>
      </w:r>
      <w:r w:rsidRPr="00CE2F22">
        <w:rPr>
          <w:lang w:val="en-AU"/>
        </w:rPr>
        <w:t xml:space="preserve"> and police brutality. In relation to this, several respondents from diverse communities indicated that they had been isolated and ‘called out’ by their communities for involving the police in instances of gendered and sexual violence.</w:t>
      </w:r>
    </w:p>
    <w:p w14:paraId="116194F4" w14:textId="77777777" w:rsidR="00CB68BF" w:rsidRPr="00CE2F22" w:rsidRDefault="00CB68BF" w:rsidP="00CB68BF">
      <w:pPr>
        <w:pStyle w:val="BodyText"/>
        <w:rPr>
          <w:lang w:val="en-AU"/>
        </w:rPr>
      </w:pPr>
    </w:p>
    <w:p w14:paraId="5D5D98A5" w14:textId="067E99BF" w:rsidR="00CB68BF" w:rsidRPr="00CE2F22" w:rsidRDefault="00CB68BF" w:rsidP="00CB68BF">
      <w:pPr>
        <w:pStyle w:val="BodyText"/>
        <w:rPr>
          <w:lang w:val="en-AU"/>
        </w:rPr>
      </w:pPr>
      <w:r w:rsidRPr="00CE2F22">
        <w:rPr>
          <w:lang w:val="en-AU"/>
        </w:rPr>
        <w:t>Respondents in the forum highlighted that young people often do not want to come forward, especially to police, when experiences of violence are linked to drugs and alcohol. Participants highlighted the need to make support workers more readily available to young people throughout reporting processes to mitigate some of these fears.</w:t>
      </w:r>
    </w:p>
    <w:p w14:paraId="41DCFAAB" w14:textId="77777777" w:rsidR="00CB68BF" w:rsidRPr="00CE2F22" w:rsidRDefault="00CB68BF" w:rsidP="00CB68BF">
      <w:pPr>
        <w:pStyle w:val="BodyText"/>
        <w:rPr>
          <w:lang w:val="en-AU"/>
        </w:rPr>
      </w:pPr>
    </w:p>
    <w:p w14:paraId="01ED7E7C" w14:textId="64EFA64F" w:rsidR="00CB68BF" w:rsidRPr="00CE2F22" w:rsidRDefault="00CB68BF" w:rsidP="00CB68BF">
      <w:pPr>
        <w:pStyle w:val="BodyText"/>
        <w:rPr>
          <w:lang w:val="en-AU"/>
        </w:rPr>
      </w:pPr>
      <w:r w:rsidRPr="00CE2F22">
        <w:rPr>
          <w:lang w:val="en-AU"/>
        </w:rPr>
        <w:t xml:space="preserve">Ultimately many young women and non-binary people called for less police involvement, outlining the need to boost the participation of social workers, </w:t>
      </w:r>
      <w:r w:rsidR="00CE2F22" w:rsidRPr="00CE2F22">
        <w:rPr>
          <w:lang w:val="en-AU"/>
        </w:rPr>
        <w:t>psychologists,</w:t>
      </w:r>
      <w:r w:rsidRPr="00CE2F22">
        <w:rPr>
          <w:lang w:val="en-AU"/>
        </w:rPr>
        <w:t xml:space="preserve"> and other multi-disciplinary health professionals in violence reporting processes.</w:t>
      </w:r>
    </w:p>
    <w:p w14:paraId="68CAAEBD" w14:textId="429E821E" w:rsidR="00CB68BF" w:rsidRPr="00CE2F22" w:rsidRDefault="00CB68BF" w:rsidP="00CB68BF">
      <w:pPr>
        <w:pStyle w:val="BodyText"/>
        <w:rPr>
          <w:lang w:val="en-AU"/>
        </w:rPr>
      </w:pPr>
    </w:p>
    <w:p w14:paraId="55F2A398" w14:textId="0C252C2C" w:rsidR="00CB68BF" w:rsidRPr="00CE2F22" w:rsidRDefault="00CB68BF" w:rsidP="00CB68BF">
      <w:pPr>
        <w:pStyle w:val="IntenseQuote"/>
      </w:pPr>
      <w:r w:rsidRPr="00CE2F22">
        <w:t>We need unconditional support from those who are educated on the effects of violence and trauma on individuals; people whose practice is built upon empathy, advocacy, and agency for survivors of violence.</w:t>
      </w:r>
    </w:p>
    <w:p w14:paraId="091C5C38" w14:textId="407919A3" w:rsidR="00CB68BF" w:rsidRPr="00CE2F22" w:rsidRDefault="00CB68BF" w:rsidP="00CB68BF">
      <w:pPr>
        <w:pStyle w:val="BodyText"/>
        <w:rPr>
          <w:lang w:val="en-AU"/>
        </w:rPr>
      </w:pPr>
      <w:r w:rsidRPr="00CE2F22">
        <w:rPr>
          <w:lang w:val="en-AU"/>
        </w:rPr>
        <w:t>Some indicated the need for an organisation, completely autonomous from police, made up of staff who are highly trained in sexual assault and domestic violence. This organisation should be designed as a safe space for reporting violence and empowering victim-survivors to decide what reporting outcomes best suit their unique needs. Others theorised a secure online forum or an app that can deliver similar outcomes and that can be safely accessed via public computers.</w:t>
      </w:r>
    </w:p>
    <w:p w14:paraId="00D9681F" w14:textId="2F7C21F0" w:rsidR="00CB68BF" w:rsidRPr="00CE2F22" w:rsidRDefault="00CB68BF" w:rsidP="00CB68BF">
      <w:pPr>
        <w:pStyle w:val="BodyText"/>
        <w:rPr>
          <w:lang w:val="en-AU"/>
        </w:rPr>
      </w:pPr>
    </w:p>
    <w:p w14:paraId="482EC244" w14:textId="0ABABF81" w:rsidR="00CB68BF" w:rsidRPr="00CE2F22" w:rsidRDefault="00CB68BF" w:rsidP="00CB68BF">
      <w:pPr>
        <w:pStyle w:val="Heading3"/>
        <w:numPr>
          <w:ilvl w:val="0"/>
          <w:numId w:val="21"/>
        </w:numPr>
      </w:pPr>
      <w:bookmarkStart w:id="71" w:name="_Toc96092086"/>
      <w:r w:rsidRPr="00CE2F22">
        <w:t>Improve police responses</w:t>
      </w:r>
      <w:bookmarkEnd w:id="71"/>
    </w:p>
    <w:p w14:paraId="00850919" w14:textId="0D37F9A2" w:rsidR="00CB68BF" w:rsidRPr="00CE2F22" w:rsidRDefault="00CB68BF" w:rsidP="00CB68BF"/>
    <w:p w14:paraId="17835663" w14:textId="32EDB65D" w:rsidR="00CB68BF" w:rsidRPr="00CE2F22" w:rsidRDefault="00CB68BF" w:rsidP="00CB68BF">
      <w:pPr>
        <w:pStyle w:val="BodyText"/>
        <w:rPr>
          <w:lang w:val="en-AU"/>
        </w:rPr>
      </w:pPr>
      <w:r w:rsidRPr="00CE2F22">
        <w:rPr>
          <w:lang w:val="en-AU"/>
        </w:rPr>
        <w:t>At the same time, participants highlighted the urgent need to improve current police reporting mechanisms. A number of respondents highlighted that they would feel more comfortable reporting violence if they could do so to a female officer.</w:t>
      </w:r>
    </w:p>
    <w:p w14:paraId="6479DAE2" w14:textId="77777777" w:rsidR="00CB68BF" w:rsidRPr="00CE2F22" w:rsidRDefault="00CB68BF" w:rsidP="00CB68BF">
      <w:pPr>
        <w:pStyle w:val="BodyText"/>
        <w:rPr>
          <w:lang w:val="en-AU"/>
        </w:rPr>
      </w:pPr>
    </w:p>
    <w:p w14:paraId="2495E111" w14:textId="31CF0CC9" w:rsidR="00CB68BF" w:rsidRPr="00CE2F22" w:rsidRDefault="00CB68BF" w:rsidP="00CB68BF">
      <w:pPr>
        <w:pStyle w:val="BodyText"/>
        <w:rPr>
          <w:lang w:val="en-AU"/>
        </w:rPr>
      </w:pPr>
      <w:r w:rsidRPr="00CE2F22">
        <w:rPr>
          <w:lang w:val="en-AU"/>
        </w:rPr>
        <w:t>Many highlighted an urgent need for officers to be comprehensively trained in dealing with gender-based violence in a way that is trauma- informed, and victim-survivor centred.</w:t>
      </w:r>
    </w:p>
    <w:p w14:paraId="6F2A3815" w14:textId="77777777" w:rsidR="00CB68BF" w:rsidRPr="00CE2F22" w:rsidRDefault="00CB68BF" w:rsidP="00CB68BF">
      <w:pPr>
        <w:pStyle w:val="BodyText"/>
        <w:rPr>
          <w:lang w:val="en-AU"/>
        </w:rPr>
      </w:pPr>
    </w:p>
    <w:p w14:paraId="19EDC9F3" w14:textId="1BDDC113" w:rsidR="00CB68BF" w:rsidRPr="00CE2F22" w:rsidRDefault="00CB68BF" w:rsidP="00CB68BF">
      <w:pPr>
        <w:pStyle w:val="BodyText"/>
        <w:rPr>
          <w:lang w:val="en-AU"/>
        </w:rPr>
      </w:pPr>
      <w:r w:rsidRPr="00CE2F22">
        <w:rPr>
          <w:lang w:val="en-AU"/>
        </w:rPr>
        <w:t>These findings align with research conducted by UN Women that has found that when professionally trained and equipped female officers are more visible, ‘women and girls in the community are more likely to believe that their concerns are being heard and seriously addressed’. (7)</w:t>
      </w:r>
    </w:p>
    <w:p w14:paraId="2544AA0E" w14:textId="77777777" w:rsidR="00CB68BF" w:rsidRPr="00CE2F22" w:rsidRDefault="00CB68BF" w:rsidP="00CB68BF">
      <w:pPr>
        <w:pStyle w:val="BodyText"/>
        <w:rPr>
          <w:lang w:val="en-AU"/>
        </w:rPr>
      </w:pPr>
    </w:p>
    <w:p w14:paraId="58D471CD" w14:textId="563C9EBF" w:rsidR="00CB68BF" w:rsidRPr="00CE2F22" w:rsidRDefault="00CB68BF" w:rsidP="00CB68BF">
      <w:pPr>
        <w:pStyle w:val="BodyText"/>
        <w:rPr>
          <w:lang w:val="en-AU"/>
        </w:rPr>
      </w:pPr>
      <w:r w:rsidRPr="00CE2F22">
        <w:rPr>
          <w:lang w:val="en-AU"/>
        </w:rPr>
        <w:t>Overall participants highlighted the need to place an obligation on reporting avenues, including police, to get back in contact with the victim-survivor who reports. This was flagged as key to increase victim- survivors’ willingness to come forward and challenge perceptions that reporting violence is a ‘waste of time’.</w:t>
      </w:r>
    </w:p>
    <w:p w14:paraId="6EA2E00C" w14:textId="77777777" w:rsidR="00CB68BF" w:rsidRPr="00CE2F22" w:rsidRDefault="00CB68BF" w:rsidP="00CB68BF">
      <w:pPr>
        <w:pStyle w:val="BodyText"/>
        <w:rPr>
          <w:lang w:val="en-AU"/>
        </w:rPr>
      </w:pPr>
    </w:p>
    <w:p w14:paraId="3677B8E9" w14:textId="16D939E9" w:rsidR="00CB68BF" w:rsidRPr="00CE2F22" w:rsidRDefault="00CB68BF" w:rsidP="00CB68BF">
      <w:pPr>
        <w:pStyle w:val="BodyText"/>
        <w:rPr>
          <w:lang w:val="en-AU"/>
        </w:rPr>
      </w:pPr>
      <w:r w:rsidRPr="00CE2F22">
        <w:rPr>
          <w:lang w:val="en-AU"/>
        </w:rPr>
        <w:t>Challenging blame culture within institutions and communities was additionally highlighted by participants as crucial to improving police responses to reports of violence.</w:t>
      </w:r>
    </w:p>
    <w:p w14:paraId="268F6DDF" w14:textId="6776CFC3" w:rsidR="00CB68BF" w:rsidRPr="00CE2F22" w:rsidRDefault="00CB68BF" w:rsidP="00CB68BF">
      <w:pPr>
        <w:pStyle w:val="BodyText"/>
        <w:rPr>
          <w:lang w:val="en-AU"/>
        </w:rPr>
      </w:pPr>
    </w:p>
    <w:p w14:paraId="540D5E2E" w14:textId="66B4DA3E" w:rsidR="00CB68BF" w:rsidRPr="00CE2F22" w:rsidRDefault="00CB68BF" w:rsidP="00CB68BF">
      <w:pPr>
        <w:pStyle w:val="IntenseQuote"/>
      </w:pPr>
      <w:r w:rsidRPr="00CE2F22">
        <w:t>Society needs to prove that it is trustworthy enough for women to come forward so the moment they do, they will not be left in serious, often life-threatening danger, because society didn’t want to believe them.</w:t>
      </w:r>
    </w:p>
    <w:p w14:paraId="7BF17EF4" w14:textId="7D22B29E" w:rsidR="00CB68BF" w:rsidRPr="00CE2F22" w:rsidRDefault="00CB68BF" w:rsidP="00CB68BF">
      <w:pPr>
        <w:pStyle w:val="Heading3"/>
        <w:numPr>
          <w:ilvl w:val="0"/>
          <w:numId w:val="21"/>
        </w:numPr>
      </w:pPr>
      <w:bookmarkStart w:id="72" w:name="_Toc96092087"/>
      <w:r w:rsidRPr="00CE2F22">
        <w:t>Changing blame culture</w:t>
      </w:r>
      <w:bookmarkEnd w:id="72"/>
    </w:p>
    <w:p w14:paraId="14F459B8" w14:textId="159B0961" w:rsidR="00CB68BF" w:rsidRPr="00CE2F22" w:rsidRDefault="00CB68BF" w:rsidP="00CB68BF"/>
    <w:p w14:paraId="27759865" w14:textId="757BFD6C" w:rsidR="00CB68BF" w:rsidRPr="00CE2F22" w:rsidRDefault="00CB68BF" w:rsidP="00CB68BF">
      <w:pPr>
        <w:pStyle w:val="BodyText"/>
        <w:rPr>
          <w:lang w:val="en-AU"/>
        </w:rPr>
      </w:pPr>
      <w:r w:rsidRPr="00CE2F22">
        <w:rPr>
          <w:lang w:val="en-AU"/>
        </w:rPr>
        <w:t>Throughout the forum and survey, victim-blaming attitudes were highlighted as a significant barrier that prevented young people from reporting violence and receiving safety and support.</w:t>
      </w:r>
    </w:p>
    <w:p w14:paraId="30B6010F" w14:textId="77777777" w:rsidR="00CB68BF" w:rsidRPr="00CE2F22" w:rsidRDefault="00CB68BF" w:rsidP="00CB68BF">
      <w:pPr>
        <w:pStyle w:val="BodyText"/>
        <w:rPr>
          <w:lang w:val="en-AU"/>
        </w:rPr>
      </w:pPr>
    </w:p>
    <w:p w14:paraId="656420E6" w14:textId="77777777" w:rsidR="00CB68BF" w:rsidRPr="00CE2F22" w:rsidRDefault="00CB68BF" w:rsidP="00CB68BF">
      <w:pPr>
        <w:pStyle w:val="BodyText"/>
        <w:rPr>
          <w:lang w:val="en-AU"/>
        </w:rPr>
      </w:pPr>
      <w:r w:rsidRPr="00CE2F22">
        <w:rPr>
          <w:lang w:val="en-AU"/>
        </w:rPr>
        <w:t>Respondents highlighted that a culture that places blame on victim-survivors not only discourages people from reporting but additionally puts victim- survivors at greater risk of continued violence.</w:t>
      </w:r>
    </w:p>
    <w:p w14:paraId="0A9A3ECC" w14:textId="77777777" w:rsidR="00CB68BF" w:rsidRPr="00CE2F22" w:rsidRDefault="00CB68BF" w:rsidP="00CB68BF">
      <w:pPr>
        <w:pStyle w:val="BodyText"/>
        <w:rPr>
          <w:lang w:val="en-AU"/>
        </w:rPr>
      </w:pPr>
    </w:p>
    <w:p w14:paraId="77C3793E" w14:textId="06022141" w:rsidR="00CB68BF" w:rsidRPr="00CE2F22" w:rsidRDefault="00CB68BF" w:rsidP="00CB68BF">
      <w:pPr>
        <w:pStyle w:val="BodyText"/>
        <w:rPr>
          <w:lang w:val="en-AU"/>
        </w:rPr>
      </w:pPr>
      <w:r w:rsidRPr="00CE2F22">
        <w:rPr>
          <w:lang w:val="en-AU"/>
        </w:rPr>
        <w:t>Improving reporting mechanisms therefore relies on challenging the broader culture that continues to protect perpetrators at the expense of victim- survivors. To address this, respondents emphasised that perpetrators must be treated as suspects, rather than witnesses and that all men must play a more active role in challenging the social norms of shame, silence and pain that prevent victim- survivors from reporting.</w:t>
      </w:r>
    </w:p>
    <w:p w14:paraId="1AC27DE7" w14:textId="3264BEBE" w:rsidR="00CB68BF" w:rsidRPr="00CE2F22" w:rsidRDefault="00CB68BF" w:rsidP="00CB68BF">
      <w:pPr>
        <w:pStyle w:val="BodyText"/>
        <w:rPr>
          <w:lang w:val="en-AU"/>
        </w:rPr>
      </w:pPr>
    </w:p>
    <w:p w14:paraId="5DF63EDC" w14:textId="3E9D07C3" w:rsidR="00CB68BF" w:rsidRPr="00CE2F22" w:rsidRDefault="00CB68BF" w:rsidP="00CB68BF">
      <w:pPr>
        <w:pStyle w:val="IntenseQuote"/>
      </w:pPr>
      <w:r w:rsidRPr="00CE2F22">
        <w:t>We need society, and specifically men, to start actively listening and to take initiative–it shouldn’t be up to victims to have to shoulder the burden of creating a safe society.</w:t>
      </w:r>
    </w:p>
    <w:p w14:paraId="293F97FC" w14:textId="5F8475FE" w:rsidR="00CB68BF" w:rsidRPr="00CE2F22" w:rsidRDefault="00CB68BF" w:rsidP="00CB68BF">
      <w:pPr>
        <w:pStyle w:val="BodyText"/>
        <w:rPr>
          <w:lang w:val="en-AU"/>
        </w:rPr>
      </w:pPr>
      <w:r w:rsidRPr="00CE2F22">
        <w:rPr>
          <w:lang w:val="en-AU"/>
        </w:rPr>
        <w:t>In addition, respondents indicated that changing victim-blaming attitudes requires changing the way we educate, talk about and present violence in the media and popular culture. Others added that this requires destigmatising conversations surrounding consent, sex and violence and changing attitudes that view the home and intimate relationships as ‘private’ and therefore a ‘place of immunity’.</w:t>
      </w:r>
    </w:p>
    <w:p w14:paraId="77AF6F28" w14:textId="2048423A" w:rsidR="00CB68BF" w:rsidRPr="00CE2F22" w:rsidRDefault="00CB68BF" w:rsidP="00CB68BF">
      <w:pPr>
        <w:pStyle w:val="BodyText"/>
        <w:rPr>
          <w:lang w:val="en-AU"/>
        </w:rPr>
      </w:pPr>
    </w:p>
    <w:p w14:paraId="0F2165BE" w14:textId="05F9FF2B" w:rsidR="00CB68BF" w:rsidRPr="00CE2F22" w:rsidRDefault="00CB68BF" w:rsidP="00CB68BF">
      <w:pPr>
        <w:pStyle w:val="Heading3"/>
        <w:numPr>
          <w:ilvl w:val="0"/>
          <w:numId w:val="21"/>
        </w:numPr>
      </w:pPr>
      <w:bookmarkStart w:id="73" w:name="_Toc96092088"/>
      <w:r w:rsidRPr="00CE2F22">
        <w:t>Education</w:t>
      </w:r>
      <w:bookmarkEnd w:id="73"/>
    </w:p>
    <w:p w14:paraId="4E223E52" w14:textId="77777777" w:rsidR="00F41F91" w:rsidRPr="00CE2F22" w:rsidRDefault="00F41F91" w:rsidP="00F41F91"/>
    <w:p w14:paraId="571CC68D" w14:textId="382DCBA3" w:rsidR="00CB68BF" w:rsidRPr="00CE2F22" w:rsidRDefault="00F41F91" w:rsidP="00F41F91">
      <w:pPr>
        <w:pStyle w:val="BodyText"/>
        <w:rPr>
          <w:lang w:val="en-AU"/>
        </w:rPr>
      </w:pPr>
      <w:r w:rsidRPr="00CE2F22">
        <w:rPr>
          <w:lang w:val="en-AU"/>
        </w:rPr>
        <w:t>Many respondents in the survey indicated that they did not report violence because, at the time, they were unaware that their experience was classified as abuse. In response to this, young victim-survivors highlighted the need for better education regarding diverse forms of violence, including coercive control, financial abuse, technology-facilitated abuse, and cultural abuse. Ultimately, participants highlighted that education must teach all genders about respectful behaviour and the available support services, as early as primary school, to ensure young people can identify signs of abuse, report and access help before their situation escalates.</w:t>
      </w:r>
    </w:p>
    <w:p w14:paraId="4FE9EB61" w14:textId="5BF7C6CC" w:rsidR="00F41F91" w:rsidRPr="00CE2F22" w:rsidRDefault="00F41F91" w:rsidP="00F41F91">
      <w:pPr>
        <w:pStyle w:val="BodyText"/>
        <w:rPr>
          <w:lang w:val="en-AU"/>
        </w:rPr>
      </w:pPr>
    </w:p>
    <w:p w14:paraId="4B9262CA" w14:textId="346FDBAA" w:rsidR="00F41F91" w:rsidRPr="00CE2F22" w:rsidRDefault="00F41F91" w:rsidP="00F41F91">
      <w:pPr>
        <w:pStyle w:val="IntenseQuote"/>
      </w:pPr>
      <w:r w:rsidRPr="00CE2F22">
        <w:t>I’ve been given contradictory advice from people from victim services, some saying I need to report my history of family violence to police, some say I don’t, in order to access mental health care. We need clear, easy to access information for people wanting to report violence.</w:t>
      </w:r>
    </w:p>
    <w:p w14:paraId="631D9003" w14:textId="68B886E6" w:rsidR="00CB68BF" w:rsidRPr="00CE2F22" w:rsidRDefault="00F41F91" w:rsidP="00FA3B66">
      <w:r w:rsidRPr="00CE2F22">
        <w:t xml:space="preserve"> </w:t>
      </w:r>
    </w:p>
    <w:p w14:paraId="0A1C20AA" w14:textId="0A8A5EE5" w:rsidR="00F41F91" w:rsidRPr="00CE2F22" w:rsidRDefault="00F41F91" w:rsidP="00F41F91">
      <w:pPr>
        <w:pStyle w:val="Heading3"/>
        <w:numPr>
          <w:ilvl w:val="0"/>
          <w:numId w:val="21"/>
        </w:numPr>
      </w:pPr>
      <w:bookmarkStart w:id="74" w:name="_Toc96092089"/>
      <w:r w:rsidRPr="00CE2F22">
        <w:t>Sector collaboration</w:t>
      </w:r>
      <w:bookmarkEnd w:id="74"/>
    </w:p>
    <w:p w14:paraId="0BD5221D" w14:textId="40A18E36" w:rsidR="00F41F91" w:rsidRPr="00CE2F22" w:rsidRDefault="00F41F91" w:rsidP="00F41F91"/>
    <w:p w14:paraId="184CF933" w14:textId="0DA5B486" w:rsidR="00F41F91" w:rsidRPr="00CE2F22" w:rsidRDefault="00F41F91" w:rsidP="00F41F91">
      <w:pPr>
        <w:pStyle w:val="BodyText"/>
        <w:rPr>
          <w:lang w:val="en-AU"/>
        </w:rPr>
      </w:pPr>
      <w:r w:rsidRPr="00CE2F22">
        <w:rPr>
          <w:lang w:val="en-AU"/>
        </w:rPr>
        <w:t>Respondents highlighted that their experiences of reporting violence were worsened by the lack of clear information provided by services and difficulties navigating multiple and complex reporting processes.</w:t>
      </w:r>
    </w:p>
    <w:p w14:paraId="290B3F6A" w14:textId="77777777" w:rsidR="00F41F91" w:rsidRPr="00CE2F22" w:rsidRDefault="00F41F91" w:rsidP="00F41F91">
      <w:pPr>
        <w:pStyle w:val="BodyText"/>
        <w:rPr>
          <w:lang w:val="en-AU"/>
        </w:rPr>
      </w:pPr>
    </w:p>
    <w:p w14:paraId="25F64ED7" w14:textId="2F8C8AF8" w:rsidR="00F41F91" w:rsidRPr="00CE2F22" w:rsidRDefault="00F41F91" w:rsidP="00F41F91">
      <w:pPr>
        <w:pStyle w:val="BodyText"/>
        <w:rPr>
          <w:lang w:val="en-AU"/>
        </w:rPr>
      </w:pPr>
      <w:r w:rsidRPr="00CE2F22">
        <w:rPr>
          <w:lang w:val="en-AU"/>
        </w:rPr>
        <w:t>In response to this issue, forum participants in the forum highlighted the need for more sector collaboration in reporting violence, to reduce confusion and ensure victim-survivors only have to tell their story once.</w:t>
      </w:r>
    </w:p>
    <w:p w14:paraId="3DBC0E2E" w14:textId="77777777" w:rsidR="00F41F91" w:rsidRPr="00CE2F22" w:rsidRDefault="00F41F91" w:rsidP="00F41F91">
      <w:pPr>
        <w:pStyle w:val="BodyText"/>
        <w:rPr>
          <w:lang w:val="en-AU"/>
        </w:rPr>
      </w:pPr>
    </w:p>
    <w:p w14:paraId="753B47CC" w14:textId="7278DC7D" w:rsidR="00F41F91" w:rsidRPr="00CE2F22" w:rsidRDefault="00F41F91" w:rsidP="00F41F91">
      <w:pPr>
        <w:pStyle w:val="BodyText"/>
        <w:rPr>
          <w:lang w:val="en-AU"/>
        </w:rPr>
      </w:pPr>
      <w:r w:rsidRPr="00CE2F22">
        <w:rPr>
          <w:lang w:val="en-AU"/>
        </w:rPr>
        <w:t>Participants theorised a ‘one-stop shop’ online resource that is simple to use and provides information regarding different reporting options. This resource should provide step by step guides to help victim-survivors navigate reporting processes and be tailored to the needs of diverse groups. For instance, participants highlighted the importance of Easy English options for people with intellectual disability and translated resources for people from culturally and linguistically diverse backgrounds.</w:t>
      </w:r>
    </w:p>
    <w:p w14:paraId="21AFA930" w14:textId="77777777" w:rsidR="00F41F91" w:rsidRPr="00CE2F22" w:rsidRDefault="00F41F91" w:rsidP="00F41F91">
      <w:pPr>
        <w:pStyle w:val="BodyText"/>
        <w:rPr>
          <w:lang w:val="en-AU"/>
        </w:rPr>
      </w:pPr>
    </w:p>
    <w:p w14:paraId="10D98955" w14:textId="6F0B0622" w:rsidR="00E3733B" w:rsidRPr="00CE2F22" w:rsidRDefault="00F41F91" w:rsidP="00F41F91">
      <w:pPr>
        <w:pStyle w:val="BodyText"/>
        <w:rPr>
          <w:lang w:val="en-AU"/>
        </w:rPr>
      </w:pPr>
      <w:r w:rsidRPr="00CE2F22">
        <w:rPr>
          <w:lang w:val="en-AU"/>
        </w:rPr>
        <w:t>Staff who are working to register reports need to be well versed in understanding neurodivergent communication and trained to recognise and appreciate the intersecting forms of discrimination, including race, class, ability, sexual orientation and more, that may impact a victim-survivor’s willingness to report violence. Ultimately, any resource should empower young people to make informed choices about reporting violence based on their specific needs.</w:t>
      </w:r>
    </w:p>
    <w:p w14:paraId="6C4E4027" w14:textId="11001993" w:rsidR="00E3733B" w:rsidRPr="00CE2F22" w:rsidRDefault="00E3733B" w:rsidP="00F41F91">
      <w:pPr>
        <w:pStyle w:val="BodyText"/>
        <w:rPr>
          <w:lang w:val="en-AU"/>
        </w:rPr>
      </w:pPr>
    </w:p>
    <w:p w14:paraId="6548D373" w14:textId="35E4C409" w:rsidR="00E3733B" w:rsidRPr="00CE2F22" w:rsidRDefault="00E3733B" w:rsidP="00E3733B"/>
    <w:p w14:paraId="4BE1C430" w14:textId="77777777" w:rsidR="00E3733B" w:rsidRPr="00CE2F22" w:rsidRDefault="00E3733B" w:rsidP="00F41F91">
      <w:pPr>
        <w:pStyle w:val="BodyText"/>
        <w:rPr>
          <w:lang w:val="en-AU"/>
        </w:rPr>
      </w:pPr>
    </w:p>
    <w:p w14:paraId="7DBF333D" w14:textId="1D8606E7" w:rsidR="00E3733B" w:rsidRPr="00CE2F22" w:rsidRDefault="00E3733B">
      <w:pPr>
        <w:spacing w:after="200" w:line="276" w:lineRule="auto"/>
      </w:pPr>
      <w:r w:rsidRPr="00CE2F22">
        <w:br w:type="page"/>
      </w:r>
    </w:p>
    <w:p w14:paraId="39C388E9" w14:textId="77777777" w:rsidR="00E3733B" w:rsidRPr="00CE2F22" w:rsidRDefault="00E3733B">
      <w:pPr>
        <w:spacing w:after="200" w:line="276" w:lineRule="auto"/>
        <w:rPr>
          <w:rFonts w:ascii="Open Sans" w:eastAsia="Open Sans" w:hAnsi="Open Sans" w:cs="Open Sans"/>
          <w:sz w:val="20"/>
          <w:szCs w:val="20"/>
        </w:rPr>
      </w:pPr>
    </w:p>
    <w:p w14:paraId="71FE7385" w14:textId="573BABDB" w:rsidR="00F41F91" w:rsidRPr="009A5B8A" w:rsidRDefault="00E3733B" w:rsidP="009A5B8A">
      <w:pPr>
        <w:pStyle w:val="Heading1"/>
      </w:pPr>
      <w:bookmarkStart w:id="75" w:name="_Toc96092090"/>
      <w:r w:rsidRPr="009A5B8A">
        <w:t>RECEIVING SUPPORT</w:t>
      </w:r>
      <w:bookmarkEnd w:id="75"/>
    </w:p>
    <w:p w14:paraId="273CE347" w14:textId="63CC4A2E" w:rsidR="00E3733B" w:rsidRPr="00CE2F22" w:rsidRDefault="00E3733B" w:rsidP="009A5B8A">
      <w:pPr>
        <w:pStyle w:val="Heading2"/>
      </w:pPr>
      <w:bookmarkStart w:id="76" w:name="_Toc96092091"/>
      <w:r w:rsidRPr="00CE2F22">
        <w:t>Where are young victim-survivors accessing support?</w:t>
      </w:r>
      <w:bookmarkEnd w:id="76"/>
    </w:p>
    <w:p w14:paraId="2F46BE26" w14:textId="47F97FD0" w:rsidR="00E3733B" w:rsidRPr="00CE2F22" w:rsidRDefault="00E3733B" w:rsidP="00E3733B"/>
    <w:p w14:paraId="3CD82B91" w14:textId="0AD943DD" w:rsidR="00E3733B" w:rsidRPr="00CE2F22" w:rsidRDefault="00E3733B" w:rsidP="00E3733B">
      <w:pPr>
        <w:pStyle w:val="BodyText"/>
        <w:rPr>
          <w:lang w:val="en-AU"/>
        </w:rPr>
      </w:pPr>
      <w:r w:rsidRPr="00CE2F22">
        <w:rPr>
          <w:lang w:val="en-AU"/>
        </w:rPr>
        <w:t>Of all the survey respondents who experienced violence 54% sought, were offered, or accessed support after experiencing violence, while 46% did not.</w:t>
      </w:r>
    </w:p>
    <w:p w14:paraId="4C0D1C3F" w14:textId="77777777" w:rsidR="00E3733B" w:rsidRPr="00CE2F22" w:rsidRDefault="00E3733B" w:rsidP="00E3733B">
      <w:pPr>
        <w:pStyle w:val="BodyText"/>
        <w:rPr>
          <w:lang w:val="en-AU"/>
        </w:rPr>
      </w:pPr>
    </w:p>
    <w:p w14:paraId="49A91764" w14:textId="4258F15F" w:rsidR="00E3733B" w:rsidRPr="00CE2F22" w:rsidRDefault="00E3733B" w:rsidP="00E3733B">
      <w:pPr>
        <w:pStyle w:val="BodyText"/>
        <w:rPr>
          <w:lang w:val="en-AU"/>
        </w:rPr>
      </w:pPr>
      <w:r w:rsidRPr="00CE2F22">
        <w:rPr>
          <w:lang w:val="en-AU"/>
        </w:rPr>
        <w:t>The most common forms of support accessed by young victim-survivors were ‘psychologists and counsellors’ (80.2%) and ‘family and friends’ (77.9%). Only around one in four respondents reported seeking assistance from sexual assault services, a GP or other medical professionals, a women’s service, or a phone counselling service.</w:t>
      </w:r>
    </w:p>
    <w:p w14:paraId="6930920A" w14:textId="75E91307" w:rsidR="00E3733B" w:rsidRPr="00CE2F22" w:rsidRDefault="00E3733B" w:rsidP="00E3733B">
      <w:pPr>
        <w:pStyle w:val="BodyText"/>
        <w:rPr>
          <w:lang w:val="en-AU"/>
        </w:rPr>
      </w:pPr>
    </w:p>
    <w:p w14:paraId="23EA3319" w14:textId="0CBC62A6" w:rsidR="00330831" w:rsidRDefault="00330831" w:rsidP="00330831">
      <w:pPr>
        <w:pStyle w:val="BodyText"/>
        <w:rPr>
          <w:b/>
          <w:bCs/>
        </w:rPr>
      </w:pPr>
    </w:p>
    <w:tbl>
      <w:tblPr>
        <w:tblStyle w:val="TableGrid"/>
        <w:tblW w:w="9350" w:type="dxa"/>
        <w:tblLook w:val="04A0" w:firstRow="1" w:lastRow="0" w:firstColumn="1" w:lastColumn="0" w:noHBand="0" w:noVBand="1"/>
      </w:tblPr>
      <w:tblGrid>
        <w:gridCol w:w="7710"/>
        <w:gridCol w:w="796"/>
        <w:gridCol w:w="844"/>
      </w:tblGrid>
      <w:tr w:rsidR="00837D8B" w:rsidRPr="007D5AAA" w14:paraId="0C9EF8CC" w14:textId="77777777" w:rsidTr="00957FA3">
        <w:tc>
          <w:tcPr>
            <w:tcW w:w="9350" w:type="dxa"/>
            <w:gridSpan w:val="3"/>
          </w:tcPr>
          <w:p w14:paraId="0CB4BC0D" w14:textId="72CF359C" w:rsidR="00837D8B" w:rsidRPr="007D5AAA" w:rsidRDefault="00837D8B" w:rsidP="00837D8B">
            <w:pPr>
              <w:pStyle w:val="BodyText"/>
              <w:rPr>
                <w:b/>
                <w:bCs/>
              </w:rPr>
            </w:pPr>
            <w:r w:rsidRPr="00330831">
              <w:rPr>
                <w:b/>
                <w:bCs/>
              </w:rPr>
              <w:t>Table 4.1: Where young victim-survivors access support</w:t>
            </w:r>
          </w:p>
        </w:tc>
      </w:tr>
      <w:tr w:rsidR="00837D8B" w:rsidRPr="007D5AAA" w14:paraId="0E74D392" w14:textId="77777777" w:rsidTr="00837D8B">
        <w:tc>
          <w:tcPr>
            <w:tcW w:w="7710" w:type="dxa"/>
          </w:tcPr>
          <w:p w14:paraId="3EF4572C" w14:textId="77777777"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 xml:space="preserve">Family and/or friends </w:t>
            </w:r>
          </w:p>
        </w:tc>
        <w:tc>
          <w:tcPr>
            <w:tcW w:w="796" w:type="dxa"/>
          </w:tcPr>
          <w:p w14:paraId="4C67097B" w14:textId="349B5D35" w:rsidR="00837D8B" w:rsidRPr="007D5AAA" w:rsidRDefault="00837D8B" w:rsidP="00837D8B">
            <w:pPr>
              <w:jc w:val="both"/>
              <w:rPr>
                <w:rFonts w:ascii="Open Sans" w:hAnsi="Open Sans" w:cs="Open Sans"/>
                <w:sz w:val="20"/>
                <w:szCs w:val="20"/>
              </w:rPr>
            </w:pPr>
            <w:r w:rsidRPr="00096F03">
              <w:rPr>
                <w:rFonts w:ascii="Open Sans" w:hAnsi="Open Sans" w:cs="Open Sans"/>
                <w:b/>
                <w:bCs/>
                <w:sz w:val="20"/>
                <w:szCs w:val="20"/>
              </w:rPr>
              <w:t>%</w:t>
            </w:r>
          </w:p>
        </w:tc>
        <w:tc>
          <w:tcPr>
            <w:tcW w:w="844" w:type="dxa"/>
          </w:tcPr>
          <w:p w14:paraId="3EC108A1" w14:textId="64D4A266"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77.9%</w:t>
            </w:r>
          </w:p>
        </w:tc>
      </w:tr>
      <w:tr w:rsidR="00837D8B" w:rsidRPr="007D5AAA" w14:paraId="60C98F4B" w14:textId="77777777" w:rsidTr="00837D8B">
        <w:tc>
          <w:tcPr>
            <w:tcW w:w="7710" w:type="dxa"/>
          </w:tcPr>
          <w:p w14:paraId="32E53BAA" w14:textId="77777777"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 xml:space="preserve">Police </w:t>
            </w:r>
          </w:p>
        </w:tc>
        <w:tc>
          <w:tcPr>
            <w:tcW w:w="796" w:type="dxa"/>
          </w:tcPr>
          <w:p w14:paraId="6176AB4E" w14:textId="4753851B" w:rsidR="00837D8B" w:rsidRPr="007D5AAA" w:rsidRDefault="00837D8B" w:rsidP="00837D8B">
            <w:pPr>
              <w:jc w:val="both"/>
              <w:rPr>
                <w:rFonts w:ascii="Open Sans" w:hAnsi="Open Sans" w:cs="Open Sans"/>
                <w:sz w:val="20"/>
                <w:szCs w:val="20"/>
              </w:rPr>
            </w:pPr>
            <w:r w:rsidRPr="00096F03">
              <w:rPr>
                <w:rFonts w:ascii="Open Sans" w:hAnsi="Open Sans" w:cs="Open Sans"/>
                <w:b/>
                <w:bCs/>
                <w:sz w:val="20"/>
                <w:szCs w:val="20"/>
              </w:rPr>
              <w:t>%</w:t>
            </w:r>
          </w:p>
        </w:tc>
        <w:tc>
          <w:tcPr>
            <w:tcW w:w="844" w:type="dxa"/>
          </w:tcPr>
          <w:p w14:paraId="1F2EC85E" w14:textId="27E39923"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15.1%</w:t>
            </w:r>
          </w:p>
        </w:tc>
      </w:tr>
      <w:tr w:rsidR="00837D8B" w:rsidRPr="007D5AAA" w14:paraId="5BCD8405" w14:textId="77777777" w:rsidTr="00837D8B">
        <w:tc>
          <w:tcPr>
            <w:tcW w:w="7710" w:type="dxa"/>
          </w:tcPr>
          <w:p w14:paraId="2F8B2596" w14:textId="77777777"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 xml:space="preserve">Women’s service that specialises in domestic and family violence </w:t>
            </w:r>
          </w:p>
        </w:tc>
        <w:tc>
          <w:tcPr>
            <w:tcW w:w="796" w:type="dxa"/>
          </w:tcPr>
          <w:p w14:paraId="50D63EA5" w14:textId="6A264841" w:rsidR="00837D8B" w:rsidRPr="007D5AAA" w:rsidRDefault="00837D8B" w:rsidP="00837D8B">
            <w:pPr>
              <w:jc w:val="both"/>
              <w:rPr>
                <w:rFonts w:ascii="Open Sans" w:hAnsi="Open Sans" w:cs="Open Sans"/>
                <w:sz w:val="20"/>
                <w:szCs w:val="20"/>
              </w:rPr>
            </w:pPr>
            <w:r w:rsidRPr="00096F03">
              <w:rPr>
                <w:rFonts w:ascii="Open Sans" w:hAnsi="Open Sans" w:cs="Open Sans"/>
                <w:b/>
                <w:bCs/>
                <w:sz w:val="20"/>
                <w:szCs w:val="20"/>
              </w:rPr>
              <w:t>%</w:t>
            </w:r>
          </w:p>
        </w:tc>
        <w:tc>
          <w:tcPr>
            <w:tcW w:w="844" w:type="dxa"/>
          </w:tcPr>
          <w:p w14:paraId="082DB035" w14:textId="2096B624"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23.3%</w:t>
            </w:r>
          </w:p>
        </w:tc>
      </w:tr>
      <w:tr w:rsidR="00837D8B" w:rsidRPr="007D5AAA" w14:paraId="380A5E30" w14:textId="77777777" w:rsidTr="00837D8B">
        <w:tc>
          <w:tcPr>
            <w:tcW w:w="7710" w:type="dxa"/>
          </w:tcPr>
          <w:p w14:paraId="764E9871" w14:textId="77777777"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 xml:space="preserve">Sexual assault service </w:t>
            </w:r>
          </w:p>
        </w:tc>
        <w:tc>
          <w:tcPr>
            <w:tcW w:w="796" w:type="dxa"/>
          </w:tcPr>
          <w:p w14:paraId="73F2E48E" w14:textId="59AED195" w:rsidR="00837D8B" w:rsidRPr="007D5AAA" w:rsidRDefault="00837D8B" w:rsidP="00837D8B">
            <w:pPr>
              <w:jc w:val="both"/>
              <w:rPr>
                <w:rFonts w:ascii="Open Sans" w:hAnsi="Open Sans" w:cs="Open Sans"/>
                <w:sz w:val="20"/>
                <w:szCs w:val="20"/>
              </w:rPr>
            </w:pPr>
            <w:r w:rsidRPr="00096F03">
              <w:rPr>
                <w:rFonts w:ascii="Open Sans" w:hAnsi="Open Sans" w:cs="Open Sans"/>
                <w:b/>
                <w:bCs/>
                <w:sz w:val="20"/>
                <w:szCs w:val="20"/>
              </w:rPr>
              <w:t>%</w:t>
            </w:r>
          </w:p>
        </w:tc>
        <w:tc>
          <w:tcPr>
            <w:tcW w:w="844" w:type="dxa"/>
          </w:tcPr>
          <w:p w14:paraId="403B2515" w14:textId="462E294A"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26.7%</w:t>
            </w:r>
          </w:p>
        </w:tc>
      </w:tr>
      <w:tr w:rsidR="00837D8B" w:rsidRPr="007D5AAA" w14:paraId="446ABC78" w14:textId="77777777" w:rsidTr="00837D8B">
        <w:tc>
          <w:tcPr>
            <w:tcW w:w="7710" w:type="dxa"/>
          </w:tcPr>
          <w:p w14:paraId="00CC1CD3" w14:textId="77777777"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 xml:space="preserve">Shelter or refuge </w:t>
            </w:r>
          </w:p>
        </w:tc>
        <w:tc>
          <w:tcPr>
            <w:tcW w:w="796" w:type="dxa"/>
          </w:tcPr>
          <w:p w14:paraId="03C4D67C" w14:textId="22AB3785" w:rsidR="00837D8B" w:rsidRPr="007D5AAA" w:rsidRDefault="00837D8B" w:rsidP="00837D8B">
            <w:pPr>
              <w:jc w:val="both"/>
              <w:rPr>
                <w:rFonts w:ascii="Open Sans" w:hAnsi="Open Sans" w:cs="Open Sans"/>
                <w:sz w:val="20"/>
                <w:szCs w:val="20"/>
              </w:rPr>
            </w:pPr>
            <w:r w:rsidRPr="00096F03">
              <w:rPr>
                <w:rFonts w:ascii="Open Sans" w:hAnsi="Open Sans" w:cs="Open Sans"/>
                <w:b/>
                <w:bCs/>
                <w:sz w:val="20"/>
                <w:szCs w:val="20"/>
              </w:rPr>
              <w:t>%</w:t>
            </w:r>
          </w:p>
        </w:tc>
        <w:tc>
          <w:tcPr>
            <w:tcW w:w="844" w:type="dxa"/>
          </w:tcPr>
          <w:p w14:paraId="317A85C6" w14:textId="48371246"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1.2%</w:t>
            </w:r>
          </w:p>
        </w:tc>
      </w:tr>
      <w:tr w:rsidR="00837D8B" w:rsidRPr="007D5AAA" w14:paraId="7E044C6D" w14:textId="77777777" w:rsidTr="00837D8B">
        <w:tc>
          <w:tcPr>
            <w:tcW w:w="7710" w:type="dxa"/>
          </w:tcPr>
          <w:p w14:paraId="4DCD2E22" w14:textId="77777777"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 xml:space="preserve">Other housing service provider </w:t>
            </w:r>
          </w:p>
        </w:tc>
        <w:tc>
          <w:tcPr>
            <w:tcW w:w="796" w:type="dxa"/>
          </w:tcPr>
          <w:p w14:paraId="0998CCCC" w14:textId="1D7D9C7F" w:rsidR="00837D8B" w:rsidRPr="007D5AAA" w:rsidRDefault="00837D8B" w:rsidP="00837D8B">
            <w:pPr>
              <w:jc w:val="both"/>
              <w:rPr>
                <w:rFonts w:ascii="Open Sans" w:hAnsi="Open Sans" w:cs="Open Sans"/>
                <w:sz w:val="20"/>
                <w:szCs w:val="20"/>
              </w:rPr>
            </w:pPr>
            <w:r w:rsidRPr="00096F03">
              <w:rPr>
                <w:rFonts w:ascii="Open Sans" w:hAnsi="Open Sans" w:cs="Open Sans"/>
                <w:b/>
                <w:bCs/>
                <w:sz w:val="20"/>
                <w:szCs w:val="20"/>
              </w:rPr>
              <w:t>%</w:t>
            </w:r>
          </w:p>
        </w:tc>
        <w:tc>
          <w:tcPr>
            <w:tcW w:w="844" w:type="dxa"/>
          </w:tcPr>
          <w:p w14:paraId="536FAB1D" w14:textId="3164F85D"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2.3%</w:t>
            </w:r>
          </w:p>
        </w:tc>
      </w:tr>
      <w:tr w:rsidR="00837D8B" w:rsidRPr="007D5AAA" w14:paraId="64492517" w14:textId="77777777" w:rsidTr="00837D8B">
        <w:tc>
          <w:tcPr>
            <w:tcW w:w="7710" w:type="dxa"/>
          </w:tcPr>
          <w:p w14:paraId="05F4EA16" w14:textId="77777777"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 xml:space="preserve">Aboriginal and Torres Strait Islander organisation </w:t>
            </w:r>
          </w:p>
        </w:tc>
        <w:tc>
          <w:tcPr>
            <w:tcW w:w="796" w:type="dxa"/>
          </w:tcPr>
          <w:p w14:paraId="7359D5E4" w14:textId="76E969EF" w:rsidR="00837D8B" w:rsidRPr="007D5AAA" w:rsidRDefault="00837D8B" w:rsidP="00837D8B">
            <w:pPr>
              <w:jc w:val="both"/>
              <w:rPr>
                <w:rFonts w:ascii="Open Sans" w:hAnsi="Open Sans" w:cs="Open Sans"/>
                <w:sz w:val="20"/>
                <w:szCs w:val="20"/>
              </w:rPr>
            </w:pPr>
            <w:r w:rsidRPr="00096F03">
              <w:rPr>
                <w:rFonts w:ascii="Open Sans" w:hAnsi="Open Sans" w:cs="Open Sans"/>
                <w:b/>
                <w:bCs/>
                <w:sz w:val="20"/>
                <w:szCs w:val="20"/>
              </w:rPr>
              <w:t>%</w:t>
            </w:r>
          </w:p>
        </w:tc>
        <w:tc>
          <w:tcPr>
            <w:tcW w:w="844" w:type="dxa"/>
          </w:tcPr>
          <w:p w14:paraId="1FC50478" w14:textId="45F56CC0"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1.2%</w:t>
            </w:r>
          </w:p>
        </w:tc>
      </w:tr>
      <w:tr w:rsidR="00837D8B" w:rsidRPr="007D5AAA" w14:paraId="07E3706E" w14:textId="77777777" w:rsidTr="00837D8B">
        <w:tc>
          <w:tcPr>
            <w:tcW w:w="7710" w:type="dxa"/>
          </w:tcPr>
          <w:p w14:paraId="6520D7B8" w14:textId="77777777"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 xml:space="preserve">LGBTIQ organisation </w:t>
            </w:r>
          </w:p>
        </w:tc>
        <w:tc>
          <w:tcPr>
            <w:tcW w:w="796" w:type="dxa"/>
          </w:tcPr>
          <w:p w14:paraId="4A4201E4" w14:textId="7391DFB2" w:rsidR="00837D8B" w:rsidRPr="007D5AAA" w:rsidRDefault="00837D8B" w:rsidP="00837D8B">
            <w:pPr>
              <w:jc w:val="both"/>
              <w:rPr>
                <w:rFonts w:ascii="Open Sans" w:hAnsi="Open Sans" w:cs="Open Sans"/>
                <w:sz w:val="20"/>
                <w:szCs w:val="20"/>
              </w:rPr>
            </w:pPr>
            <w:r w:rsidRPr="00096F03">
              <w:rPr>
                <w:rFonts w:ascii="Open Sans" w:hAnsi="Open Sans" w:cs="Open Sans"/>
                <w:b/>
                <w:bCs/>
                <w:sz w:val="20"/>
                <w:szCs w:val="20"/>
              </w:rPr>
              <w:t>%</w:t>
            </w:r>
          </w:p>
        </w:tc>
        <w:tc>
          <w:tcPr>
            <w:tcW w:w="844" w:type="dxa"/>
          </w:tcPr>
          <w:p w14:paraId="38008B0E" w14:textId="586F8B5B"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3.5%</w:t>
            </w:r>
          </w:p>
        </w:tc>
      </w:tr>
      <w:tr w:rsidR="00837D8B" w:rsidRPr="007D5AAA" w14:paraId="6F00592C" w14:textId="77777777" w:rsidTr="00837D8B">
        <w:tc>
          <w:tcPr>
            <w:tcW w:w="7710" w:type="dxa"/>
          </w:tcPr>
          <w:p w14:paraId="3B5CE55B" w14:textId="77777777"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 xml:space="preserve">Disability advocacy service or other organisation working with disabled people </w:t>
            </w:r>
          </w:p>
        </w:tc>
        <w:tc>
          <w:tcPr>
            <w:tcW w:w="796" w:type="dxa"/>
          </w:tcPr>
          <w:p w14:paraId="3F3739B7" w14:textId="3E3FA2D4" w:rsidR="00837D8B" w:rsidRPr="007D5AAA" w:rsidRDefault="00837D8B" w:rsidP="00837D8B">
            <w:pPr>
              <w:jc w:val="both"/>
              <w:rPr>
                <w:rFonts w:ascii="Open Sans" w:hAnsi="Open Sans" w:cs="Open Sans"/>
                <w:sz w:val="20"/>
                <w:szCs w:val="20"/>
              </w:rPr>
            </w:pPr>
            <w:r w:rsidRPr="00096F03">
              <w:rPr>
                <w:rFonts w:ascii="Open Sans" w:hAnsi="Open Sans" w:cs="Open Sans"/>
                <w:b/>
                <w:bCs/>
                <w:sz w:val="20"/>
                <w:szCs w:val="20"/>
              </w:rPr>
              <w:t>%</w:t>
            </w:r>
          </w:p>
        </w:tc>
        <w:tc>
          <w:tcPr>
            <w:tcW w:w="844" w:type="dxa"/>
          </w:tcPr>
          <w:p w14:paraId="75D7B324" w14:textId="614F6DE1"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8.1%</w:t>
            </w:r>
          </w:p>
        </w:tc>
      </w:tr>
      <w:tr w:rsidR="00837D8B" w:rsidRPr="007D5AAA" w14:paraId="2C1E9540" w14:textId="77777777" w:rsidTr="00837D8B">
        <w:tc>
          <w:tcPr>
            <w:tcW w:w="7710" w:type="dxa"/>
          </w:tcPr>
          <w:p w14:paraId="7B69D8CE" w14:textId="77777777"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 xml:space="preserve">Organisation working with people who have been trafficked </w:t>
            </w:r>
          </w:p>
        </w:tc>
        <w:tc>
          <w:tcPr>
            <w:tcW w:w="796" w:type="dxa"/>
          </w:tcPr>
          <w:p w14:paraId="5E8FCCFD" w14:textId="2A567FE6" w:rsidR="00837D8B" w:rsidRPr="007D5AAA" w:rsidRDefault="00837D8B" w:rsidP="00837D8B">
            <w:pPr>
              <w:jc w:val="both"/>
              <w:rPr>
                <w:rFonts w:ascii="Open Sans" w:hAnsi="Open Sans" w:cs="Open Sans"/>
                <w:sz w:val="20"/>
                <w:szCs w:val="20"/>
              </w:rPr>
            </w:pPr>
            <w:r w:rsidRPr="00096F03">
              <w:rPr>
                <w:rFonts w:ascii="Open Sans" w:hAnsi="Open Sans" w:cs="Open Sans"/>
                <w:b/>
                <w:bCs/>
                <w:sz w:val="20"/>
                <w:szCs w:val="20"/>
              </w:rPr>
              <w:t>%</w:t>
            </w:r>
          </w:p>
        </w:tc>
        <w:tc>
          <w:tcPr>
            <w:tcW w:w="844" w:type="dxa"/>
          </w:tcPr>
          <w:p w14:paraId="26AF3F5D" w14:textId="44ADE750"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1.2%</w:t>
            </w:r>
          </w:p>
        </w:tc>
      </w:tr>
      <w:tr w:rsidR="00837D8B" w:rsidRPr="007D5AAA" w14:paraId="6C81DB76" w14:textId="77777777" w:rsidTr="00837D8B">
        <w:tc>
          <w:tcPr>
            <w:tcW w:w="7710" w:type="dxa"/>
          </w:tcPr>
          <w:p w14:paraId="2C507026" w14:textId="77777777"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 xml:space="preserve">Other community organisation </w:t>
            </w:r>
          </w:p>
        </w:tc>
        <w:tc>
          <w:tcPr>
            <w:tcW w:w="796" w:type="dxa"/>
          </w:tcPr>
          <w:p w14:paraId="25E98E11" w14:textId="53756F13" w:rsidR="00837D8B" w:rsidRPr="007D5AAA" w:rsidRDefault="00837D8B" w:rsidP="00837D8B">
            <w:pPr>
              <w:jc w:val="both"/>
              <w:rPr>
                <w:rFonts w:ascii="Open Sans" w:hAnsi="Open Sans" w:cs="Open Sans"/>
                <w:sz w:val="20"/>
                <w:szCs w:val="20"/>
              </w:rPr>
            </w:pPr>
            <w:r w:rsidRPr="00096F03">
              <w:rPr>
                <w:rFonts w:ascii="Open Sans" w:hAnsi="Open Sans" w:cs="Open Sans"/>
                <w:b/>
                <w:bCs/>
                <w:sz w:val="20"/>
                <w:szCs w:val="20"/>
              </w:rPr>
              <w:t>%</w:t>
            </w:r>
          </w:p>
        </w:tc>
        <w:tc>
          <w:tcPr>
            <w:tcW w:w="844" w:type="dxa"/>
          </w:tcPr>
          <w:p w14:paraId="24EB289D" w14:textId="4DB7F973"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3.5%</w:t>
            </w:r>
          </w:p>
        </w:tc>
      </w:tr>
      <w:tr w:rsidR="00837D8B" w:rsidRPr="007D5AAA" w14:paraId="14EC938E" w14:textId="77777777" w:rsidTr="00837D8B">
        <w:tc>
          <w:tcPr>
            <w:tcW w:w="7710" w:type="dxa"/>
          </w:tcPr>
          <w:p w14:paraId="4CCD2232" w14:textId="77777777"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 xml:space="preserve">GP or other medical professional (e.g., nursing staff) </w:t>
            </w:r>
          </w:p>
        </w:tc>
        <w:tc>
          <w:tcPr>
            <w:tcW w:w="796" w:type="dxa"/>
          </w:tcPr>
          <w:p w14:paraId="58120FE6" w14:textId="5B33018B" w:rsidR="00837D8B" w:rsidRPr="007D5AAA" w:rsidRDefault="00837D8B" w:rsidP="00837D8B">
            <w:pPr>
              <w:jc w:val="both"/>
              <w:rPr>
                <w:rFonts w:ascii="Open Sans" w:hAnsi="Open Sans" w:cs="Open Sans"/>
                <w:sz w:val="20"/>
                <w:szCs w:val="20"/>
              </w:rPr>
            </w:pPr>
            <w:r w:rsidRPr="00096F03">
              <w:rPr>
                <w:rFonts w:ascii="Open Sans" w:hAnsi="Open Sans" w:cs="Open Sans"/>
                <w:b/>
                <w:bCs/>
                <w:sz w:val="20"/>
                <w:szCs w:val="20"/>
              </w:rPr>
              <w:t>%</w:t>
            </w:r>
          </w:p>
        </w:tc>
        <w:tc>
          <w:tcPr>
            <w:tcW w:w="844" w:type="dxa"/>
          </w:tcPr>
          <w:p w14:paraId="74A5BA64" w14:textId="0BFBDB20"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24.4%</w:t>
            </w:r>
          </w:p>
        </w:tc>
      </w:tr>
      <w:tr w:rsidR="00837D8B" w:rsidRPr="007D5AAA" w14:paraId="21C415A0" w14:textId="77777777" w:rsidTr="00837D8B">
        <w:tc>
          <w:tcPr>
            <w:tcW w:w="7710" w:type="dxa"/>
          </w:tcPr>
          <w:p w14:paraId="52E56090" w14:textId="77777777"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 xml:space="preserve">Psychologist or counsellor </w:t>
            </w:r>
          </w:p>
        </w:tc>
        <w:tc>
          <w:tcPr>
            <w:tcW w:w="796" w:type="dxa"/>
          </w:tcPr>
          <w:p w14:paraId="2E6ABEAA" w14:textId="4ECF22F0" w:rsidR="00837D8B" w:rsidRPr="007D5AAA" w:rsidRDefault="00837D8B" w:rsidP="00837D8B">
            <w:pPr>
              <w:jc w:val="both"/>
              <w:rPr>
                <w:rFonts w:ascii="Open Sans" w:hAnsi="Open Sans" w:cs="Open Sans"/>
                <w:sz w:val="20"/>
                <w:szCs w:val="20"/>
              </w:rPr>
            </w:pPr>
            <w:r w:rsidRPr="00096F03">
              <w:rPr>
                <w:rFonts w:ascii="Open Sans" w:hAnsi="Open Sans" w:cs="Open Sans"/>
                <w:b/>
                <w:bCs/>
                <w:sz w:val="20"/>
                <w:szCs w:val="20"/>
              </w:rPr>
              <w:t>%</w:t>
            </w:r>
          </w:p>
        </w:tc>
        <w:tc>
          <w:tcPr>
            <w:tcW w:w="844" w:type="dxa"/>
          </w:tcPr>
          <w:p w14:paraId="44B65412" w14:textId="47F8CA03"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80.2%</w:t>
            </w:r>
          </w:p>
        </w:tc>
      </w:tr>
      <w:tr w:rsidR="00837D8B" w:rsidRPr="007D5AAA" w14:paraId="1E9E43C4" w14:textId="77777777" w:rsidTr="00837D8B">
        <w:tc>
          <w:tcPr>
            <w:tcW w:w="7710" w:type="dxa"/>
          </w:tcPr>
          <w:p w14:paraId="7A7E61DB" w14:textId="77777777"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 xml:space="preserve">Phone counsellor (e.g., Kids Helpline, Lifeline, 1800RESPECT, QLife) </w:t>
            </w:r>
          </w:p>
        </w:tc>
        <w:tc>
          <w:tcPr>
            <w:tcW w:w="796" w:type="dxa"/>
          </w:tcPr>
          <w:p w14:paraId="2A1278C8" w14:textId="7B7C2B2C" w:rsidR="00837D8B" w:rsidRPr="007D5AAA" w:rsidRDefault="00837D8B" w:rsidP="00837D8B">
            <w:pPr>
              <w:jc w:val="both"/>
              <w:rPr>
                <w:rFonts w:ascii="Open Sans" w:hAnsi="Open Sans" w:cs="Open Sans"/>
                <w:sz w:val="20"/>
                <w:szCs w:val="20"/>
              </w:rPr>
            </w:pPr>
            <w:r w:rsidRPr="00096F03">
              <w:rPr>
                <w:rFonts w:ascii="Open Sans" w:hAnsi="Open Sans" w:cs="Open Sans"/>
                <w:b/>
                <w:bCs/>
                <w:sz w:val="20"/>
                <w:szCs w:val="20"/>
              </w:rPr>
              <w:t>%</w:t>
            </w:r>
          </w:p>
        </w:tc>
        <w:tc>
          <w:tcPr>
            <w:tcW w:w="844" w:type="dxa"/>
          </w:tcPr>
          <w:p w14:paraId="5D7CFA61" w14:textId="502156F9"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23.3%</w:t>
            </w:r>
          </w:p>
        </w:tc>
      </w:tr>
      <w:tr w:rsidR="00837D8B" w:rsidRPr="007D5AAA" w14:paraId="3EA54CBC" w14:textId="77777777" w:rsidTr="00837D8B">
        <w:tc>
          <w:tcPr>
            <w:tcW w:w="7710" w:type="dxa"/>
          </w:tcPr>
          <w:p w14:paraId="389A7897" w14:textId="77777777"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 xml:space="preserve">Family relationships centre </w:t>
            </w:r>
          </w:p>
        </w:tc>
        <w:tc>
          <w:tcPr>
            <w:tcW w:w="796" w:type="dxa"/>
          </w:tcPr>
          <w:p w14:paraId="067F8C7F" w14:textId="2F210BF4" w:rsidR="00837D8B" w:rsidRPr="007D5AAA" w:rsidRDefault="00837D8B" w:rsidP="00837D8B">
            <w:pPr>
              <w:jc w:val="both"/>
              <w:rPr>
                <w:rFonts w:ascii="Open Sans" w:hAnsi="Open Sans" w:cs="Open Sans"/>
                <w:sz w:val="20"/>
                <w:szCs w:val="20"/>
              </w:rPr>
            </w:pPr>
            <w:r w:rsidRPr="00096F03">
              <w:rPr>
                <w:rFonts w:ascii="Open Sans" w:hAnsi="Open Sans" w:cs="Open Sans"/>
                <w:b/>
                <w:bCs/>
                <w:sz w:val="20"/>
                <w:szCs w:val="20"/>
              </w:rPr>
              <w:t>%</w:t>
            </w:r>
          </w:p>
        </w:tc>
        <w:tc>
          <w:tcPr>
            <w:tcW w:w="844" w:type="dxa"/>
          </w:tcPr>
          <w:p w14:paraId="19111026" w14:textId="21B060D5"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5.8%</w:t>
            </w:r>
          </w:p>
        </w:tc>
      </w:tr>
      <w:tr w:rsidR="00837D8B" w:rsidRPr="007D5AAA" w14:paraId="73AD9578" w14:textId="77777777" w:rsidTr="00837D8B">
        <w:tc>
          <w:tcPr>
            <w:tcW w:w="7710" w:type="dxa"/>
          </w:tcPr>
          <w:p w14:paraId="667D9459" w14:textId="77777777"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 xml:space="preserve">Community legal centre </w:t>
            </w:r>
          </w:p>
        </w:tc>
        <w:tc>
          <w:tcPr>
            <w:tcW w:w="796" w:type="dxa"/>
          </w:tcPr>
          <w:p w14:paraId="630B1DEC" w14:textId="21D45D0B" w:rsidR="00837D8B" w:rsidRPr="007D5AAA" w:rsidRDefault="00837D8B" w:rsidP="00837D8B">
            <w:pPr>
              <w:jc w:val="both"/>
              <w:rPr>
                <w:rFonts w:ascii="Open Sans" w:hAnsi="Open Sans" w:cs="Open Sans"/>
                <w:sz w:val="20"/>
                <w:szCs w:val="20"/>
              </w:rPr>
            </w:pPr>
            <w:r w:rsidRPr="00096F03">
              <w:rPr>
                <w:rFonts w:ascii="Open Sans" w:hAnsi="Open Sans" w:cs="Open Sans"/>
                <w:b/>
                <w:bCs/>
                <w:sz w:val="20"/>
                <w:szCs w:val="20"/>
              </w:rPr>
              <w:t>%</w:t>
            </w:r>
          </w:p>
        </w:tc>
        <w:tc>
          <w:tcPr>
            <w:tcW w:w="844" w:type="dxa"/>
          </w:tcPr>
          <w:p w14:paraId="7AB1022E" w14:textId="663D91B1"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2.3%</w:t>
            </w:r>
          </w:p>
        </w:tc>
      </w:tr>
      <w:tr w:rsidR="00837D8B" w:rsidRPr="007D5AAA" w14:paraId="7E4FF661" w14:textId="77777777" w:rsidTr="00837D8B">
        <w:tc>
          <w:tcPr>
            <w:tcW w:w="7710" w:type="dxa"/>
          </w:tcPr>
          <w:p w14:paraId="654C190C" w14:textId="77777777"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 xml:space="preserve">Women’s legal centre </w:t>
            </w:r>
          </w:p>
        </w:tc>
        <w:tc>
          <w:tcPr>
            <w:tcW w:w="796" w:type="dxa"/>
          </w:tcPr>
          <w:p w14:paraId="41AE19A6" w14:textId="6B023AD2" w:rsidR="00837D8B" w:rsidRPr="007D5AAA" w:rsidRDefault="00837D8B" w:rsidP="00837D8B">
            <w:pPr>
              <w:jc w:val="both"/>
              <w:rPr>
                <w:rFonts w:ascii="Open Sans" w:hAnsi="Open Sans" w:cs="Open Sans"/>
                <w:sz w:val="20"/>
                <w:szCs w:val="20"/>
              </w:rPr>
            </w:pPr>
            <w:r w:rsidRPr="00096F03">
              <w:rPr>
                <w:rFonts w:ascii="Open Sans" w:hAnsi="Open Sans" w:cs="Open Sans"/>
                <w:b/>
                <w:bCs/>
                <w:sz w:val="20"/>
                <w:szCs w:val="20"/>
              </w:rPr>
              <w:t>%</w:t>
            </w:r>
          </w:p>
        </w:tc>
        <w:tc>
          <w:tcPr>
            <w:tcW w:w="844" w:type="dxa"/>
          </w:tcPr>
          <w:p w14:paraId="3369D653" w14:textId="3C87D2C8"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2.3%</w:t>
            </w:r>
          </w:p>
        </w:tc>
      </w:tr>
      <w:tr w:rsidR="00837D8B" w:rsidRPr="007D5AAA" w14:paraId="4B4B13C8" w14:textId="77777777" w:rsidTr="00837D8B">
        <w:tc>
          <w:tcPr>
            <w:tcW w:w="7710" w:type="dxa"/>
          </w:tcPr>
          <w:p w14:paraId="5CABEB56" w14:textId="77777777"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 xml:space="preserve">Court advocacy service </w:t>
            </w:r>
          </w:p>
        </w:tc>
        <w:tc>
          <w:tcPr>
            <w:tcW w:w="796" w:type="dxa"/>
          </w:tcPr>
          <w:p w14:paraId="51DFF7BE" w14:textId="4F978399" w:rsidR="00837D8B" w:rsidRPr="007D5AAA" w:rsidRDefault="00837D8B" w:rsidP="00837D8B">
            <w:pPr>
              <w:jc w:val="both"/>
              <w:rPr>
                <w:rFonts w:ascii="Open Sans" w:hAnsi="Open Sans" w:cs="Open Sans"/>
                <w:sz w:val="20"/>
                <w:szCs w:val="20"/>
              </w:rPr>
            </w:pPr>
            <w:r w:rsidRPr="00096F03">
              <w:rPr>
                <w:rFonts w:ascii="Open Sans" w:hAnsi="Open Sans" w:cs="Open Sans"/>
                <w:b/>
                <w:bCs/>
                <w:sz w:val="20"/>
                <w:szCs w:val="20"/>
              </w:rPr>
              <w:t>%</w:t>
            </w:r>
          </w:p>
        </w:tc>
        <w:tc>
          <w:tcPr>
            <w:tcW w:w="844" w:type="dxa"/>
          </w:tcPr>
          <w:p w14:paraId="4A702513" w14:textId="4F1ACAB9"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2.3%</w:t>
            </w:r>
          </w:p>
        </w:tc>
      </w:tr>
      <w:tr w:rsidR="00837D8B" w:rsidRPr="007D5AAA" w14:paraId="21ACA320" w14:textId="77777777" w:rsidTr="00837D8B">
        <w:tc>
          <w:tcPr>
            <w:tcW w:w="7710" w:type="dxa"/>
          </w:tcPr>
          <w:p w14:paraId="1A42BD3F" w14:textId="77777777"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 xml:space="preserve">University/TAFE/school administration </w:t>
            </w:r>
          </w:p>
        </w:tc>
        <w:tc>
          <w:tcPr>
            <w:tcW w:w="796" w:type="dxa"/>
          </w:tcPr>
          <w:p w14:paraId="0870B35D" w14:textId="02A0616C" w:rsidR="00837D8B" w:rsidRPr="007D5AAA" w:rsidRDefault="00837D8B" w:rsidP="00837D8B">
            <w:pPr>
              <w:jc w:val="both"/>
              <w:rPr>
                <w:rFonts w:ascii="Open Sans" w:hAnsi="Open Sans" w:cs="Open Sans"/>
                <w:sz w:val="20"/>
                <w:szCs w:val="20"/>
              </w:rPr>
            </w:pPr>
            <w:r w:rsidRPr="00096F03">
              <w:rPr>
                <w:rFonts w:ascii="Open Sans" w:hAnsi="Open Sans" w:cs="Open Sans"/>
                <w:b/>
                <w:bCs/>
                <w:sz w:val="20"/>
                <w:szCs w:val="20"/>
              </w:rPr>
              <w:t>%</w:t>
            </w:r>
          </w:p>
        </w:tc>
        <w:tc>
          <w:tcPr>
            <w:tcW w:w="844" w:type="dxa"/>
          </w:tcPr>
          <w:p w14:paraId="0D62C858" w14:textId="18301A61"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9.3%</w:t>
            </w:r>
          </w:p>
        </w:tc>
      </w:tr>
      <w:tr w:rsidR="00837D8B" w:rsidRPr="007D5AAA" w14:paraId="24A604FA" w14:textId="77777777" w:rsidTr="00837D8B">
        <w:tc>
          <w:tcPr>
            <w:tcW w:w="7710" w:type="dxa"/>
          </w:tcPr>
          <w:p w14:paraId="76FABD37" w14:textId="77777777"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 xml:space="preserve">University/TAFE/school student union or student representative (e.g., women’s officer) </w:t>
            </w:r>
          </w:p>
        </w:tc>
        <w:tc>
          <w:tcPr>
            <w:tcW w:w="796" w:type="dxa"/>
          </w:tcPr>
          <w:p w14:paraId="49E17AC7" w14:textId="5DC621BB" w:rsidR="00837D8B" w:rsidRPr="007D5AAA" w:rsidRDefault="00837D8B" w:rsidP="00837D8B">
            <w:pPr>
              <w:jc w:val="both"/>
              <w:rPr>
                <w:rFonts w:ascii="Open Sans" w:hAnsi="Open Sans" w:cs="Open Sans"/>
                <w:sz w:val="20"/>
                <w:szCs w:val="20"/>
              </w:rPr>
            </w:pPr>
            <w:r w:rsidRPr="00096F03">
              <w:rPr>
                <w:rFonts w:ascii="Open Sans" w:hAnsi="Open Sans" w:cs="Open Sans"/>
                <w:b/>
                <w:bCs/>
                <w:sz w:val="20"/>
                <w:szCs w:val="20"/>
              </w:rPr>
              <w:t>%</w:t>
            </w:r>
          </w:p>
        </w:tc>
        <w:tc>
          <w:tcPr>
            <w:tcW w:w="844" w:type="dxa"/>
          </w:tcPr>
          <w:p w14:paraId="0C39E8D6" w14:textId="669DAC22"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3.5%</w:t>
            </w:r>
          </w:p>
        </w:tc>
      </w:tr>
      <w:tr w:rsidR="00837D8B" w:rsidRPr="007D5AAA" w14:paraId="621CC763" w14:textId="77777777" w:rsidTr="00837D8B">
        <w:tc>
          <w:tcPr>
            <w:tcW w:w="7710" w:type="dxa"/>
          </w:tcPr>
          <w:p w14:paraId="1019BD3F" w14:textId="77777777"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 xml:space="preserve">University/TAFE/school teacher or lecturer </w:t>
            </w:r>
          </w:p>
        </w:tc>
        <w:tc>
          <w:tcPr>
            <w:tcW w:w="796" w:type="dxa"/>
          </w:tcPr>
          <w:p w14:paraId="4FF2BBFA" w14:textId="1508F74D" w:rsidR="00837D8B" w:rsidRPr="007D5AAA" w:rsidRDefault="00837D8B" w:rsidP="00837D8B">
            <w:pPr>
              <w:jc w:val="both"/>
              <w:rPr>
                <w:rFonts w:ascii="Open Sans" w:hAnsi="Open Sans" w:cs="Open Sans"/>
                <w:sz w:val="20"/>
                <w:szCs w:val="20"/>
              </w:rPr>
            </w:pPr>
            <w:r w:rsidRPr="00096F03">
              <w:rPr>
                <w:rFonts w:ascii="Open Sans" w:hAnsi="Open Sans" w:cs="Open Sans"/>
                <w:b/>
                <w:bCs/>
                <w:sz w:val="20"/>
                <w:szCs w:val="20"/>
              </w:rPr>
              <w:t>%</w:t>
            </w:r>
          </w:p>
        </w:tc>
        <w:tc>
          <w:tcPr>
            <w:tcW w:w="844" w:type="dxa"/>
          </w:tcPr>
          <w:p w14:paraId="467DC5DF" w14:textId="6A3009BE"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5.8%</w:t>
            </w:r>
          </w:p>
        </w:tc>
      </w:tr>
      <w:tr w:rsidR="00837D8B" w:rsidRPr="007D5AAA" w14:paraId="45F541B9" w14:textId="77777777" w:rsidTr="00837D8B">
        <w:tc>
          <w:tcPr>
            <w:tcW w:w="7710" w:type="dxa"/>
          </w:tcPr>
          <w:p w14:paraId="051A16D5" w14:textId="77777777"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 xml:space="preserve">College Residential Advisor or Pastoral Care </w:t>
            </w:r>
          </w:p>
        </w:tc>
        <w:tc>
          <w:tcPr>
            <w:tcW w:w="796" w:type="dxa"/>
          </w:tcPr>
          <w:p w14:paraId="74E251B1" w14:textId="140412D3" w:rsidR="00837D8B" w:rsidRPr="007D5AAA" w:rsidRDefault="00837D8B" w:rsidP="00837D8B">
            <w:pPr>
              <w:jc w:val="both"/>
              <w:rPr>
                <w:rFonts w:ascii="Open Sans" w:hAnsi="Open Sans" w:cs="Open Sans"/>
                <w:sz w:val="20"/>
                <w:szCs w:val="20"/>
              </w:rPr>
            </w:pPr>
            <w:r w:rsidRPr="00096F03">
              <w:rPr>
                <w:rFonts w:ascii="Open Sans" w:hAnsi="Open Sans" w:cs="Open Sans"/>
                <w:b/>
                <w:bCs/>
                <w:sz w:val="20"/>
                <w:szCs w:val="20"/>
              </w:rPr>
              <w:t>%</w:t>
            </w:r>
          </w:p>
        </w:tc>
        <w:tc>
          <w:tcPr>
            <w:tcW w:w="844" w:type="dxa"/>
          </w:tcPr>
          <w:p w14:paraId="54EA9224" w14:textId="2E224CA0"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1.2%</w:t>
            </w:r>
          </w:p>
        </w:tc>
      </w:tr>
      <w:tr w:rsidR="00837D8B" w:rsidRPr="007D5AAA" w14:paraId="36022CCD" w14:textId="77777777" w:rsidTr="00837D8B">
        <w:tc>
          <w:tcPr>
            <w:tcW w:w="7710" w:type="dxa"/>
          </w:tcPr>
          <w:p w14:paraId="6CE73D75" w14:textId="77777777"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 xml:space="preserve">Workplace manager or HR department </w:t>
            </w:r>
          </w:p>
        </w:tc>
        <w:tc>
          <w:tcPr>
            <w:tcW w:w="796" w:type="dxa"/>
          </w:tcPr>
          <w:p w14:paraId="1D71B522" w14:textId="7B52F7EC" w:rsidR="00837D8B" w:rsidRPr="007D5AAA" w:rsidRDefault="00837D8B" w:rsidP="00837D8B">
            <w:pPr>
              <w:jc w:val="both"/>
              <w:rPr>
                <w:rFonts w:ascii="Open Sans" w:hAnsi="Open Sans" w:cs="Open Sans"/>
                <w:sz w:val="20"/>
                <w:szCs w:val="20"/>
              </w:rPr>
            </w:pPr>
            <w:r w:rsidRPr="00096F03">
              <w:rPr>
                <w:rFonts w:ascii="Open Sans" w:hAnsi="Open Sans" w:cs="Open Sans"/>
                <w:b/>
                <w:bCs/>
                <w:sz w:val="20"/>
                <w:szCs w:val="20"/>
              </w:rPr>
              <w:t>%</w:t>
            </w:r>
          </w:p>
        </w:tc>
        <w:tc>
          <w:tcPr>
            <w:tcW w:w="844" w:type="dxa"/>
          </w:tcPr>
          <w:p w14:paraId="7E2D96E1" w14:textId="2964DCA7"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4.7%</w:t>
            </w:r>
          </w:p>
        </w:tc>
      </w:tr>
      <w:tr w:rsidR="00837D8B" w:rsidRPr="007D5AAA" w14:paraId="3BE7C276" w14:textId="77777777" w:rsidTr="00837D8B">
        <w:tc>
          <w:tcPr>
            <w:tcW w:w="7710" w:type="dxa"/>
          </w:tcPr>
          <w:p w14:paraId="0C7D8014" w14:textId="77777777"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 xml:space="preserve">Other colleague </w:t>
            </w:r>
          </w:p>
        </w:tc>
        <w:tc>
          <w:tcPr>
            <w:tcW w:w="796" w:type="dxa"/>
          </w:tcPr>
          <w:p w14:paraId="31570B0F" w14:textId="38FE1FAE" w:rsidR="00837D8B" w:rsidRPr="007D5AAA" w:rsidRDefault="00837D8B" w:rsidP="00837D8B">
            <w:pPr>
              <w:jc w:val="both"/>
              <w:rPr>
                <w:rFonts w:ascii="Open Sans" w:hAnsi="Open Sans" w:cs="Open Sans"/>
                <w:sz w:val="20"/>
                <w:szCs w:val="20"/>
              </w:rPr>
            </w:pPr>
            <w:r w:rsidRPr="00096F03">
              <w:rPr>
                <w:rFonts w:ascii="Open Sans" w:hAnsi="Open Sans" w:cs="Open Sans"/>
                <w:b/>
                <w:bCs/>
                <w:sz w:val="20"/>
                <w:szCs w:val="20"/>
              </w:rPr>
              <w:t>%</w:t>
            </w:r>
          </w:p>
        </w:tc>
        <w:tc>
          <w:tcPr>
            <w:tcW w:w="844" w:type="dxa"/>
          </w:tcPr>
          <w:p w14:paraId="45A73D4E" w14:textId="2E3E9140"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5.8%</w:t>
            </w:r>
          </w:p>
        </w:tc>
      </w:tr>
      <w:tr w:rsidR="00837D8B" w:rsidRPr="007D5AAA" w14:paraId="7095CCD7" w14:textId="77777777" w:rsidTr="00837D8B">
        <w:tc>
          <w:tcPr>
            <w:tcW w:w="7710" w:type="dxa"/>
          </w:tcPr>
          <w:p w14:paraId="451BFCA3" w14:textId="77777777"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 xml:space="preserve">Faith-based service </w:t>
            </w:r>
          </w:p>
        </w:tc>
        <w:tc>
          <w:tcPr>
            <w:tcW w:w="796" w:type="dxa"/>
          </w:tcPr>
          <w:p w14:paraId="60BE17B4" w14:textId="0812354C" w:rsidR="00837D8B" w:rsidRPr="007D5AAA" w:rsidRDefault="00837D8B" w:rsidP="00837D8B">
            <w:pPr>
              <w:jc w:val="both"/>
              <w:rPr>
                <w:rFonts w:ascii="Open Sans" w:hAnsi="Open Sans" w:cs="Open Sans"/>
                <w:sz w:val="20"/>
                <w:szCs w:val="20"/>
              </w:rPr>
            </w:pPr>
            <w:r w:rsidRPr="00096F03">
              <w:rPr>
                <w:rFonts w:ascii="Open Sans" w:hAnsi="Open Sans" w:cs="Open Sans"/>
                <w:b/>
                <w:bCs/>
                <w:sz w:val="20"/>
                <w:szCs w:val="20"/>
              </w:rPr>
              <w:t>%</w:t>
            </w:r>
          </w:p>
        </w:tc>
        <w:tc>
          <w:tcPr>
            <w:tcW w:w="844" w:type="dxa"/>
          </w:tcPr>
          <w:p w14:paraId="5DB7D5E6" w14:textId="73500AE0"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2.3%</w:t>
            </w:r>
          </w:p>
        </w:tc>
      </w:tr>
      <w:tr w:rsidR="00837D8B" w:rsidRPr="007D5AAA" w14:paraId="4DF51705" w14:textId="77777777" w:rsidTr="00837D8B">
        <w:tc>
          <w:tcPr>
            <w:tcW w:w="7710" w:type="dxa"/>
          </w:tcPr>
          <w:p w14:paraId="3DE050B6" w14:textId="77777777"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 xml:space="preserve">Other - Write In </w:t>
            </w:r>
          </w:p>
        </w:tc>
        <w:tc>
          <w:tcPr>
            <w:tcW w:w="796" w:type="dxa"/>
          </w:tcPr>
          <w:p w14:paraId="585C509F" w14:textId="3D936B58" w:rsidR="00837D8B" w:rsidRPr="007D5AAA" w:rsidRDefault="00837D8B" w:rsidP="00837D8B">
            <w:pPr>
              <w:jc w:val="both"/>
              <w:rPr>
                <w:rFonts w:ascii="Open Sans" w:hAnsi="Open Sans" w:cs="Open Sans"/>
                <w:sz w:val="20"/>
                <w:szCs w:val="20"/>
              </w:rPr>
            </w:pPr>
            <w:r w:rsidRPr="00096F03">
              <w:rPr>
                <w:rFonts w:ascii="Open Sans" w:hAnsi="Open Sans" w:cs="Open Sans"/>
                <w:b/>
                <w:bCs/>
                <w:sz w:val="20"/>
                <w:szCs w:val="20"/>
              </w:rPr>
              <w:t>%</w:t>
            </w:r>
          </w:p>
        </w:tc>
        <w:tc>
          <w:tcPr>
            <w:tcW w:w="844" w:type="dxa"/>
          </w:tcPr>
          <w:p w14:paraId="618532A7" w14:textId="77A0369E"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5.8%</w:t>
            </w:r>
          </w:p>
        </w:tc>
      </w:tr>
    </w:tbl>
    <w:p w14:paraId="322134D3" w14:textId="77777777" w:rsidR="00330831" w:rsidRPr="00330831" w:rsidRDefault="00330831" w:rsidP="00330831">
      <w:pPr>
        <w:pStyle w:val="BodyText"/>
        <w:rPr>
          <w:b/>
          <w:bCs/>
        </w:rPr>
      </w:pPr>
    </w:p>
    <w:p w14:paraId="45105D85" w14:textId="77777777" w:rsidR="00E3733B" w:rsidRPr="009A5B8A" w:rsidRDefault="00E3733B" w:rsidP="009A5B8A">
      <w:pPr>
        <w:pStyle w:val="Heading2"/>
      </w:pPr>
      <w:bookmarkStart w:id="77" w:name="_Toc96092092"/>
      <w:r w:rsidRPr="009A5B8A">
        <w:t>What type of supports are young victim-survivors accessing?</w:t>
      </w:r>
      <w:bookmarkEnd w:id="77"/>
    </w:p>
    <w:p w14:paraId="1FE08B03" w14:textId="77777777" w:rsidR="00E3733B" w:rsidRPr="00CE2F22" w:rsidRDefault="00E3733B" w:rsidP="00E3733B"/>
    <w:p w14:paraId="0441C7D0" w14:textId="77777777" w:rsidR="00E3733B" w:rsidRPr="00CE2F22" w:rsidRDefault="00E3733B" w:rsidP="00E3733B">
      <w:pPr>
        <w:pStyle w:val="BodyText"/>
        <w:rPr>
          <w:lang w:val="en-AU"/>
        </w:rPr>
      </w:pPr>
      <w:r w:rsidRPr="00CE2F22">
        <w:rPr>
          <w:lang w:val="en-AU"/>
        </w:rPr>
        <w:t>The most common type of support service accessed by young victim-survivors were programs to help with healing, including counselling and trauma recovery (Table 4.2.) This was followed by ‘information and referrals’, ‘medical or other health-related support’ and ‘educational adjustments’ including asking permission to take time off from study to heal.</w:t>
      </w:r>
    </w:p>
    <w:p w14:paraId="6A9B223E" w14:textId="77777777" w:rsidR="00E3733B" w:rsidRPr="00CE2F22" w:rsidRDefault="00E3733B" w:rsidP="00E3733B">
      <w:pPr>
        <w:pStyle w:val="BodyText"/>
        <w:rPr>
          <w:lang w:val="en-AU"/>
        </w:rPr>
      </w:pPr>
    </w:p>
    <w:p w14:paraId="1BDA7BF6" w14:textId="5BA1806B" w:rsidR="00330831" w:rsidRDefault="00330831" w:rsidP="00330831">
      <w:pPr>
        <w:pStyle w:val="BodyText"/>
        <w:rPr>
          <w:b/>
          <w:bCs/>
        </w:rPr>
      </w:pPr>
    </w:p>
    <w:tbl>
      <w:tblPr>
        <w:tblStyle w:val="TableGrid"/>
        <w:tblW w:w="10128" w:type="dxa"/>
        <w:tblLook w:val="04A0" w:firstRow="1" w:lastRow="0" w:firstColumn="1" w:lastColumn="0" w:noHBand="0" w:noVBand="1"/>
      </w:tblPr>
      <w:tblGrid>
        <w:gridCol w:w="8574"/>
        <w:gridCol w:w="777"/>
        <w:gridCol w:w="777"/>
      </w:tblGrid>
      <w:tr w:rsidR="00837D8B" w:rsidRPr="007D5AAA" w14:paraId="580BC598" w14:textId="77777777" w:rsidTr="00446BD1">
        <w:tc>
          <w:tcPr>
            <w:tcW w:w="10128" w:type="dxa"/>
            <w:gridSpan w:val="3"/>
          </w:tcPr>
          <w:p w14:paraId="23F70F1E" w14:textId="31F9B069" w:rsidR="00837D8B" w:rsidRPr="007D5AAA" w:rsidRDefault="00837D8B" w:rsidP="00837D8B">
            <w:pPr>
              <w:pStyle w:val="BodyText"/>
              <w:rPr>
                <w:b/>
                <w:bCs/>
              </w:rPr>
            </w:pPr>
            <w:r w:rsidRPr="00330831">
              <w:rPr>
                <w:b/>
                <w:bCs/>
              </w:rPr>
              <w:t>Table 4.2: Types of support accessed by young victim-survivors</w:t>
            </w:r>
          </w:p>
        </w:tc>
      </w:tr>
      <w:tr w:rsidR="00837D8B" w:rsidRPr="007D5AAA" w14:paraId="017E6649" w14:textId="77777777" w:rsidTr="00837D8B">
        <w:tc>
          <w:tcPr>
            <w:tcW w:w="8574" w:type="dxa"/>
          </w:tcPr>
          <w:p w14:paraId="6FC400A5" w14:textId="77777777"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 xml:space="preserve">Safety planning </w:t>
            </w:r>
          </w:p>
        </w:tc>
        <w:tc>
          <w:tcPr>
            <w:tcW w:w="777" w:type="dxa"/>
          </w:tcPr>
          <w:p w14:paraId="30F988C8" w14:textId="38BF6CF9" w:rsidR="00837D8B" w:rsidRPr="007D5AAA" w:rsidRDefault="00837D8B" w:rsidP="00837D8B">
            <w:pPr>
              <w:jc w:val="both"/>
              <w:rPr>
                <w:rFonts w:ascii="Open Sans" w:hAnsi="Open Sans" w:cs="Open Sans"/>
                <w:sz w:val="20"/>
                <w:szCs w:val="20"/>
              </w:rPr>
            </w:pPr>
            <w:r w:rsidRPr="00096F03">
              <w:rPr>
                <w:rFonts w:ascii="Open Sans" w:hAnsi="Open Sans" w:cs="Open Sans"/>
                <w:b/>
                <w:bCs/>
                <w:sz w:val="20"/>
                <w:szCs w:val="20"/>
              </w:rPr>
              <w:t>%</w:t>
            </w:r>
          </w:p>
        </w:tc>
        <w:tc>
          <w:tcPr>
            <w:tcW w:w="777" w:type="dxa"/>
          </w:tcPr>
          <w:p w14:paraId="4D599A39" w14:textId="3A963EF1"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26.2%</w:t>
            </w:r>
          </w:p>
        </w:tc>
      </w:tr>
      <w:tr w:rsidR="00837D8B" w:rsidRPr="007D5AAA" w14:paraId="2B402262" w14:textId="77777777" w:rsidTr="00837D8B">
        <w:tc>
          <w:tcPr>
            <w:tcW w:w="8574" w:type="dxa"/>
          </w:tcPr>
          <w:p w14:paraId="6926AF5F" w14:textId="77777777"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 xml:space="preserve">Information and referrals </w:t>
            </w:r>
          </w:p>
        </w:tc>
        <w:tc>
          <w:tcPr>
            <w:tcW w:w="777" w:type="dxa"/>
          </w:tcPr>
          <w:p w14:paraId="76B5B3C4" w14:textId="22C46ED7" w:rsidR="00837D8B" w:rsidRPr="007D5AAA" w:rsidRDefault="00837D8B" w:rsidP="00837D8B">
            <w:pPr>
              <w:jc w:val="both"/>
              <w:rPr>
                <w:rFonts w:ascii="Open Sans" w:hAnsi="Open Sans" w:cs="Open Sans"/>
                <w:sz w:val="20"/>
                <w:szCs w:val="20"/>
              </w:rPr>
            </w:pPr>
            <w:r w:rsidRPr="00096F03">
              <w:rPr>
                <w:rFonts w:ascii="Open Sans" w:hAnsi="Open Sans" w:cs="Open Sans"/>
                <w:b/>
                <w:bCs/>
                <w:sz w:val="20"/>
                <w:szCs w:val="20"/>
              </w:rPr>
              <w:t>%</w:t>
            </w:r>
          </w:p>
        </w:tc>
        <w:tc>
          <w:tcPr>
            <w:tcW w:w="777" w:type="dxa"/>
          </w:tcPr>
          <w:p w14:paraId="0C22B9D7" w14:textId="70012357"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38.1%</w:t>
            </w:r>
          </w:p>
        </w:tc>
      </w:tr>
      <w:tr w:rsidR="00837D8B" w:rsidRPr="007D5AAA" w14:paraId="6DD8CB60" w14:textId="77777777" w:rsidTr="00837D8B">
        <w:tc>
          <w:tcPr>
            <w:tcW w:w="8574" w:type="dxa"/>
          </w:tcPr>
          <w:p w14:paraId="5673C2B2" w14:textId="77777777"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 xml:space="preserve">Emergency financial assistance </w:t>
            </w:r>
          </w:p>
        </w:tc>
        <w:tc>
          <w:tcPr>
            <w:tcW w:w="777" w:type="dxa"/>
          </w:tcPr>
          <w:p w14:paraId="2B79A95F" w14:textId="64DCF489" w:rsidR="00837D8B" w:rsidRPr="007D5AAA" w:rsidRDefault="00837D8B" w:rsidP="00837D8B">
            <w:pPr>
              <w:jc w:val="both"/>
              <w:rPr>
                <w:rFonts w:ascii="Open Sans" w:hAnsi="Open Sans" w:cs="Open Sans"/>
                <w:sz w:val="20"/>
                <w:szCs w:val="20"/>
              </w:rPr>
            </w:pPr>
            <w:r w:rsidRPr="00096F03">
              <w:rPr>
                <w:rFonts w:ascii="Open Sans" w:hAnsi="Open Sans" w:cs="Open Sans"/>
                <w:b/>
                <w:bCs/>
                <w:sz w:val="20"/>
                <w:szCs w:val="20"/>
              </w:rPr>
              <w:t>%</w:t>
            </w:r>
          </w:p>
        </w:tc>
        <w:tc>
          <w:tcPr>
            <w:tcW w:w="777" w:type="dxa"/>
          </w:tcPr>
          <w:p w14:paraId="3201103D" w14:textId="33BE6D73"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6%</w:t>
            </w:r>
          </w:p>
        </w:tc>
      </w:tr>
      <w:tr w:rsidR="00837D8B" w:rsidRPr="007D5AAA" w14:paraId="32ED2A60" w14:textId="77777777" w:rsidTr="00837D8B">
        <w:tc>
          <w:tcPr>
            <w:tcW w:w="8574" w:type="dxa"/>
          </w:tcPr>
          <w:p w14:paraId="30FF0C33" w14:textId="77777777"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 xml:space="preserve">Support to remain safely in my home/residence and to have the perpetrator removed or relocated to an alternative home/residence with the perpetrator excluded </w:t>
            </w:r>
          </w:p>
        </w:tc>
        <w:tc>
          <w:tcPr>
            <w:tcW w:w="777" w:type="dxa"/>
          </w:tcPr>
          <w:p w14:paraId="04EA5896" w14:textId="0B9E2216" w:rsidR="00837D8B" w:rsidRPr="007D5AAA" w:rsidRDefault="00837D8B" w:rsidP="00837D8B">
            <w:pPr>
              <w:jc w:val="both"/>
              <w:rPr>
                <w:rFonts w:ascii="Open Sans" w:hAnsi="Open Sans" w:cs="Open Sans"/>
                <w:sz w:val="20"/>
                <w:szCs w:val="20"/>
              </w:rPr>
            </w:pPr>
            <w:r w:rsidRPr="00096F03">
              <w:rPr>
                <w:rFonts w:ascii="Open Sans" w:hAnsi="Open Sans" w:cs="Open Sans"/>
                <w:b/>
                <w:bCs/>
                <w:sz w:val="20"/>
                <w:szCs w:val="20"/>
              </w:rPr>
              <w:t>%</w:t>
            </w:r>
          </w:p>
        </w:tc>
        <w:tc>
          <w:tcPr>
            <w:tcW w:w="777" w:type="dxa"/>
          </w:tcPr>
          <w:p w14:paraId="4383D0C7" w14:textId="75637E1F"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8.3%</w:t>
            </w:r>
          </w:p>
        </w:tc>
      </w:tr>
      <w:tr w:rsidR="00837D8B" w:rsidRPr="007D5AAA" w14:paraId="4629B835" w14:textId="77777777" w:rsidTr="00837D8B">
        <w:tc>
          <w:tcPr>
            <w:tcW w:w="8574" w:type="dxa"/>
          </w:tcPr>
          <w:p w14:paraId="4F7F74AC" w14:textId="77777777"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 xml:space="preserve">Help with understanding a protection order (AVO) and/or charges taken out by police </w:t>
            </w:r>
          </w:p>
        </w:tc>
        <w:tc>
          <w:tcPr>
            <w:tcW w:w="777" w:type="dxa"/>
          </w:tcPr>
          <w:p w14:paraId="36B56BBB" w14:textId="4C8E5233" w:rsidR="00837D8B" w:rsidRPr="007D5AAA" w:rsidRDefault="00837D8B" w:rsidP="00837D8B">
            <w:pPr>
              <w:jc w:val="both"/>
              <w:rPr>
                <w:rFonts w:ascii="Open Sans" w:hAnsi="Open Sans" w:cs="Open Sans"/>
                <w:sz w:val="20"/>
                <w:szCs w:val="20"/>
              </w:rPr>
            </w:pPr>
            <w:r w:rsidRPr="00096F03">
              <w:rPr>
                <w:rFonts w:ascii="Open Sans" w:hAnsi="Open Sans" w:cs="Open Sans"/>
                <w:b/>
                <w:bCs/>
                <w:sz w:val="20"/>
                <w:szCs w:val="20"/>
              </w:rPr>
              <w:t>%</w:t>
            </w:r>
          </w:p>
        </w:tc>
        <w:tc>
          <w:tcPr>
            <w:tcW w:w="777" w:type="dxa"/>
          </w:tcPr>
          <w:p w14:paraId="67ABD57B" w14:textId="2D552692"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15.5%</w:t>
            </w:r>
          </w:p>
        </w:tc>
      </w:tr>
      <w:tr w:rsidR="00837D8B" w:rsidRPr="007D5AAA" w14:paraId="494DA2F6" w14:textId="77777777" w:rsidTr="00837D8B">
        <w:tc>
          <w:tcPr>
            <w:tcW w:w="8574" w:type="dxa"/>
          </w:tcPr>
          <w:p w14:paraId="498CB201" w14:textId="77777777"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 xml:space="preserve">Help with collecting evidence for my police matter </w:t>
            </w:r>
          </w:p>
        </w:tc>
        <w:tc>
          <w:tcPr>
            <w:tcW w:w="777" w:type="dxa"/>
          </w:tcPr>
          <w:p w14:paraId="444B3B11" w14:textId="0AF44ED0" w:rsidR="00837D8B" w:rsidRPr="007D5AAA" w:rsidRDefault="00837D8B" w:rsidP="00837D8B">
            <w:pPr>
              <w:jc w:val="both"/>
              <w:rPr>
                <w:rFonts w:ascii="Open Sans" w:hAnsi="Open Sans" w:cs="Open Sans"/>
                <w:sz w:val="20"/>
                <w:szCs w:val="20"/>
              </w:rPr>
            </w:pPr>
            <w:r w:rsidRPr="00096F03">
              <w:rPr>
                <w:rFonts w:ascii="Open Sans" w:hAnsi="Open Sans" w:cs="Open Sans"/>
                <w:b/>
                <w:bCs/>
                <w:sz w:val="20"/>
                <w:szCs w:val="20"/>
              </w:rPr>
              <w:t>%</w:t>
            </w:r>
          </w:p>
        </w:tc>
        <w:tc>
          <w:tcPr>
            <w:tcW w:w="777" w:type="dxa"/>
          </w:tcPr>
          <w:p w14:paraId="3595A7A8" w14:textId="68F2C3B7"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8.3%</w:t>
            </w:r>
          </w:p>
        </w:tc>
      </w:tr>
      <w:tr w:rsidR="00837D8B" w:rsidRPr="007D5AAA" w14:paraId="7622949A" w14:textId="77777777" w:rsidTr="00837D8B">
        <w:tc>
          <w:tcPr>
            <w:tcW w:w="8574" w:type="dxa"/>
          </w:tcPr>
          <w:p w14:paraId="4271836B" w14:textId="77777777"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 xml:space="preserve">Legal advice, information or representation </w:t>
            </w:r>
          </w:p>
        </w:tc>
        <w:tc>
          <w:tcPr>
            <w:tcW w:w="777" w:type="dxa"/>
          </w:tcPr>
          <w:p w14:paraId="66D452D9" w14:textId="598044B2" w:rsidR="00837D8B" w:rsidRPr="007D5AAA" w:rsidRDefault="00837D8B" w:rsidP="00837D8B">
            <w:pPr>
              <w:jc w:val="both"/>
              <w:rPr>
                <w:rFonts w:ascii="Open Sans" w:hAnsi="Open Sans" w:cs="Open Sans"/>
                <w:sz w:val="20"/>
                <w:szCs w:val="20"/>
              </w:rPr>
            </w:pPr>
            <w:r w:rsidRPr="00096F03">
              <w:rPr>
                <w:rFonts w:ascii="Open Sans" w:hAnsi="Open Sans" w:cs="Open Sans"/>
                <w:b/>
                <w:bCs/>
                <w:sz w:val="20"/>
                <w:szCs w:val="20"/>
              </w:rPr>
              <w:t>%</w:t>
            </w:r>
          </w:p>
        </w:tc>
        <w:tc>
          <w:tcPr>
            <w:tcW w:w="777" w:type="dxa"/>
          </w:tcPr>
          <w:p w14:paraId="17CB87B9" w14:textId="1525D11F"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19%</w:t>
            </w:r>
          </w:p>
        </w:tc>
      </w:tr>
      <w:tr w:rsidR="00837D8B" w:rsidRPr="007D5AAA" w14:paraId="64A83849" w14:textId="77777777" w:rsidTr="00837D8B">
        <w:tc>
          <w:tcPr>
            <w:tcW w:w="8574" w:type="dxa"/>
          </w:tcPr>
          <w:p w14:paraId="27ABD454" w14:textId="77777777"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 xml:space="preserve">Advocacy and support at court </w:t>
            </w:r>
          </w:p>
        </w:tc>
        <w:tc>
          <w:tcPr>
            <w:tcW w:w="777" w:type="dxa"/>
          </w:tcPr>
          <w:p w14:paraId="65213A22" w14:textId="28D85747" w:rsidR="00837D8B" w:rsidRPr="007D5AAA" w:rsidRDefault="00837D8B" w:rsidP="00837D8B">
            <w:pPr>
              <w:jc w:val="both"/>
              <w:rPr>
                <w:rFonts w:ascii="Open Sans" w:hAnsi="Open Sans" w:cs="Open Sans"/>
                <w:sz w:val="20"/>
                <w:szCs w:val="20"/>
              </w:rPr>
            </w:pPr>
            <w:r w:rsidRPr="00096F03">
              <w:rPr>
                <w:rFonts w:ascii="Open Sans" w:hAnsi="Open Sans" w:cs="Open Sans"/>
                <w:b/>
                <w:bCs/>
                <w:sz w:val="20"/>
                <w:szCs w:val="20"/>
              </w:rPr>
              <w:t>%</w:t>
            </w:r>
          </w:p>
        </w:tc>
        <w:tc>
          <w:tcPr>
            <w:tcW w:w="777" w:type="dxa"/>
          </w:tcPr>
          <w:p w14:paraId="05FD6213" w14:textId="7A7B3EB2"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8.3%</w:t>
            </w:r>
          </w:p>
        </w:tc>
      </w:tr>
      <w:tr w:rsidR="00837D8B" w:rsidRPr="007D5AAA" w14:paraId="6DA3A3F4" w14:textId="77777777" w:rsidTr="00837D8B">
        <w:tc>
          <w:tcPr>
            <w:tcW w:w="8574" w:type="dxa"/>
          </w:tcPr>
          <w:p w14:paraId="24842A01" w14:textId="77777777"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 xml:space="preserve">Visa information, migration advice or representation </w:t>
            </w:r>
          </w:p>
        </w:tc>
        <w:tc>
          <w:tcPr>
            <w:tcW w:w="777" w:type="dxa"/>
          </w:tcPr>
          <w:p w14:paraId="51C38292" w14:textId="0E9906E1" w:rsidR="00837D8B" w:rsidRPr="007D5AAA" w:rsidRDefault="00837D8B" w:rsidP="00837D8B">
            <w:pPr>
              <w:jc w:val="both"/>
              <w:rPr>
                <w:rFonts w:ascii="Open Sans" w:hAnsi="Open Sans" w:cs="Open Sans"/>
                <w:sz w:val="20"/>
                <w:szCs w:val="20"/>
              </w:rPr>
            </w:pPr>
            <w:r w:rsidRPr="00096F03">
              <w:rPr>
                <w:rFonts w:ascii="Open Sans" w:hAnsi="Open Sans" w:cs="Open Sans"/>
                <w:b/>
                <w:bCs/>
                <w:sz w:val="20"/>
                <w:szCs w:val="20"/>
              </w:rPr>
              <w:t>%</w:t>
            </w:r>
          </w:p>
        </w:tc>
        <w:tc>
          <w:tcPr>
            <w:tcW w:w="777" w:type="dxa"/>
          </w:tcPr>
          <w:p w14:paraId="7D4C27E6" w14:textId="46C013C7"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1.2%</w:t>
            </w:r>
          </w:p>
        </w:tc>
      </w:tr>
      <w:tr w:rsidR="00837D8B" w:rsidRPr="007D5AAA" w14:paraId="327B4665" w14:textId="77777777" w:rsidTr="00837D8B">
        <w:tc>
          <w:tcPr>
            <w:tcW w:w="8574" w:type="dxa"/>
          </w:tcPr>
          <w:p w14:paraId="39D5BC28" w14:textId="77777777"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 xml:space="preserve">Case management support (e.g. a worker helped me identify my needs, develop a plan and coordinate support) </w:t>
            </w:r>
          </w:p>
        </w:tc>
        <w:tc>
          <w:tcPr>
            <w:tcW w:w="777" w:type="dxa"/>
          </w:tcPr>
          <w:p w14:paraId="2997C2BC" w14:textId="1FA98F2D" w:rsidR="00837D8B" w:rsidRPr="007D5AAA" w:rsidRDefault="00837D8B" w:rsidP="00837D8B">
            <w:pPr>
              <w:jc w:val="both"/>
              <w:rPr>
                <w:rFonts w:ascii="Open Sans" w:hAnsi="Open Sans" w:cs="Open Sans"/>
                <w:sz w:val="20"/>
                <w:szCs w:val="20"/>
              </w:rPr>
            </w:pPr>
            <w:r w:rsidRPr="00096F03">
              <w:rPr>
                <w:rFonts w:ascii="Open Sans" w:hAnsi="Open Sans" w:cs="Open Sans"/>
                <w:b/>
                <w:bCs/>
                <w:sz w:val="20"/>
                <w:szCs w:val="20"/>
              </w:rPr>
              <w:t>%</w:t>
            </w:r>
          </w:p>
        </w:tc>
        <w:tc>
          <w:tcPr>
            <w:tcW w:w="777" w:type="dxa"/>
          </w:tcPr>
          <w:p w14:paraId="57A00F64" w14:textId="54750D9A"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7.1%</w:t>
            </w:r>
          </w:p>
        </w:tc>
      </w:tr>
      <w:tr w:rsidR="00837D8B" w:rsidRPr="007D5AAA" w14:paraId="7C28A9EF" w14:textId="77777777" w:rsidTr="00837D8B">
        <w:tc>
          <w:tcPr>
            <w:tcW w:w="8574" w:type="dxa"/>
          </w:tcPr>
          <w:p w14:paraId="3E486D14" w14:textId="77777777"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 xml:space="preserve">Programs to help me heal including counselling and trauma recovery </w:t>
            </w:r>
          </w:p>
        </w:tc>
        <w:tc>
          <w:tcPr>
            <w:tcW w:w="777" w:type="dxa"/>
          </w:tcPr>
          <w:p w14:paraId="7D982EE7" w14:textId="46E675FB" w:rsidR="00837D8B" w:rsidRPr="007D5AAA" w:rsidRDefault="00837D8B" w:rsidP="00837D8B">
            <w:pPr>
              <w:jc w:val="both"/>
              <w:rPr>
                <w:rFonts w:ascii="Open Sans" w:hAnsi="Open Sans" w:cs="Open Sans"/>
                <w:sz w:val="20"/>
                <w:szCs w:val="20"/>
              </w:rPr>
            </w:pPr>
            <w:r w:rsidRPr="00096F03">
              <w:rPr>
                <w:rFonts w:ascii="Open Sans" w:hAnsi="Open Sans" w:cs="Open Sans"/>
                <w:b/>
                <w:bCs/>
                <w:sz w:val="20"/>
                <w:szCs w:val="20"/>
              </w:rPr>
              <w:t>%</w:t>
            </w:r>
          </w:p>
        </w:tc>
        <w:tc>
          <w:tcPr>
            <w:tcW w:w="777" w:type="dxa"/>
          </w:tcPr>
          <w:p w14:paraId="7B8D70AD" w14:textId="3E166E74"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66.7%</w:t>
            </w:r>
          </w:p>
        </w:tc>
      </w:tr>
      <w:tr w:rsidR="00837D8B" w:rsidRPr="007D5AAA" w14:paraId="30F0A17E" w14:textId="77777777" w:rsidTr="00837D8B">
        <w:tc>
          <w:tcPr>
            <w:tcW w:w="8574" w:type="dxa"/>
          </w:tcPr>
          <w:p w14:paraId="3F0C373A" w14:textId="77777777"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 xml:space="preserve">Programs or practical support for my children </w:t>
            </w:r>
          </w:p>
        </w:tc>
        <w:tc>
          <w:tcPr>
            <w:tcW w:w="777" w:type="dxa"/>
          </w:tcPr>
          <w:p w14:paraId="57382481" w14:textId="124906B6" w:rsidR="00837D8B" w:rsidRPr="007D5AAA" w:rsidRDefault="00837D8B" w:rsidP="00837D8B">
            <w:pPr>
              <w:jc w:val="both"/>
              <w:rPr>
                <w:rFonts w:ascii="Open Sans" w:hAnsi="Open Sans" w:cs="Open Sans"/>
                <w:sz w:val="20"/>
                <w:szCs w:val="20"/>
              </w:rPr>
            </w:pPr>
            <w:r w:rsidRPr="00096F03">
              <w:rPr>
                <w:rFonts w:ascii="Open Sans" w:hAnsi="Open Sans" w:cs="Open Sans"/>
                <w:b/>
                <w:bCs/>
                <w:sz w:val="20"/>
                <w:szCs w:val="20"/>
              </w:rPr>
              <w:t>%</w:t>
            </w:r>
          </w:p>
        </w:tc>
        <w:tc>
          <w:tcPr>
            <w:tcW w:w="777" w:type="dxa"/>
          </w:tcPr>
          <w:p w14:paraId="52AF7A38" w14:textId="524C6128"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1.2%</w:t>
            </w:r>
          </w:p>
        </w:tc>
      </w:tr>
      <w:tr w:rsidR="00837D8B" w:rsidRPr="007D5AAA" w14:paraId="401E235C" w14:textId="77777777" w:rsidTr="00837D8B">
        <w:tc>
          <w:tcPr>
            <w:tcW w:w="8574" w:type="dxa"/>
          </w:tcPr>
          <w:p w14:paraId="1A702EE0" w14:textId="77777777"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 xml:space="preserve">Finding a community of other victim/survivors of violence </w:t>
            </w:r>
          </w:p>
        </w:tc>
        <w:tc>
          <w:tcPr>
            <w:tcW w:w="777" w:type="dxa"/>
          </w:tcPr>
          <w:p w14:paraId="09150562" w14:textId="16933682" w:rsidR="00837D8B" w:rsidRPr="007D5AAA" w:rsidRDefault="00837D8B" w:rsidP="00837D8B">
            <w:pPr>
              <w:jc w:val="both"/>
              <w:rPr>
                <w:rFonts w:ascii="Open Sans" w:hAnsi="Open Sans" w:cs="Open Sans"/>
                <w:sz w:val="20"/>
                <w:szCs w:val="20"/>
              </w:rPr>
            </w:pPr>
            <w:r w:rsidRPr="00096F03">
              <w:rPr>
                <w:rFonts w:ascii="Open Sans" w:hAnsi="Open Sans" w:cs="Open Sans"/>
                <w:b/>
                <w:bCs/>
                <w:sz w:val="20"/>
                <w:szCs w:val="20"/>
              </w:rPr>
              <w:t>%</w:t>
            </w:r>
          </w:p>
        </w:tc>
        <w:tc>
          <w:tcPr>
            <w:tcW w:w="777" w:type="dxa"/>
          </w:tcPr>
          <w:p w14:paraId="5CC30185" w14:textId="1FDD5510"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4.8%</w:t>
            </w:r>
          </w:p>
        </w:tc>
      </w:tr>
      <w:tr w:rsidR="00837D8B" w:rsidRPr="007D5AAA" w14:paraId="549BB084" w14:textId="77777777" w:rsidTr="00837D8B">
        <w:tc>
          <w:tcPr>
            <w:tcW w:w="8574" w:type="dxa"/>
          </w:tcPr>
          <w:p w14:paraId="5F3F444E" w14:textId="77777777"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 xml:space="preserve">Medical or other health-related support </w:t>
            </w:r>
          </w:p>
        </w:tc>
        <w:tc>
          <w:tcPr>
            <w:tcW w:w="777" w:type="dxa"/>
          </w:tcPr>
          <w:p w14:paraId="6400EACB" w14:textId="289ECA28" w:rsidR="00837D8B" w:rsidRPr="007D5AAA" w:rsidRDefault="00837D8B" w:rsidP="00837D8B">
            <w:pPr>
              <w:jc w:val="both"/>
              <w:rPr>
                <w:rFonts w:ascii="Open Sans" w:hAnsi="Open Sans" w:cs="Open Sans"/>
                <w:sz w:val="20"/>
                <w:szCs w:val="20"/>
              </w:rPr>
            </w:pPr>
            <w:r w:rsidRPr="00096F03">
              <w:rPr>
                <w:rFonts w:ascii="Open Sans" w:hAnsi="Open Sans" w:cs="Open Sans"/>
                <w:b/>
                <w:bCs/>
                <w:sz w:val="20"/>
                <w:szCs w:val="20"/>
              </w:rPr>
              <w:t>%</w:t>
            </w:r>
          </w:p>
        </w:tc>
        <w:tc>
          <w:tcPr>
            <w:tcW w:w="777" w:type="dxa"/>
          </w:tcPr>
          <w:p w14:paraId="192C53E8" w14:textId="067C276B"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34.5%</w:t>
            </w:r>
          </w:p>
        </w:tc>
      </w:tr>
      <w:tr w:rsidR="00837D8B" w:rsidRPr="007D5AAA" w14:paraId="10CB2599" w14:textId="77777777" w:rsidTr="00837D8B">
        <w:tc>
          <w:tcPr>
            <w:tcW w:w="8574" w:type="dxa"/>
          </w:tcPr>
          <w:p w14:paraId="73CF8B7F" w14:textId="77777777"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 xml:space="preserve">Long-term housing </w:t>
            </w:r>
          </w:p>
        </w:tc>
        <w:tc>
          <w:tcPr>
            <w:tcW w:w="777" w:type="dxa"/>
          </w:tcPr>
          <w:p w14:paraId="2E64EDBA" w14:textId="6EBE2B75" w:rsidR="00837D8B" w:rsidRPr="007D5AAA" w:rsidRDefault="00837D8B" w:rsidP="00837D8B">
            <w:pPr>
              <w:jc w:val="both"/>
              <w:rPr>
                <w:rFonts w:ascii="Open Sans" w:hAnsi="Open Sans" w:cs="Open Sans"/>
                <w:sz w:val="20"/>
                <w:szCs w:val="20"/>
              </w:rPr>
            </w:pPr>
            <w:r w:rsidRPr="00096F03">
              <w:rPr>
                <w:rFonts w:ascii="Open Sans" w:hAnsi="Open Sans" w:cs="Open Sans"/>
                <w:b/>
                <w:bCs/>
                <w:sz w:val="20"/>
                <w:szCs w:val="20"/>
              </w:rPr>
              <w:t>%</w:t>
            </w:r>
          </w:p>
        </w:tc>
        <w:tc>
          <w:tcPr>
            <w:tcW w:w="777" w:type="dxa"/>
          </w:tcPr>
          <w:p w14:paraId="7C277547" w14:textId="123C4D0F"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7.1%</w:t>
            </w:r>
          </w:p>
        </w:tc>
      </w:tr>
      <w:tr w:rsidR="00837D8B" w:rsidRPr="007D5AAA" w14:paraId="59E21818" w14:textId="77777777" w:rsidTr="00837D8B">
        <w:tc>
          <w:tcPr>
            <w:tcW w:w="8574" w:type="dxa"/>
          </w:tcPr>
          <w:p w14:paraId="5C6E1B59" w14:textId="77777777"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 xml:space="preserve">Disability support adjustments </w:t>
            </w:r>
          </w:p>
        </w:tc>
        <w:tc>
          <w:tcPr>
            <w:tcW w:w="777" w:type="dxa"/>
          </w:tcPr>
          <w:p w14:paraId="42ACB055" w14:textId="109619EC" w:rsidR="00837D8B" w:rsidRPr="007D5AAA" w:rsidRDefault="00837D8B" w:rsidP="00837D8B">
            <w:pPr>
              <w:jc w:val="both"/>
              <w:rPr>
                <w:rFonts w:ascii="Open Sans" w:hAnsi="Open Sans" w:cs="Open Sans"/>
                <w:sz w:val="20"/>
                <w:szCs w:val="20"/>
              </w:rPr>
            </w:pPr>
            <w:r w:rsidRPr="00096F03">
              <w:rPr>
                <w:rFonts w:ascii="Open Sans" w:hAnsi="Open Sans" w:cs="Open Sans"/>
                <w:b/>
                <w:bCs/>
                <w:sz w:val="20"/>
                <w:szCs w:val="20"/>
              </w:rPr>
              <w:t>%</w:t>
            </w:r>
          </w:p>
        </w:tc>
        <w:tc>
          <w:tcPr>
            <w:tcW w:w="777" w:type="dxa"/>
          </w:tcPr>
          <w:p w14:paraId="071C0B17" w14:textId="7100B1AA"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9.5%</w:t>
            </w:r>
          </w:p>
        </w:tc>
      </w:tr>
      <w:tr w:rsidR="00837D8B" w:rsidRPr="007D5AAA" w14:paraId="6B40194A" w14:textId="77777777" w:rsidTr="00837D8B">
        <w:tc>
          <w:tcPr>
            <w:tcW w:w="8574" w:type="dxa"/>
          </w:tcPr>
          <w:p w14:paraId="51C32709" w14:textId="77777777"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 xml:space="preserve">Educational adjustments (eg. take time off to heal) </w:t>
            </w:r>
          </w:p>
        </w:tc>
        <w:tc>
          <w:tcPr>
            <w:tcW w:w="777" w:type="dxa"/>
          </w:tcPr>
          <w:p w14:paraId="66DC56E9" w14:textId="696D344B" w:rsidR="00837D8B" w:rsidRPr="007D5AAA" w:rsidRDefault="00837D8B" w:rsidP="00837D8B">
            <w:pPr>
              <w:jc w:val="both"/>
              <w:rPr>
                <w:rFonts w:ascii="Open Sans" w:hAnsi="Open Sans" w:cs="Open Sans"/>
                <w:sz w:val="20"/>
                <w:szCs w:val="20"/>
              </w:rPr>
            </w:pPr>
            <w:r w:rsidRPr="00096F03">
              <w:rPr>
                <w:rFonts w:ascii="Open Sans" w:hAnsi="Open Sans" w:cs="Open Sans"/>
                <w:b/>
                <w:bCs/>
                <w:sz w:val="20"/>
                <w:szCs w:val="20"/>
              </w:rPr>
              <w:t>%</w:t>
            </w:r>
          </w:p>
        </w:tc>
        <w:tc>
          <w:tcPr>
            <w:tcW w:w="777" w:type="dxa"/>
          </w:tcPr>
          <w:p w14:paraId="46BD67B3" w14:textId="75F5842B"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21.4%</w:t>
            </w:r>
          </w:p>
        </w:tc>
      </w:tr>
      <w:tr w:rsidR="00837D8B" w:rsidRPr="007D5AAA" w14:paraId="53B9F6A9" w14:textId="77777777" w:rsidTr="00837D8B">
        <w:tc>
          <w:tcPr>
            <w:tcW w:w="8574" w:type="dxa"/>
          </w:tcPr>
          <w:p w14:paraId="15170EDE" w14:textId="77777777"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 xml:space="preserve">Workplace adjustments, help to communicate with my work and/or help to protect my job </w:t>
            </w:r>
          </w:p>
        </w:tc>
        <w:tc>
          <w:tcPr>
            <w:tcW w:w="777" w:type="dxa"/>
          </w:tcPr>
          <w:p w14:paraId="2EBDF64D" w14:textId="1D7C1EFA" w:rsidR="00837D8B" w:rsidRPr="007D5AAA" w:rsidRDefault="00837D8B" w:rsidP="00837D8B">
            <w:pPr>
              <w:jc w:val="both"/>
              <w:rPr>
                <w:rFonts w:ascii="Open Sans" w:hAnsi="Open Sans" w:cs="Open Sans"/>
                <w:sz w:val="20"/>
                <w:szCs w:val="20"/>
              </w:rPr>
            </w:pPr>
            <w:r w:rsidRPr="00096F03">
              <w:rPr>
                <w:rFonts w:ascii="Open Sans" w:hAnsi="Open Sans" w:cs="Open Sans"/>
                <w:b/>
                <w:bCs/>
                <w:sz w:val="20"/>
                <w:szCs w:val="20"/>
              </w:rPr>
              <w:t>%</w:t>
            </w:r>
          </w:p>
        </w:tc>
        <w:tc>
          <w:tcPr>
            <w:tcW w:w="777" w:type="dxa"/>
          </w:tcPr>
          <w:p w14:paraId="30A20C2D" w14:textId="2DFF1B10"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9.5%</w:t>
            </w:r>
          </w:p>
        </w:tc>
      </w:tr>
      <w:tr w:rsidR="00837D8B" w:rsidRPr="007D5AAA" w14:paraId="2FFAD73B" w14:textId="77777777" w:rsidTr="00837D8B">
        <w:tc>
          <w:tcPr>
            <w:tcW w:w="8574" w:type="dxa"/>
          </w:tcPr>
          <w:p w14:paraId="203882D8" w14:textId="77777777"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 xml:space="preserve">Other - Write In </w:t>
            </w:r>
          </w:p>
        </w:tc>
        <w:tc>
          <w:tcPr>
            <w:tcW w:w="777" w:type="dxa"/>
          </w:tcPr>
          <w:p w14:paraId="0C13EA88" w14:textId="3DBD2EB8" w:rsidR="00837D8B" w:rsidRPr="007D5AAA" w:rsidRDefault="00837D8B" w:rsidP="00837D8B">
            <w:pPr>
              <w:jc w:val="both"/>
              <w:rPr>
                <w:rFonts w:ascii="Open Sans" w:hAnsi="Open Sans" w:cs="Open Sans"/>
                <w:sz w:val="20"/>
                <w:szCs w:val="20"/>
              </w:rPr>
            </w:pPr>
            <w:r w:rsidRPr="00096F03">
              <w:rPr>
                <w:rFonts w:ascii="Open Sans" w:hAnsi="Open Sans" w:cs="Open Sans"/>
                <w:b/>
                <w:bCs/>
                <w:sz w:val="20"/>
                <w:szCs w:val="20"/>
              </w:rPr>
              <w:t>%</w:t>
            </w:r>
          </w:p>
        </w:tc>
        <w:tc>
          <w:tcPr>
            <w:tcW w:w="777" w:type="dxa"/>
          </w:tcPr>
          <w:p w14:paraId="33005CF4" w14:textId="489EB85F" w:rsidR="00837D8B" w:rsidRPr="007D5AAA" w:rsidRDefault="00837D8B" w:rsidP="00837D8B">
            <w:pPr>
              <w:jc w:val="both"/>
              <w:rPr>
                <w:rFonts w:ascii="Open Sans" w:hAnsi="Open Sans" w:cs="Open Sans"/>
                <w:sz w:val="20"/>
                <w:szCs w:val="20"/>
              </w:rPr>
            </w:pPr>
            <w:r w:rsidRPr="007D5AAA">
              <w:rPr>
                <w:rFonts w:ascii="Open Sans" w:hAnsi="Open Sans" w:cs="Open Sans"/>
                <w:sz w:val="20"/>
                <w:szCs w:val="20"/>
              </w:rPr>
              <w:t>9.5%</w:t>
            </w:r>
          </w:p>
        </w:tc>
      </w:tr>
    </w:tbl>
    <w:p w14:paraId="5DC87F2E" w14:textId="77777777" w:rsidR="00B55131" w:rsidRDefault="00B55131" w:rsidP="00330831">
      <w:pPr>
        <w:pStyle w:val="BodyText"/>
        <w:rPr>
          <w:b/>
          <w:bCs/>
        </w:rPr>
      </w:pPr>
    </w:p>
    <w:p w14:paraId="41D628FB" w14:textId="77777777" w:rsidR="00330831" w:rsidRPr="00330831" w:rsidRDefault="00330831" w:rsidP="00330831">
      <w:pPr>
        <w:pStyle w:val="BodyText"/>
        <w:rPr>
          <w:b/>
          <w:bCs/>
        </w:rPr>
      </w:pPr>
    </w:p>
    <w:p w14:paraId="5A8CEC18" w14:textId="77777777" w:rsidR="00E3733B" w:rsidRPr="00CE2F22" w:rsidRDefault="00E3733B" w:rsidP="00E3733B">
      <w:pPr>
        <w:pStyle w:val="IntenseQuote"/>
      </w:pPr>
      <w:r w:rsidRPr="00CE2F22">
        <w:t>Sometimes the process of getting help breaks you more than the violence itself.</w:t>
      </w:r>
    </w:p>
    <w:p w14:paraId="763AB3CB" w14:textId="621E715B" w:rsidR="00E3733B" w:rsidRPr="00CE2F22" w:rsidRDefault="00E3733B" w:rsidP="00E3733B">
      <w:pPr>
        <w:pStyle w:val="BodyText"/>
        <w:rPr>
          <w:lang w:val="en-AU"/>
        </w:rPr>
      </w:pPr>
    </w:p>
    <w:p w14:paraId="44EF8B19" w14:textId="5A17452F" w:rsidR="00E3733B" w:rsidRPr="00CE2F22" w:rsidRDefault="00590959" w:rsidP="00590959">
      <w:pPr>
        <w:pStyle w:val="Heading3"/>
      </w:pPr>
      <w:bookmarkStart w:id="78" w:name="_Toc96092093"/>
      <w:r w:rsidRPr="00CE2F22">
        <w:t>Barriers to accessing support</w:t>
      </w:r>
      <w:bookmarkEnd w:id="78"/>
    </w:p>
    <w:p w14:paraId="49C6147C" w14:textId="4F0CAEEA" w:rsidR="00590959" w:rsidRPr="00CE2F22" w:rsidRDefault="00590959" w:rsidP="00590959"/>
    <w:p w14:paraId="349F26FE" w14:textId="7D00F3C3" w:rsidR="00590959" w:rsidRPr="00CE2F22" w:rsidRDefault="00590959" w:rsidP="00590959">
      <w:pPr>
        <w:pStyle w:val="Heading4"/>
      </w:pPr>
      <w:r w:rsidRPr="00CE2F22">
        <w:t>Fear and mistrust of institutions</w:t>
      </w:r>
    </w:p>
    <w:p w14:paraId="1BF94E98" w14:textId="77777777" w:rsidR="00590959" w:rsidRPr="00CE2F22" w:rsidRDefault="00590959" w:rsidP="00590959">
      <w:pPr>
        <w:pStyle w:val="BodyText"/>
        <w:rPr>
          <w:lang w:val="en-AU"/>
        </w:rPr>
      </w:pPr>
      <w:r w:rsidRPr="00CE2F22">
        <w:rPr>
          <w:lang w:val="en-AU"/>
        </w:rPr>
        <w:t>The most common barriers experienced when trying to access support from institutions included:</w:t>
      </w:r>
    </w:p>
    <w:p w14:paraId="3B9F149B" w14:textId="77777777" w:rsidR="00590959" w:rsidRPr="00CE2F22" w:rsidRDefault="00590959" w:rsidP="00590959">
      <w:pPr>
        <w:pStyle w:val="BodyText"/>
        <w:rPr>
          <w:lang w:val="en-AU"/>
        </w:rPr>
      </w:pPr>
    </w:p>
    <w:p w14:paraId="4648E5F9" w14:textId="74FA2660" w:rsidR="00590959" w:rsidRPr="00CE2F22" w:rsidRDefault="00590959" w:rsidP="00590959">
      <w:pPr>
        <w:pStyle w:val="BodyText"/>
        <w:numPr>
          <w:ilvl w:val="0"/>
          <w:numId w:val="23"/>
        </w:numPr>
        <w:rPr>
          <w:lang w:val="en-AU"/>
        </w:rPr>
      </w:pPr>
      <w:r w:rsidRPr="00CE2F22">
        <w:rPr>
          <w:lang w:val="en-AU"/>
        </w:rPr>
        <w:t>Not trusting the institutions will believe and help young victim-survivors (62.7%)</w:t>
      </w:r>
    </w:p>
    <w:p w14:paraId="75AB699B" w14:textId="6EBD7338" w:rsidR="00590959" w:rsidRPr="00CE2F22" w:rsidRDefault="00590959" w:rsidP="00590959">
      <w:pPr>
        <w:pStyle w:val="BodyText"/>
        <w:numPr>
          <w:ilvl w:val="0"/>
          <w:numId w:val="23"/>
        </w:numPr>
        <w:rPr>
          <w:lang w:val="en-AU"/>
        </w:rPr>
      </w:pPr>
      <w:r w:rsidRPr="00CE2F22">
        <w:rPr>
          <w:lang w:val="en-AU"/>
        </w:rPr>
        <w:t>Fearing the institution may re-traumatise victim- survivors or put them in further danger (64.2%).</w:t>
      </w:r>
    </w:p>
    <w:p w14:paraId="4BFF4B94" w14:textId="77777777" w:rsidR="00590959" w:rsidRPr="00CE2F22" w:rsidRDefault="00590959" w:rsidP="00590959">
      <w:pPr>
        <w:pStyle w:val="BodyText"/>
        <w:rPr>
          <w:lang w:val="en-AU"/>
        </w:rPr>
      </w:pPr>
      <w:r w:rsidRPr="00CE2F22">
        <w:rPr>
          <w:lang w:val="en-AU"/>
        </w:rPr>
        <w:t>These sentiments were repeated throughout forum discussions and survey written responses. A significant number of young victim-survivors— especially those from diverse backgrounds—view</w:t>
      </w:r>
    </w:p>
    <w:p w14:paraId="1C0358BD" w14:textId="07E11759" w:rsidR="00590959" w:rsidRPr="00CE2F22" w:rsidRDefault="00590959" w:rsidP="00590959">
      <w:pPr>
        <w:pStyle w:val="BodyText"/>
        <w:rPr>
          <w:lang w:val="en-AU"/>
        </w:rPr>
      </w:pPr>
      <w:r w:rsidRPr="00CE2F22">
        <w:rPr>
          <w:lang w:val="en-AU"/>
        </w:rPr>
        <w:t>the police as potential sources of danger rather than sources of support. One participant in the Young Women’s and Non-Binary People’s Forum shared their own experiences of this fear.</w:t>
      </w:r>
    </w:p>
    <w:p w14:paraId="47701AAF" w14:textId="76377B4F" w:rsidR="00590959" w:rsidRPr="00CE2F22" w:rsidRDefault="00590959" w:rsidP="00590959">
      <w:r w:rsidRPr="00CE2F22">
        <w:t xml:space="preserve"> </w:t>
      </w:r>
    </w:p>
    <w:p w14:paraId="4982854D" w14:textId="030C8233" w:rsidR="00590959" w:rsidRPr="00CE2F22" w:rsidRDefault="00590959" w:rsidP="00590959">
      <w:pPr>
        <w:pStyle w:val="IntenseQuote"/>
      </w:pPr>
      <w:r w:rsidRPr="00CE2F22">
        <w:t>A couple of years ago when I was in a relationship with a trans woman, and there were grounds to get a DVO order, but I didn’t think it was the right outcome given the worst-case outcome for her was police brutality. I wasn’t confident that I could prioritise my own safety knowing the institutions might perpetrate violence against her</w:t>
      </w:r>
    </w:p>
    <w:p w14:paraId="06FED4EA" w14:textId="5F0E0FB4" w:rsidR="00590959" w:rsidRPr="00CE2F22" w:rsidRDefault="00590959" w:rsidP="00590959"/>
    <w:p w14:paraId="1AD53F9A" w14:textId="6C1E558E" w:rsidR="00590959" w:rsidRPr="00CE2F22" w:rsidRDefault="00590959" w:rsidP="00BB4C43">
      <w:pPr>
        <w:pStyle w:val="BodyText"/>
        <w:rPr>
          <w:lang w:val="en-AU"/>
        </w:rPr>
      </w:pPr>
      <w:r w:rsidRPr="00CE2F22">
        <w:rPr>
          <w:lang w:val="en-AU"/>
        </w:rPr>
        <w:t>Another respondent in the survey highlighted her traumatic experience of seeking support from the university to remove her perpetrator from on-campus accommodation.</w:t>
      </w:r>
      <w:r w:rsidR="00E21C51">
        <w:rPr>
          <w:lang w:val="en-AU"/>
        </w:rPr>
        <w:t xml:space="preserve"> </w:t>
      </w:r>
      <w:r w:rsidRPr="00CE2F22">
        <w:rPr>
          <w:lang w:val="en-AU"/>
        </w:rPr>
        <w:t>These examples were just some that demonstrate how seeking help from institutions can place young victim-survivors in more dangerous situations and expose them to continued violence and trauma.</w:t>
      </w:r>
    </w:p>
    <w:p w14:paraId="31C4EF3B" w14:textId="77777777" w:rsidR="00BB4C43" w:rsidRPr="00CE2F22" w:rsidRDefault="00BB4C43" w:rsidP="00BB4C43">
      <w:pPr>
        <w:pStyle w:val="BodyText"/>
        <w:rPr>
          <w:lang w:val="en-AU"/>
        </w:rPr>
      </w:pPr>
    </w:p>
    <w:p w14:paraId="01F5C819" w14:textId="6B1A87CB" w:rsidR="00590959" w:rsidRPr="00CE2F22" w:rsidRDefault="00590959" w:rsidP="00BB4C43">
      <w:pPr>
        <w:pStyle w:val="BodyText"/>
        <w:rPr>
          <w:lang w:val="en-AU"/>
        </w:rPr>
      </w:pPr>
      <w:r w:rsidRPr="00CE2F22">
        <w:rPr>
          <w:lang w:val="en-AU"/>
        </w:rPr>
        <w:t>Family law courts were another institution commonly flagged by young mothers as being untrustworthy and harmful to both themselves and their children. One respondent highlighted that her children could not receive counselling from certain</w:t>
      </w:r>
      <w:r w:rsidR="00BB4C43" w:rsidRPr="00CE2F22">
        <w:rPr>
          <w:lang w:val="en-AU"/>
        </w:rPr>
        <w:t xml:space="preserve"> domestic violence services without getting the legal permission of the father. This process forced her to contact her abuser and put her at greater risk of increased violence.</w:t>
      </w:r>
    </w:p>
    <w:p w14:paraId="73D85D05" w14:textId="77777777" w:rsidR="00BB4C43" w:rsidRPr="00CE2F22" w:rsidRDefault="00BB4C43" w:rsidP="00BB4C43">
      <w:pPr>
        <w:pStyle w:val="BodyText"/>
        <w:rPr>
          <w:lang w:val="en-AU"/>
        </w:rPr>
      </w:pPr>
    </w:p>
    <w:p w14:paraId="47E9669B" w14:textId="4E7586C5" w:rsidR="00BB4C43" w:rsidRPr="00CE2F22" w:rsidRDefault="00BB4C43" w:rsidP="00BB4C43">
      <w:pPr>
        <w:pStyle w:val="BodyText"/>
        <w:rPr>
          <w:lang w:val="en-AU"/>
        </w:rPr>
      </w:pPr>
      <w:r w:rsidRPr="00CE2F22">
        <w:rPr>
          <w:lang w:val="en-AU"/>
        </w:rPr>
        <w:t>When negotiating legal processes involving her children, another young woman talked about being ordered by the court to give her address and contact details to her perpetrator, despite having multiple intervention orders against him.</w:t>
      </w:r>
    </w:p>
    <w:p w14:paraId="0DC01A72" w14:textId="1DC349F4" w:rsidR="00BB4C43" w:rsidRPr="00CE2F22" w:rsidRDefault="00BB4C43" w:rsidP="00BB4C43">
      <w:pPr>
        <w:pStyle w:val="BodyText"/>
        <w:rPr>
          <w:lang w:val="en-AU"/>
        </w:rPr>
      </w:pPr>
    </w:p>
    <w:p w14:paraId="67F8D481" w14:textId="57DC48E8" w:rsidR="00BB4C43" w:rsidRPr="00CE2F22" w:rsidRDefault="00BB4C43" w:rsidP="00BB4C43">
      <w:pPr>
        <w:pStyle w:val="IntenseQuote"/>
      </w:pPr>
      <w:r w:rsidRPr="00CE2F22">
        <w:t>When seeking support from university administration, I had to retell my story multiple times to different people, the perpetrator was involved and given the opportunity to ‘share his side’, he was brought into meetings I was in without my knowledge or consent and he was not removed from the accommodation for two months after the incident, in which time he stood outside my door every day and harassed me.</w:t>
      </w:r>
    </w:p>
    <w:p w14:paraId="0357017D" w14:textId="552C60DC" w:rsidR="00BB4C43" w:rsidRPr="00CE2F22" w:rsidRDefault="00BB4C43" w:rsidP="00BB4C43">
      <w:pPr>
        <w:pStyle w:val="BodyText"/>
        <w:rPr>
          <w:lang w:val="en-AU"/>
        </w:rPr>
      </w:pPr>
      <w:r w:rsidRPr="00CE2F22">
        <w:rPr>
          <w:lang w:val="en-AU"/>
        </w:rPr>
        <w:t>Another respondent indicated that the court rejected a request to have her family members drop the children at their father’s house in a shared custody arrangement, obliging the victim-survivor to see her abuser every week.</w:t>
      </w:r>
    </w:p>
    <w:p w14:paraId="228CBF8D" w14:textId="77777777" w:rsidR="00BB4C43" w:rsidRPr="00CE2F22" w:rsidRDefault="00BB4C43" w:rsidP="00BB4C43">
      <w:pPr>
        <w:pStyle w:val="BodyText"/>
        <w:rPr>
          <w:lang w:val="en-AU"/>
        </w:rPr>
      </w:pPr>
    </w:p>
    <w:p w14:paraId="3BE0CBF6" w14:textId="77777777" w:rsidR="00BB4C43" w:rsidRPr="00CE2F22" w:rsidRDefault="00BB4C43" w:rsidP="00BB4C43">
      <w:pPr>
        <w:pStyle w:val="BodyText"/>
        <w:rPr>
          <w:lang w:val="en-AU"/>
        </w:rPr>
      </w:pPr>
      <w:r w:rsidRPr="00CE2F22">
        <w:rPr>
          <w:lang w:val="en-AU"/>
        </w:rPr>
        <w:t>From these examples it is evident that court processes are failing to protect victim-survivors, instead putting young mothers and dependent children at a greater risk of increased violence and trauma.</w:t>
      </w:r>
    </w:p>
    <w:p w14:paraId="39FD7502" w14:textId="5F5BD5AD" w:rsidR="00BB4C43" w:rsidRPr="00CE2F22" w:rsidRDefault="00BB4C43" w:rsidP="00BB4C43">
      <w:pPr>
        <w:pStyle w:val="BodyText"/>
        <w:rPr>
          <w:lang w:val="en-AU"/>
        </w:rPr>
      </w:pPr>
      <w:r w:rsidRPr="00CE2F22">
        <w:rPr>
          <w:lang w:val="en-AU"/>
        </w:rPr>
        <w:t>When such negative experiences are so prevalent for young victim-survivors it is not surprising that 46.3% of respondents indicated that they were unable to access support through institutions due to ‘previous bad experiences with the institution’.</w:t>
      </w:r>
    </w:p>
    <w:p w14:paraId="61214A4D" w14:textId="77777777" w:rsidR="00BB4C43" w:rsidRPr="00CE2F22" w:rsidRDefault="00BB4C43" w:rsidP="00BB4C43">
      <w:pPr>
        <w:pStyle w:val="BodyText"/>
        <w:rPr>
          <w:lang w:val="en-AU"/>
        </w:rPr>
      </w:pPr>
    </w:p>
    <w:p w14:paraId="543FDF3C" w14:textId="4FC697FB" w:rsidR="00BB4C43" w:rsidRPr="00CE2F22" w:rsidRDefault="00BB4C43" w:rsidP="00BB4C43">
      <w:pPr>
        <w:pStyle w:val="BodyText"/>
        <w:rPr>
          <w:lang w:val="en-AU"/>
        </w:rPr>
      </w:pPr>
      <w:r w:rsidRPr="00CE2F22">
        <w:rPr>
          <w:lang w:val="en-AU"/>
        </w:rPr>
        <w:t xml:space="preserve">Forum </w:t>
      </w:r>
      <w:r w:rsidR="00987D44" w:rsidRPr="00CE2F22">
        <w:rPr>
          <w:lang w:val="en-AU"/>
        </w:rPr>
        <w:t>participants</w:t>
      </w:r>
      <w:r w:rsidRPr="00CE2F22">
        <w:rPr>
          <w:lang w:val="en-AU"/>
        </w:rPr>
        <w:t xml:space="preserve"> discussed the impact that one bad experience with support services can have on someone’s overall healing journey and their willingness to access help again.</w:t>
      </w:r>
    </w:p>
    <w:p w14:paraId="07A231DD" w14:textId="77777777" w:rsidR="00BB4C43" w:rsidRPr="00CE2F22" w:rsidRDefault="00BB4C43" w:rsidP="00BB4C43">
      <w:pPr>
        <w:pStyle w:val="BodyText"/>
        <w:rPr>
          <w:lang w:val="en-AU"/>
        </w:rPr>
      </w:pPr>
    </w:p>
    <w:p w14:paraId="3163EF64" w14:textId="745FB1B7" w:rsidR="00BB4C43" w:rsidRPr="00CE2F22" w:rsidRDefault="00BB4C43" w:rsidP="00BB4C43">
      <w:pPr>
        <w:pStyle w:val="BodyText"/>
        <w:rPr>
          <w:lang w:val="en-AU"/>
        </w:rPr>
      </w:pPr>
      <w:r w:rsidRPr="00CE2F22">
        <w:rPr>
          <w:lang w:val="en-AU"/>
        </w:rPr>
        <w:t>One participant described her experience of being dismissed by health professionals because she did not experience ‘full penetrative abuse’ and indicated that this comment prevented her from accessing further support.</w:t>
      </w:r>
    </w:p>
    <w:p w14:paraId="1631AFCC" w14:textId="77777777" w:rsidR="00BB4C43" w:rsidRPr="00CE2F22" w:rsidRDefault="00BB4C43" w:rsidP="00BB4C43">
      <w:pPr>
        <w:pStyle w:val="BodyText"/>
        <w:rPr>
          <w:lang w:val="en-AU"/>
        </w:rPr>
      </w:pPr>
    </w:p>
    <w:p w14:paraId="63FD0BE7" w14:textId="070BDFCB" w:rsidR="00BB4C43" w:rsidRPr="00CE2F22" w:rsidRDefault="00BB4C43" w:rsidP="00BB4C43">
      <w:pPr>
        <w:pStyle w:val="BodyText"/>
        <w:rPr>
          <w:lang w:val="en-AU"/>
        </w:rPr>
      </w:pPr>
      <w:r w:rsidRPr="00CE2F22">
        <w:rPr>
          <w:lang w:val="en-AU"/>
        </w:rPr>
        <w:t>Another participant highlighted bad experiences with doctors who were not queer literate and ‘struggle to get their heads around pronouns or people’s names changing’ and counsellors who treated patients as ‘case studies’ rather than centring their needs as victim-survivors.</w:t>
      </w:r>
    </w:p>
    <w:p w14:paraId="6D95140F" w14:textId="0B2F6ED3" w:rsidR="00BB4C43" w:rsidRPr="00CE2F22" w:rsidRDefault="00BB4C43" w:rsidP="00BB4C43">
      <w:pPr>
        <w:pStyle w:val="BodyText"/>
        <w:rPr>
          <w:lang w:val="en-AU"/>
        </w:rPr>
      </w:pPr>
    </w:p>
    <w:p w14:paraId="35BB535E" w14:textId="47D2FEB6" w:rsidR="00BB4C43" w:rsidRPr="00CE2F22" w:rsidRDefault="00BB4C43" w:rsidP="00BB4C43">
      <w:pPr>
        <w:pStyle w:val="BodyText"/>
        <w:rPr>
          <w:lang w:val="en-AU"/>
        </w:rPr>
      </w:pPr>
      <w:r w:rsidRPr="00CE2F22">
        <w:rPr>
          <w:lang w:val="en-AU"/>
        </w:rPr>
        <w:t>Throughout the forum, participants made clear that even small negative experiences can have large, often damaging impacts on young victim-survivor’s willingness to pursue support and access justice.</w:t>
      </w:r>
    </w:p>
    <w:p w14:paraId="113AD095" w14:textId="1860A325" w:rsidR="00BB4C43" w:rsidRPr="00CE2F22" w:rsidRDefault="00BB4C43" w:rsidP="00BB4C43">
      <w:pPr>
        <w:pStyle w:val="BodyText"/>
        <w:rPr>
          <w:lang w:val="en-AU"/>
        </w:rPr>
      </w:pPr>
    </w:p>
    <w:p w14:paraId="4E5F9310" w14:textId="2EC2981E" w:rsidR="00BB4C43" w:rsidRPr="00CE2F22" w:rsidRDefault="00BB4C43" w:rsidP="00BB4C43">
      <w:pPr>
        <w:pStyle w:val="IntenseQuote"/>
      </w:pPr>
      <w:r w:rsidRPr="00CE2F22">
        <w:t>Even the receptionist being rude or not very helpful can be something that puts people’s journey of healing off by a year or two.</w:t>
      </w:r>
    </w:p>
    <w:p w14:paraId="397D688C" w14:textId="04826729" w:rsidR="00590959" w:rsidRPr="00CE2F22" w:rsidRDefault="00590959" w:rsidP="00BB4C43">
      <w:pPr>
        <w:pStyle w:val="Heading4"/>
      </w:pPr>
    </w:p>
    <w:p w14:paraId="19BC379C" w14:textId="3DABEEA3" w:rsidR="00BB4C43" w:rsidRPr="00CE2F22" w:rsidRDefault="00BB4C43" w:rsidP="00BB4C43">
      <w:pPr>
        <w:pStyle w:val="Heading4"/>
      </w:pPr>
      <w:r w:rsidRPr="00CE2F22">
        <w:t>Financial strain</w:t>
      </w:r>
    </w:p>
    <w:p w14:paraId="00684380" w14:textId="32307430" w:rsidR="00BB4C43" w:rsidRPr="00CE2F22" w:rsidRDefault="00BB4C43" w:rsidP="00BB4C43">
      <w:pPr>
        <w:pStyle w:val="BodyText"/>
        <w:rPr>
          <w:lang w:val="en-AU"/>
        </w:rPr>
      </w:pPr>
      <w:r w:rsidRPr="00CE2F22">
        <w:rPr>
          <w:lang w:val="en-AU"/>
        </w:rPr>
        <w:t>Young people experience high levels of unemployment compared to other age demographics.8 It is not surprising that many young victim-survivors do not have the financial means to access support. Financial strain as a barrier was experienced by 29.9% of respondents when attempting to access support through institutions, (such as police, hospitals etc.), rising to 37.1% of respondents who attempted to access support through community services/organisations.</w:t>
      </w:r>
    </w:p>
    <w:p w14:paraId="07E635CD" w14:textId="77777777" w:rsidR="00BB4C43" w:rsidRPr="00CE2F22" w:rsidRDefault="00BB4C43" w:rsidP="00BB4C43">
      <w:pPr>
        <w:pStyle w:val="BodyText"/>
        <w:rPr>
          <w:lang w:val="en-AU"/>
        </w:rPr>
      </w:pPr>
    </w:p>
    <w:p w14:paraId="07EEBCE8" w14:textId="25AA9D37" w:rsidR="00BB4C43" w:rsidRPr="00CE2F22" w:rsidRDefault="00BB4C43" w:rsidP="00BB4C43">
      <w:pPr>
        <w:pStyle w:val="BodyText"/>
        <w:rPr>
          <w:lang w:val="en-AU"/>
        </w:rPr>
      </w:pPr>
      <w:r w:rsidRPr="00CE2F22">
        <w:rPr>
          <w:lang w:val="en-AU"/>
        </w:rPr>
        <w:t>Respondents outlined their experiences of forgoing meals and ‘giving up on a lot of things’ to access support services, or not having the financial means to engage (e.g., money for transport, phone credit).</w:t>
      </w:r>
    </w:p>
    <w:p w14:paraId="1D5E131C" w14:textId="3D0FE1A1" w:rsidR="00BB4C43" w:rsidRPr="00CE2F22" w:rsidRDefault="00BB4C43" w:rsidP="00BB4C43">
      <w:pPr>
        <w:pStyle w:val="BodyText"/>
        <w:rPr>
          <w:lang w:val="en-AU"/>
        </w:rPr>
      </w:pPr>
    </w:p>
    <w:p w14:paraId="254FA9C4" w14:textId="7CF2359A" w:rsidR="00BB4C43" w:rsidRPr="00CE2F22" w:rsidRDefault="00542EE0" w:rsidP="00542EE0">
      <w:pPr>
        <w:pStyle w:val="IntenseQuote"/>
      </w:pPr>
      <w:r w:rsidRPr="00CE2F22">
        <w:t>I’m still struggling to get support from the very services created to do that and I’ve only gotten as far as I have by skipping meals, giving up a lot of things and basically not being able to have youth.</w:t>
      </w:r>
    </w:p>
    <w:p w14:paraId="72FF4D5A" w14:textId="1D543D2D" w:rsidR="00542EE0" w:rsidRPr="00CE2F22" w:rsidRDefault="00542EE0" w:rsidP="00542EE0">
      <w:pPr>
        <w:pStyle w:val="BodyText"/>
        <w:rPr>
          <w:lang w:val="en-AU"/>
        </w:rPr>
      </w:pPr>
      <w:r w:rsidRPr="00CE2F22">
        <w:rPr>
          <w:lang w:val="en-AU"/>
        </w:rPr>
        <w:t>Several forum participants agreed that there is an urgent need to improve Medicare support for victim-survivors undergoing counselling. Participants described the 10-20 sessions of counselling that are subsidised by Medicare each year as “grossly insufficient” for people with complex trauma.</w:t>
      </w:r>
    </w:p>
    <w:p w14:paraId="43BBA4A4" w14:textId="10A7F163" w:rsidR="00542EE0" w:rsidRPr="00CE2F22" w:rsidRDefault="00542EE0" w:rsidP="00542EE0">
      <w:pPr>
        <w:pStyle w:val="BodyText"/>
        <w:rPr>
          <w:lang w:val="en-AU"/>
        </w:rPr>
      </w:pPr>
    </w:p>
    <w:p w14:paraId="5A5FFB3D" w14:textId="0A9D8A01" w:rsidR="00542EE0" w:rsidRPr="00CE2F22" w:rsidRDefault="00542EE0" w:rsidP="00542EE0">
      <w:pPr>
        <w:pStyle w:val="BodyText"/>
        <w:rPr>
          <w:lang w:val="en-AU"/>
        </w:rPr>
      </w:pPr>
      <w:r w:rsidRPr="00CE2F22">
        <w:rPr>
          <w:lang w:val="en-AU"/>
        </w:rPr>
        <w:t>One participant used the example of Medicare benefits for people with eating disorders as an option for improvement. Here victim-survivors, like patients with eating disorders, should be able to access an increased number of subsidised Medicare counselling sessions when they disclose experiences of violence to their GP.</w:t>
      </w:r>
    </w:p>
    <w:p w14:paraId="58C40847" w14:textId="77777777" w:rsidR="00542EE0" w:rsidRPr="00CE2F22" w:rsidRDefault="00542EE0" w:rsidP="00542EE0">
      <w:pPr>
        <w:pStyle w:val="BodyText"/>
        <w:rPr>
          <w:lang w:val="en-AU"/>
        </w:rPr>
      </w:pPr>
    </w:p>
    <w:p w14:paraId="2F3637DD" w14:textId="77777777" w:rsidR="00542EE0" w:rsidRPr="00CE2F22" w:rsidRDefault="00542EE0" w:rsidP="00542EE0">
      <w:pPr>
        <w:pStyle w:val="BodyText"/>
        <w:rPr>
          <w:lang w:val="en-AU"/>
        </w:rPr>
      </w:pPr>
      <w:r w:rsidRPr="00CE2F22">
        <w:rPr>
          <w:lang w:val="en-AU"/>
        </w:rPr>
        <w:t>Similarly, respondents highlighted that often they must forgo employment and income to prioritise healing. As a result, participants called for more after-hour services that allow young people to heal without having to miss work, while others indicated the need for services that have onsite childcare,</w:t>
      </w:r>
    </w:p>
    <w:p w14:paraId="4E09F7EB" w14:textId="737E634E" w:rsidR="00542EE0" w:rsidRPr="00CE2F22" w:rsidRDefault="00542EE0" w:rsidP="00542EE0">
      <w:pPr>
        <w:pStyle w:val="BodyText"/>
        <w:rPr>
          <w:lang w:val="en-AU"/>
        </w:rPr>
      </w:pPr>
      <w:r w:rsidRPr="00CE2F22">
        <w:rPr>
          <w:lang w:val="en-AU"/>
        </w:rPr>
        <w:t>so that young mothers don’t have to pay for both individual healing and child support.</w:t>
      </w:r>
    </w:p>
    <w:p w14:paraId="52B4AD88" w14:textId="77777777" w:rsidR="00542EE0" w:rsidRPr="00CE2F22" w:rsidRDefault="00542EE0" w:rsidP="00542EE0">
      <w:pPr>
        <w:pStyle w:val="BodyText"/>
        <w:rPr>
          <w:lang w:val="en-AU"/>
        </w:rPr>
      </w:pPr>
    </w:p>
    <w:p w14:paraId="15E41339" w14:textId="0692FB6F" w:rsidR="00542EE0" w:rsidRPr="00CE2F22" w:rsidRDefault="00542EE0" w:rsidP="00542EE0">
      <w:pPr>
        <w:pStyle w:val="BodyText"/>
        <w:rPr>
          <w:lang w:val="en-AU"/>
        </w:rPr>
      </w:pPr>
      <w:r w:rsidRPr="00CE2F22">
        <w:rPr>
          <w:lang w:val="en-AU"/>
        </w:rPr>
        <w:t>A number of respondents also discussed the impact of financial strain on reducing their eligibility for a number of services, including emergency assistance and safe housing.</w:t>
      </w:r>
    </w:p>
    <w:p w14:paraId="4FC47464" w14:textId="3EB1FA78" w:rsidR="00542EE0" w:rsidRPr="00CE2F22" w:rsidRDefault="00542EE0" w:rsidP="00542EE0">
      <w:pPr>
        <w:pStyle w:val="BodyText"/>
        <w:rPr>
          <w:lang w:val="en-AU"/>
        </w:rPr>
      </w:pPr>
    </w:p>
    <w:p w14:paraId="4CE294C6" w14:textId="63C88088" w:rsidR="00542EE0" w:rsidRPr="00CE2F22" w:rsidRDefault="00542EE0" w:rsidP="00542EE0">
      <w:pPr>
        <w:pStyle w:val="IntenseQuote"/>
      </w:pPr>
      <w:r w:rsidRPr="00CE2F22">
        <w:t>I was only able to stay at a women’s shelter for seven days because I had to prove I was actively looking for housing, despite having no money to apply to any properties and no car to access housing services.</w:t>
      </w:r>
    </w:p>
    <w:p w14:paraId="1DF7DFF6" w14:textId="7D64C0A9" w:rsidR="00542EE0" w:rsidRPr="00CE2F22" w:rsidRDefault="00542EE0" w:rsidP="00542EE0">
      <w:pPr>
        <w:pStyle w:val="BodyText"/>
        <w:rPr>
          <w:lang w:val="en-AU"/>
        </w:rPr>
      </w:pPr>
      <w:r w:rsidRPr="00CE2F22">
        <w:rPr>
          <w:lang w:val="en-AU"/>
        </w:rPr>
        <w:t>Another victim-survivor described her experience of being fully employed and therefore not eligible for emergency assistance, despite her partner forcing her to put all the bills in her name and pressuring her to take cash advances on multiple credit cards. This victim-survivors’ experience of financial abuse ultimately left her with ‘no savings, no furniture, no personal belongings and $3,500 worth of debt’.</w:t>
      </w:r>
    </w:p>
    <w:p w14:paraId="1D400849" w14:textId="7847D4E3" w:rsidR="00542EE0" w:rsidRPr="00CE2F22" w:rsidRDefault="00542EE0" w:rsidP="00542EE0">
      <w:pPr>
        <w:pStyle w:val="BodyText"/>
        <w:rPr>
          <w:lang w:val="en-AU"/>
        </w:rPr>
      </w:pPr>
    </w:p>
    <w:p w14:paraId="76BEFEC6" w14:textId="7F77F2AE" w:rsidR="00542EE0" w:rsidRPr="00CE2F22" w:rsidRDefault="00542EE0" w:rsidP="00542EE0">
      <w:pPr>
        <w:pStyle w:val="BodyText"/>
        <w:rPr>
          <w:lang w:val="en-AU"/>
        </w:rPr>
      </w:pPr>
      <w:r w:rsidRPr="00CE2F22">
        <w:rPr>
          <w:lang w:val="en-AU"/>
        </w:rPr>
        <w:t>From these experiences it is clear that current support services and systems are not accounting for young victim-survivor’s precarious financial situations or, for those individuals who are experiencing financial abuse.</w:t>
      </w:r>
    </w:p>
    <w:p w14:paraId="37A5FF83" w14:textId="764819A1" w:rsidR="00542EE0" w:rsidRPr="00CE2F22" w:rsidRDefault="00542EE0" w:rsidP="00542EE0">
      <w:pPr>
        <w:pStyle w:val="BodyText"/>
        <w:rPr>
          <w:lang w:val="en-AU"/>
        </w:rPr>
      </w:pPr>
    </w:p>
    <w:p w14:paraId="3168279E" w14:textId="2285EBBC" w:rsidR="00542EE0" w:rsidRPr="00CE2F22" w:rsidRDefault="00542EE0" w:rsidP="00542EE0">
      <w:pPr>
        <w:pStyle w:val="Heading4"/>
      </w:pPr>
      <w:r w:rsidRPr="00CE2F22">
        <w:t>Not knowing what services are available</w:t>
      </w:r>
    </w:p>
    <w:p w14:paraId="06B148D1" w14:textId="77777777" w:rsidR="00542EE0" w:rsidRPr="00CE2F22" w:rsidRDefault="00542EE0" w:rsidP="00542EE0">
      <w:pPr>
        <w:pStyle w:val="BodyText"/>
        <w:rPr>
          <w:lang w:val="en-AU"/>
        </w:rPr>
      </w:pPr>
    </w:p>
    <w:p w14:paraId="03C4AB33" w14:textId="5A433245" w:rsidR="00542EE0" w:rsidRPr="00CE2F22" w:rsidRDefault="00542EE0" w:rsidP="00542EE0">
      <w:pPr>
        <w:pStyle w:val="BodyText"/>
        <w:rPr>
          <w:lang w:val="en-AU"/>
        </w:rPr>
      </w:pPr>
      <w:r w:rsidRPr="00CE2F22">
        <w:rPr>
          <w:lang w:val="en-AU"/>
        </w:rPr>
        <w:t>Of all respondents who tried to access support from institutions, 44.8% reported not knowing enough about what support the institution may be able to offer. For respondents who attempted to access support via community services and organisations this number rose to 48.6%.</w:t>
      </w:r>
    </w:p>
    <w:p w14:paraId="5EEC71AF" w14:textId="77777777" w:rsidR="00542EE0" w:rsidRPr="00CE2F22" w:rsidRDefault="00542EE0" w:rsidP="00542EE0">
      <w:pPr>
        <w:pStyle w:val="BodyText"/>
        <w:rPr>
          <w:lang w:val="en-AU"/>
        </w:rPr>
      </w:pPr>
    </w:p>
    <w:p w14:paraId="470C3BE9" w14:textId="27DD9E48" w:rsidR="00542EE0" w:rsidRPr="00CE2F22" w:rsidRDefault="00542EE0" w:rsidP="00542EE0">
      <w:pPr>
        <w:pStyle w:val="BodyText"/>
        <w:rPr>
          <w:lang w:val="en-AU"/>
        </w:rPr>
      </w:pPr>
      <w:r w:rsidRPr="00CE2F22">
        <w:rPr>
          <w:lang w:val="en-AU"/>
        </w:rPr>
        <w:t>Similarly, throughout the forum, participants confirmed that they encountered many barriers in trying to find information on what services are available, what assistance they offer and their eligibility criteria. Respondents said that this often required extensive research and ‘hours of scrolling through different websites’. Respondents also indicated that not knowing what services best suited their needs and experiences meant that they had to under-go a ‘trial and error’ process, where they often wasted their money and were required to constantly repeat their stories, and relive their trauma, to different sources.</w:t>
      </w:r>
    </w:p>
    <w:p w14:paraId="7C0DF157" w14:textId="3DF097DB" w:rsidR="00542EE0" w:rsidRPr="00CE2F22" w:rsidRDefault="00542EE0" w:rsidP="00542EE0">
      <w:pPr>
        <w:pStyle w:val="BodyText"/>
        <w:rPr>
          <w:lang w:val="en-AU"/>
        </w:rPr>
      </w:pPr>
    </w:p>
    <w:p w14:paraId="51FE9322" w14:textId="35BB5B41" w:rsidR="00542EE0" w:rsidRPr="00CE2F22" w:rsidRDefault="00542EE0" w:rsidP="00542EE0">
      <w:pPr>
        <w:pStyle w:val="IntenseQuote"/>
      </w:pPr>
      <w:r w:rsidRPr="00CE2F22">
        <w:t>I’ve thought of having a database listed on a government website, that itemises all of these services and shows eligibility criteria straight up, so we don’t waste time researching and reaching out to services that we won’t be able to access.</w:t>
      </w:r>
    </w:p>
    <w:p w14:paraId="711F1463" w14:textId="4B062C28" w:rsidR="00C308F8" w:rsidRPr="00CE2F22" w:rsidRDefault="00C308F8" w:rsidP="00C308F8">
      <w:pPr>
        <w:pStyle w:val="BodyText"/>
        <w:rPr>
          <w:lang w:val="en-AU"/>
        </w:rPr>
      </w:pPr>
      <w:r w:rsidRPr="00CE2F22">
        <w:rPr>
          <w:lang w:val="en-AU"/>
        </w:rPr>
        <w:t>Along with improving reporting mechanisms, participants discussed the importance of collating service information, for both institutions and community organisations, so that young victim-survivors can easily access clear yet comprehensive information.</w:t>
      </w:r>
    </w:p>
    <w:p w14:paraId="46D8E7C7" w14:textId="77777777" w:rsidR="00C308F8" w:rsidRPr="00CE2F22" w:rsidRDefault="00C308F8" w:rsidP="00C308F8">
      <w:pPr>
        <w:pStyle w:val="BodyText"/>
        <w:rPr>
          <w:lang w:val="en-AU"/>
        </w:rPr>
      </w:pPr>
    </w:p>
    <w:p w14:paraId="505E1812" w14:textId="77777777" w:rsidR="00C308F8" w:rsidRPr="00CE2F22" w:rsidRDefault="00C308F8" w:rsidP="00C308F8">
      <w:pPr>
        <w:pStyle w:val="BodyText"/>
        <w:rPr>
          <w:lang w:val="en-AU"/>
        </w:rPr>
      </w:pPr>
      <w:r w:rsidRPr="00CE2F22">
        <w:rPr>
          <w:lang w:val="en-AU"/>
        </w:rPr>
        <w:t>Other suggestions for improving young victim- survivor’s access to information regarding services included ensuring information on specialist and tailored services was made readily available. For instance, one participant recommended ensuring all GPs produce a list of psychologists who specialise in trauma-based care, rather than generalist support, in the victim-survivor’s local area.</w:t>
      </w:r>
    </w:p>
    <w:p w14:paraId="0CE5CDD4" w14:textId="77777777" w:rsidR="00C308F8" w:rsidRPr="00CE2F22" w:rsidRDefault="00C308F8" w:rsidP="00C308F8">
      <w:pPr>
        <w:pStyle w:val="BodyText"/>
        <w:rPr>
          <w:lang w:val="en-AU"/>
        </w:rPr>
      </w:pPr>
    </w:p>
    <w:p w14:paraId="366D2292" w14:textId="1B46DBC3" w:rsidR="00C308F8" w:rsidRPr="00CE2F22" w:rsidRDefault="00C308F8" w:rsidP="00C308F8">
      <w:pPr>
        <w:pStyle w:val="BodyText"/>
        <w:rPr>
          <w:lang w:val="en-AU"/>
        </w:rPr>
      </w:pPr>
      <w:r w:rsidRPr="00CE2F22">
        <w:rPr>
          <w:lang w:val="en-AU"/>
        </w:rPr>
        <w:t>Additionally, participants during the forum highlighted good practice models for mitigating barriers to services. These included the No Wrong Door Approach and the Orange Door Network that have recently been implemented by</w:t>
      </w:r>
      <w:r w:rsidR="00987D44">
        <w:rPr>
          <w:lang w:val="en-AU"/>
        </w:rPr>
        <w:t xml:space="preserve"> </w:t>
      </w:r>
      <w:r w:rsidRPr="00CE2F22">
        <w:rPr>
          <w:lang w:val="en-AU"/>
        </w:rPr>
        <w:t>various state governments.</w:t>
      </w:r>
      <w:r w:rsidR="00987D44">
        <w:rPr>
          <w:lang w:val="en-AU"/>
        </w:rPr>
        <w:t>(</w:t>
      </w:r>
      <w:r w:rsidRPr="00CE2F22">
        <w:rPr>
          <w:lang w:val="en-AU"/>
        </w:rPr>
        <w:t>9</w:t>
      </w:r>
      <w:r w:rsidR="00987D44">
        <w:rPr>
          <w:lang w:val="en-AU"/>
        </w:rPr>
        <w:t>)</w:t>
      </w:r>
      <w:r w:rsidRPr="00CE2F22">
        <w:rPr>
          <w:lang w:val="en-AU"/>
        </w:rPr>
        <w:t xml:space="preserve"> These models focus on service and sector collaboration to efficiently connect victim-survivors to services in their local area. Having developed a network of over 300 specialist practitioners, the Victorian Orange Door Network in particular aims to protect victim-survivors from having to repeat their stories and strengthens the</w:t>
      </w:r>
    </w:p>
    <w:p w14:paraId="6FA8AA8D" w14:textId="472BB110" w:rsidR="00C308F8" w:rsidRPr="00CE2F22" w:rsidRDefault="00C308F8" w:rsidP="00C308F8">
      <w:pPr>
        <w:pStyle w:val="BodyText"/>
        <w:rPr>
          <w:lang w:val="en-AU"/>
        </w:rPr>
      </w:pPr>
      <w:r w:rsidRPr="00CE2F22">
        <w:rPr>
          <w:lang w:val="en-AU"/>
        </w:rPr>
        <w:t>sector by increasing integrated knowledge regarding support and risk management. (10)</w:t>
      </w:r>
    </w:p>
    <w:p w14:paraId="72349A36" w14:textId="670CFCEE" w:rsidR="00C308F8" w:rsidRPr="00CE2F22" w:rsidRDefault="00C308F8" w:rsidP="00C308F8">
      <w:pPr>
        <w:pStyle w:val="BodyText"/>
        <w:rPr>
          <w:lang w:val="en-AU"/>
        </w:rPr>
      </w:pPr>
    </w:p>
    <w:p w14:paraId="7E694429" w14:textId="7E17045D" w:rsidR="00C308F8" w:rsidRPr="00CE2F22" w:rsidRDefault="00C308F8" w:rsidP="00C308F8">
      <w:pPr>
        <w:pStyle w:val="Heading4"/>
      </w:pPr>
      <w:r w:rsidRPr="00CE2F22">
        <w:t>Poorly trained staff and discriminatory responses</w:t>
      </w:r>
    </w:p>
    <w:p w14:paraId="2768D61A" w14:textId="77777777" w:rsidR="00C308F8" w:rsidRPr="00CE2F22" w:rsidRDefault="00C308F8" w:rsidP="00C308F8">
      <w:pPr>
        <w:pStyle w:val="BodyText"/>
        <w:rPr>
          <w:lang w:val="en-AU"/>
        </w:rPr>
      </w:pPr>
    </w:p>
    <w:p w14:paraId="7BEA6B00" w14:textId="509E4032" w:rsidR="00C308F8" w:rsidRPr="00CE2F22" w:rsidRDefault="00C308F8" w:rsidP="00C308F8">
      <w:pPr>
        <w:pStyle w:val="BodyText"/>
        <w:rPr>
          <w:lang w:val="en-AU"/>
        </w:rPr>
      </w:pPr>
      <w:r w:rsidRPr="00CE2F22">
        <w:rPr>
          <w:lang w:val="en-AU"/>
        </w:rPr>
        <w:t>Forum participants and survey respondents indicated an urgent need for more intersectional responses within both institutions and community services. Ableism, classism, sexism, queer/ transphobia</w:t>
      </w:r>
      <w:r w:rsidR="00987D44">
        <w:rPr>
          <w:lang w:val="en-AU"/>
        </w:rPr>
        <w:t xml:space="preserve">, </w:t>
      </w:r>
      <w:r w:rsidRPr="00CE2F22">
        <w:rPr>
          <w:lang w:val="en-AU"/>
        </w:rPr>
        <w:t>and racism were experienced by large numbers of respondents when attempting to access support from institutions.</w:t>
      </w:r>
    </w:p>
    <w:p w14:paraId="6D78D2DC" w14:textId="77777777" w:rsidR="00C308F8" w:rsidRPr="00CE2F22" w:rsidRDefault="00C308F8" w:rsidP="00C308F8">
      <w:pPr>
        <w:pStyle w:val="BodyText"/>
        <w:rPr>
          <w:lang w:val="en-AU"/>
        </w:rPr>
      </w:pPr>
    </w:p>
    <w:p w14:paraId="79D0178C" w14:textId="73C9B42F" w:rsidR="00C308F8" w:rsidRPr="00CE2F22" w:rsidRDefault="00C308F8" w:rsidP="00C308F8">
      <w:pPr>
        <w:pStyle w:val="BodyText"/>
        <w:rPr>
          <w:lang w:val="en-AU"/>
        </w:rPr>
      </w:pPr>
      <w:r w:rsidRPr="00CE2F22">
        <w:rPr>
          <w:lang w:val="en-AU"/>
        </w:rPr>
        <w:t>Many respondents experienced multiple forms of discrimination (e.g., both sexism and racism) when accessing support via institutions such as the police, hospitals and/or universities. Similar experiences, based on prejudice, accessibility needs and cultural safety, were recorded by participants who accessed community support services. (See Figure 4.2.)</w:t>
      </w:r>
    </w:p>
    <w:p w14:paraId="1C126EE8" w14:textId="0A3574A7" w:rsidR="00C308F8" w:rsidRPr="00CE2F22" w:rsidRDefault="00C308F8" w:rsidP="00C308F8">
      <w:pPr>
        <w:pStyle w:val="BodyText"/>
        <w:rPr>
          <w:lang w:val="en-AU"/>
        </w:rPr>
      </w:pPr>
    </w:p>
    <w:p w14:paraId="1ADC0223" w14:textId="160C67B3" w:rsidR="00C308F8" w:rsidRPr="00CE2F22" w:rsidRDefault="00C308F8" w:rsidP="00C308F8">
      <w:pPr>
        <w:pStyle w:val="BodyText"/>
        <w:rPr>
          <w:b/>
          <w:bCs/>
          <w:lang w:val="en-AU"/>
        </w:rPr>
      </w:pPr>
      <w:r w:rsidRPr="00CE2F22">
        <w:rPr>
          <w:b/>
          <w:bCs/>
          <w:lang w:val="en-AU"/>
        </w:rPr>
        <w:t>Figure 4.2: Discrimination experienced in institutions</w:t>
      </w:r>
    </w:p>
    <w:p w14:paraId="054AC30C" w14:textId="77777777" w:rsidR="00C308F8" w:rsidRPr="00CE2F22" w:rsidRDefault="00C308F8" w:rsidP="00C308F8">
      <w:pPr>
        <w:pStyle w:val="BodyText"/>
        <w:rPr>
          <w:lang w:val="en-AU"/>
        </w:rPr>
      </w:pPr>
    </w:p>
    <w:p w14:paraId="20295E08" w14:textId="4508D527" w:rsidR="00C308F8" w:rsidRPr="00CE2F22" w:rsidRDefault="00C308F8" w:rsidP="00C308F8">
      <w:pPr>
        <w:pStyle w:val="BodyText"/>
        <w:rPr>
          <w:rStyle w:val="Emphasis"/>
          <w:lang w:val="en-AU"/>
        </w:rPr>
      </w:pPr>
      <w:r w:rsidRPr="00CE2F22">
        <w:rPr>
          <w:rStyle w:val="Emphasis"/>
          <w:lang w:val="en-AU"/>
        </w:rPr>
        <w:t>Experienced in institutions</w:t>
      </w:r>
    </w:p>
    <w:p w14:paraId="6E0914FF" w14:textId="12E92E0E" w:rsidR="00C308F8" w:rsidRPr="00CE2F22" w:rsidRDefault="00C308F8" w:rsidP="00C308F8">
      <w:pPr>
        <w:pStyle w:val="BodyText"/>
        <w:numPr>
          <w:ilvl w:val="0"/>
          <w:numId w:val="16"/>
        </w:numPr>
        <w:rPr>
          <w:rStyle w:val="SubtleEmphasis"/>
          <w:b/>
          <w:color w:val="auto"/>
          <w:lang w:val="en-AU"/>
        </w:rPr>
      </w:pPr>
      <w:r w:rsidRPr="00CE2F22">
        <w:rPr>
          <w:rStyle w:val="SubtleEmphasis"/>
          <w:lang w:val="en-AU"/>
        </w:rPr>
        <w:t>RACISM: 10.4% of respondents (7.1% of respondents experienced not culturally safe services)</w:t>
      </w:r>
    </w:p>
    <w:p w14:paraId="16988E41" w14:textId="5CFC1624" w:rsidR="00D7566E" w:rsidRPr="00CE2F22" w:rsidRDefault="00D7566E" w:rsidP="00C308F8">
      <w:pPr>
        <w:pStyle w:val="BodyText"/>
        <w:numPr>
          <w:ilvl w:val="0"/>
          <w:numId w:val="16"/>
        </w:numPr>
        <w:rPr>
          <w:rStyle w:val="SubtleEmphasis"/>
          <w:b/>
          <w:color w:val="auto"/>
          <w:lang w:val="en-AU"/>
        </w:rPr>
      </w:pPr>
      <w:r w:rsidRPr="00CE2F22">
        <w:rPr>
          <w:rStyle w:val="SubtleEmphasis"/>
          <w:lang w:val="en-AU"/>
        </w:rPr>
        <w:t>QUEER/TRANSPHOBIA: 17.9% of respondents</w:t>
      </w:r>
    </w:p>
    <w:p w14:paraId="4DEA5B30" w14:textId="3412F989" w:rsidR="00D7566E" w:rsidRPr="00CE2F22" w:rsidRDefault="00D7566E" w:rsidP="00C308F8">
      <w:pPr>
        <w:pStyle w:val="BodyText"/>
        <w:numPr>
          <w:ilvl w:val="0"/>
          <w:numId w:val="16"/>
        </w:numPr>
        <w:rPr>
          <w:rStyle w:val="SubtleEmphasis"/>
          <w:lang w:val="en-AU"/>
        </w:rPr>
      </w:pPr>
      <w:r w:rsidRPr="00CE2F22">
        <w:rPr>
          <w:rStyle w:val="SubtleEmphasis"/>
          <w:lang w:val="en-AU"/>
        </w:rPr>
        <w:t>CLASSISM: 20.9% of respondents</w:t>
      </w:r>
    </w:p>
    <w:p w14:paraId="6D776E66" w14:textId="2B5DC43F" w:rsidR="00C308F8" w:rsidRPr="00CE2F22" w:rsidRDefault="00C308F8" w:rsidP="00C308F8">
      <w:pPr>
        <w:pStyle w:val="BodyText"/>
        <w:numPr>
          <w:ilvl w:val="0"/>
          <w:numId w:val="16"/>
        </w:numPr>
        <w:rPr>
          <w:rStyle w:val="SubtleEmphasis"/>
          <w:lang w:val="en-AU"/>
        </w:rPr>
      </w:pPr>
      <w:r w:rsidRPr="00CE2F22">
        <w:rPr>
          <w:rStyle w:val="SubtleEmphasis"/>
          <w:lang w:val="en-AU"/>
        </w:rPr>
        <w:t>ABLEISM: 23.9% of respondents (11.4% of respondents did not have their accessibility needs met)</w:t>
      </w:r>
    </w:p>
    <w:p w14:paraId="1400ABE5" w14:textId="77777777" w:rsidR="00D7566E" w:rsidRPr="00CE2F22" w:rsidRDefault="00D7566E" w:rsidP="00D7566E">
      <w:pPr>
        <w:pStyle w:val="BodyText"/>
        <w:ind w:left="720"/>
        <w:rPr>
          <w:rStyle w:val="SubtleEmphasis"/>
          <w:b/>
          <w:color w:val="auto"/>
          <w:lang w:val="en-AU"/>
        </w:rPr>
      </w:pPr>
    </w:p>
    <w:p w14:paraId="3CD79175" w14:textId="53ECEDDE" w:rsidR="00D7566E" w:rsidRPr="00CE2F22" w:rsidRDefault="00D7566E" w:rsidP="00D7566E">
      <w:pPr>
        <w:pStyle w:val="BodyText"/>
        <w:rPr>
          <w:rStyle w:val="SubtleEmphasis"/>
          <w:b/>
          <w:color w:val="auto"/>
          <w:lang w:val="en-AU"/>
        </w:rPr>
      </w:pPr>
      <w:r w:rsidRPr="00CE2F22">
        <w:rPr>
          <w:rStyle w:val="Emphasis"/>
          <w:lang w:val="en-AU"/>
        </w:rPr>
        <w:t>Experienced in community services</w:t>
      </w:r>
    </w:p>
    <w:p w14:paraId="3FC8F140" w14:textId="6C66A922" w:rsidR="00C308F8" w:rsidRPr="00CE2F22" w:rsidRDefault="00D7566E" w:rsidP="00D7566E">
      <w:pPr>
        <w:pStyle w:val="BodyText"/>
        <w:numPr>
          <w:ilvl w:val="0"/>
          <w:numId w:val="24"/>
        </w:numPr>
        <w:rPr>
          <w:i/>
          <w:iCs/>
          <w:color w:val="000000"/>
          <w:lang w:val="en-AU"/>
        </w:rPr>
      </w:pPr>
      <w:r w:rsidRPr="00CE2F22">
        <w:rPr>
          <w:rStyle w:val="SubtleEmphasis"/>
          <w:lang w:val="en-AU"/>
        </w:rPr>
        <w:t>14.3% of respondents experience prejudice based on their identity and/or personal circumstances</w:t>
      </w:r>
    </w:p>
    <w:p w14:paraId="3F877B9B" w14:textId="4B9DD0A2" w:rsidR="00C308F8" w:rsidRPr="00CE2F22" w:rsidRDefault="00C308F8" w:rsidP="00C308F8">
      <w:pPr>
        <w:pStyle w:val="BodyText"/>
        <w:rPr>
          <w:lang w:val="en-AU"/>
        </w:rPr>
      </w:pPr>
    </w:p>
    <w:p w14:paraId="0059C334" w14:textId="0EA24808" w:rsidR="00C308F8" w:rsidRPr="00CE2F22" w:rsidRDefault="00C308F8" w:rsidP="00C308F8">
      <w:pPr>
        <w:pStyle w:val="BodyText"/>
        <w:rPr>
          <w:lang w:val="en-AU"/>
        </w:rPr>
      </w:pPr>
    </w:p>
    <w:p w14:paraId="78502547" w14:textId="0BEBB238" w:rsidR="00C308F8" w:rsidRPr="00CE2F22" w:rsidRDefault="00C308F8" w:rsidP="00D7566E">
      <w:pPr>
        <w:pStyle w:val="BodyText"/>
        <w:rPr>
          <w:lang w:val="en-AU"/>
        </w:rPr>
      </w:pPr>
      <w:r w:rsidRPr="00CE2F22">
        <w:rPr>
          <w:lang w:val="en-AU"/>
        </w:rPr>
        <w:t>Many participants in the forum highlighted the need for support staff in both institutions and community services to be better trained. This included calls for more female staff and staff who undergo proper and comprehensive trauma-informed training,</w:t>
      </w:r>
      <w:r w:rsidR="00D7566E" w:rsidRPr="00CE2F22">
        <w:rPr>
          <w:lang w:val="en-AU"/>
        </w:rPr>
        <w:t xml:space="preserve"> cultural competency training and training on diverse and complex forms of gender-based violence. One respondent, for instance, highlighted that she was unable to gain adequate support because the service provider lacked a culturally sensitive understanding of her experiences of child marriage and religious abuse.</w:t>
      </w:r>
    </w:p>
    <w:p w14:paraId="6C20B621" w14:textId="3DF7FB23" w:rsidR="00D7566E" w:rsidRPr="00CE2F22" w:rsidRDefault="00D7566E" w:rsidP="00D7566E">
      <w:pPr>
        <w:pStyle w:val="BodyText"/>
        <w:rPr>
          <w:lang w:val="en-AU"/>
        </w:rPr>
      </w:pPr>
    </w:p>
    <w:p w14:paraId="6D6A3DF6" w14:textId="5881F1C0" w:rsidR="00D7566E" w:rsidRPr="00CE2F22" w:rsidRDefault="00D7566E" w:rsidP="00D7566E">
      <w:pPr>
        <w:pStyle w:val="BodyText"/>
        <w:rPr>
          <w:lang w:val="en-AU"/>
        </w:rPr>
      </w:pPr>
      <w:r w:rsidRPr="00CE2F22">
        <w:rPr>
          <w:lang w:val="en-AU"/>
        </w:rPr>
        <w:t>Similarly, many participants in the survey called for more ‘non-white support staff’ and support implemented through a cultural framework.</w:t>
      </w:r>
    </w:p>
    <w:p w14:paraId="0C244060" w14:textId="65C64C62" w:rsidR="00D7566E" w:rsidRPr="00CE2F22" w:rsidRDefault="00D7566E" w:rsidP="00D7566E">
      <w:pPr>
        <w:pStyle w:val="BodyText"/>
        <w:rPr>
          <w:lang w:val="en-AU"/>
        </w:rPr>
      </w:pPr>
    </w:p>
    <w:p w14:paraId="036D3D92" w14:textId="09587FA9" w:rsidR="00D7566E" w:rsidRPr="00CE2F22" w:rsidRDefault="00D7566E" w:rsidP="00D7566E">
      <w:pPr>
        <w:pStyle w:val="IntenseQuote"/>
      </w:pPr>
      <w:r w:rsidRPr="00CE2F22">
        <w:t>For migrant or refugee, and even Aboriginal communities, we need to fight the idea that our people are ‘more violent.’ We just feel this need to protect our people! We definitely need more culturally connected care.</w:t>
      </w:r>
    </w:p>
    <w:p w14:paraId="788B9E3C" w14:textId="77777777" w:rsidR="00D7566E" w:rsidRPr="00CE2F22" w:rsidRDefault="00D7566E" w:rsidP="00D7566E">
      <w:pPr>
        <w:pStyle w:val="BodyText"/>
        <w:rPr>
          <w:lang w:val="en-AU"/>
        </w:rPr>
      </w:pPr>
      <w:r w:rsidRPr="00CE2F22">
        <w:rPr>
          <w:lang w:val="en-AU"/>
        </w:rPr>
        <w:t>Forum participants built on this idea, highlighting the need for service providers to have a better understanding of the role of CALD families in situations of gender-based violence and the need to build service understanding of different cultural interpretations of violence.</w:t>
      </w:r>
    </w:p>
    <w:p w14:paraId="45CB651E" w14:textId="77777777" w:rsidR="00D7566E" w:rsidRPr="00CE2F22" w:rsidRDefault="00D7566E" w:rsidP="00D7566E">
      <w:pPr>
        <w:pStyle w:val="BodyText"/>
        <w:rPr>
          <w:lang w:val="en-AU"/>
        </w:rPr>
      </w:pPr>
    </w:p>
    <w:p w14:paraId="281A0A41" w14:textId="462CEB73" w:rsidR="00D7566E" w:rsidRPr="00CE2F22" w:rsidRDefault="00D7566E" w:rsidP="00D7566E">
      <w:pPr>
        <w:pStyle w:val="BodyText"/>
        <w:rPr>
          <w:lang w:val="en-AU"/>
        </w:rPr>
      </w:pPr>
      <w:r w:rsidRPr="00CE2F22">
        <w:rPr>
          <w:lang w:val="en-AU"/>
        </w:rPr>
        <w:t>Discussion highlighted that young victim-survivors, particularly from CALD backgrounds, desire services that assist with individual healing by simultaneously engaging the victim-survivor’s families and communities. Participants indicated that this engagement would help to develop better collective understandings of the drivers of gender-based violence and assist individuals and communities to collectively heal alongside cultural practices.</w:t>
      </w:r>
    </w:p>
    <w:p w14:paraId="4451791D" w14:textId="04A01B51" w:rsidR="00D7566E" w:rsidRPr="00CE2F22" w:rsidRDefault="00D7566E" w:rsidP="00D7566E">
      <w:pPr>
        <w:pStyle w:val="BodyText"/>
        <w:rPr>
          <w:lang w:val="en-AU"/>
        </w:rPr>
      </w:pPr>
    </w:p>
    <w:p w14:paraId="0D44945F" w14:textId="670DF6D6" w:rsidR="00D7566E" w:rsidRPr="00CE2F22" w:rsidRDefault="00D7566E" w:rsidP="00D7566E">
      <w:pPr>
        <w:pStyle w:val="IntenseQuote"/>
      </w:pPr>
      <w:r w:rsidRPr="00CE2F22">
        <w:t>LGBTQIA+ partner violence resources are hard to find. All domestic violence information is almost exclusively heteronormative and irrelevant/impractical in regard to my experiences.</w:t>
      </w:r>
    </w:p>
    <w:p w14:paraId="2E6493CF" w14:textId="405C66F0" w:rsidR="00D7566E" w:rsidRPr="00CE2F22" w:rsidRDefault="00D7566E" w:rsidP="00D7566E">
      <w:pPr>
        <w:pStyle w:val="BodyText"/>
        <w:rPr>
          <w:lang w:val="en-AU"/>
        </w:rPr>
      </w:pPr>
      <w:r w:rsidRPr="00CE2F22">
        <w:rPr>
          <w:lang w:val="en-AU"/>
        </w:rPr>
        <w:t>Many respondents also highlighted the need for more queer inclusive practice surrounding intimate partner violence. Another respondent described her experience with a faith-based domestic violence service as ‘very uncomfortable’ after disclosing to the case worker that she identified as queer.</w:t>
      </w:r>
    </w:p>
    <w:p w14:paraId="33E5CA59" w14:textId="77777777" w:rsidR="00D7566E" w:rsidRPr="00CE2F22" w:rsidRDefault="00D7566E" w:rsidP="00D7566E">
      <w:pPr>
        <w:pStyle w:val="BodyText"/>
        <w:rPr>
          <w:lang w:val="en-AU"/>
        </w:rPr>
      </w:pPr>
    </w:p>
    <w:p w14:paraId="1DC365AF" w14:textId="43C9D948" w:rsidR="00D7566E" w:rsidRPr="00CE2F22" w:rsidRDefault="00D7566E" w:rsidP="00D7566E">
      <w:pPr>
        <w:pStyle w:val="BodyText"/>
        <w:rPr>
          <w:lang w:val="en-AU"/>
        </w:rPr>
      </w:pPr>
      <w:r w:rsidRPr="00CE2F22">
        <w:rPr>
          <w:lang w:val="en-AU"/>
        </w:rPr>
        <w:t>Further, respondents with disability highlighted the importance of services that work through a social, rather than a medical, model of disability. In drawing on the social model of disability—one that recognises individuals as disabled by environments filled with physical, attitudinal, communication and social barriers—support services are likely to be much more accessible and accepting of victim- survivors with disability.</w:t>
      </w:r>
    </w:p>
    <w:p w14:paraId="31A16A3C" w14:textId="187559CA" w:rsidR="00484A62" w:rsidRPr="00CE2F22" w:rsidRDefault="00484A62" w:rsidP="00D7566E">
      <w:pPr>
        <w:pStyle w:val="BodyText"/>
        <w:rPr>
          <w:lang w:val="en-AU"/>
        </w:rPr>
      </w:pPr>
    </w:p>
    <w:p w14:paraId="1B821892" w14:textId="77777777" w:rsidR="00484A62" w:rsidRPr="00CE2F22" w:rsidRDefault="00484A62" w:rsidP="00484A62">
      <w:pPr>
        <w:pStyle w:val="BodyText"/>
        <w:rPr>
          <w:lang w:val="en-AU"/>
        </w:rPr>
      </w:pPr>
      <w:r w:rsidRPr="00CE2F22">
        <w:rPr>
          <w:lang w:val="en-AU"/>
        </w:rPr>
        <w:t>Lastly, survey respondents highlighted the importance of having young staff to lead the design, implementation and evaluation of young-people specific programs and services. They highlighted that young victim-survivors need decision making power in designing these services to be tailored to their unique needs, and that these individuals must be paid for their assistance and input.</w:t>
      </w:r>
    </w:p>
    <w:p w14:paraId="0C4273DB" w14:textId="77777777" w:rsidR="00484A62" w:rsidRPr="00CE2F22" w:rsidRDefault="00484A62" w:rsidP="00484A62">
      <w:pPr>
        <w:pStyle w:val="BodyText"/>
        <w:rPr>
          <w:lang w:val="en-AU"/>
        </w:rPr>
      </w:pPr>
    </w:p>
    <w:p w14:paraId="26234E84" w14:textId="6211B05A" w:rsidR="00484A62" w:rsidRPr="00CE2F22" w:rsidRDefault="00484A62" w:rsidP="00484A62">
      <w:pPr>
        <w:pStyle w:val="BodyText"/>
        <w:rPr>
          <w:lang w:val="en-AU"/>
        </w:rPr>
      </w:pPr>
      <w:r w:rsidRPr="00CE2F22">
        <w:rPr>
          <w:lang w:val="en-AU"/>
        </w:rPr>
        <w:t>At the same time, many respondents highlighted that—although it is important for young people with lived experience to lead programs, policies</w:t>
      </w:r>
      <w:r w:rsidR="00987D44">
        <w:rPr>
          <w:lang w:val="en-AU"/>
        </w:rPr>
        <w:t>,</w:t>
      </w:r>
      <w:r w:rsidRPr="00CE2F22">
        <w:rPr>
          <w:lang w:val="en-AU"/>
        </w:rPr>
        <w:t xml:space="preserve"> and service design—the burden of improving services, women’s and non-binary people’s safety and gender equity more broadly, should not fall completely on the shoulders of young victim-survivors.</w:t>
      </w:r>
    </w:p>
    <w:p w14:paraId="40602730" w14:textId="77777777" w:rsidR="00484A62" w:rsidRPr="00CE2F22" w:rsidRDefault="00484A62" w:rsidP="00484A62">
      <w:pPr>
        <w:pStyle w:val="BodyText"/>
        <w:rPr>
          <w:lang w:val="en-AU"/>
        </w:rPr>
      </w:pPr>
    </w:p>
    <w:p w14:paraId="3387D481" w14:textId="77777777" w:rsidR="00484A62" w:rsidRPr="00CE2F22" w:rsidRDefault="00484A62" w:rsidP="00484A62">
      <w:pPr>
        <w:pStyle w:val="BodyText"/>
        <w:rPr>
          <w:lang w:val="en-AU"/>
        </w:rPr>
      </w:pPr>
      <w:r w:rsidRPr="00CE2F22">
        <w:rPr>
          <w:lang w:val="en-AU"/>
        </w:rPr>
        <w:t>This tension indicates that while these programs should be led by young people with lived experience, these women and non-binary people must be financially compensated and supported by a whole of community approach to addressing barriers.</w:t>
      </w:r>
    </w:p>
    <w:p w14:paraId="7CF01554" w14:textId="77777777" w:rsidR="00484A62" w:rsidRPr="00CE2F22" w:rsidRDefault="00484A62" w:rsidP="00484A62">
      <w:pPr>
        <w:pStyle w:val="BodyText"/>
        <w:rPr>
          <w:lang w:val="en-AU"/>
        </w:rPr>
      </w:pPr>
    </w:p>
    <w:p w14:paraId="216F27C3" w14:textId="6C6357F2" w:rsidR="00484A62" w:rsidRPr="00CE2F22" w:rsidRDefault="00484A62" w:rsidP="00484A62">
      <w:pPr>
        <w:pStyle w:val="Heading4"/>
      </w:pPr>
      <w:r w:rsidRPr="00CE2F22">
        <w:t>Trauma-informed practice</w:t>
      </w:r>
    </w:p>
    <w:p w14:paraId="3A31D261" w14:textId="77777777" w:rsidR="00484A62" w:rsidRPr="00CE2F22" w:rsidRDefault="00484A62" w:rsidP="00484A62">
      <w:pPr>
        <w:pStyle w:val="BodyText"/>
        <w:rPr>
          <w:lang w:val="en-AU"/>
        </w:rPr>
      </w:pPr>
    </w:p>
    <w:p w14:paraId="1C01C960" w14:textId="03FACD86" w:rsidR="00484A62" w:rsidRPr="00CE2F22" w:rsidRDefault="00484A62" w:rsidP="00484A62">
      <w:pPr>
        <w:pStyle w:val="BodyText"/>
        <w:rPr>
          <w:lang w:val="en-AU"/>
        </w:rPr>
      </w:pPr>
      <w:r w:rsidRPr="00CE2F22">
        <w:rPr>
          <w:lang w:val="en-AU"/>
        </w:rPr>
        <w:t>Respondents throughout the survey indicated that not enough services and support staff employ trauma informed and strengths-based practice. Poorly informed advice has significant potential to expose the victim-survivor to re-traumatisation and continued violence. It may also</w:t>
      </w:r>
      <w:r w:rsidR="00987D44">
        <w:rPr>
          <w:lang w:val="en-AU"/>
        </w:rPr>
        <w:t xml:space="preserve"> </w:t>
      </w:r>
      <w:r w:rsidRPr="00CE2F22">
        <w:rPr>
          <w:lang w:val="en-AU"/>
        </w:rPr>
        <w:t>imply a lack of belief in the victim-</w:t>
      </w:r>
      <w:r w:rsidR="00987D44" w:rsidRPr="00CE2F22">
        <w:rPr>
          <w:lang w:val="en-AU"/>
        </w:rPr>
        <w:t>survivor and</w:t>
      </w:r>
      <w:r w:rsidRPr="00CE2F22">
        <w:rPr>
          <w:lang w:val="en-AU"/>
        </w:rPr>
        <w:t xml:space="preserve"> convey victim-blaming attitudes that place young victim-survivors in more danger of violence, trauma, and abuse.</w:t>
      </w:r>
    </w:p>
    <w:p w14:paraId="730F19FD" w14:textId="77777777" w:rsidR="00484A62" w:rsidRPr="00CE2F22" w:rsidRDefault="00484A62" w:rsidP="00484A62">
      <w:pPr>
        <w:pStyle w:val="BodyText"/>
        <w:rPr>
          <w:lang w:val="en-AU"/>
        </w:rPr>
      </w:pPr>
    </w:p>
    <w:p w14:paraId="690253A0" w14:textId="2564E20B" w:rsidR="00484A62" w:rsidRPr="00CE2F22" w:rsidRDefault="00484A62" w:rsidP="00484A62">
      <w:pPr>
        <w:pStyle w:val="BodyText"/>
        <w:rPr>
          <w:lang w:val="en-AU"/>
        </w:rPr>
      </w:pPr>
      <w:r w:rsidRPr="00CE2F22">
        <w:rPr>
          <w:lang w:val="en-AU"/>
        </w:rPr>
        <w:t>Discussion during the forum also highlighted that there is an urgent need to increase trauma informed training for all staff in services and institutions working with victim-survivors of gender-based violence.</w:t>
      </w:r>
    </w:p>
    <w:p w14:paraId="2A407F76" w14:textId="0766A5F1" w:rsidR="00484A62" w:rsidRPr="00CE2F22" w:rsidRDefault="00484A62" w:rsidP="00484A62">
      <w:pPr>
        <w:pStyle w:val="BodyText"/>
        <w:rPr>
          <w:lang w:val="en-AU"/>
        </w:rPr>
      </w:pPr>
    </w:p>
    <w:p w14:paraId="07F8BA63" w14:textId="788BC6EF" w:rsidR="00484A62" w:rsidRPr="00CE2F22" w:rsidRDefault="00484A62" w:rsidP="00484A62">
      <w:pPr>
        <w:pStyle w:val="IntenseQuote"/>
      </w:pPr>
      <w:r w:rsidRPr="00CE2F22">
        <w:t>One counsellor told me I needed to discuss my rape with my abuser and hear his side of the story.</w:t>
      </w:r>
    </w:p>
    <w:p w14:paraId="6565D4BC" w14:textId="030DC7AE" w:rsidR="00484A62" w:rsidRPr="00CE2F22" w:rsidRDefault="00484A62" w:rsidP="00484A62">
      <w:pPr>
        <w:pStyle w:val="Heading4"/>
      </w:pPr>
      <w:r w:rsidRPr="00CE2F22">
        <w:t>More long-term funding for specialist women’s services</w:t>
      </w:r>
    </w:p>
    <w:p w14:paraId="42B2137C" w14:textId="77777777" w:rsidR="00484A62" w:rsidRPr="00CE2F22" w:rsidRDefault="00484A62" w:rsidP="00484A62"/>
    <w:p w14:paraId="0E9F1C7F" w14:textId="10E8A28C" w:rsidR="00484A62" w:rsidRPr="00CE2F22" w:rsidRDefault="00484A62" w:rsidP="00484A62">
      <w:pPr>
        <w:pStyle w:val="BodyText"/>
        <w:rPr>
          <w:lang w:val="en-AU"/>
        </w:rPr>
      </w:pPr>
      <w:r w:rsidRPr="00CE2F22">
        <w:rPr>
          <w:lang w:val="en-AU"/>
        </w:rPr>
        <w:t>Forum participants highlighted the need for more long-term funding for specialist women’s services. Many participants noted that support services are operating drastically under capacity, resulting in long wait times for housing, counselling</w:t>
      </w:r>
      <w:r w:rsidR="00987D44">
        <w:rPr>
          <w:lang w:val="en-AU"/>
        </w:rPr>
        <w:t>,</w:t>
      </w:r>
      <w:r w:rsidRPr="00CE2F22">
        <w:rPr>
          <w:lang w:val="en-AU"/>
        </w:rPr>
        <w:t xml:space="preserve"> and justice. Confirming this, one young victim-survivor during the forum indicated that mental health services are so oversubscribed that they won’t help individuals unless they are ‘about to harm themselves’.</w:t>
      </w:r>
    </w:p>
    <w:p w14:paraId="239D6471" w14:textId="77777777" w:rsidR="00484A62" w:rsidRPr="00CE2F22" w:rsidRDefault="00484A62" w:rsidP="00484A62">
      <w:pPr>
        <w:pStyle w:val="BodyText"/>
        <w:rPr>
          <w:lang w:val="en-AU"/>
        </w:rPr>
      </w:pPr>
    </w:p>
    <w:p w14:paraId="0914F2B5" w14:textId="68231133" w:rsidR="00484A62" w:rsidRPr="00CE2F22" w:rsidRDefault="00484A62" w:rsidP="00484A62">
      <w:pPr>
        <w:pStyle w:val="BodyText"/>
        <w:rPr>
          <w:lang w:val="en-AU"/>
        </w:rPr>
      </w:pPr>
      <w:r w:rsidRPr="00CE2F22">
        <w:rPr>
          <w:lang w:val="en-AU"/>
        </w:rPr>
        <w:t>Young victim-survivors recommended more funding towards developing ‘check-in’ services – where, after attending a support service, staff check in to see how victim-survivors are doing a few months after their support officially ends.</w:t>
      </w:r>
    </w:p>
    <w:p w14:paraId="2457BCAD" w14:textId="77777777" w:rsidR="00484A62" w:rsidRPr="00CE2F22" w:rsidRDefault="00484A62" w:rsidP="00484A62">
      <w:pPr>
        <w:pStyle w:val="BodyText"/>
        <w:rPr>
          <w:lang w:val="en-AU"/>
        </w:rPr>
      </w:pPr>
    </w:p>
    <w:p w14:paraId="255BC04D" w14:textId="47B07C7F" w:rsidR="00484A62" w:rsidRPr="00CE2F22" w:rsidRDefault="00484A62" w:rsidP="00484A62">
      <w:pPr>
        <w:pStyle w:val="BodyText"/>
        <w:rPr>
          <w:lang w:val="en-AU"/>
        </w:rPr>
      </w:pPr>
      <w:r w:rsidRPr="00CE2F22">
        <w:rPr>
          <w:lang w:val="en-AU"/>
        </w:rPr>
        <w:t>Overall young victim-survivors highlighted the need for improved funding towards safe, affordable</w:t>
      </w:r>
      <w:r w:rsidR="00987D44">
        <w:rPr>
          <w:lang w:val="en-AU"/>
        </w:rPr>
        <w:t>,</w:t>
      </w:r>
      <w:r w:rsidRPr="00CE2F22">
        <w:rPr>
          <w:lang w:val="en-AU"/>
        </w:rPr>
        <w:t xml:space="preserve"> and social housing, towards better staff training and to ensure support and reporting services are ‘made super available and visible everywhere, no matter your background’.</w:t>
      </w:r>
    </w:p>
    <w:p w14:paraId="77BC5EAD" w14:textId="77777777" w:rsidR="00484A62" w:rsidRPr="00CE2F22" w:rsidRDefault="00484A62">
      <w:pPr>
        <w:spacing w:after="200" w:line="276" w:lineRule="auto"/>
        <w:rPr>
          <w:rFonts w:ascii="Open Sans" w:eastAsia="Open Sans" w:hAnsi="Open Sans" w:cs="Open Sans"/>
          <w:sz w:val="20"/>
          <w:szCs w:val="20"/>
        </w:rPr>
      </w:pPr>
      <w:r w:rsidRPr="00CE2F22">
        <w:br w:type="page"/>
      </w:r>
    </w:p>
    <w:p w14:paraId="4ADA0C6C" w14:textId="0C4E02B1" w:rsidR="00484A62" w:rsidRPr="009A5B8A" w:rsidRDefault="00484A62" w:rsidP="009A5B8A">
      <w:pPr>
        <w:pStyle w:val="Heading1"/>
      </w:pPr>
      <w:bookmarkStart w:id="79" w:name="_Toc96092094"/>
      <w:r w:rsidRPr="009A5B8A">
        <w:t>PRIMARY PREVENTION</w:t>
      </w:r>
      <w:bookmarkEnd w:id="79"/>
    </w:p>
    <w:p w14:paraId="18311EE2" w14:textId="266AFF94" w:rsidR="005D3146" w:rsidRPr="009A5B8A" w:rsidRDefault="005D3146" w:rsidP="009A5B8A">
      <w:pPr>
        <w:pStyle w:val="Heading2"/>
      </w:pPr>
      <w:bookmarkStart w:id="80" w:name="_Toc96092095"/>
      <w:r w:rsidRPr="009A5B8A">
        <w:t>What is primary prevention?</w:t>
      </w:r>
      <w:bookmarkEnd w:id="80"/>
    </w:p>
    <w:p w14:paraId="71DBA941" w14:textId="77777777" w:rsidR="005D3146" w:rsidRPr="00CE2F22" w:rsidRDefault="005D3146" w:rsidP="005D3146"/>
    <w:p w14:paraId="0B2FD913" w14:textId="27DFCFC0" w:rsidR="005D3146" w:rsidRPr="00CE2F22" w:rsidRDefault="005D3146" w:rsidP="005D3146">
      <w:pPr>
        <w:pStyle w:val="BodyText"/>
        <w:rPr>
          <w:lang w:val="en-AU"/>
        </w:rPr>
      </w:pPr>
      <w:r w:rsidRPr="00CE2F22">
        <w:rPr>
          <w:lang w:val="en-AU"/>
        </w:rPr>
        <w:t>Primary prevention includes any efforts to prevent violence before it happens. Primary prevention is integral for ending gender-based violence (GBV) and focusses on targeting the main gendered drivers of violence against women. (See figure 5.1.)</w:t>
      </w:r>
    </w:p>
    <w:p w14:paraId="4F1DBDF3" w14:textId="430CE82C" w:rsidR="005D3146" w:rsidRPr="00CE2F22" w:rsidRDefault="005D3146" w:rsidP="005D3146">
      <w:pPr>
        <w:pStyle w:val="BodyText"/>
        <w:rPr>
          <w:b/>
          <w:bCs/>
          <w:lang w:val="en-AU"/>
        </w:rPr>
      </w:pPr>
    </w:p>
    <w:tbl>
      <w:tblPr>
        <w:tblStyle w:val="TableGrid"/>
        <w:tblW w:w="9635" w:type="dxa"/>
        <w:tblLook w:val="04A0" w:firstRow="1" w:lastRow="0" w:firstColumn="1" w:lastColumn="0" w:noHBand="0" w:noVBand="1"/>
      </w:tblPr>
      <w:tblGrid>
        <w:gridCol w:w="1838"/>
        <w:gridCol w:w="2977"/>
        <w:gridCol w:w="1985"/>
        <w:gridCol w:w="2835"/>
      </w:tblGrid>
      <w:tr w:rsidR="00E24BF7" w:rsidRPr="00CE2F22" w14:paraId="4DC3E6B5" w14:textId="77777777" w:rsidTr="00970971">
        <w:tc>
          <w:tcPr>
            <w:tcW w:w="9635" w:type="dxa"/>
            <w:gridSpan w:val="4"/>
          </w:tcPr>
          <w:p w14:paraId="608AF41D" w14:textId="57B34F60" w:rsidR="00E24BF7" w:rsidRPr="00CE2F22" w:rsidRDefault="00E24BF7" w:rsidP="00E24BF7">
            <w:pPr>
              <w:pStyle w:val="BodyText"/>
              <w:rPr>
                <w:lang w:val="en-AU"/>
              </w:rPr>
            </w:pPr>
            <w:r w:rsidRPr="00CE2F22">
              <w:rPr>
                <w:b/>
                <w:bCs/>
                <w:lang w:val="en-AU"/>
              </w:rPr>
              <w:t>Figure 5.1: Drivers of and preventing Gender-Based Violence (GBV)</w:t>
            </w:r>
          </w:p>
        </w:tc>
      </w:tr>
      <w:tr w:rsidR="00E24BF7" w:rsidRPr="00CE2F22" w14:paraId="10B2B02C" w14:textId="77777777" w:rsidTr="00E24BF7">
        <w:tc>
          <w:tcPr>
            <w:tcW w:w="1838" w:type="dxa"/>
          </w:tcPr>
          <w:p w14:paraId="3EBAC8FD" w14:textId="3E4B4901" w:rsidR="00E24BF7" w:rsidRPr="00CE2F22" w:rsidRDefault="00E24BF7" w:rsidP="00E24BF7">
            <w:pPr>
              <w:pStyle w:val="BodyText"/>
              <w:rPr>
                <w:b/>
                <w:bCs/>
                <w:lang w:val="en-AU"/>
              </w:rPr>
            </w:pPr>
            <w:r w:rsidRPr="00CE2F22">
              <w:rPr>
                <w:b/>
                <w:bCs/>
                <w:lang w:val="en-AU"/>
              </w:rPr>
              <w:t>DRIVER</w:t>
            </w:r>
            <w:r>
              <w:rPr>
                <w:b/>
                <w:bCs/>
                <w:lang w:val="en-AU"/>
              </w:rPr>
              <w:t xml:space="preserve"> 1</w:t>
            </w:r>
            <w:r w:rsidRPr="00CE2F22">
              <w:rPr>
                <w:b/>
                <w:bCs/>
                <w:lang w:val="en-AU"/>
              </w:rPr>
              <w:t xml:space="preserve"> OF GBV</w:t>
            </w:r>
          </w:p>
        </w:tc>
        <w:tc>
          <w:tcPr>
            <w:tcW w:w="2977" w:type="dxa"/>
          </w:tcPr>
          <w:p w14:paraId="429713BC" w14:textId="3E4BFC23" w:rsidR="00E24BF7" w:rsidRPr="00CE2F22" w:rsidRDefault="00E24BF7" w:rsidP="00E24BF7">
            <w:pPr>
              <w:pStyle w:val="BodyText"/>
              <w:rPr>
                <w:lang w:val="en-AU"/>
              </w:rPr>
            </w:pPr>
            <w:r w:rsidRPr="00CE2F22">
              <w:rPr>
                <w:lang w:val="en-AU"/>
              </w:rPr>
              <w:t>Condoning of violence against women</w:t>
            </w:r>
          </w:p>
        </w:tc>
        <w:tc>
          <w:tcPr>
            <w:tcW w:w="1985" w:type="dxa"/>
          </w:tcPr>
          <w:p w14:paraId="240553CD" w14:textId="00AEE13E" w:rsidR="00E24BF7" w:rsidRPr="00CE2F22" w:rsidRDefault="00E24BF7" w:rsidP="00E24BF7">
            <w:pPr>
              <w:pStyle w:val="BodyText"/>
              <w:rPr>
                <w:lang w:val="en-AU"/>
              </w:rPr>
            </w:pPr>
            <w:r w:rsidRPr="00CE2F22">
              <w:rPr>
                <w:b/>
                <w:bCs/>
                <w:lang w:val="en-AU"/>
              </w:rPr>
              <w:t>PREVENTING</w:t>
            </w:r>
            <w:r>
              <w:rPr>
                <w:b/>
                <w:bCs/>
                <w:lang w:val="en-AU"/>
              </w:rPr>
              <w:t xml:space="preserve"> </w:t>
            </w:r>
            <w:r w:rsidRPr="00CE2F22">
              <w:rPr>
                <w:b/>
                <w:bCs/>
                <w:lang w:val="en-AU"/>
              </w:rPr>
              <w:t>DRIVER</w:t>
            </w:r>
            <w:r>
              <w:rPr>
                <w:b/>
                <w:bCs/>
                <w:lang w:val="en-AU"/>
              </w:rPr>
              <w:t xml:space="preserve"> 1</w:t>
            </w:r>
            <w:r w:rsidRPr="00CE2F22">
              <w:rPr>
                <w:b/>
                <w:bCs/>
                <w:lang w:val="en-AU"/>
              </w:rPr>
              <w:t xml:space="preserve"> OF GBV</w:t>
            </w:r>
          </w:p>
        </w:tc>
        <w:tc>
          <w:tcPr>
            <w:tcW w:w="2835" w:type="dxa"/>
          </w:tcPr>
          <w:p w14:paraId="38DCFBBF" w14:textId="73B28E2D" w:rsidR="00E24BF7" w:rsidRPr="00CE2F22" w:rsidRDefault="00E24BF7" w:rsidP="00E24BF7">
            <w:pPr>
              <w:pStyle w:val="BodyText"/>
              <w:rPr>
                <w:lang w:val="en-AU"/>
              </w:rPr>
            </w:pPr>
            <w:r w:rsidRPr="00CE2F22">
              <w:rPr>
                <w:lang w:val="en-AU"/>
              </w:rPr>
              <w:t>Challenging violence condoning attitudes</w:t>
            </w:r>
          </w:p>
        </w:tc>
      </w:tr>
      <w:tr w:rsidR="00E24BF7" w:rsidRPr="00CE2F22" w14:paraId="76B82929" w14:textId="77777777" w:rsidTr="00E24BF7">
        <w:tc>
          <w:tcPr>
            <w:tcW w:w="1838" w:type="dxa"/>
          </w:tcPr>
          <w:p w14:paraId="60A83B47" w14:textId="64925C1C" w:rsidR="00E24BF7" w:rsidRPr="00CE2F22" w:rsidRDefault="00E24BF7" w:rsidP="00E24BF7">
            <w:pPr>
              <w:pStyle w:val="BodyText"/>
              <w:rPr>
                <w:b/>
                <w:bCs/>
                <w:lang w:val="en-AU"/>
              </w:rPr>
            </w:pPr>
            <w:r w:rsidRPr="00BC65A3">
              <w:rPr>
                <w:b/>
                <w:bCs/>
                <w:lang w:val="en-AU"/>
              </w:rPr>
              <w:t>DRIVER</w:t>
            </w:r>
            <w:r>
              <w:rPr>
                <w:b/>
                <w:bCs/>
                <w:lang w:val="en-AU"/>
              </w:rPr>
              <w:t xml:space="preserve"> 2 </w:t>
            </w:r>
            <w:r w:rsidRPr="00BC65A3">
              <w:rPr>
                <w:b/>
                <w:bCs/>
                <w:lang w:val="en-AU"/>
              </w:rPr>
              <w:t>OF GBV</w:t>
            </w:r>
          </w:p>
        </w:tc>
        <w:tc>
          <w:tcPr>
            <w:tcW w:w="2977" w:type="dxa"/>
          </w:tcPr>
          <w:p w14:paraId="26BB4CD3" w14:textId="7881E775" w:rsidR="00E24BF7" w:rsidRPr="00CE2F22" w:rsidRDefault="00E24BF7" w:rsidP="00E24BF7">
            <w:pPr>
              <w:pStyle w:val="BodyText"/>
              <w:rPr>
                <w:lang w:val="en-AU"/>
              </w:rPr>
            </w:pPr>
            <w:r w:rsidRPr="00CE2F22">
              <w:rPr>
                <w:lang w:val="en-AU"/>
              </w:rPr>
              <w:t>Men’s control over decision-making and limits to women’s independence in public and private life</w:t>
            </w:r>
          </w:p>
        </w:tc>
        <w:tc>
          <w:tcPr>
            <w:tcW w:w="1985" w:type="dxa"/>
          </w:tcPr>
          <w:p w14:paraId="14E5C58C" w14:textId="2F9F016B" w:rsidR="00E24BF7" w:rsidRPr="00CE2F22" w:rsidRDefault="00E24BF7" w:rsidP="00E24BF7">
            <w:pPr>
              <w:pStyle w:val="BodyText"/>
              <w:rPr>
                <w:lang w:val="en-AU"/>
              </w:rPr>
            </w:pPr>
            <w:r w:rsidRPr="00CE2F22">
              <w:rPr>
                <w:b/>
                <w:bCs/>
                <w:lang w:val="en-AU"/>
              </w:rPr>
              <w:t>PREVENTING</w:t>
            </w:r>
            <w:r w:rsidRPr="00BC65A3">
              <w:rPr>
                <w:b/>
                <w:bCs/>
                <w:lang w:val="en-AU"/>
              </w:rPr>
              <w:t xml:space="preserve"> DRIVER</w:t>
            </w:r>
            <w:r>
              <w:rPr>
                <w:b/>
                <w:bCs/>
                <w:lang w:val="en-AU"/>
              </w:rPr>
              <w:t xml:space="preserve"> 2 </w:t>
            </w:r>
            <w:r w:rsidRPr="00BC65A3">
              <w:rPr>
                <w:b/>
                <w:bCs/>
                <w:lang w:val="en-AU"/>
              </w:rPr>
              <w:t>OF GBV</w:t>
            </w:r>
          </w:p>
        </w:tc>
        <w:tc>
          <w:tcPr>
            <w:tcW w:w="2835" w:type="dxa"/>
          </w:tcPr>
          <w:p w14:paraId="7A7F0A39" w14:textId="7B6CB842" w:rsidR="00E24BF7" w:rsidRPr="00CE2F22" w:rsidRDefault="00E24BF7" w:rsidP="00E24BF7">
            <w:pPr>
              <w:pStyle w:val="BodyText"/>
              <w:rPr>
                <w:lang w:val="en-AU"/>
              </w:rPr>
            </w:pPr>
            <w:r w:rsidRPr="00CE2F22">
              <w:rPr>
                <w:lang w:val="en-AU"/>
              </w:rPr>
              <w:t>Boosting women’s economic, social, and political independence and leadership opportunities</w:t>
            </w:r>
          </w:p>
        </w:tc>
      </w:tr>
      <w:tr w:rsidR="00E24BF7" w:rsidRPr="00CE2F22" w14:paraId="368B6191" w14:textId="77777777" w:rsidTr="00E24BF7">
        <w:tc>
          <w:tcPr>
            <w:tcW w:w="1838" w:type="dxa"/>
          </w:tcPr>
          <w:p w14:paraId="0F590C91" w14:textId="020634DA" w:rsidR="00E24BF7" w:rsidRPr="00CE2F22" w:rsidRDefault="00E24BF7" w:rsidP="00E24BF7">
            <w:pPr>
              <w:pStyle w:val="BodyText"/>
              <w:rPr>
                <w:b/>
                <w:bCs/>
                <w:lang w:val="en-AU"/>
              </w:rPr>
            </w:pPr>
            <w:r w:rsidRPr="00BC65A3">
              <w:rPr>
                <w:b/>
                <w:bCs/>
                <w:lang w:val="en-AU"/>
              </w:rPr>
              <w:t>DRIVER</w:t>
            </w:r>
            <w:r>
              <w:rPr>
                <w:b/>
                <w:bCs/>
                <w:lang w:val="en-AU"/>
              </w:rPr>
              <w:t xml:space="preserve"> 3 </w:t>
            </w:r>
            <w:r w:rsidRPr="00BC65A3">
              <w:rPr>
                <w:b/>
                <w:bCs/>
                <w:lang w:val="en-AU"/>
              </w:rPr>
              <w:t>OF GBV</w:t>
            </w:r>
          </w:p>
        </w:tc>
        <w:tc>
          <w:tcPr>
            <w:tcW w:w="2977" w:type="dxa"/>
          </w:tcPr>
          <w:p w14:paraId="0AB1063B" w14:textId="2CD0C191" w:rsidR="00E24BF7" w:rsidRPr="00CE2F22" w:rsidRDefault="00E24BF7" w:rsidP="00E24BF7">
            <w:pPr>
              <w:pStyle w:val="BodyText"/>
              <w:rPr>
                <w:lang w:val="en-AU"/>
              </w:rPr>
            </w:pPr>
            <w:r w:rsidRPr="00CE2F22">
              <w:rPr>
                <w:lang w:val="en-AU"/>
              </w:rPr>
              <w:t>Rigid gender roles and stereotypical construction of masculinity and femininity</w:t>
            </w:r>
          </w:p>
        </w:tc>
        <w:tc>
          <w:tcPr>
            <w:tcW w:w="1985" w:type="dxa"/>
          </w:tcPr>
          <w:p w14:paraId="7ED6F752" w14:textId="6F290813" w:rsidR="00E24BF7" w:rsidRPr="00CE2F22" w:rsidRDefault="00E24BF7" w:rsidP="00E24BF7">
            <w:pPr>
              <w:pStyle w:val="BodyText"/>
              <w:rPr>
                <w:lang w:val="en-AU"/>
              </w:rPr>
            </w:pPr>
            <w:r w:rsidRPr="00CE2F22">
              <w:rPr>
                <w:b/>
                <w:bCs/>
                <w:lang w:val="en-AU"/>
              </w:rPr>
              <w:t xml:space="preserve">PREVENTING </w:t>
            </w:r>
            <w:r w:rsidRPr="00BC65A3">
              <w:rPr>
                <w:b/>
                <w:bCs/>
                <w:lang w:val="en-AU"/>
              </w:rPr>
              <w:t>DRIVER</w:t>
            </w:r>
            <w:r>
              <w:rPr>
                <w:b/>
                <w:bCs/>
                <w:lang w:val="en-AU"/>
              </w:rPr>
              <w:t xml:space="preserve"> 3 </w:t>
            </w:r>
            <w:r w:rsidRPr="00BC65A3">
              <w:rPr>
                <w:b/>
                <w:bCs/>
                <w:lang w:val="en-AU"/>
              </w:rPr>
              <w:t>OF GBV</w:t>
            </w:r>
          </w:p>
        </w:tc>
        <w:tc>
          <w:tcPr>
            <w:tcW w:w="2835" w:type="dxa"/>
          </w:tcPr>
          <w:p w14:paraId="4448C3C6" w14:textId="4DD85237" w:rsidR="00E24BF7" w:rsidRPr="00CE2F22" w:rsidRDefault="00E24BF7" w:rsidP="00E24BF7">
            <w:pPr>
              <w:pStyle w:val="BodyText"/>
              <w:rPr>
                <w:lang w:val="en-AU"/>
              </w:rPr>
            </w:pPr>
            <w:r w:rsidRPr="00CE2F22">
              <w:rPr>
                <w:lang w:val="en-AU"/>
              </w:rPr>
              <w:t>Challenging constructed gender roles and identities</w:t>
            </w:r>
          </w:p>
        </w:tc>
      </w:tr>
      <w:tr w:rsidR="00E24BF7" w:rsidRPr="00CE2F22" w14:paraId="2568F5F2" w14:textId="77777777" w:rsidTr="00E24BF7">
        <w:trPr>
          <w:trHeight w:val="67"/>
        </w:trPr>
        <w:tc>
          <w:tcPr>
            <w:tcW w:w="1838" w:type="dxa"/>
          </w:tcPr>
          <w:p w14:paraId="5081396B" w14:textId="0503B216" w:rsidR="00E24BF7" w:rsidRPr="00CE2F22" w:rsidRDefault="00E24BF7" w:rsidP="00E24BF7">
            <w:pPr>
              <w:pStyle w:val="BodyText"/>
              <w:rPr>
                <w:b/>
                <w:bCs/>
                <w:lang w:val="en-AU"/>
              </w:rPr>
            </w:pPr>
            <w:r w:rsidRPr="00BC65A3">
              <w:rPr>
                <w:b/>
                <w:bCs/>
                <w:lang w:val="en-AU"/>
              </w:rPr>
              <w:t>DRIVER</w:t>
            </w:r>
            <w:r>
              <w:rPr>
                <w:b/>
                <w:bCs/>
                <w:lang w:val="en-AU"/>
              </w:rPr>
              <w:t xml:space="preserve"> 4</w:t>
            </w:r>
            <w:r w:rsidRPr="00BC65A3">
              <w:rPr>
                <w:b/>
                <w:bCs/>
                <w:lang w:val="en-AU"/>
              </w:rPr>
              <w:t xml:space="preserve"> OF GBV</w:t>
            </w:r>
          </w:p>
        </w:tc>
        <w:tc>
          <w:tcPr>
            <w:tcW w:w="2977" w:type="dxa"/>
          </w:tcPr>
          <w:p w14:paraId="23C82031" w14:textId="2063E83D" w:rsidR="00E24BF7" w:rsidRPr="00CE2F22" w:rsidRDefault="00E24BF7" w:rsidP="00E24BF7">
            <w:pPr>
              <w:pStyle w:val="BodyText"/>
              <w:rPr>
                <w:lang w:val="en-AU"/>
              </w:rPr>
            </w:pPr>
            <w:r w:rsidRPr="00CE2F22">
              <w:rPr>
                <w:lang w:val="en-AU"/>
              </w:rPr>
              <w:t>Male peer relations that emphasise aggression and disrespect towards women</w:t>
            </w:r>
          </w:p>
        </w:tc>
        <w:tc>
          <w:tcPr>
            <w:tcW w:w="1985" w:type="dxa"/>
          </w:tcPr>
          <w:p w14:paraId="47E29B74" w14:textId="21973393" w:rsidR="00E24BF7" w:rsidRPr="00CE2F22" w:rsidRDefault="00E24BF7" w:rsidP="00E24BF7">
            <w:pPr>
              <w:pStyle w:val="BodyText"/>
              <w:rPr>
                <w:lang w:val="en-AU"/>
              </w:rPr>
            </w:pPr>
            <w:r w:rsidRPr="00CE2F22">
              <w:rPr>
                <w:b/>
                <w:bCs/>
                <w:lang w:val="en-AU"/>
              </w:rPr>
              <w:t xml:space="preserve">PREVENTING </w:t>
            </w:r>
            <w:r w:rsidRPr="00BC65A3">
              <w:rPr>
                <w:b/>
                <w:bCs/>
                <w:lang w:val="en-AU"/>
              </w:rPr>
              <w:t>DRIVER</w:t>
            </w:r>
            <w:r>
              <w:rPr>
                <w:b/>
                <w:bCs/>
                <w:lang w:val="en-AU"/>
              </w:rPr>
              <w:t xml:space="preserve"> 4</w:t>
            </w:r>
            <w:r w:rsidRPr="00BC65A3">
              <w:rPr>
                <w:b/>
                <w:bCs/>
                <w:lang w:val="en-AU"/>
              </w:rPr>
              <w:t xml:space="preserve"> OF GBV</w:t>
            </w:r>
          </w:p>
        </w:tc>
        <w:tc>
          <w:tcPr>
            <w:tcW w:w="2835" w:type="dxa"/>
          </w:tcPr>
          <w:p w14:paraId="4F87BCF5" w14:textId="17DB01D9" w:rsidR="00E24BF7" w:rsidRPr="00CE2F22" w:rsidRDefault="00E24BF7" w:rsidP="00E24BF7">
            <w:pPr>
              <w:pStyle w:val="BodyText"/>
              <w:rPr>
                <w:lang w:val="en-AU"/>
              </w:rPr>
            </w:pPr>
            <w:r w:rsidRPr="00CE2F22">
              <w:rPr>
                <w:lang w:val="en-AU"/>
              </w:rPr>
              <w:t>Holding men accountable and challenging aggressive male peer relations</w:t>
            </w:r>
          </w:p>
        </w:tc>
      </w:tr>
    </w:tbl>
    <w:p w14:paraId="6133B21B" w14:textId="77777777" w:rsidR="005D3146" w:rsidRPr="00CE2F22" w:rsidRDefault="005D3146" w:rsidP="005D3146">
      <w:pPr>
        <w:pStyle w:val="BodyText"/>
        <w:rPr>
          <w:b/>
          <w:bCs/>
          <w:lang w:val="en-AU"/>
        </w:rPr>
      </w:pPr>
    </w:p>
    <w:p w14:paraId="727850BD" w14:textId="77777777" w:rsidR="006F5F6E" w:rsidRPr="00CE2F22" w:rsidRDefault="006F5F6E" w:rsidP="006F5F6E">
      <w:pPr>
        <w:pStyle w:val="Heading3"/>
      </w:pPr>
    </w:p>
    <w:p w14:paraId="5A9978E9" w14:textId="353FFA76" w:rsidR="005D3146" w:rsidRPr="00CE2F22" w:rsidRDefault="006F5F6E" w:rsidP="006F5F6E">
      <w:pPr>
        <w:pStyle w:val="Heading3"/>
      </w:pPr>
      <w:bookmarkStart w:id="81" w:name="_Toc96092096"/>
      <w:r w:rsidRPr="00CE2F22">
        <w:t>Core gendered driers of violence</w:t>
      </w:r>
      <w:bookmarkEnd w:id="81"/>
    </w:p>
    <w:p w14:paraId="7221C0BF" w14:textId="77777777" w:rsidR="006F5F6E" w:rsidRPr="00CE2F22" w:rsidRDefault="006F5F6E" w:rsidP="006F5F6E"/>
    <w:p w14:paraId="52752326" w14:textId="26EBB549" w:rsidR="006F5F6E" w:rsidRPr="00CE2F22" w:rsidRDefault="006F5F6E" w:rsidP="006F5F6E">
      <w:pPr>
        <w:pStyle w:val="BodyText"/>
        <w:rPr>
          <w:lang w:val="en-AU"/>
        </w:rPr>
      </w:pPr>
      <w:r w:rsidRPr="00CE2F22">
        <w:rPr>
          <w:lang w:val="en-AU"/>
        </w:rPr>
        <w:t>In order to successfully prevent violence before it happens, efforts must be implemented at an individual, community, institutional and societal level. The above model (see figure 5.2) has been taken from Our Watch’s Change the Story framework for preventing violence and highlights the presence of structures, norms and practices that contribute to violence at every level of society.</w:t>
      </w:r>
    </w:p>
    <w:p w14:paraId="3B966838" w14:textId="1428F6C0" w:rsidR="006F5F6E" w:rsidRPr="00CE2F22" w:rsidRDefault="006F5F6E" w:rsidP="006F5F6E">
      <w:pPr>
        <w:pStyle w:val="BodyText"/>
        <w:rPr>
          <w:lang w:val="en-AU"/>
        </w:rPr>
      </w:pPr>
    </w:p>
    <w:p w14:paraId="3F02E54D" w14:textId="58A4F159" w:rsidR="006F5F6E" w:rsidRPr="00CE2F22" w:rsidRDefault="006F5F6E" w:rsidP="006F5F6E">
      <w:pPr>
        <w:pStyle w:val="BodyText"/>
        <w:rPr>
          <w:lang w:val="en-AU"/>
        </w:rPr>
      </w:pPr>
      <w:r w:rsidRPr="00CE2F22">
        <w:rPr>
          <w:b/>
          <w:bCs/>
          <w:lang w:val="en-AU"/>
        </w:rPr>
        <w:t>Figure 5.2: Social ecological model</w:t>
      </w:r>
      <w:r w:rsidR="00075256" w:rsidRPr="00CE2F22">
        <w:rPr>
          <w:b/>
          <w:bCs/>
          <w:lang w:val="en-AU"/>
        </w:rPr>
        <w:t xml:space="preserve"> - </w:t>
      </w:r>
      <w:r w:rsidR="00075256" w:rsidRPr="00CE2F22">
        <w:rPr>
          <w:lang w:val="en-AU"/>
        </w:rPr>
        <w:t>Reinforced by practices, norms</w:t>
      </w:r>
      <w:r w:rsidR="00987D44">
        <w:rPr>
          <w:lang w:val="en-AU"/>
        </w:rPr>
        <w:t>,</w:t>
      </w:r>
      <w:r w:rsidR="00075256" w:rsidRPr="00CE2F22">
        <w:rPr>
          <w:lang w:val="en-AU"/>
        </w:rPr>
        <w:t xml:space="preserve"> and behaviours.</w:t>
      </w:r>
    </w:p>
    <w:p w14:paraId="5812D8AB" w14:textId="77777777" w:rsidR="00075256" w:rsidRPr="00CE2F22" w:rsidRDefault="00075256" w:rsidP="006F5F6E">
      <w:pPr>
        <w:pStyle w:val="BodyText"/>
        <w:rPr>
          <w:lang w:val="en-AU"/>
        </w:rPr>
      </w:pPr>
    </w:p>
    <w:p w14:paraId="781D8ADA" w14:textId="68184396" w:rsidR="006F5F6E" w:rsidRPr="00CE2F22" w:rsidRDefault="006F5F6E" w:rsidP="006F5F6E">
      <w:pPr>
        <w:pStyle w:val="BodyText"/>
        <w:numPr>
          <w:ilvl w:val="0"/>
          <w:numId w:val="24"/>
        </w:numPr>
        <w:rPr>
          <w:b/>
          <w:bCs/>
          <w:lang w:val="en-AU"/>
        </w:rPr>
      </w:pPr>
      <w:r w:rsidRPr="00CE2F22">
        <w:rPr>
          <w:b/>
          <w:bCs/>
          <w:lang w:val="en-AU"/>
        </w:rPr>
        <w:t xml:space="preserve">Societal level: </w:t>
      </w:r>
      <w:r w:rsidRPr="00CE2F22">
        <w:rPr>
          <w:lang w:val="en-AU"/>
        </w:rPr>
        <w:t>Dominant social norms supporting rigid roles and stereotyping or condoning, excusing, or downplaying violence against women (VAW).</w:t>
      </w:r>
    </w:p>
    <w:p w14:paraId="05E5AE68" w14:textId="1A66689C" w:rsidR="006F5F6E" w:rsidRPr="00CE2F22" w:rsidRDefault="006F5F6E" w:rsidP="006F5F6E">
      <w:pPr>
        <w:pStyle w:val="BodyText"/>
        <w:numPr>
          <w:ilvl w:val="0"/>
          <w:numId w:val="24"/>
        </w:numPr>
        <w:rPr>
          <w:b/>
          <w:bCs/>
          <w:lang w:val="en-AU"/>
        </w:rPr>
      </w:pPr>
      <w:r w:rsidRPr="00CE2F22">
        <w:rPr>
          <w:b/>
          <w:bCs/>
          <w:lang w:val="en-AU"/>
        </w:rPr>
        <w:t xml:space="preserve">Institutional and System Level: </w:t>
      </w:r>
      <w:r w:rsidRPr="00CE2F22">
        <w:rPr>
          <w:lang w:val="en-AU"/>
        </w:rPr>
        <w:t>Failure of systems, institutions, and policies</w:t>
      </w:r>
      <w:r w:rsidR="00075256" w:rsidRPr="00CE2F22">
        <w:rPr>
          <w:lang w:val="en-AU"/>
        </w:rPr>
        <w:t xml:space="preserve"> to promote women’s economic, legal, and social autonomy, or to adequately address VAW.</w:t>
      </w:r>
    </w:p>
    <w:p w14:paraId="65C7E3A3" w14:textId="4ACBBBAC" w:rsidR="00075256" w:rsidRPr="00CE2F22" w:rsidRDefault="00075256" w:rsidP="006F5F6E">
      <w:pPr>
        <w:pStyle w:val="BodyText"/>
        <w:numPr>
          <w:ilvl w:val="0"/>
          <w:numId w:val="24"/>
        </w:numPr>
        <w:rPr>
          <w:b/>
          <w:bCs/>
          <w:lang w:val="en-AU"/>
        </w:rPr>
      </w:pPr>
      <w:r w:rsidRPr="00CE2F22">
        <w:rPr>
          <w:b/>
          <w:bCs/>
          <w:lang w:val="en-AU"/>
        </w:rPr>
        <w:t xml:space="preserve">Organisational and Community Level: </w:t>
      </w:r>
      <w:r w:rsidRPr="00CE2F22">
        <w:rPr>
          <w:lang w:val="en-AU"/>
        </w:rPr>
        <w:t>Organisation and community systems, practices, and norms supporting or fai</w:t>
      </w:r>
      <w:r w:rsidR="00CE2F22">
        <w:rPr>
          <w:lang w:val="en-AU"/>
        </w:rPr>
        <w:t>l</w:t>
      </w:r>
      <w:r w:rsidRPr="00CE2F22">
        <w:rPr>
          <w:lang w:val="en-AU"/>
        </w:rPr>
        <w:t>ing to sanction gender inequality, stereotyping, discrimination, and violence.</w:t>
      </w:r>
    </w:p>
    <w:p w14:paraId="028EE564" w14:textId="2CA273F8" w:rsidR="006F5F6E" w:rsidRPr="00CE2F22" w:rsidRDefault="00075256" w:rsidP="006F5F6E">
      <w:pPr>
        <w:pStyle w:val="BodyText"/>
        <w:numPr>
          <w:ilvl w:val="0"/>
          <w:numId w:val="24"/>
        </w:numPr>
        <w:rPr>
          <w:b/>
          <w:bCs/>
          <w:lang w:val="en-AU"/>
        </w:rPr>
      </w:pPr>
      <w:r w:rsidRPr="00CE2F22">
        <w:rPr>
          <w:b/>
          <w:bCs/>
          <w:lang w:val="en-AU"/>
        </w:rPr>
        <w:t xml:space="preserve">Individual and Relationship Level:  </w:t>
      </w:r>
      <w:r w:rsidRPr="00CE2F22">
        <w:rPr>
          <w:lang w:val="en-AU"/>
        </w:rPr>
        <w:t>Individual adherence to rigid gender roles and identities, weak support for gender equality, social learning of VAW, male dominance, and controlling behaviours in relationships.</w:t>
      </w:r>
    </w:p>
    <w:p w14:paraId="02BC221D" w14:textId="77777777" w:rsidR="006F5F6E" w:rsidRPr="00CE2F22" w:rsidRDefault="006F5F6E" w:rsidP="006F5F6E">
      <w:pPr>
        <w:pStyle w:val="BodyText"/>
        <w:rPr>
          <w:lang w:val="en-AU"/>
        </w:rPr>
      </w:pPr>
    </w:p>
    <w:p w14:paraId="3C3422F7" w14:textId="19241B93" w:rsidR="006F5F6E" w:rsidRPr="00CE2F22" w:rsidRDefault="006F5F6E" w:rsidP="006F5F6E">
      <w:pPr>
        <w:pStyle w:val="BodyText"/>
        <w:rPr>
          <w:lang w:val="en-AU"/>
        </w:rPr>
      </w:pPr>
      <w:r w:rsidRPr="00CE2F22">
        <w:rPr>
          <w:lang w:val="en-AU"/>
        </w:rPr>
        <w:t>With this definition of primary prevention in mind, we asked participants in the forum to discuss their understanding and experiences with primary prevention efforts, such as respectful relationships education or anti-violence campaigns.</w:t>
      </w:r>
    </w:p>
    <w:p w14:paraId="19429F63" w14:textId="2BE9494C" w:rsidR="006F5F6E" w:rsidRPr="00CE2F22" w:rsidRDefault="006F5F6E" w:rsidP="006F5F6E">
      <w:pPr>
        <w:pStyle w:val="BodyText"/>
        <w:rPr>
          <w:lang w:val="en-AU"/>
        </w:rPr>
      </w:pPr>
    </w:p>
    <w:p w14:paraId="2FADA228" w14:textId="13EC5314" w:rsidR="006F5F6E" w:rsidRPr="00CE2F22" w:rsidRDefault="006F5F6E" w:rsidP="006F5F6E">
      <w:pPr>
        <w:pStyle w:val="Heading3"/>
      </w:pPr>
      <w:bookmarkStart w:id="82" w:name="_Toc96092097"/>
      <w:r w:rsidRPr="00CE2F22">
        <w:t>How do young women and non-binary people understand primary prevention?</w:t>
      </w:r>
      <w:bookmarkEnd w:id="82"/>
    </w:p>
    <w:p w14:paraId="6C3BEB1F" w14:textId="51B801B1" w:rsidR="006F5F6E" w:rsidRPr="00CE2F22" w:rsidRDefault="006F5F6E" w:rsidP="006F5F6E"/>
    <w:p w14:paraId="1B25BFD7" w14:textId="0157CDF2" w:rsidR="006F5F6E" w:rsidRPr="00CE2F22" w:rsidRDefault="006F5F6E" w:rsidP="006F5F6E">
      <w:pPr>
        <w:pStyle w:val="BodyText"/>
        <w:rPr>
          <w:lang w:val="en-AU"/>
        </w:rPr>
      </w:pPr>
      <w:r w:rsidRPr="00CE2F22">
        <w:rPr>
          <w:lang w:val="en-AU"/>
        </w:rPr>
        <w:t>Many participants during the forum understood that primary prevention involves changing social norms, structures and practices before violence occurs. In saying this however, a number of participants said that they viewed primary prevention as a ‘buzzword’ and indicated that they lacked a comprehensive understanding of its role in tackling gender-based violence.</w:t>
      </w:r>
    </w:p>
    <w:p w14:paraId="20847809" w14:textId="14FDB0D0" w:rsidR="00075256" w:rsidRPr="00CE2F22" w:rsidRDefault="00075256" w:rsidP="006F5F6E">
      <w:pPr>
        <w:pStyle w:val="BodyText"/>
        <w:rPr>
          <w:lang w:val="en-AU"/>
        </w:rPr>
      </w:pPr>
    </w:p>
    <w:p w14:paraId="6374DBBD" w14:textId="06222638" w:rsidR="00075256" w:rsidRPr="009A5B8A" w:rsidRDefault="00075256" w:rsidP="009A5B8A">
      <w:pPr>
        <w:pStyle w:val="Heading2"/>
      </w:pPr>
      <w:bookmarkStart w:id="83" w:name="_Toc96092098"/>
      <w:r w:rsidRPr="009A5B8A">
        <w:t>What needs to change to improve primary prevention</w:t>
      </w:r>
      <w:bookmarkEnd w:id="83"/>
    </w:p>
    <w:p w14:paraId="286B7A41" w14:textId="77777777" w:rsidR="00075256" w:rsidRPr="00CE2F22" w:rsidRDefault="00075256" w:rsidP="00075256">
      <w:pPr>
        <w:pStyle w:val="BodyText"/>
        <w:rPr>
          <w:lang w:val="en-AU"/>
        </w:rPr>
      </w:pPr>
      <w:r w:rsidRPr="00CE2F22">
        <w:rPr>
          <w:lang w:val="en-AU"/>
        </w:rPr>
        <w:t>Four main themes emerged from discussions during the forum in relation to improving primary prevention efforts. These were: (i) improving consent and respectful relationships education; (ii) better engaging men as role models for change; (iii) boosting intersectional primary prevention efforts; and (iv) recognising children as victim-survivors in their own right in primary prevention strategies.</w:t>
      </w:r>
    </w:p>
    <w:p w14:paraId="3E3DDC57" w14:textId="77777777" w:rsidR="00075256" w:rsidRPr="00CE2F22" w:rsidRDefault="00075256" w:rsidP="00075256">
      <w:pPr>
        <w:pStyle w:val="BodyText"/>
        <w:rPr>
          <w:lang w:val="en-AU"/>
        </w:rPr>
      </w:pPr>
    </w:p>
    <w:p w14:paraId="663ACF71" w14:textId="34FF3909" w:rsidR="00075256" w:rsidRPr="00CE2F22" w:rsidRDefault="00075256" w:rsidP="00075256">
      <w:pPr>
        <w:pStyle w:val="Heading3"/>
        <w:numPr>
          <w:ilvl w:val="0"/>
          <w:numId w:val="26"/>
        </w:numPr>
      </w:pPr>
      <w:bookmarkStart w:id="84" w:name="_Toc96092099"/>
      <w:r w:rsidRPr="00CE2F22">
        <w:t>Consent and respectful relationships education</w:t>
      </w:r>
      <w:bookmarkEnd w:id="84"/>
    </w:p>
    <w:p w14:paraId="171168A4" w14:textId="77777777" w:rsidR="00075256" w:rsidRPr="00CE2F22" w:rsidRDefault="00075256" w:rsidP="00075256">
      <w:pPr>
        <w:pStyle w:val="BodyText"/>
        <w:ind w:left="1080"/>
        <w:rPr>
          <w:lang w:val="en-AU"/>
        </w:rPr>
      </w:pPr>
    </w:p>
    <w:p w14:paraId="79351A15" w14:textId="13251C06" w:rsidR="00075256" w:rsidRPr="00CE2F22" w:rsidRDefault="00075256" w:rsidP="00075256">
      <w:pPr>
        <w:pStyle w:val="BodyText"/>
        <w:rPr>
          <w:lang w:val="en-AU"/>
        </w:rPr>
      </w:pPr>
      <w:r w:rsidRPr="00CE2F22">
        <w:rPr>
          <w:lang w:val="en-AU"/>
        </w:rPr>
        <w:t>Most participants outlined that their experiences with sexual and respectful relationships education were mostly inadequate and did not prepare them well for sexual relationships. For instance, some participants highlighted that their education focused exclusively on heteronormative issues and relationships, excluding LGBTQI+ students.</w:t>
      </w:r>
    </w:p>
    <w:p w14:paraId="3D9CE203" w14:textId="77777777" w:rsidR="00075256" w:rsidRPr="00CE2F22" w:rsidRDefault="00075256" w:rsidP="00075256">
      <w:pPr>
        <w:pStyle w:val="BodyText"/>
        <w:rPr>
          <w:lang w:val="en-AU"/>
        </w:rPr>
      </w:pPr>
    </w:p>
    <w:p w14:paraId="03004EA1" w14:textId="46975AF1" w:rsidR="00075256" w:rsidRPr="00CE2F22" w:rsidRDefault="00075256" w:rsidP="00075256">
      <w:pPr>
        <w:pStyle w:val="BodyText"/>
        <w:rPr>
          <w:lang w:val="en-AU"/>
        </w:rPr>
      </w:pPr>
      <w:r w:rsidRPr="00CE2F22">
        <w:rPr>
          <w:lang w:val="en-AU"/>
        </w:rPr>
        <w:t>Others highlighted that their sex education relied solely on a model of abstinence rather than safety and respect.</w:t>
      </w:r>
    </w:p>
    <w:p w14:paraId="37889ED3" w14:textId="0F41E53D" w:rsidR="00075256" w:rsidRPr="00CE2F22" w:rsidRDefault="00075256" w:rsidP="00075256">
      <w:pPr>
        <w:pStyle w:val="BodyText"/>
        <w:rPr>
          <w:lang w:val="en-AU"/>
        </w:rPr>
      </w:pPr>
    </w:p>
    <w:p w14:paraId="6E040DCE" w14:textId="3AEE2B65" w:rsidR="00075256" w:rsidRPr="00CE2F22" w:rsidRDefault="00075256" w:rsidP="00075256">
      <w:pPr>
        <w:pStyle w:val="IntenseQuote"/>
      </w:pPr>
      <w:r w:rsidRPr="00CE2F22">
        <w:t>My sex education was exclusively about putting condoms on bananas. As a bi woman I didn’t receive any advice on how to have safe and respectful sex with girls.</w:t>
      </w:r>
    </w:p>
    <w:p w14:paraId="6E9362A4" w14:textId="7A1E5098" w:rsidR="00CE2F22" w:rsidRDefault="00CE2F22" w:rsidP="00075256">
      <w:r w:rsidRPr="00CE2F22">
        <w:rPr>
          <w:rStyle w:val="BodyTextChar"/>
        </w:rPr>
        <w:t>Older participants agreed that their high-school sex education curriculum was designed exclusively to prevent girls and those with uteruses from getting pregnant and to mitigate the spread of sexually transmitted infections. Very few participants indicated that they had been taught about consent and/or respect in intimate partner relationships</w:t>
      </w:r>
      <w:r w:rsidRPr="00CE2F22">
        <w:t>.</w:t>
      </w:r>
    </w:p>
    <w:p w14:paraId="7806C0F1" w14:textId="6531AA54" w:rsidR="00CE2F22" w:rsidRDefault="00CE2F22" w:rsidP="00CE2F22">
      <w:pPr>
        <w:pStyle w:val="IntenseQuote"/>
      </w:pPr>
      <w:r w:rsidRPr="00CE2F22">
        <w:t>My experiences come from attending religious school. Abstinence education was the only education I was taught. I had no clue what was and wasn’t okay in sex and relationships.</w:t>
      </w:r>
    </w:p>
    <w:p w14:paraId="387183BE" w14:textId="77777777" w:rsidR="00CE2F22" w:rsidRPr="00CE2F22" w:rsidRDefault="00CE2F22" w:rsidP="00CE2F22">
      <w:pPr>
        <w:pStyle w:val="BodyText"/>
      </w:pPr>
      <w:r w:rsidRPr="00CE2F22">
        <w:t>Participants identify a number of ways to improve consent and respectful relationships education.</w:t>
      </w:r>
    </w:p>
    <w:p w14:paraId="75D7EDE8" w14:textId="11EC481C" w:rsidR="00CE2F22" w:rsidRPr="00CE2F22" w:rsidRDefault="00CE2F22" w:rsidP="00CE2F22">
      <w:pPr>
        <w:pStyle w:val="BodyText"/>
        <w:numPr>
          <w:ilvl w:val="0"/>
          <w:numId w:val="27"/>
        </w:numPr>
      </w:pPr>
      <w:r w:rsidRPr="00CE2F22">
        <w:t>Respectful relationships education needs to be based on a ‘gender transformative framework’— one that works under a model of gender equality and seeks to tackle ingrained and problematic understandings of masculinity and femininity.</w:t>
      </w:r>
    </w:p>
    <w:p w14:paraId="53C0AA7D" w14:textId="2163EF9E" w:rsidR="00CE2F22" w:rsidRPr="00CE2F22" w:rsidRDefault="00CE2F22" w:rsidP="00CE2F22">
      <w:pPr>
        <w:pStyle w:val="BodyText"/>
        <w:numPr>
          <w:ilvl w:val="0"/>
          <w:numId w:val="27"/>
        </w:numPr>
      </w:pPr>
      <w:r w:rsidRPr="00CE2F22">
        <w:t>Respectful relationships education must teach students about diverse and complex forms of gender-based violence (e.g., technology- facilitated abuse, coercive control, dowry abuse, reproductive coercion, spiritual/religious abuse etc.) and provide resources on where young people can safely report violence and access tailored support for these types of abuse.</w:t>
      </w:r>
    </w:p>
    <w:p w14:paraId="21595FF1" w14:textId="316A4772" w:rsidR="00CE2F22" w:rsidRPr="00CE2F22" w:rsidRDefault="00CE2F22" w:rsidP="00CE2F22">
      <w:pPr>
        <w:pStyle w:val="BodyText"/>
        <w:numPr>
          <w:ilvl w:val="0"/>
          <w:numId w:val="27"/>
        </w:numPr>
      </w:pPr>
      <w:r w:rsidRPr="00CE2F22">
        <w:t>To prevent all forms of violence throughout the community, respectful relationships education must extend past intimate partner violence and teach young people how to respect everyone in the community, regardless of sexual preference, gender, race, religion, etc.</w:t>
      </w:r>
    </w:p>
    <w:p w14:paraId="7CC274EB" w14:textId="7AAB9F9E" w:rsidR="00CE2F22" w:rsidRDefault="00CE2F22" w:rsidP="00CE2F22">
      <w:pPr>
        <w:pStyle w:val="BodyText"/>
        <w:numPr>
          <w:ilvl w:val="0"/>
          <w:numId w:val="27"/>
        </w:numPr>
      </w:pPr>
      <w:r w:rsidRPr="00CE2F22">
        <w:t>Teachers must be properly trained and supported by parents and the broader school culture to deliver consent and respectful relationships education.</w:t>
      </w:r>
    </w:p>
    <w:p w14:paraId="3C936E76" w14:textId="77777777" w:rsidR="00CE2F22" w:rsidRPr="00CE2F22" w:rsidRDefault="00CE2F22" w:rsidP="00CE2F22">
      <w:pPr>
        <w:pStyle w:val="ListParagraph"/>
        <w:numPr>
          <w:ilvl w:val="0"/>
          <w:numId w:val="27"/>
        </w:numPr>
        <w:rPr>
          <w:rFonts w:ascii="Open Sans" w:eastAsia="Open Sans" w:hAnsi="Open Sans" w:cs="Open Sans"/>
          <w:color w:val="auto"/>
          <w:sz w:val="20"/>
          <w:szCs w:val="20"/>
          <w:lang w:val="en-US"/>
        </w:rPr>
      </w:pPr>
      <w:r w:rsidRPr="00CE2F22">
        <w:rPr>
          <w:rFonts w:ascii="Open Sans" w:eastAsia="Open Sans" w:hAnsi="Open Sans" w:cs="Open Sans"/>
          <w:color w:val="auto"/>
          <w:sz w:val="20"/>
          <w:szCs w:val="20"/>
          <w:lang w:val="en-US"/>
        </w:rPr>
        <w:t>Respectful relationships education must begin earlier than high school, with many participants specifying that it should be introduced in the early primary school curriculum.</w:t>
      </w:r>
    </w:p>
    <w:p w14:paraId="6A9E7404" w14:textId="5FC292AC" w:rsidR="00CE2F22" w:rsidRDefault="00CE2F22" w:rsidP="00CE2F22">
      <w:pPr>
        <w:pStyle w:val="IntenseQuote"/>
      </w:pPr>
      <w:r>
        <w:t>Some of us are receiving respectful relationship education but many of us have already experienced violence by this point. Often it’s just too late.</w:t>
      </w:r>
    </w:p>
    <w:p w14:paraId="05C6F7A5" w14:textId="49F13388" w:rsidR="00CE2F22" w:rsidRDefault="00CE2F22" w:rsidP="00CE2F22">
      <w:pPr>
        <w:pStyle w:val="BodyText"/>
      </w:pPr>
      <w:r>
        <w:t>Respondents in the survey indicated similar experiences with many recommending framing respectful relationships education in a way that assumes violence has already happened. This means teaching under an ‘empowerment model’ and ensuring students have access to clear information regarding support services.</w:t>
      </w:r>
    </w:p>
    <w:p w14:paraId="4552D474" w14:textId="77777777" w:rsidR="00CE2F22" w:rsidRDefault="00CE2F22" w:rsidP="00CE2F22">
      <w:pPr>
        <w:pStyle w:val="BodyText"/>
      </w:pPr>
    </w:p>
    <w:p w14:paraId="3D171EC0" w14:textId="77777777" w:rsidR="00CE2F22" w:rsidRDefault="00CE2F22" w:rsidP="00CE2F22">
      <w:pPr>
        <w:pStyle w:val="BodyText"/>
      </w:pPr>
      <w:r>
        <w:t>Further, forum participants highlighted the need for respectful relationships education and campaigning to directly address the issue of consent in a clear and comprehensive way.</w:t>
      </w:r>
    </w:p>
    <w:p w14:paraId="0A0CB1E4" w14:textId="77777777" w:rsidR="00CE2F22" w:rsidRDefault="00CE2F22" w:rsidP="00CE2F22">
      <w:pPr>
        <w:pStyle w:val="BodyText"/>
      </w:pPr>
    </w:p>
    <w:p w14:paraId="3B03933A" w14:textId="222895EF" w:rsidR="00CE2F22" w:rsidRDefault="00CE2F22" w:rsidP="00CE2F22">
      <w:pPr>
        <w:pStyle w:val="BodyText"/>
      </w:pPr>
      <w:r>
        <w:t>In doing so, participants discussed the example of the Milkshake Video—where the government</w:t>
      </w:r>
    </w:p>
    <w:p w14:paraId="4681B1D1" w14:textId="10838F99" w:rsidR="00CE2F22" w:rsidRPr="00CE2F22" w:rsidRDefault="00CE2F22" w:rsidP="00CE2F22">
      <w:pPr>
        <w:pStyle w:val="BodyText"/>
      </w:pPr>
      <w:r>
        <w:t>delivered a ‘bizarre’ video under the Respect Matters Campaign that sought to teach young people consent through milkshakes. In line with much public criticism, respondents outlined how, in using milkshakes (11) as an analogy for sex and relationships, the campaign was unnecessarily ‘tip-toeing’ around the issue of consent. Participants agreed that the campaign worked to reinforce stigma and taboo regarding the topics of sex and violence and failed to deliver much needed ‘basic and open conversation’ regarding consent. Instead, young-victim survivors highlighted that this education needs to clearly equip young people with plain language that they can use to navigate consent throughout their lives.</w:t>
      </w:r>
    </w:p>
    <w:p w14:paraId="3D604922" w14:textId="5BF5A72B" w:rsidR="00CE2F22" w:rsidRDefault="00CE2F22" w:rsidP="00CE2F22"/>
    <w:p w14:paraId="4885D6F1" w14:textId="77777777" w:rsidR="00CE2F22" w:rsidRDefault="00CE2F22" w:rsidP="00CE2F22">
      <w:pPr>
        <w:pStyle w:val="Heading3"/>
      </w:pPr>
      <w:bookmarkStart w:id="85" w:name="_Toc96092100"/>
      <w:r>
        <w:t>2.</w:t>
      </w:r>
      <w:r>
        <w:tab/>
        <w:t>Engaging and supporting young men as role models for change</w:t>
      </w:r>
      <w:bookmarkEnd w:id="85"/>
    </w:p>
    <w:p w14:paraId="5C168D64" w14:textId="77777777" w:rsidR="00CE2F22" w:rsidRDefault="00CE2F22" w:rsidP="00CE2F22"/>
    <w:p w14:paraId="480EEBA8" w14:textId="0AF3A0CC" w:rsidR="00CE2F22" w:rsidRPr="00CE2F22" w:rsidRDefault="00CE2F22" w:rsidP="00CE2F22">
      <w:pPr>
        <w:pStyle w:val="BodyText"/>
        <w:rPr>
          <w:lang w:val="en-AU"/>
        </w:rPr>
      </w:pPr>
      <w:r w:rsidRPr="00CE2F22">
        <w:rPr>
          <w:lang w:val="en-AU"/>
        </w:rPr>
        <w:t>Forum participants highlighted the need for respectful relationships education to target and support young men to be role models for change. This includes better resourcing men to challenge social norms and behaviours that endorse violence against women and sexism.</w:t>
      </w:r>
    </w:p>
    <w:p w14:paraId="40484DAF" w14:textId="77777777" w:rsidR="00CE2F22" w:rsidRPr="00CE2F22" w:rsidRDefault="00CE2F22" w:rsidP="00CE2F22">
      <w:pPr>
        <w:pStyle w:val="BodyText"/>
        <w:rPr>
          <w:lang w:val="en-AU"/>
        </w:rPr>
      </w:pPr>
    </w:p>
    <w:p w14:paraId="2BB3A2B7" w14:textId="3F6C64D6" w:rsidR="00CE2F22" w:rsidRDefault="00CE2F22" w:rsidP="00CE2F22">
      <w:pPr>
        <w:pStyle w:val="BodyText"/>
        <w:rPr>
          <w:lang w:val="en-AU"/>
        </w:rPr>
      </w:pPr>
      <w:r w:rsidRPr="00CE2F22">
        <w:rPr>
          <w:lang w:val="en-AU"/>
        </w:rPr>
        <w:t>Forum participants highlighted that ‘cancelling’ perpetrators is not enough to produce worthwhile change for women and non-binary people.</w:t>
      </w:r>
    </w:p>
    <w:p w14:paraId="3C653E75" w14:textId="1319EABE" w:rsidR="00CE2F22" w:rsidRDefault="00CE2F22" w:rsidP="00CE2F22">
      <w:pPr>
        <w:pStyle w:val="BodyText"/>
        <w:rPr>
          <w:lang w:val="en-AU"/>
        </w:rPr>
      </w:pPr>
    </w:p>
    <w:p w14:paraId="502A2E78" w14:textId="77777777" w:rsidR="00CE2F22" w:rsidRPr="00CE2F22" w:rsidRDefault="00CE2F22" w:rsidP="00CE2F22">
      <w:pPr>
        <w:pStyle w:val="IntenseQuote"/>
      </w:pPr>
      <w:r>
        <w:t>As a victim I had access to lots of support networks, but my perpetrator did not know who he could talk to. He was not encouraged to understand the severity of his actions. He had no one there to tell him what he did was wrong and how to fix his behaviour. It was his first offence, and it could have been an opportunity for growth, but as a perpetrator he was just seen as a violent person instead of someone that needed to understand why his actions were wrong.</w:t>
      </w:r>
    </w:p>
    <w:p w14:paraId="644F4580" w14:textId="77777777" w:rsidR="00CE2F22" w:rsidRPr="00CE2F22" w:rsidRDefault="00CE2F22" w:rsidP="00CE2F22">
      <w:pPr>
        <w:pStyle w:val="BodyText"/>
        <w:rPr>
          <w:lang w:val="en-AU"/>
        </w:rPr>
      </w:pPr>
    </w:p>
    <w:p w14:paraId="13397F1D" w14:textId="77777777" w:rsidR="00CE2F22" w:rsidRPr="00CE2F22" w:rsidRDefault="00CE2F22" w:rsidP="00CE2F22">
      <w:pPr>
        <w:pStyle w:val="BodyText"/>
        <w:rPr>
          <w:lang w:val="en-AU"/>
        </w:rPr>
      </w:pPr>
    </w:p>
    <w:p w14:paraId="7A1B1002" w14:textId="1FCE27AC" w:rsidR="00CE2F22" w:rsidRDefault="00CE2F22" w:rsidP="00CE2F22">
      <w:pPr>
        <w:pStyle w:val="BodyText"/>
        <w:rPr>
          <w:lang w:val="en-AU"/>
        </w:rPr>
      </w:pPr>
      <w:r w:rsidRPr="00CE2F22">
        <w:rPr>
          <w:lang w:val="en-AU"/>
        </w:rPr>
        <w:t>Ultimately, men must be assisted to realise their collective potential to produce positive change for women, girls, and non-binary people. For young victim-survivors, this means providing men with the resources and language to be able to have difficult, yet constructive conversations with their friends and ultimately hold one another accountable.</w:t>
      </w:r>
    </w:p>
    <w:p w14:paraId="42D4A470" w14:textId="7D458BCE" w:rsidR="00CE2F22" w:rsidRDefault="00CE2F22" w:rsidP="00CE2F22">
      <w:pPr>
        <w:pStyle w:val="BodyText"/>
        <w:rPr>
          <w:lang w:val="en-AU"/>
        </w:rPr>
      </w:pPr>
    </w:p>
    <w:p w14:paraId="70115259" w14:textId="76FD5533" w:rsidR="00CE2F22" w:rsidRDefault="00CE2F22" w:rsidP="00CE2F22">
      <w:pPr>
        <w:pStyle w:val="IntenseQuote"/>
      </w:pPr>
      <w:r>
        <w:t>So many of my male friends have come up to me asking what to do when they find out their friend is a predator. Some boys just cancel their friends, because it’s easier than having a conversation with them.</w:t>
      </w:r>
    </w:p>
    <w:p w14:paraId="763F7ED2" w14:textId="5A371E72" w:rsidR="00CE2F22" w:rsidRDefault="00CE2F22" w:rsidP="00CE2F22">
      <w:pPr>
        <w:pStyle w:val="Heading3"/>
        <w:numPr>
          <w:ilvl w:val="0"/>
          <w:numId w:val="28"/>
        </w:numPr>
      </w:pPr>
      <w:bookmarkStart w:id="86" w:name="_Toc96092101"/>
      <w:r w:rsidRPr="00CE2F22">
        <w:t>Improving intersectionality in primary prevention</w:t>
      </w:r>
      <w:bookmarkEnd w:id="86"/>
    </w:p>
    <w:p w14:paraId="10E03709" w14:textId="77777777" w:rsidR="00CE2F22" w:rsidRPr="00CE2F22" w:rsidRDefault="00CE2F22" w:rsidP="00CE2F22">
      <w:pPr>
        <w:pStyle w:val="ListParagraph"/>
        <w:ind w:firstLine="0"/>
      </w:pPr>
    </w:p>
    <w:p w14:paraId="4C1CEEEF" w14:textId="72FB118A" w:rsidR="00CE2F22" w:rsidRPr="000F02B3" w:rsidRDefault="00CE2F22" w:rsidP="000F02B3">
      <w:pPr>
        <w:pStyle w:val="BodyText"/>
      </w:pPr>
      <w:r w:rsidRPr="000F02B3">
        <w:t>Participants agreed that primary prevention efforts must be more intersectional to better target diverse forms of violence and account for the complex relationship between family, culture, and gender in different communities. For instance, one survey respondent highlighted the omission of women with disability from anti-violence campaigns— despite women with disability experiencing disproportionately higher rates of violence than women without disability.</w:t>
      </w:r>
    </w:p>
    <w:p w14:paraId="3B1FE001" w14:textId="77777777" w:rsidR="00CE2F22" w:rsidRPr="000F02B3" w:rsidRDefault="00CE2F22" w:rsidP="000F02B3">
      <w:pPr>
        <w:pStyle w:val="BodyText"/>
      </w:pPr>
    </w:p>
    <w:p w14:paraId="0D0723AA" w14:textId="50E147ED" w:rsidR="00CE2F22" w:rsidRPr="000F02B3" w:rsidRDefault="00CE2F22" w:rsidP="000F02B3">
      <w:pPr>
        <w:pStyle w:val="BodyText"/>
      </w:pPr>
      <w:r w:rsidRPr="000F02B3">
        <w:t>Similarly, forum participants highlighted that evaluation processes used to monitor primary prevention programs can be highly exclusionary towards victim-survivors from non-English speaking backgrounds, and/or for those with disabilities and/ or those who live in remote locations.</w:t>
      </w:r>
    </w:p>
    <w:p w14:paraId="6D912676" w14:textId="77777777" w:rsidR="00CE2F22" w:rsidRPr="000F02B3" w:rsidRDefault="00CE2F22" w:rsidP="000F02B3">
      <w:pPr>
        <w:pStyle w:val="BodyText"/>
      </w:pPr>
    </w:p>
    <w:p w14:paraId="6FBA7AA3" w14:textId="0812E351" w:rsidR="00CE2F22" w:rsidRPr="000F02B3" w:rsidRDefault="00CE2F22" w:rsidP="000F02B3">
      <w:pPr>
        <w:pStyle w:val="BodyText"/>
      </w:pPr>
      <w:r w:rsidRPr="000F02B3">
        <w:t>Participants put forward some recommendations on how to improve intersectionality within primary prevention:</w:t>
      </w:r>
    </w:p>
    <w:p w14:paraId="3622B32B" w14:textId="79DC33B8" w:rsidR="000F02B3" w:rsidRPr="000F02B3" w:rsidRDefault="000F02B3" w:rsidP="000F02B3">
      <w:pPr>
        <w:pStyle w:val="BodyText"/>
        <w:numPr>
          <w:ilvl w:val="0"/>
          <w:numId w:val="29"/>
        </w:numPr>
        <w:rPr>
          <w:lang w:val="en-AU"/>
        </w:rPr>
      </w:pPr>
      <w:r w:rsidRPr="000F02B3">
        <w:rPr>
          <w:lang w:val="en-AU"/>
        </w:rPr>
        <w:t>Primary prevention efforts must place people who are part of diverse cultures and communities and/or who have lived experience of violence</w:t>
      </w:r>
    </w:p>
    <w:p w14:paraId="57A74AFA" w14:textId="258A0286" w:rsidR="000F02B3" w:rsidRPr="000F02B3" w:rsidRDefault="000F02B3" w:rsidP="000F02B3">
      <w:pPr>
        <w:pStyle w:val="BodyText"/>
        <w:numPr>
          <w:ilvl w:val="0"/>
          <w:numId w:val="29"/>
        </w:numPr>
        <w:rPr>
          <w:lang w:val="en-AU"/>
        </w:rPr>
      </w:pPr>
      <w:r w:rsidRPr="000F02B3">
        <w:rPr>
          <w:lang w:val="en-AU"/>
        </w:rPr>
        <w:t>at the forefront of primary prevention program design, implementation, and evaluation. These lived experience experts must be financially compensated for their work.</w:t>
      </w:r>
    </w:p>
    <w:p w14:paraId="66D3EFD0" w14:textId="1FDDFB10" w:rsidR="000F02B3" w:rsidRPr="000F02B3" w:rsidRDefault="000F02B3" w:rsidP="000F02B3">
      <w:pPr>
        <w:pStyle w:val="BodyText"/>
        <w:numPr>
          <w:ilvl w:val="0"/>
          <w:numId w:val="29"/>
        </w:numPr>
        <w:rPr>
          <w:lang w:val="en-AU"/>
        </w:rPr>
      </w:pPr>
      <w:r w:rsidRPr="000F02B3">
        <w:rPr>
          <w:lang w:val="en-AU"/>
        </w:rPr>
        <w:t>Primary prevention efforts must not adopt a ‘blanket approach’ and instead need to be</w:t>
      </w:r>
    </w:p>
    <w:p w14:paraId="6BA3E7E9" w14:textId="77777777" w:rsidR="000F02B3" w:rsidRPr="000F02B3" w:rsidRDefault="000F02B3" w:rsidP="000F02B3">
      <w:pPr>
        <w:pStyle w:val="BodyText"/>
        <w:numPr>
          <w:ilvl w:val="0"/>
          <w:numId w:val="29"/>
        </w:numPr>
        <w:rPr>
          <w:lang w:val="en-AU"/>
        </w:rPr>
      </w:pPr>
      <w:r w:rsidRPr="000F02B3">
        <w:rPr>
          <w:lang w:val="en-AU"/>
        </w:rPr>
        <w:t>tailored to the specific needs and experiences of diverse cultures and communities.</w:t>
      </w:r>
    </w:p>
    <w:p w14:paraId="0A04BE53" w14:textId="5C9211A5" w:rsidR="000F02B3" w:rsidRPr="000F02B3" w:rsidRDefault="000F02B3" w:rsidP="000F02B3">
      <w:pPr>
        <w:pStyle w:val="BodyText"/>
        <w:numPr>
          <w:ilvl w:val="0"/>
          <w:numId w:val="29"/>
        </w:numPr>
        <w:rPr>
          <w:lang w:val="en-AU"/>
        </w:rPr>
      </w:pPr>
      <w:r w:rsidRPr="000F02B3">
        <w:rPr>
          <w:lang w:val="en-AU"/>
        </w:rPr>
        <w:t>Primary prevention resources and evaluation materials/approaches must be available in multiple languages and interpreters must be provided for programs and evaluation methods (such as interviews and/or focus groups).</w:t>
      </w:r>
    </w:p>
    <w:p w14:paraId="7306202F" w14:textId="6ABBCCD7" w:rsidR="000F02B3" w:rsidRPr="000F02B3" w:rsidRDefault="000F02B3" w:rsidP="000F02B3">
      <w:pPr>
        <w:pStyle w:val="BodyText"/>
        <w:numPr>
          <w:ilvl w:val="0"/>
          <w:numId w:val="29"/>
        </w:numPr>
        <w:rPr>
          <w:lang w:val="en-AU"/>
        </w:rPr>
      </w:pPr>
      <w:r w:rsidRPr="000F02B3">
        <w:rPr>
          <w:lang w:val="en-AU"/>
        </w:rPr>
        <w:t>Primary prevention efforts must include Easy English versions, Auslan and captioning.</w:t>
      </w:r>
    </w:p>
    <w:p w14:paraId="3A8F8527" w14:textId="14C034A6" w:rsidR="000F02B3" w:rsidRDefault="000F02B3" w:rsidP="000F02B3">
      <w:pPr>
        <w:pStyle w:val="BodyText"/>
        <w:numPr>
          <w:ilvl w:val="0"/>
          <w:numId w:val="29"/>
        </w:numPr>
      </w:pPr>
      <w:r w:rsidRPr="000F02B3">
        <w:rPr>
          <w:lang w:val="en-AU"/>
        </w:rPr>
        <w:t>Organisations and institutions should establish and follow a framework for ensuring prevention programs and policies are intersectional. One respondent in the survey recommended Women with Disabilities Victoria’s Intersectionality Resource. (See figure</w:t>
      </w:r>
      <w:r w:rsidRPr="000F02B3">
        <w:t xml:space="preserve"> 5.3.)</w:t>
      </w:r>
    </w:p>
    <w:p w14:paraId="39CDF024" w14:textId="77777777" w:rsidR="000F02B3" w:rsidRDefault="000F02B3" w:rsidP="000F02B3">
      <w:pPr>
        <w:pStyle w:val="BodyText"/>
        <w:rPr>
          <w:b/>
          <w:bCs/>
          <w:lang w:val="en-AU"/>
        </w:rPr>
      </w:pPr>
    </w:p>
    <w:p w14:paraId="7D270F9F" w14:textId="77777777" w:rsidR="000F02B3" w:rsidRPr="00CE2F22" w:rsidRDefault="000F02B3" w:rsidP="000F02B3">
      <w:pPr>
        <w:pStyle w:val="BodyText"/>
        <w:rPr>
          <w:b/>
          <w:bCs/>
          <w:lang w:val="en-AU"/>
        </w:rPr>
      </w:pPr>
    </w:p>
    <w:tbl>
      <w:tblPr>
        <w:tblStyle w:val="TableGrid"/>
        <w:tblW w:w="0" w:type="auto"/>
        <w:tblLook w:val="04A0" w:firstRow="1" w:lastRow="0" w:firstColumn="1" w:lastColumn="0" w:noHBand="0" w:noVBand="1"/>
      </w:tblPr>
      <w:tblGrid>
        <w:gridCol w:w="421"/>
        <w:gridCol w:w="6804"/>
      </w:tblGrid>
      <w:tr w:rsidR="000F02B3" w:rsidRPr="00CE2F22" w14:paraId="118E24F5" w14:textId="77777777" w:rsidTr="000F02B3">
        <w:tc>
          <w:tcPr>
            <w:tcW w:w="7225" w:type="dxa"/>
            <w:gridSpan w:val="2"/>
          </w:tcPr>
          <w:p w14:paraId="5E8F3B20" w14:textId="7DFF6EBA" w:rsidR="000F02B3" w:rsidRPr="00E24BF7" w:rsidRDefault="00E24BF7" w:rsidP="009A5B8A">
            <w:pPr>
              <w:pStyle w:val="BodyText"/>
              <w:rPr>
                <w:b/>
                <w:bCs/>
                <w:lang w:val="en-AU"/>
              </w:rPr>
            </w:pPr>
            <w:r w:rsidRPr="00CE2F22">
              <w:rPr>
                <w:b/>
                <w:bCs/>
                <w:lang w:val="en-AU"/>
              </w:rPr>
              <w:t>Figure 5.</w:t>
            </w:r>
            <w:r>
              <w:rPr>
                <w:b/>
                <w:bCs/>
                <w:lang w:val="en-AU"/>
              </w:rPr>
              <w:t>3</w:t>
            </w:r>
            <w:r w:rsidRPr="00CE2F22">
              <w:rPr>
                <w:b/>
                <w:bCs/>
                <w:lang w:val="en-AU"/>
              </w:rPr>
              <w:t xml:space="preserve">: </w:t>
            </w:r>
            <w:r>
              <w:rPr>
                <w:b/>
                <w:bCs/>
                <w:lang w:val="en-AU"/>
              </w:rPr>
              <w:t>Ensuring primary prevention efforts are intersectional</w:t>
            </w:r>
          </w:p>
        </w:tc>
      </w:tr>
      <w:tr w:rsidR="000F02B3" w:rsidRPr="00CE2F22" w14:paraId="556450DE" w14:textId="77777777" w:rsidTr="000F02B3">
        <w:tc>
          <w:tcPr>
            <w:tcW w:w="421" w:type="dxa"/>
          </w:tcPr>
          <w:p w14:paraId="152C8048" w14:textId="77777777" w:rsidR="000F02B3" w:rsidRPr="00CE2F22" w:rsidRDefault="000F02B3" w:rsidP="009A5B8A">
            <w:pPr>
              <w:pStyle w:val="BodyText"/>
              <w:rPr>
                <w:b/>
                <w:bCs/>
                <w:lang w:val="en-AU"/>
              </w:rPr>
            </w:pPr>
            <w:r w:rsidRPr="00CE2F22">
              <w:rPr>
                <w:b/>
                <w:bCs/>
                <w:lang w:val="en-AU"/>
              </w:rPr>
              <w:t>1</w:t>
            </w:r>
          </w:p>
        </w:tc>
        <w:tc>
          <w:tcPr>
            <w:tcW w:w="6804" w:type="dxa"/>
          </w:tcPr>
          <w:p w14:paraId="67420340" w14:textId="3FC4364F" w:rsidR="000F02B3" w:rsidRPr="00CE2F22" w:rsidRDefault="000F02B3" w:rsidP="009A5B8A">
            <w:pPr>
              <w:pStyle w:val="BodyText"/>
              <w:rPr>
                <w:lang w:val="en-AU"/>
              </w:rPr>
            </w:pPr>
            <w:r>
              <w:rPr>
                <w:lang w:val="en-AU"/>
              </w:rPr>
              <w:t>Understand your own positionality and unconscious bias.</w:t>
            </w:r>
          </w:p>
        </w:tc>
      </w:tr>
      <w:tr w:rsidR="000F02B3" w:rsidRPr="00CE2F22" w14:paraId="4B96B8A6" w14:textId="77777777" w:rsidTr="000F02B3">
        <w:tc>
          <w:tcPr>
            <w:tcW w:w="421" w:type="dxa"/>
          </w:tcPr>
          <w:p w14:paraId="047F3EFA" w14:textId="77777777" w:rsidR="000F02B3" w:rsidRPr="00CE2F22" w:rsidRDefault="000F02B3" w:rsidP="009A5B8A">
            <w:pPr>
              <w:pStyle w:val="BodyText"/>
              <w:rPr>
                <w:b/>
                <w:bCs/>
                <w:lang w:val="en-AU"/>
              </w:rPr>
            </w:pPr>
            <w:r w:rsidRPr="00CE2F22">
              <w:rPr>
                <w:b/>
                <w:bCs/>
                <w:lang w:val="en-AU"/>
              </w:rPr>
              <w:t>2</w:t>
            </w:r>
          </w:p>
        </w:tc>
        <w:tc>
          <w:tcPr>
            <w:tcW w:w="6804" w:type="dxa"/>
          </w:tcPr>
          <w:p w14:paraId="209FA6A2" w14:textId="32642DA4" w:rsidR="000F02B3" w:rsidRPr="00CE2F22" w:rsidRDefault="000F02B3" w:rsidP="009A5B8A">
            <w:pPr>
              <w:pStyle w:val="BodyText"/>
              <w:rPr>
                <w:lang w:val="en-AU"/>
              </w:rPr>
            </w:pPr>
            <w:r>
              <w:rPr>
                <w:lang w:val="en-AU"/>
              </w:rPr>
              <w:t>Look for diversity within diversity.</w:t>
            </w:r>
          </w:p>
        </w:tc>
      </w:tr>
      <w:tr w:rsidR="000F02B3" w:rsidRPr="00CE2F22" w14:paraId="3CB5EB8F" w14:textId="77777777" w:rsidTr="000F02B3">
        <w:tc>
          <w:tcPr>
            <w:tcW w:w="421" w:type="dxa"/>
          </w:tcPr>
          <w:p w14:paraId="7036A2ED" w14:textId="77777777" w:rsidR="000F02B3" w:rsidRPr="00CE2F22" w:rsidRDefault="000F02B3" w:rsidP="009A5B8A">
            <w:pPr>
              <w:pStyle w:val="BodyText"/>
              <w:rPr>
                <w:b/>
                <w:bCs/>
                <w:lang w:val="en-AU"/>
              </w:rPr>
            </w:pPr>
            <w:r w:rsidRPr="00CE2F22">
              <w:rPr>
                <w:b/>
                <w:bCs/>
                <w:lang w:val="en-AU"/>
              </w:rPr>
              <w:t>3</w:t>
            </w:r>
          </w:p>
        </w:tc>
        <w:tc>
          <w:tcPr>
            <w:tcW w:w="6804" w:type="dxa"/>
          </w:tcPr>
          <w:p w14:paraId="7B154A24" w14:textId="79D3EA07" w:rsidR="000F02B3" w:rsidRPr="00CE2F22" w:rsidRDefault="000F02B3" w:rsidP="009A5B8A">
            <w:pPr>
              <w:pStyle w:val="BodyText"/>
              <w:rPr>
                <w:lang w:val="en-AU"/>
              </w:rPr>
            </w:pPr>
            <w:r>
              <w:rPr>
                <w:lang w:val="en-AU"/>
              </w:rPr>
              <w:t>Are the research and evaluation processes accessible and inclusive?</w:t>
            </w:r>
          </w:p>
        </w:tc>
      </w:tr>
      <w:tr w:rsidR="000F02B3" w:rsidRPr="00CE2F22" w14:paraId="2D74919A" w14:textId="77777777" w:rsidTr="000F02B3">
        <w:trPr>
          <w:trHeight w:val="67"/>
        </w:trPr>
        <w:tc>
          <w:tcPr>
            <w:tcW w:w="421" w:type="dxa"/>
          </w:tcPr>
          <w:p w14:paraId="2A1AA84A" w14:textId="77777777" w:rsidR="000F02B3" w:rsidRPr="00CE2F22" w:rsidRDefault="000F02B3" w:rsidP="009A5B8A">
            <w:pPr>
              <w:pStyle w:val="BodyText"/>
              <w:rPr>
                <w:b/>
                <w:bCs/>
                <w:lang w:val="en-AU"/>
              </w:rPr>
            </w:pPr>
            <w:r w:rsidRPr="00CE2F22">
              <w:rPr>
                <w:b/>
                <w:bCs/>
                <w:lang w:val="en-AU"/>
              </w:rPr>
              <w:t>4</w:t>
            </w:r>
          </w:p>
        </w:tc>
        <w:tc>
          <w:tcPr>
            <w:tcW w:w="6804" w:type="dxa"/>
          </w:tcPr>
          <w:p w14:paraId="5BB6E277" w14:textId="5BF5C3B8" w:rsidR="000F02B3" w:rsidRPr="00CE2F22" w:rsidRDefault="000F02B3" w:rsidP="009A5B8A">
            <w:pPr>
              <w:pStyle w:val="BodyText"/>
              <w:rPr>
                <w:lang w:val="en-AU"/>
              </w:rPr>
            </w:pPr>
            <w:r>
              <w:rPr>
                <w:lang w:val="en-AU"/>
              </w:rPr>
              <w:t>Always ask who is missing?</w:t>
            </w:r>
          </w:p>
        </w:tc>
      </w:tr>
      <w:tr w:rsidR="000F02B3" w:rsidRPr="00CE2F22" w14:paraId="6363FD3D" w14:textId="77777777" w:rsidTr="000F02B3">
        <w:trPr>
          <w:trHeight w:val="67"/>
        </w:trPr>
        <w:tc>
          <w:tcPr>
            <w:tcW w:w="421" w:type="dxa"/>
          </w:tcPr>
          <w:p w14:paraId="002824B0" w14:textId="0DF703DA" w:rsidR="000F02B3" w:rsidRPr="00CE2F22" w:rsidRDefault="000F02B3" w:rsidP="009A5B8A">
            <w:pPr>
              <w:pStyle w:val="BodyText"/>
              <w:rPr>
                <w:b/>
                <w:bCs/>
                <w:lang w:val="en-AU"/>
              </w:rPr>
            </w:pPr>
            <w:r>
              <w:rPr>
                <w:b/>
                <w:bCs/>
                <w:lang w:val="en-AU"/>
              </w:rPr>
              <w:t>5</w:t>
            </w:r>
          </w:p>
        </w:tc>
        <w:tc>
          <w:tcPr>
            <w:tcW w:w="6804" w:type="dxa"/>
          </w:tcPr>
          <w:p w14:paraId="1F14288A" w14:textId="0FBCED16" w:rsidR="000F02B3" w:rsidRPr="00CE2F22" w:rsidRDefault="000F02B3" w:rsidP="009A5B8A">
            <w:pPr>
              <w:pStyle w:val="BodyText"/>
              <w:rPr>
                <w:lang w:val="en-AU"/>
              </w:rPr>
            </w:pPr>
            <w:r>
              <w:rPr>
                <w:lang w:val="en-AU"/>
              </w:rPr>
              <w:t xml:space="preserve">Who has been </w:t>
            </w:r>
            <w:r w:rsidR="00286249">
              <w:rPr>
                <w:lang w:val="en-AU"/>
              </w:rPr>
              <w:t>involved</w:t>
            </w:r>
            <w:r>
              <w:rPr>
                <w:lang w:val="en-AU"/>
              </w:rPr>
              <w:t xml:space="preserve"> in determining what success looks like?</w:t>
            </w:r>
          </w:p>
        </w:tc>
      </w:tr>
      <w:tr w:rsidR="000F02B3" w:rsidRPr="00CE2F22" w14:paraId="005E6EFD" w14:textId="77777777" w:rsidTr="000F02B3">
        <w:trPr>
          <w:trHeight w:val="67"/>
        </w:trPr>
        <w:tc>
          <w:tcPr>
            <w:tcW w:w="421" w:type="dxa"/>
          </w:tcPr>
          <w:p w14:paraId="5B3C5CAA" w14:textId="41D492B6" w:rsidR="000F02B3" w:rsidRDefault="000F02B3" w:rsidP="009A5B8A">
            <w:pPr>
              <w:pStyle w:val="BodyText"/>
              <w:rPr>
                <w:b/>
                <w:bCs/>
                <w:lang w:val="en-AU"/>
              </w:rPr>
            </w:pPr>
            <w:r>
              <w:rPr>
                <w:b/>
                <w:bCs/>
                <w:lang w:val="en-AU"/>
              </w:rPr>
              <w:t>6</w:t>
            </w:r>
          </w:p>
        </w:tc>
        <w:tc>
          <w:tcPr>
            <w:tcW w:w="6804" w:type="dxa"/>
          </w:tcPr>
          <w:p w14:paraId="35BBCAC3" w14:textId="47F25BBF" w:rsidR="000F02B3" w:rsidRPr="00CE2F22" w:rsidRDefault="000F02B3" w:rsidP="009A5B8A">
            <w:pPr>
              <w:pStyle w:val="BodyText"/>
              <w:rPr>
                <w:lang w:val="en-AU"/>
              </w:rPr>
            </w:pPr>
            <w:r>
              <w:rPr>
                <w:lang w:val="en-AU"/>
              </w:rPr>
              <w:t xml:space="preserve">How will the </w:t>
            </w:r>
            <w:r w:rsidR="00286249">
              <w:rPr>
                <w:lang w:val="en-AU"/>
              </w:rPr>
              <w:t>findings be communicated?</w:t>
            </w:r>
          </w:p>
        </w:tc>
      </w:tr>
      <w:tr w:rsidR="00E24BF7" w:rsidRPr="00CE2F22" w14:paraId="13829EA4" w14:textId="77777777" w:rsidTr="00EF20C1">
        <w:trPr>
          <w:trHeight w:val="67"/>
        </w:trPr>
        <w:tc>
          <w:tcPr>
            <w:tcW w:w="7225" w:type="dxa"/>
            <w:gridSpan w:val="2"/>
          </w:tcPr>
          <w:p w14:paraId="050B09C6" w14:textId="153CA903" w:rsidR="00E24BF7" w:rsidRDefault="00E24BF7" w:rsidP="009A5B8A">
            <w:pPr>
              <w:pStyle w:val="BodyText"/>
              <w:rPr>
                <w:lang w:val="en-AU"/>
              </w:rPr>
            </w:pPr>
            <w:r w:rsidRPr="00E24BF7">
              <w:rPr>
                <w:i/>
                <w:iCs/>
                <w:lang w:val="en-AU"/>
              </w:rPr>
              <w:t>This table was a</w:t>
            </w:r>
            <w:r>
              <w:rPr>
                <w:i/>
                <w:iCs/>
                <w:lang w:val="en-AU"/>
              </w:rPr>
              <w:t>dapted from Women Disability Victoria with permission</w:t>
            </w:r>
          </w:p>
        </w:tc>
      </w:tr>
    </w:tbl>
    <w:p w14:paraId="2CB0766F" w14:textId="34840AEC" w:rsidR="000F02B3" w:rsidRDefault="000F02B3" w:rsidP="000F02B3">
      <w:pPr>
        <w:pStyle w:val="BodyText"/>
      </w:pPr>
    </w:p>
    <w:p w14:paraId="5E33AD81" w14:textId="77777777" w:rsidR="003F5FD0" w:rsidRPr="003F5FD0" w:rsidRDefault="003F5FD0" w:rsidP="003F5FD0">
      <w:pPr>
        <w:pStyle w:val="Heading3"/>
      </w:pPr>
      <w:bookmarkStart w:id="87" w:name="_Toc96092102"/>
      <w:r w:rsidRPr="003F5FD0">
        <w:t>4.</w:t>
      </w:r>
      <w:r w:rsidRPr="003F5FD0">
        <w:tab/>
        <w:t>Recognising children as victim-survivors in their own right</w:t>
      </w:r>
      <w:bookmarkEnd w:id="87"/>
    </w:p>
    <w:p w14:paraId="7F94170F" w14:textId="77777777" w:rsidR="003F5FD0" w:rsidRPr="003F5FD0" w:rsidRDefault="003F5FD0" w:rsidP="003F5FD0">
      <w:pPr>
        <w:pStyle w:val="BodyText"/>
        <w:rPr>
          <w:lang w:val="en-AU"/>
        </w:rPr>
      </w:pPr>
    </w:p>
    <w:p w14:paraId="6F459B8C" w14:textId="0ADF01FA" w:rsidR="003F5FD0" w:rsidRPr="003F5FD0" w:rsidRDefault="003F5FD0" w:rsidP="003F5FD0">
      <w:pPr>
        <w:pStyle w:val="BodyText"/>
        <w:rPr>
          <w:lang w:val="en-AU"/>
        </w:rPr>
      </w:pPr>
      <w:r w:rsidRPr="003F5FD0">
        <w:rPr>
          <w:lang w:val="en-AU"/>
        </w:rPr>
        <w:t>In the survey, 43 respondents indicated that they had experienced abuse as a child—including physical, sexual, and emotional violence— (see Table 2.1.) and 77 respondents indicated that they had a family member who had experienced abuse as a child.</w:t>
      </w:r>
    </w:p>
    <w:p w14:paraId="5C116CE2" w14:textId="77777777" w:rsidR="003F5FD0" w:rsidRDefault="003F5FD0" w:rsidP="003F5FD0">
      <w:pPr>
        <w:pStyle w:val="BodyText"/>
        <w:rPr>
          <w:lang w:val="en-AU"/>
        </w:rPr>
      </w:pPr>
    </w:p>
    <w:p w14:paraId="5C6D48DD" w14:textId="783B8917" w:rsidR="003F5FD0" w:rsidRPr="003F5FD0" w:rsidRDefault="003F5FD0" w:rsidP="003F5FD0">
      <w:pPr>
        <w:pStyle w:val="BodyText"/>
        <w:rPr>
          <w:lang w:val="en-AU"/>
        </w:rPr>
      </w:pPr>
      <w:r w:rsidRPr="003F5FD0">
        <w:rPr>
          <w:lang w:val="en-AU"/>
        </w:rPr>
        <w:t>In the written responses it became clear that many respondents who experienced abuse as children also experienced violence later in life. This aligns with global research indicating that people who were abused as children are more likely to be abused as adults.</w:t>
      </w:r>
      <w:r>
        <w:rPr>
          <w:lang w:val="en-AU"/>
        </w:rPr>
        <w:t xml:space="preserve"> (</w:t>
      </w:r>
      <w:r w:rsidRPr="003F5FD0">
        <w:rPr>
          <w:lang w:val="en-AU"/>
        </w:rPr>
        <w:t>12</w:t>
      </w:r>
      <w:r>
        <w:rPr>
          <w:lang w:val="en-AU"/>
        </w:rPr>
        <w:t>)</w:t>
      </w:r>
    </w:p>
    <w:p w14:paraId="44DDC50E" w14:textId="35620D1B" w:rsidR="003F5FD0" w:rsidRDefault="003F5FD0" w:rsidP="003F5FD0">
      <w:pPr>
        <w:pStyle w:val="BodyText"/>
        <w:rPr>
          <w:lang w:val="en-AU"/>
        </w:rPr>
      </w:pPr>
      <w:r w:rsidRPr="003F5FD0">
        <w:rPr>
          <w:lang w:val="en-AU"/>
        </w:rPr>
        <w:t>Participants in both the survey and at the forum indicated that too often policies to prevent and respond to violence in Australia include children exclusively as</w:t>
      </w:r>
      <w:r>
        <w:rPr>
          <w:lang w:val="en-AU"/>
        </w:rPr>
        <w:t xml:space="preserve"> </w:t>
      </w:r>
      <w:r w:rsidRPr="003F5FD0">
        <w:rPr>
          <w:lang w:val="en-AU"/>
        </w:rPr>
        <w:t>‘dependents’ of mothers who are escaping violence. This often results in inadequate support frameworks that fail to cater to the specific needs of children who have experienced violence.</w:t>
      </w:r>
    </w:p>
    <w:p w14:paraId="0D9DA10C" w14:textId="77777777" w:rsidR="003F5FD0" w:rsidRPr="003F5FD0" w:rsidRDefault="003F5FD0" w:rsidP="003F5FD0">
      <w:pPr>
        <w:pStyle w:val="BodyText"/>
        <w:rPr>
          <w:lang w:val="en-AU"/>
        </w:rPr>
      </w:pPr>
    </w:p>
    <w:p w14:paraId="0ADD9490" w14:textId="733813D6" w:rsidR="003F5FD0" w:rsidRDefault="003F5FD0" w:rsidP="003F5FD0">
      <w:pPr>
        <w:pStyle w:val="BodyText"/>
        <w:rPr>
          <w:lang w:val="en-AU"/>
        </w:rPr>
      </w:pPr>
      <w:r w:rsidRPr="003F5FD0">
        <w:rPr>
          <w:lang w:val="en-AU"/>
        </w:rPr>
        <w:t>This puts children victim-survivors at a higher risk of mental health complications, negative neurological consequences, and physical health difficulties. In terms of primary prevention, a number of participants highlighted the connection between child abuse and violence against women more broadly.</w:t>
      </w:r>
    </w:p>
    <w:p w14:paraId="495DE7B6" w14:textId="77777777" w:rsidR="003F5FD0" w:rsidRPr="003F5FD0" w:rsidRDefault="003F5FD0" w:rsidP="003F5FD0">
      <w:pPr>
        <w:pStyle w:val="BodyText"/>
        <w:rPr>
          <w:lang w:val="en-AU"/>
        </w:rPr>
      </w:pPr>
    </w:p>
    <w:p w14:paraId="48A3BC93" w14:textId="328F0B68" w:rsidR="003F5FD0" w:rsidRDefault="003F5FD0" w:rsidP="003F5FD0">
      <w:pPr>
        <w:pStyle w:val="BodyText"/>
        <w:rPr>
          <w:lang w:val="en-AU"/>
        </w:rPr>
      </w:pPr>
      <w:r w:rsidRPr="003F5FD0">
        <w:rPr>
          <w:lang w:val="en-AU"/>
        </w:rPr>
        <w:t>Participants and respondents emphasised that in order for children and young people to receive adequate and positive support (and to end violence against young people) this cohort must be recognised as victim-survivors in their own right.</w:t>
      </w:r>
    </w:p>
    <w:p w14:paraId="34B569E7" w14:textId="2EAC8395" w:rsidR="003F5FD0" w:rsidRDefault="003F5FD0" w:rsidP="003F5FD0">
      <w:pPr>
        <w:pStyle w:val="BodyText"/>
        <w:rPr>
          <w:lang w:val="en-AU"/>
        </w:rPr>
      </w:pPr>
    </w:p>
    <w:p w14:paraId="2B40BB9A" w14:textId="2C5EC688" w:rsidR="003F5FD0" w:rsidRDefault="003F5FD0" w:rsidP="003F5FD0">
      <w:pPr>
        <w:pStyle w:val="IntenseQuote"/>
      </w:pPr>
      <w:r w:rsidRPr="003F5FD0">
        <w:t>If Australia wishes to end violence against women, it needs to first abolish any acceptable form of violence against children.</w:t>
      </w:r>
    </w:p>
    <w:p w14:paraId="4AF31251" w14:textId="6A128F21" w:rsidR="003F5FD0" w:rsidRDefault="003F5FD0">
      <w:pPr>
        <w:spacing w:after="200" w:line="276" w:lineRule="auto"/>
      </w:pPr>
      <w:r>
        <w:br w:type="page"/>
      </w:r>
    </w:p>
    <w:p w14:paraId="6509DFCB" w14:textId="0CEFB71A" w:rsidR="003F5FD0" w:rsidRDefault="003F5FD0" w:rsidP="009A5B8A">
      <w:pPr>
        <w:pStyle w:val="Heading1"/>
      </w:pPr>
      <w:bookmarkStart w:id="88" w:name="_Toc96092103"/>
      <w:r>
        <w:t>JUSTICE FOR YOUNG VICTIM-SURVIVORS</w:t>
      </w:r>
      <w:bookmarkEnd w:id="88"/>
    </w:p>
    <w:p w14:paraId="63502694" w14:textId="4973344B" w:rsidR="003F5FD0" w:rsidRPr="009A5B8A" w:rsidRDefault="003F5FD0" w:rsidP="009A5B8A">
      <w:pPr>
        <w:pStyle w:val="Heading2"/>
      </w:pPr>
      <w:bookmarkStart w:id="89" w:name="_Toc96092104"/>
      <w:r w:rsidRPr="009A5B8A">
        <w:t>Indigenous women and the law</w:t>
      </w:r>
      <w:bookmarkEnd w:id="89"/>
    </w:p>
    <w:p w14:paraId="63AA0739" w14:textId="0CE3F7B7" w:rsidR="003F5FD0" w:rsidRDefault="003F5FD0" w:rsidP="003F5FD0"/>
    <w:p w14:paraId="430C7178" w14:textId="2AFBED14" w:rsidR="003F5FD0" w:rsidRDefault="003F5FD0" w:rsidP="003F5FD0">
      <w:pPr>
        <w:pStyle w:val="Heading3"/>
      </w:pPr>
      <w:bookmarkStart w:id="90" w:name="_Toc96092105"/>
      <w:r w:rsidRPr="003F5FD0">
        <w:t>Insight from the Young Women’s and Non-Binary People’s Forum</w:t>
      </w:r>
      <w:bookmarkEnd w:id="90"/>
    </w:p>
    <w:p w14:paraId="1DC2E239" w14:textId="77777777" w:rsidR="003F5FD0" w:rsidRPr="003F5FD0" w:rsidRDefault="003F5FD0" w:rsidP="003F5FD0"/>
    <w:p w14:paraId="4F69E940" w14:textId="586D62E5" w:rsidR="003F5FD0" w:rsidRDefault="003F5FD0" w:rsidP="003F5FD0">
      <w:pPr>
        <w:pStyle w:val="BodyText"/>
      </w:pPr>
      <w:r>
        <w:t>With the forum taking place in NAIDOC week 2021, Break Out Room Four was hosted by the National Aboriginal and Torres Strait Islander Women’s Alliance (NATSIWA). Facilitated by Sandra Creamer, CEO of NATSIWA and Mikaela French, a young Torres Strait Islander Native Title lawyer, this discussion focused specifically on the NAIDOC theme ‘Heal Country’ and its relationship to Aboriginal and Torres Strait Islander women in the justice system and the law.</w:t>
      </w:r>
    </w:p>
    <w:p w14:paraId="7777E240" w14:textId="77777777" w:rsidR="003F5FD0" w:rsidRDefault="003F5FD0" w:rsidP="003F5FD0">
      <w:pPr>
        <w:pStyle w:val="BodyText"/>
      </w:pPr>
    </w:p>
    <w:p w14:paraId="20A2F170" w14:textId="4D2FA324" w:rsidR="003F5FD0" w:rsidRDefault="003F5FD0" w:rsidP="003F5FD0">
      <w:pPr>
        <w:pStyle w:val="BodyText"/>
      </w:pPr>
      <w:r>
        <w:t>Throughout NAIDOC week 2021, the theme of ‘Heal Country’ spotlighted the personhood and centrality of Country for Aboriginal and Torres Strait Islander communities. At the beginning of the breakout room Mikaela outlined what ‘Heal Country’ meant to her personally as a Torres Strait Islander woman and professionally as a Native Title lawyer.</w:t>
      </w:r>
    </w:p>
    <w:p w14:paraId="37927984" w14:textId="094C83D7" w:rsidR="003F5FD0" w:rsidRDefault="003F5FD0" w:rsidP="003F5FD0">
      <w:pPr>
        <w:pStyle w:val="BodyText"/>
      </w:pPr>
    </w:p>
    <w:p w14:paraId="576A7C23" w14:textId="26A8E784" w:rsidR="003F5FD0" w:rsidRDefault="003F5FD0" w:rsidP="003F5FD0">
      <w:pPr>
        <w:pStyle w:val="IntenseQuote"/>
      </w:pPr>
      <w:r>
        <w:t>Healing country in the space that I’m working means our clients have self—determination and power of their lands and waters. Healing country for myself personally, is not just the land—it’s our family, language, lore. Healing Country means healing ourselves and healing from past trauma.</w:t>
      </w:r>
    </w:p>
    <w:p w14:paraId="38C67B69" w14:textId="48610159" w:rsidR="003F5FD0" w:rsidRDefault="003F5FD0" w:rsidP="003F5FD0">
      <w:pPr>
        <w:pStyle w:val="BodyText"/>
      </w:pPr>
      <w:r w:rsidRPr="003F5FD0">
        <w:t>Following this, Mikaela discussed the difficulties of being an Indigenous woman working in the justice system.</w:t>
      </w:r>
    </w:p>
    <w:p w14:paraId="4C7D8681" w14:textId="069DCE2C" w:rsidR="003F5FD0" w:rsidRDefault="003F5FD0" w:rsidP="003F5FD0">
      <w:pPr>
        <w:pStyle w:val="BodyText"/>
      </w:pPr>
    </w:p>
    <w:p w14:paraId="6EFB1026" w14:textId="0A51170F" w:rsidR="003F5FD0" w:rsidRDefault="003F5FD0" w:rsidP="003F5FD0">
      <w:pPr>
        <w:pStyle w:val="IntenseQuote"/>
      </w:pPr>
      <w:r w:rsidRPr="003F5FD0">
        <w:t>I’m usually the youngest lawyer [in the court room], and sometimes, I’m the</w:t>
      </w:r>
      <w:r>
        <w:t xml:space="preserve"> </w:t>
      </w:r>
      <w:r w:rsidRPr="003F5FD0">
        <w:t>only woman. I’m nearly always the only Indigenous woman there.</w:t>
      </w:r>
    </w:p>
    <w:p w14:paraId="30904FD7" w14:textId="77777777" w:rsidR="00754BFB" w:rsidRPr="00754BFB" w:rsidRDefault="00754BFB" w:rsidP="00754BFB">
      <w:pPr>
        <w:pStyle w:val="BodyText"/>
        <w:rPr>
          <w:lang w:val="en-AU"/>
        </w:rPr>
      </w:pPr>
      <w:r w:rsidRPr="00754BFB">
        <w:rPr>
          <w:lang w:val="en-AU"/>
        </w:rPr>
        <w:t>Mikaela outlined her experiences of racism as a lawyer working in a predominantly white system.</w:t>
      </w:r>
    </w:p>
    <w:p w14:paraId="2B53BD14" w14:textId="77777777" w:rsidR="00754BFB" w:rsidRPr="00754BFB" w:rsidRDefault="00754BFB" w:rsidP="00754BFB">
      <w:pPr>
        <w:pStyle w:val="BodyText"/>
        <w:rPr>
          <w:lang w:val="en-AU"/>
        </w:rPr>
      </w:pPr>
      <w:r w:rsidRPr="00754BFB">
        <w:rPr>
          <w:lang w:val="en-AU"/>
        </w:rPr>
        <w:t>In doing so, she explained how people in the legal system used the colour of her skin, and in particular its ‘lightness’, to invalidate and eliminate her identity as a Torres Strait Islander woman.</w:t>
      </w:r>
    </w:p>
    <w:p w14:paraId="4689772A" w14:textId="433D2086" w:rsidR="00754BFB" w:rsidRPr="00754BFB" w:rsidRDefault="00754BFB" w:rsidP="00754BFB">
      <w:pPr>
        <w:pStyle w:val="BodyText"/>
        <w:rPr>
          <w:lang w:val="en-AU"/>
        </w:rPr>
      </w:pPr>
      <w:r w:rsidRPr="00754BFB">
        <w:rPr>
          <w:lang w:val="en-AU"/>
        </w:rPr>
        <w:t>Mikaela also discussed the difficulty of navigating westernised legal systems that do not account for Indigenous Lore.</w:t>
      </w:r>
    </w:p>
    <w:p w14:paraId="1B159005" w14:textId="77777777" w:rsidR="00754BFB" w:rsidRPr="00754BFB" w:rsidRDefault="00754BFB" w:rsidP="00754BFB">
      <w:pPr>
        <w:pStyle w:val="BodyText"/>
        <w:rPr>
          <w:lang w:val="en-AU"/>
        </w:rPr>
      </w:pPr>
    </w:p>
    <w:p w14:paraId="22AD6A5D" w14:textId="2542D367" w:rsidR="00754BFB" w:rsidRPr="00754BFB" w:rsidRDefault="00754BFB" w:rsidP="00754BFB">
      <w:pPr>
        <w:pStyle w:val="BodyText"/>
        <w:rPr>
          <w:lang w:val="en-AU"/>
        </w:rPr>
      </w:pPr>
      <w:r w:rsidRPr="00754BFB">
        <w:rPr>
          <w:lang w:val="en-AU"/>
        </w:rPr>
        <w:t>Mikaela and Sandra discussed the many barriers that Aboriginal and Torres Strait Islander women experience when being admitted to the Supreme Court—and how these barriers contribute to low numbers of Indigenous women holding positions of power in the legal system. One specific example included the process of ‘disclosing and justifying’, in which Judges look into an applicant’s personal history and have them justify certain past events or actions.</w:t>
      </w:r>
    </w:p>
    <w:p w14:paraId="0FB4EA1E" w14:textId="77777777" w:rsidR="00754BFB" w:rsidRPr="00754BFB" w:rsidRDefault="00754BFB" w:rsidP="00754BFB">
      <w:pPr>
        <w:pStyle w:val="BodyText"/>
        <w:rPr>
          <w:lang w:val="en-AU"/>
        </w:rPr>
      </w:pPr>
    </w:p>
    <w:p w14:paraId="63EE4CE0" w14:textId="2A863041" w:rsidR="003F5FD0" w:rsidRDefault="00754BFB" w:rsidP="00754BFB">
      <w:pPr>
        <w:pStyle w:val="BodyText"/>
        <w:rPr>
          <w:lang w:val="en-AU"/>
        </w:rPr>
      </w:pPr>
      <w:r w:rsidRPr="00754BFB">
        <w:rPr>
          <w:lang w:val="en-AU"/>
        </w:rPr>
        <w:t>The court, in turn, often assesses an individual’s past against whether they have been ‘professional’ enough. Mikaela and Sandra discussed how this can be a major disincentive for Indigenous women looking to become barristers, with Sandra outlining one specific example.</w:t>
      </w:r>
    </w:p>
    <w:p w14:paraId="78F5FFA8" w14:textId="105DCC44" w:rsidR="00754BFB" w:rsidRDefault="00754BFB" w:rsidP="00754BFB">
      <w:pPr>
        <w:pStyle w:val="BodyText"/>
        <w:rPr>
          <w:lang w:val="en-AU"/>
        </w:rPr>
      </w:pPr>
    </w:p>
    <w:p w14:paraId="79720678" w14:textId="7B5DD622" w:rsidR="00754BFB" w:rsidRDefault="00754BFB" w:rsidP="00754BFB">
      <w:pPr>
        <w:pStyle w:val="IntenseQuote"/>
      </w:pPr>
      <w:r>
        <w:t>I encountered a young woman who was a single mother and had a Centrelink debt, and she was quite worried this history would prevent her from getting admitted. We have so many young women coming from Aboriginal communities worried these things will be deterrent.</w:t>
      </w:r>
    </w:p>
    <w:p w14:paraId="59ECD02F" w14:textId="010DC472" w:rsidR="00754BFB" w:rsidRDefault="00754BFB" w:rsidP="00754BFB">
      <w:pPr>
        <w:pStyle w:val="BodyText"/>
      </w:pPr>
      <w:r>
        <w:t>With only three practicing Indigenous Barristers in Queensland, Mikaela and Sandra highlighted how the lack of diversity within the courts works to disadvantage women from diverse backgrounds who enter the legal system.</w:t>
      </w:r>
    </w:p>
    <w:p w14:paraId="0835E91D" w14:textId="173CAAA5" w:rsidR="00754BFB" w:rsidRDefault="00754BFB" w:rsidP="00754BFB">
      <w:pPr>
        <w:pStyle w:val="BodyText"/>
      </w:pPr>
    </w:p>
    <w:p w14:paraId="0D6B4842" w14:textId="345BC42F" w:rsidR="00754BFB" w:rsidRDefault="00754BFB" w:rsidP="009A5B8A">
      <w:pPr>
        <w:pStyle w:val="Heading2"/>
      </w:pPr>
      <w:bookmarkStart w:id="91" w:name="_Toc96092106"/>
      <w:r>
        <w:t>W</w:t>
      </w:r>
      <w:r w:rsidRPr="00754BFB">
        <w:t>hat does ‘justice’ look like for young victim-survivors?</w:t>
      </w:r>
      <w:bookmarkEnd w:id="91"/>
    </w:p>
    <w:p w14:paraId="3F8215B1" w14:textId="7C87003D" w:rsidR="00754BFB" w:rsidRDefault="00754BFB" w:rsidP="00754BFB"/>
    <w:p w14:paraId="5E2994C3" w14:textId="77777777" w:rsidR="00754BFB" w:rsidRDefault="00754BFB" w:rsidP="00754BFB">
      <w:pPr>
        <w:pStyle w:val="Heading3"/>
      </w:pPr>
      <w:bookmarkStart w:id="92" w:name="_Toc96092107"/>
      <w:r>
        <w:t>Safety and perpetrator accountability</w:t>
      </w:r>
      <w:bookmarkEnd w:id="92"/>
    </w:p>
    <w:p w14:paraId="7C3CF612" w14:textId="77777777" w:rsidR="00754BFB" w:rsidRDefault="00754BFB" w:rsidP="00754BFB">
      <w:pPr>
        <w:pStyle w:val="BodyText"/>
      </w:pPr>
    </w:p>
    <w:p w14:paraId="5B28E1C1" w14:textId="55490EC6" w:rsidR="00754BFB" w:rsidRDefault="00754BFB" w:rsidP="00754BFB">
      <w:pPr>
        <w:pStyle w:val="BodyText"/>
      </w:pPr>
      <w:r>
        <w:t>A recurring theme throughout the survey and forum is that there is a significant lack of perpetrator accountability in instances of violence against young women and non-binary people. It is therefore unsurprising that many respondents were in favour of improving perpetrator accountability as a form of justice.</w:t>
      </w:r>
    </w:p>
    <w:p w14:paraId="4A6981D4" w14:textId="77777777" w:rsidR="00754BFB" w:rsidRDefault="00754BFB" w:rsidP="00754BFB">
      <w:pPr>
        <w:pStyle w:val="BodyText"/>
      </w:pPr>
    </w:p>
    <w:p w14:paraId="4CA67E40" w14:textId="77777777" w:rsidR="00754BFB" w:rsidRDefault="00754BFB" w:rsidP="00754BFB">
      <w:pPr>
        <w:pStyle w:val="BodyText"/>
      </w:pPr>
      <w:r>
        <w:t>Overwhelmingly, the most desirable form of justice identified by young victim-survivors in the survey was a combination of ‘safety, recognition and perpetrator accountability’. With almost half of victim-survivors not wanting to report violence due to fear of retaliation from the perpetrator or the perpetrator’s social networks, it makes sense that victim-survivors want perpetrators to be held</w:t>
      </w:r>
    </w:p>
    <w:p w14:paraId="2A464E18" w14:textId="77777777" w:rsidR="00754BFB" w:rsidRDefault="00754BFB" w:rsidP="00754BFB">
      <w:pPr>
        <w:pStyle w:val="BodyText"/>
      </w:pPr>
      <w:r>
        <w:t>accountable in a way that doesn’t compromise their own safety. (See Table 6.1.)</w:t>
      </w:r>
    </w:p>
    <w:p w14:paraId="22F83020" w14:textId="77777777" w:rsidR="00754BFB" w:rsidRDefault="00754BFB" w:rsidP="00754BFB">
      <w:pPr>
        <w:pStyle w:val="BodyText"/>
      </w:pPr>
    </w:p>
    <w:p w14:paraId="737F6729" w14:textId="77777777" w:rsidR="00A965EE" w:rsidRPr="00754BFB" w:rsidRDefault="00754BFB" w:rsidP="00A965EE">
      <w:pPr>
        <w:pStyle w:val="BodyText"/>
      </w:pPr>
      <w:r>
        <w:t>Other forum participants touched on the importance of perpetrator accountability including a ‘formal</w:t>
      </w:r>
      <w:r w:rsidR="00A965EE">
        <w:t xml:space="preserve"> apology’ from perpetrators and ‘mandatory therapy sessions for perpetrators’.</w:t>
      </w:r>
    </w:p>
    <w:p w14:paraId="662EB752" w14:textId="7CBCA37D" w:rsidR="00754BFB" w:rsidRDefault="00754BFB" w:rsidP="00754BFB">
      <w:pPr>
        <w:pStyle w:val="BodyText"/>
      </w:pPr>
    </w:p>
    <w:p w14:paraId="3526169B" w14:textId="466FAAC1" w:rsidR="007D5AAA" w:rsidRDefault="007D5AAA" w:rsidP="007D5AAA">
      <w:pPr>
        <w:pStyle w:val="BodyText"/>
        <w:rPr>
          <w:b/>
          <w:bCs/>
        </w:rPr>
      </w:pPr>
      <w:r w:rsidRPr="007D5AAA">
        <w:rPr>
          <w:b/>
          <w:bCs/>
        </w:rPr>
        <w:t>Table 6.1: What does justice look like to young victim-survivors?</w:t>
      </w:r>
    </w:p>
    <w:p w14:paraId="44F684A8" w14:textId="404BF301" w:rsidR="007D5AAA" w:rsidRDefault="007D5AAA" w:rsidP="007D5AAA">
      <w:pPr>
        <w:pStyle w:val="BodyText"/>
        <w:rPr>
          <w:b/>
          <w:bCs/>
        </w:rPr>
      </w:pPr>
    </w:p>
    <w:tbl>
      <w:tblPr>
        <w:tblStyle w:val="TableGrid"/>
        <w:tblW w:w="9350" w:type="dxa"/>
        <w:tblLook w:val="04A0" w:firstRow="1" w:lastRow="0" w:firstColumn="1" w:lastColumn="0" w:noHBand="0" w:noVBand="1"/>
      </w:tblPr>
      <w:tblGrid>
        <w:gridCol w:w="4540"/>
        <w:gridCol w:w="729"/>
        <w:gridCol w:w="777"/>
        <w:gridCol w:w="711"/>
        <w:gridCol w:w="721"/>
        <w:gridCol w:w="939"/>
        <w:gridCol w:w="933"/>
      </w:tblGrid>
      <w:tr w:rsidR="00E24BF7" w:rsidRPr="007D5AAA" w14:paraId="65FEC10F" w14:textId="77777777" w:rsidTr="00B2360F">
        <w:tc>
          <w:tcPr>
            <w:tcW w:w="9350" w:type="dxa"/>
            <w:gridSpan w:val="7"/>
          </w:tcPr>
          <w:p w14:paraId="344C1642" w14:textId="69D30123" w:rsidR="00E24BF7" w:rsidRPr="007D5AAA" w:rsidRDefault="00E24BF7" w:rsidP="00E24BF7">
            <w:pPr>
              <w:pStyle w:val="BodyText"/>
              <w:rPr>
                <w:b/>
                <w:bCs/>
              </w:rPr>
            </w:pPr>
            <w:r w:rsidRPr="007D5AAA">
              <w:rPr>
                <w:b/>
                <w:bCs/>
              </w:rPr>
              <w:t xml:space="preserve">Table 6.1: What does justice look like to young victim-survivors? </w:t>
            </w:r>
          </w:p>
        </w:tc>
      </w:tr>
      <w:tr w:rsidR="00E24BF7" w:rsidRPr="007D5AAA" w14:paraId="4F6806D5" w14:textId="77777777" w:rsidTr="00E24BF7">
        <w:tc>
          <w:tcPr>
            <w:tcW w:w="4540" w:type="dxa"/>
          </w:tcPr>
          <w:p w14:paraId="7941498B" w14:textId="77777777" w:rsidR="00E24BF7" w:rsidRPr="007D5AAA" w:rsidRDefault="00E24BF7" w:rsidP="00E24BF7">
            <w:pPr>
              <w:jc w:val="both"/>
              <w:rPr>
                <w:rFonts w:ascii="Open Sans" w:hAnsi="Open Sans" w:cs="Open Sans"/>
                <w:sz w:val="20"/>
                <w:szCs w:val="20"/>
              </w:rPr>
            </w:pPr>
            <w:r w:rsidRPr="007D5AAA">
              <w:rPr>
                <w:rFonts w:ascii="Open Sans" w:hAnsi="Open Sans" w:cs="Open Sans"/>
                <w:sz w:val="20"/>
                <w:szCs w:val="20"/>
              </w:rPr>
              <w:t xml:space="preserve">Perpetrator accountability through the criminal justice system </w:t>
            </w:r>
          </w:p>
        </w:tc>
        <w:tc>
          <w:tcPr>
            <w:tcW w:w="729" w:type="dxa"/>
          </w:tcPr>
          <w:p w14:paraId="65231FF4" w14:textId="78EF1FDF" w:rsidR="00E24BF7" w:rsidRPr="007D5AAA" w:rsidRDefault="00E24BF7" w:rsidP="00E24BF7">
            <w:pPr>
              <w:jc w:val="both"/>
              <w:rPr>
                <w:rFonts w:ascii="Open Sans" w:hAnsi="Open Sans" w:cs="Open Sans"/>
                <w:sz w:val="20"/>
                <w:szCs w:val="20"/>
              </w:rPr>
            </w:pPr>
            <w:r w:rsidRPr="00D71E7D">
              <w:rPr>
                <w:rFonts w:ascii="Open Sans" w:hAnsi="Open Sans" w:cs="Open Sans"/>
                <w:b/>
                <w:bCs/>
                <w:sz w:val="20"/>
                <w:szCs w:val="20"/>
              </w:rPr>
              <w:t>Yes</w:t>
            </w:r>
          </w:p>
        </w:tc>
        <w:tc>
          <w:tcPr>
            <w:tcW w:w="777" w:type="dxa"/>
          </w:tcPr>
          <w:p w14:paraId="58AF4551" w14:textId="48544D37" w:rsidR="00E24BF7" w:rsidRPr="007D5AAA" w:rsidRDefault="00E24BF7" w:rsidP="00E24BF7">
            <w:pPr>
              <w:jc w:val="both"/>
              <w:rPr>
                <w:rFonts w:ascii="Open Sans" w:hAnsi="Open Sans" w:cs="Open Sans"/>
                <w:sz w:val="20"/>
                <w:szCs w:val="20"/>
              </w:rPr>
            </w:pPr>
            <w:r w:rsidRPr="007D5AAA">
              <w:rPr>
                <w:rFonts w:ascii="Open Sans" w:hAnsi="Open Sans" w:cs="Open Sans"/>
                <w:sz w:val="20"/>
                <w:szCs w:val="20"/>
              </w:rPr>
              <w:t xml:space="preserve">76.8% </w:t>
            </w:r>
          </w:p>
        </w:tc>
        <w:tc>
          <w:tcPr>
            <w:tcW w:w="711" w:type="dxa"/>
          </w:tcPr>
          <w:p w14:paraId="2E72A564" w14:textId="0588DE18" w:rsidR="00E24BF7" w:rsidRPr="007D5AAA" w:rsidRDefault="00E24BF7" w:rsidP="00E24BF7">
            <w:pPr>
              <w:jc w:val="both"/>
              <w:rPr>
                <w:rFonts w:ascii="Open Sans" w:hAnsi="Open Sans" w:cs="Open Sans"/>
                <w:sz w:val="20"/>
                <w:szCs w:val="20"/>
              </w:rPr>
            </w:pPr>
            <w:r w:rsidRPr="00C84713">
              <w:rPr>
                <w:rFonts w:ascii="Open Sans" w:hAnsi="Open Sans" w:cs="Open Sans"/>
                <w:b/>
                <w:bCs/>
                <w:sz w:val="20"/>
                <w:szCs w:val="20"/>
              </w:rPr>
              <w:t>No</w:t>
            </w:r>
          </w:p>
        </w:tc>
        <w:tc>
          <w:tcPr>
            <w:tcW w:w="721" w:type="dxa"/>
          </w:tcPr>
          <w:p w14:paraId="57031CF3" w14:textId="6D42959D" w:rsidR="00E24BF7" w:rsidRPr="007D5AAA" w:rsidRDefault="00E24BF7" w:rsidP="00E24BF7">
            <w:pPr>
              <w:jc w:val="both"/>
              <w:rPr>
                <w:rFonts w:ascii="Open Sans" w:hAnsi="Open Sans" w:cs="Open Sans"/>
                <w:sz w:val="20"/>
                <w:szCs w:val="20"/>
              </w:rPr>
            </w:pPr>
            <w:r w:rsidRPr="007D5AAA">
              <w:rPr>
                <w:rFonts w:ascii="Open Sans" w:hAnsi="Open Sans" w:cs="Open Sans"/>
                <w:sz w:val="20"/>
                <w:szCs w:val="20"/>
              </w:rPr>
              <w:t>5%</w:t>
            </w:r>
          </w:p>
        </w:tc>
        <w:tc>
          <w:tcPr>
            <w:tcW w:w="939" w:type="dxa"/>
          </w:tcPr>
          <w:p w14:paraId="7E95DB67" w14:textId="28C509AD" w:rsidR="00E24BF7" w:rsidRPr="007D5AAA" w:rsidRDefault="00E24BF7" w:rsidP="00E24BF7">
            <w:pPr>
              <w:jc w:val="both"/>
              <w:rPr>
                <w:rFonts w:ascii="Open Sans" w:hAnsi="Open Sans" w:cs="Open Sans"/>
                <w:sz w:val="20"/>
                <w:szCs w:val="20"/>
              </w:rPr>
            </w:pPr>
            <w:r w:rsidRPr="006B32B2">
              <w:rPr>
                <w:rFonts w:ascii="Open Sans" w:hAnsi="Open Sans" w:cs="Open Sans"/>
                <w:b/>
                <w:bCs/>
                <w:sz w:val="20"/>
                <w:szCs w:val="20"/>
              </w:rPr>
              <w:t>Unsure</w:t>
            </w:r>
          </w:p>
        </w:tc>
        <w:tc>
          <w:tcPr>
            <w:tcW w:w="933" w:type="dxa"/>
          </w:tcPr>
          <w:p w14:paraId="2D7A7F07" w14:textId="58638FF0" w:rsidR="00E24BF7" w:rsidRPr="007D5AAA" w:rsidRDefault="00E24BF7" w:rsidP="00E24BF7">
            <w:pPr>
              <w:jc w:val="both"/>
              <w:rPr>
                <w:rFonts w:ascii="Open Sans" w:hAnsi="Open Sans" w:cs="Open Sans"/>
                <w:sz w:val="20"/>
                <w:szCs w:val="20"/>
              </w:rPr>
            </w:pPr>
            <w:r w:rsidRPr="007D5AAA">
              <w:rPr>
                <w:rFonts w:ascii="Open Sans" w:hAnsi="Open Sans" w:cs="Open Sans"/>
                <w:sz w:val="20"/>
                <w:szCs w:val="20"/>
              </w:rPr>
              <w:t xml:space="preserve"> 18.2% </w:t>
            </w:r>
          </w:p>
        </w:tc>
      </w:tr>
      <w:tr w:rsidR="00E24BF7" w:rsidRPr="007D5AAA" w14:paraId="6C97B9E9" w14:textId="77777777" w:rsidTr="00E24BF7">
        <w:tc>
          <w:tcPr>
            <w:tcW w:w="4540" w:type="dxa"/>
          </w:tcPr>
          <w:p w14:paraId="64DB0AAB" w14:textId="77777777" w:rsidR="00E24BF7" w:rsidRPr="007D5AAA" w:rsidRDefault="00E24BF7" w:rsidP="00E24BF7">
            <w:pPr>
              <w:jc w:val="both"/>
              <w:rPr>
                <w:rFonts w:ascii="Open Sans" w:hAnsi="Open Sans" w:cs="Open Sans"/>
                <w:sz w:val="20"/>
                <w:szCs w:val="20"/>
              </w:rPr>
            </w:pPr>
            <w:r w:rsidRPr="007D5AAA">
              <w:rPr>
                <w:rFonts w:ascii="Open Sans" w:hAnsi="Open Sans" w:cs="Open Sans"/>
                <w:sz w:val="20"/>
                <w:szCs w:val="20"/>
              </w:rPr>
              <w:t xml:space="preserve">Perpetrator accountability within social networks and the broader community </w:t>
            </w:r>
          </w:p>
        </w:tc>
        <w:tc>
          <w:tcPr>
            <w:tcW w:w="729" w:type="dxa"/>
          </w:tcPr>
          <w:p w14:paraId="4C0559AC" w14:textId="08A6A3F4" w:rsidR="00E24BF7" w:rsidRPr="007D5AAA" w:rsidRDefault="00E24BF7" w:rsidP="00E24BF7">
            <w:pPr>
              <w:jc w:val="both"/>
              <w:rPr>
                <w:rFonts w:ascii="Open Sans" w:hAnsi="Open Sans" w:cs="Open Sans"/>
                <w:sz w:val="20"/>
                <w:szCs w:val="20"/>
              </w:rPr>
            </w:pPr>
            <w:r w:rsidRPr="00D71E7D">
              <w:rPr>
                <w:rFonts w:ascii="Open Sans" w:hAnsi="Open Sans" w:cs="Open Sans"/>
                <w:b/>
                <w:bCs/>
                <w:sz w:val="20"/>
                <w:szCs w:val="20"/>
              </w:rPr>
              <w:t>Yes</w:t>
            </w:r>
          </w:p>
        </w:tc>
        <w:tc>
          <w:tcPr>
            <w:tcW w:w="777" w:type="dxa"/>
          </w:tcPr>
          <w:p w14:paraId="42353489" w14:textId="0F8DBFD7" w:rsidR="00E24BF7" w:rsidRPr="007D5AAA" w:rsidRDefault="00E24BF7" w:rsidP="00E24BF7">
            <w:pPr>
              <w:jc w:val="both"/>
              <w:rPr>
                <w:rFonts w:ascii="Open Sans" w:hAnsi="Open Sans" w:cs="Open Sans"/>
                <w:sz w:val="20"/>
                <w:szCs w:val="20"/>
              </w:rPr>
            </w:pPr>
            <w:r w:rsidRPr="007D5AAA">
              <w:rPr>
                <w:rFonts w:ascii="Open Sans" w:hAnsi="Open Sans" w:cs="Open Sans"/>
                <w:sz w:val="20"/>
                <w:szCs w:val="20"/>
              </w:rPr>
              <w:t xml:space="preserve">86.0% </w:t>
            </w:r>
          </w:p>
        </w:tc>
        <w:tc>
          <w:tcPr>
            <w:tcW w:w="711" w:type="dxa"/>
          </w:tcPr>
          <w:p w14:paraId="4C21D5CB" w14:textId="6EBD0333" w:rsidR="00E24BF7" w:rsidRPr="007D5AAA" w:rsidRDefault="00E24BF7" w:rsidP="00E24BF7">
            <w:pPr>
              <w:jc w:val="both"/>
              <w:rPr>
                <w:rFonts w:ascii="Open Sans" w:hAnsi="Open Sans" w:cs="Open Sans"/>
                <w:sz w:val="20"/>
                <w:szCs w:val="20"/>
              </w:rPr>
            </w:pPr>
            <w:r w:rsidRPr="00C84713">
              <w:rPr>
                <w:rFonts w:ascii="Open Sans" w:hAnsi="Open Sans" w:cs="Open Sans"/>
                <w:b/>
                <w:bCs/>
                <w:sz w:val="20"/>
                <w:szCs w:val="20"/>
              </w:rPr>
              <w:t>No</w:t>
            </w:r>
          </w:p>
        </w:tc>
        <w:tc>
          <w:tcPr>
            <w:tcW w:w="721" w:type="dxa"/>
          </w:tcPr>
          <w:p w14:paraId="0E2D53A0" w14:textId="7F3FC2D1" w:rsidR="00E24BF7" w:rsidRPr="007D5AAA" w:rsidRDefault="00E24BF7" w:rsidP="00E24BF7">
            <w:pPr>
              <w:jc w:val="both"/>
              <w:rPr>
                <w:rFonts w:ascii="Open Sans" w:hAnsi="Open Sans" w:cs="Open Sans"/>
                <w:sz w:val="20"/>
                <w:szCs w:val="20"/>
              </w:rPr>
            </w:pPr>
            <w:r w:rsidRPr="007D5AAA">
              <w:rPr>
                <w:rFonts w:ascii="Open Sans" w:hAnsi="Open Sans" w:cs="Open Sans"/>
                <w:sz w:val="20"/>
                <w:szCs w:val="20"/>
              </w:rPr>
              <w:t>2.2.%</w:t>
            </w:r>
          </w:p>
        </w:tc>
        <w:tc>
          <w:tcPr>
            <w:tcW w:w="939" w:type="dxa"/>
          </w:tcPr>
          <w:p w14:paraId="152EAF69" w14:textId="2A10FD27" w:rsidR="00E24BF7" w:rsidRPr="007D5AAA" w:rsidRDefault="00E24BF7" w:rsidP="00E24BF7">
            <w:pPr>
              <w:jc w:val="both"/>
              <w:rPr>
                <w:rFonts w:ascii="Open Sans" w:hAnsi="Open Sans" w:cs="Open Sans"/>
                <w:sz w:val="20"/>
                <w:szCs w:val="20"/>
              </w:rPr>
            </w:pPr>
            <w:r w:rsidRPr="006B32B2">
              <w:rPr>
                <w:rFonts w:ascii="Open Sans" w:hAnsi="Open Sans" w:cs="Open Sans"/>
                <w:b/>
                <w:bCs/>
                <w:sz w:val="20"/>
                <w:szCs w:val="20"/>
              </w:rPr>
              <w:t>Unsure</w:t>
            </w:r>
          </w:p>
        </w:tc>
        <w:tc>
          <w:tcPr>
            <w:tcW w:w="933" w:type="dxa"/>
          </w:tcPr>
          <w:p w14:paraId="7BEDCB28" w14:textId="560EE9DD" w:rsidR="00E24BF7" w:rsidRPr="007D5AAA" w:rsidRDefault="00E24BF7" w:rsidP="00E24BF7">
            <w:pPr>
              <w:jc w:val="both"/>
              <w:rPr>
                <w:rFonts w:ascii="Open Sans" w:hAnsi="Open Sans" w:cs="Open Sans"/>
                <w:sz w:val="20"/>
                <w:szCs w:val="20"/>
              </w:rPr>
            </w:pPr>
            <w:r w:rsidRPr="007D5AAA">
              <w:rPr>
                <w:rFonts w:ascii="Open Sans" w:hAnsi="Open Sans" w:cs="Open Sans"/>
                <w:sz w:val="20"/>
                <w:szCs w:val="20"/>
              </w:rPr>
              <w:t>11.8%</w:t>
            </w:r>
          </w:p>
        </w:tc>
      </w:tr>
      <w:tr w:rsidR="00E24BF7" w:rsidRPr="007D5AAA" w14:paraId="1DE1A807" w14:textId="77777777" w:rsidTr="00E24BF7">
        <w:tc>
          <w:tcPr>
            <w:tcW w:w="4540" w:type="dxa"/>
          </w:tcPr>
          <w:p w14:paraId="13C40D91" w14:textId="77777777" w:rsidR="00E24BF7" w:rsidRPr="007D5AAA" w:rsidRDefault="00E24BF7" w:rsidP="00E24BF7">
            <w:pPr>
              <w:jc w:val="both"/>
              <w:rPr>
                <w:rFonts w:ascii="Open Sans" w:hAnsi="Open Sans" w:cs="Open Sans"/>
                <w:sz w:val="20"/>
                <w:szCs w:val="20"/>
              </w:rPr>
            </w:pPr>
            <w:r w:rsidRPr="007D5AAA">
              <w:rPr>
                <w:rFonts w:ascii="Open Sans" w:hAnsi="Open Sans" w:cs="Open Sans"/>
                <w:sz w:val="20"/>
                <w:szCs w:val="20"/>
              </w:rPr>
              <w:t xml:space="preserve">Removal or perpetrators from spaces (e.g., from the home, universities, workplaces) </w:t>
            </w:r>
          </w:p>
        </w:tc>
        <w:tc>
          <w:tcPr>
            <w:tcW w:w="729" w:type="dxa"/>
          </w:tcPr>
          <w:p w14:paraId="3BE378AE" w14:textId="7BEC7784" w:rsidR="00E24BF7" w:rsidRPr="007D5AAA" w:rsidRDefault="00E24BF7" w:rsidP="00E24BF7">
            <w:pPr>
              <w:jc w:val="both"/>
              <w:rPr>
                <w:rFonts w:ascii="Open Sans" w:hAnsi="Open Sans" w:cs="Open Sans"/>
                <w:sz w:val="20"/>
                <w:szCs w:val="20"/>
              </w:rPr>
            </w:pPr>
            <w:r w:rsidRPr="00D71E7D">
              <w:rPr>
                <w:rFonts w:ascii="Open Sans" w:hAnsi="Open Sans" w:cs="Open Sans"/>
                <w:b/>
                <w:bCs/>
                <w:sz w:val="20"/>
                <w:szCs w:val="20"/>
              </w:rPr>
              <w:t>Yes</w:t>
            </w:r>
          </w:p>
        </w:tc>
        <w:tc>
          <w:tcPr>
            <w:tcW w:w="777" w:type="dxa"/>
          </w:tcPr>
          <w:p w14:paraId="63493922" w14:textId="044DE8AA" w:rsidR="00E24BF7" w:rsidRPr="007D5AAA" w:rsidRDefault="00E24BF7" w:rsidP="00E24BF7">
            <w:pPr>
              <w:jc w:val="both"/>
              <w:rPr>
                <w:rFonts w:ascii="Open Sans" w:hAnsi="Open Sans" w:cs="Open Sans"/>
                <w:sz w:val="20"/>
                <w:szCs w:val="20"/>
              </w:rPr>
            </w:pPr>
            <w:r w:rsidRPr="007D5AAA">
              <w:rPr>
                <w:rFonts w:ascii="Open Sans" w:hAnsi="Open Sans" w:cs="Open Sans"/>
                <w:sz w:val="20"/>
                <w:szCs w:val="20"/>
              </w:rPr>
              <w:t xml:space="preserve">88.1% </w:t>
            </w:r>
          </w:p>
        </w:tc>
        <w:tc>
          <w:tcPr>
            <w:tcW w:w="711" w:type="dxa"/>
          </w:tcPr>
          <w:p w14:paraId="132C8BAF" w14:textId="6430BC7A" w:rsidR="00E24BF7" w:rsidRPr="007D5AAA" w:rsidRDefault="00E24BF7" w:rsidP="00E24BF7">
            <w:pPr>
              <w:jc w:val="both"/>
              <w:rPr>
                <w:rFonts w:ascii="Open Sans" w:hAnsi="Open Sans" w:cs="Open Sans"/>
                <w:sz w:val="20"/>
                <w:szCs w:val="20"/>
              </w:rPr>
            </w:pPr>
            <w:r w:rsidRPr="00C84713">
              <w:rPr>
                <w:rFonts w:ascii="Open Sans" w:hAnsi="Open Sans" w:cs="Open Sans"/>
                <w:b/>
                <w:bCs/>
                <w:sz w:val="20"/>
                <w:szCs w:val="20"/>
              </w:rPr>
              <w:t>No</w:t>
            </w:r>
          </w:p>
        </w:tc>
        <w:tc>
          <w:tcPr>
            <w:tcW w:w="721" w:type="dxa"/>
          </w:tcPr>
          <w:p w14:paraId="0B21B5CE" w14:textId="4913AEFA" w:rsidR="00E24BF7" w:rsidRPr="007D5AAA" w:rsidRDefault="00E24BF7" w:rsidP="00E24BF7">
            <w:pPr>
              <w:jc w:val="both"/>
              <w:rPr>
                <w:rFonts w:ascii="Open Sans" w:hAnsi="Open Sans" w:cs="Open Sans"/>
                <w:sz w:val="20"/>
                <w:szCs w:val="20"/>
              </w:rPr>
            </w:pPr>
            <w:r w:rsidRPr="007D5AAA">
              <w:rPr>
                <w:rFonts w:ascii="Open Sans" w:hAnsi="Open Sans" w:cs="Open Sans"/>
                <w:sz w:val="20"/>
                <w:szCs w:val="20"/>
              </w:rPr>
              <w:t>1.1%</w:t>
            </w:r>
          </w:p>
        </w:tc>
        <w:tc>
          <w:tcPr>
            <w:tcW w:w="939" w:type="dxa"/>
          </w:tcPr>
          <w:p w14:paraId="576B7852" w14:textId="68CC89B2" w:rsidR="00E24BF7" w:rsidRPr="007D5AAA" w:rsidRDefault="00E24BF7" w:rsidP="00E24BF7">
            <w:pPr>
              <w:jc w:val="both"/>
              <w:rPr>
                <w:rFonts w:ascii="Open Sans" w:hAnsi="Open Sans" w:cs="Open Sans"/>
                <w:sz w:val="20"/>
                <w:szCs w:val="20"/>
              </w:rPr>
            </w:pPr>
            <w:r w:rsidRPr="006B32B2">
              <w:rPr>
                <w:rFonts w:ascii="Open Sans" w:hAnsi="Open Sans" w:cs="Open Sans"/>
                <w:b/>
                <w:bCs/>
                <w:sz w:val="20"/>
                <w:szCs w:val="20"/>
              </w:rPr>
              <w:t>Unsure</w:t>
            </w:r>
          </w:p>
        </w:tc>
        <w:tc>
          <w:tcPr>
            <w:tcW w:w="933" w:type="dxa"/>
          </w:tcPr>
          <w:p w14:paraId="27485B42" w14:textId="3B0C06BE" w:rsidR="00E24BF7" w:rsidRPr="007D5AAA" w:rsidRDefault="00E24BF7" w:rsidP="00E24BF7">
            <w:pPr>
              <w:jc w:val="both"/>
              <w:rPr>
                <w:rFonts w:ascii="Open Sans" w:hAnsi="Open Sans" w:cs="Open Sans"/>
                <w:sz w:val="20"/>
                <w:szCs w:val="20"/>
              </w:rPr>
            </w:pPr>
            <w:r w:rsidRPr="007D5AAA">
              <w:rPr>
                <w:rFonts w:ascii="Open Sans" w:hAnsi="Open Sans" w:cs="Open Sans"/>
                <w:sz w:val="20"/>
                <w:szCs w:val="20"/>
              </w:rPr>
              <w:t xml:space="preserve">10.7% </w:t>
            </w:r>
          </w:p>
        </w:tc>
      </w:tr>
      <w:tr w:rsidR="00E24BF7" w:rsidRPr="007D5AAA" w14:paraId="21488F37" w14:textId="77777777" w:rsidTr="00E24BF7">
        <w:tc>
          <w:tcPr>
            <w:tcW w:w="4540" w:type="dxa"/>
          </w:tcPr>
          <w:p w14:paraId="74F7DF18" w14:textId="77777777" w:rsidR="00E24BF7" w:rsidRPr="007D5AAA" w:rsidRDefault="00E24BF7" w:rsidP="00E24BF7">
            <w:pPr>
              <w:jc w:val="both"/>
              <w:rPr>
                <w:rFonts w:ascii="Open Sans" w:hAnsi="Open Sans" w:cs="Open Sans"/>
                <w:sz w:val="20"/>
                <w:szCs w:val="20"/>
              </w:rPr>
            </w:pPr>
            <w:r w:rsidRPr="007D5AAA">
              <w:rPr>
                <w:rFonts w:ascii="Open Sans" w:hAnsi="Open Sans" w:cs="Open Sans"/>
                <w:sz w:val="20"/>
                <w:szCs w:val="20"/>
              </w:rPr>
              <w:t>Safety, recognition and perpetrator accountability</w:t>
            </w:r>
          </w:p>
        </w:tc>
        <w:tc>
          <w:tcPr>
            <w:tcW w:w="729" w:type="dxa"/>
          </w:tcPr>
          <w:p w14:paraId="3D63EBF4" w14:textId="39B205C7" w:rsidR="00E24BF7" w:rsidRPr="007D5AAA" w:rsidRDefault="00E24BF7" w:rsidP="00E24BF7">
            <w:pPr>
              <w:jc w:val="both"/>
              <w:rPr>
                <w:rFonts w:ascii="Open Sans" w:hAnsi="Open Sans" w:cs="Open Sans"/>
                <w:sz w:val="20"/>
                <w:szCs w:val="20"/>
              </w:rPr>
            </w:pPr>
            <w:r w:rsidRPr="00D71E7D">
              <w:rPr>
                <w:rFonts w:ascii="Open Sans" w:hAnsi="Open Sans" w:cs="Open Sans"/>
                <w:b/>
                <w:bCs/>
                <w:sz w:val="20"/>
                <w:szCs w:val="20"/>
              </w:rPr>
              <w:t>Yes</w:t>
            </w:r>
          </w:p>
        </w:tc>
        <w:tc>
          <w:tcPr>
            <w:tcW w:w="777" w:type="dxa"/>
          </w:tcPr>
          <w:p w14:paraId="643691A7" w14:textId="20998A86" w:rsidR="00E24BF7" w:rsidRPr="007D5AAA" w:rsidRDefault="00E24BF7" w:rsidP="00E24BF7">
            <w:pPr>
              <w:jc w:val="both"/>
              <w:rPr>
                <w:rFonts w:ascii="Open Sans" w:hAnsi="Open Sans" w:cs="Open Sans"/>
                <w:sz w:val="20"/>
                <w:szCs w:val="20"/>
              </w:rPr>
            </w:pPr>
            <w:r w:rsidRPr="007D5AAA">
              <w:rPr>
                <w:rFonts w:ascii="Open Sans" w:hAnsi="Open Sans" w:cs="Open Sans"/>
                <w:sz w:val="20"/>
                <w:szCs w:val="20"/>
              </w:rPr>
              <w:t>97.2%</w:t>
            </w:r>
          </w:p>
        </w:tc>
        <w:tc>
          <w:tcPr>
            <w:tcW w:w="711" w:type="dxa"/>
          </w:tcPr>
          <w:p w14:paraId="64B9C33D" w14:textId="3CBB8563" w:rsidR="00E24BF7" w:rsidRPr="007D5AAA" w:rsidRDefault="00E24BF7" w:rsidP="00E24BF7">
            <w:pPr>
              <w:jc w:val="both"/>
              <w:rPr>
                <w:rFonts w:ascii="Open Sans" w:hAnsi="Open Sans" w:cs="Open Sans"/>
                <w:sz w:val="20"/>
                <w:szCs w:val="20"/>
              </w:rPr>
            </w:pPr>
            <w:r w:rsidRPr="00C84713">
              <w:rPr>
                <w:rFonts w:ascii="Open Sans" w:hAnsi="Open Sans" w:cs="Open Sans"/>
                <w:b/>
                <w:bCs/>
                <w:sz w:val="20"/>
                <w:szCs w:val="20"/>
              </w:rPr>
              <w:t>No</w:t>
            </w:r>
          </w:p>
        </w:tc>
        <w:tc>
          <w:tcPr>
            <w:tcW w:w="721" w:type="dxa"/>
          </w:tcPr>
          <w:p w14:paraId="1C7EB047" w14:textId="2EF76A67" w:rsidR="00E24BF7" w:rsidRPr="007D5AAA" w:rsidRDefault="00E24BF7" w:rsidP="00E24BF7">
            <w:pPr>
              <w:jc w:val="both"/>
              <w:rPr>
                <w:rFonts w:ascii="Open Sans" w:hAnsi="Open Sans" w:cs="Open Sans"/>
                <w:sz w:val="20"/>
                <w:szCs w:val="20"/>
              </w:rPr>
            </w:pPr>
            <w:r w:rsidRPr="007D5AAA">
              <w:rPr>
                <w:rFonts w:ascii="Open Sans" w:hAnsi="Open Sans" w:cs="Open Sans"/>
                <w:sz w:val="20"/>
                <w:szCs w:val="20"/>
              </w:rPr>
              <w:t>0%</w:t>
            </w:r>
          </w:p>
        </w:tc>
        <w:tc>
          <w:tcPr>
            <w:tcW w:w="939" w:type="dxa"/>
          </w:tcPr>
          <w:p w14:paraId="31E7BBDC" w14:textId="09CB6B47" w:rsidR="00E24BF7" w:rsidRPr="007D5AAA" w:rsidRDefault="00E24BF7" w:rsidP="00E24BF7">
            <w:pPr>
              <w:jc w:val="both"/>
              <w:rPr>
                <w:rFonts w:ascii="Open Sans" w:hAnsi="Open Sans" w:cs="Open Sans"/>
                <w:sz w:val="20"/>
                <w:szCs w:val="20"/>
              </w:rPr>
            </w:pPr>
            <w:r w:rsidRPr="006B32B2">
              <w:rPr>
                <w:rFonts w:ascii="Open Sans" w:hAnsi="Open Sans" w:cs="Open Sans"/>
                <w:b/>
                <w:bCs/>
                <w:sz w:val="20"/>
                <w:szCs w:val="20"/>
              </w:rPr>
              <w:t>Unsure</w:t>
            </w:r>
          </w:p>
        </w:tc>
        <w:tc>
          <w:tcPr>
            <w:tcW w:w="933" w:type="dxa"/>
          </w:tcPr>
          <w:p w14:paraId="433D49E4" w14:textId="50F3BEB3" w:rsidR="00E24BF7" w:rsidRPr="007D5AAA" w:rsidRDefault="00E24BF7" w:rsidP="00E24BF7">
            <w:pPr>
              <w:jc w:val="both"/>
              <w:rPr>
                <w:rFonts w:ascii="Open Sans" w:hAnsi="Open Sans" w:cs="Open Sans"/>
                <w:sz w:val="20"/>
                <w:szCs w:val="20"/>
              </w:rPr>
            </w:pPr>
            <w:r w:rsidRPr="007D5AAA">
              <w:rPr>
                <w:rFonts w:ascii="Open Sans" w:hAnsi="Open Sans" w:cs="Open Sans"/>
                <w:sz w:val="20"/>
                <w:szCs w:val="20"/>
              </w:rPr>
              <w:t>2.8%</w:t>
            </w:r>
          </w:p>
        </w:tc>
      </w:tr>
      <w:tr w:rsidR="00E24BF7" w:rsidRPr="007D5AAA" w14:paraId="4BAF9D27" w14:textId="77777777" w:rsidTr="00E24BF7">
        <w:tc>
          <w:tcPr>
            <w:tcW w:w="4540" w:type="dxa"/>
          </w:tcPr>
          <w:p w14:paraId="77AAED38" w14:textId="77777777" w:rsidR="00E24BF7" w:rsidRPr="007D5AAA" w:rsidRDefault="00E24BF7" w:rsidP="00E24BF7">
            <w:pPr>
              <w:jc w:val="both"/>
              <w:rPr>
                <w:rFonts w:ascii="Open Sans" w:hAnsi="Open Sans" w:cs="Open Sans"/>
                <w:sz w:val="20"/>
                <w:szCs w:val="20"/>
              </w:rPr>
            </w:pPr>
            <w:r w:rsidRPr="007D5AAA">
              <w:rPr>
                <w:rFonts w:ascii="Open Sans" w:hAnsi="Open Sans" w:cs="Open Sans"/>
                <w:sz w:val="20"/>
                <w:szCs w:val="20"/>
              </w:rPr>
              <w:t xml:space="preserve">Whatever the victim-survivor wants in terms of safety, recognition and perpetrator accountability </w:t>
            </w:r>
          </w:p>
        </w:tc>
        <w:tc>
          <w:tcPr>
            <w:tcW w:w="729" w:type="dxa"/>
          </w:tcPr>
          <w:p w14:paraId="1F98DBA9" w14:textId="7D9482D3" w:rsidR="00E24BF7" w:rsidRPr="007D5AAA" w:rsidRDefault="00E24BF7" w:rsidP="00E24BF7">
            <w:pPr>
              <w:jc w:val="both"/>
              <w:rPr>
                <w:rFonts w:ascii="Open Sans" w:hAnsi="Open Sans" w:cs="Open Sans"/>
                <w:sz w:val="20"/>
                <w:szCs w:val="20"/>
              </w:rPr>
            </w:pPr>
            <w:r w:rsidRPr="00D71E7D">
              <w:rPr>
                <w:rFonts w:ascii="Open Sans" w:hAnsi="Open Sans" w:cs="Open Sans"/>
                <w:b/>
                <w:bCs/>
                <w:sz w:val="20"/>
                <w:szCs w:val="20"/>
              </w:rPr>
              <w:t>Yes</w:t>
            </w:r>
          </w:p>
        </w:tc>
        <w:tc>
          <w:tcPr>
            <w:tcW w:w="777" w:type="dxa"/>
          </w:tcPr>
          <w:p w14:paraId="735B7F0B" w14:textId="3D5FCF1A" w:rsidR="00E24BF7" w:rsidRPr="007D5AAA" w:rsidRDefault="00E24BF7" w:rsidP="00E24BF7">
            <w:pPr>
              <w:jc w:val="both"/>
              <w:rPr>
                <w:rFonts w:ascii="Open Sans" w:hAnsi="Open Sans" w:cs="Open Sans"/>
                <w:sz w:val="20"/>
                <w:szCs w:val="20"/>
              </w:rPr>
            </w:pPr>
            <w:r w:rsidRPr="007D5AAA">
              <w:rPr>
                <w:rFonts w:ascii="Open Sans" w:hAnsi="Open Sans" w:cs="Open Sans"/>
                <w:sz w:val="20"/>
                <w:szCs w:val="20"/>
              </w:rPr>
              <w:t>79.0%</w:t>
            </w:r>
          </w:p>
        </w:tc>
        <w:tc>
          <w:tcPr>
            <w:tcW w:w="711" w:type="dxa"/>
          </w:tcPr>
          <w:p w14:paraId="6F949B64" w14:textId="00F9047B" w:rsidR="00E24BF7" w:rsidRPr="007D5AAA" w:rsidRDefault="00E24BF7" w:rsidP="00E24BF7">
            <w:pPr>
              <w:jc w:val="both"/>
              <w:rPr>
                <w:rFonts w:ascii="Open Sans" w:hAnsi="Open Sans" w:cs="Open Sans"/>
                <w:sz w:val="20"/>
                <w:szCs w:val="20"/>
              </w:rPr>
            </w:pPr>
            <w:r w:rsidRPr="00C84713">
              <w:rPr>
                <w:rFonts w:ascii="Open Sans" w:hAnsi="Open Sans" w:cs="Open Sans"/>
                <w:b/>
                <w:bCs/>
                <w:sz w:val="20"/>
                <w:szCs w:val="20"/>
              </w:rPr>
              <w:t>No</w:t>
            </w:r>
          </w:p>
        </w:tc>
        <w:tc>
          <w:tcPr>
            <w:tcW w:w="721" w:type="dxa"/>
          </w:tcPr>
          <w:p w14:paraId="1825B306" w14:textId="4583E27C" w:rsidR="00E24BF7" w:rsidRPr="007D5AAA" w:rsidRDefault="00E24BF7" w:rsidP="00E24BF7">
            <w:pPr>
              <w:jc w:val="both"/>
              <w:rPr>
                <w:rFonts w:ascii="Open Sans" w:hAnsi="Open Sans" w:cs="Open Sans"/>
                <w:sz w:val="20"/>
                <w:szCs w:val="20"/>
              </w:rPr>
            </w:pPr>
            <w:r w:rsidRPr="007D5AAA">
              <w:rPr>
                <w:rFonts w:ascii="Open Sans" w:hAnsi="Open Sans" w:cs="Open Sans"/>
                <w:sz w:val="20"/>
                <w:szCs w:val="20"/>
              </w:rPr>
              <w:t>2.7%</w:t>
            </w:r>
          </w:p>
        </w:tc>
        <w:tc>
          <w:tcPr>
            <w:tcW w:w="939" w:type="dxa"/>
          </w:tcPr>
          <w:p w14:paraId="0E718610" w14:textId="5BDF2EB3" w:rsidR="00E24BF7" w:rsidRPr="007D5AAA" w:rsidRDefault="00E24BF7" w:rsidP="00E24BF7">
            <w:pPr>
              <w:jc w:val="both"/>
              <w:rPr>
                <w:rFonts w:ascii="Open Sans" w:hAnsi="Open Sans" w:cs="Open Sans"/>
                <w:sz w:val="20"/>
                <w:szCs w:val="20"/>
              </w:rPr>
            </w:pPr>
            <w:r w:rsidRPr="006B32B2">
              <w:rPr>
                <w:rFonts w:ascii="Open Sans" w:hAnsi="Open Sans" w:cs="Open Sans"/>
                <w:b/>
                <w:bCs/>
                <w:sz w:val="20"/>
                <w:szCs w:val="20"/>
              </w:rPr>
              <w:t>Unsure</w:t>
            </w:r>
          </w:p>
        </w:tc>
        <w:tc>
          <w:tcPr>
            <w:tcW w:w="933" w:type="dxa"/>
          </w:tcPr>
          <w:p w14:paraId="7951A18D" w14:textId="221EB0CE" w:rsidR="00E24BF7" w:rsidRPr="007D5AAA" w:rsidRDefault="00E24BF7" w:rsidP="00E24BF7">
            <w:pPr>
              <w:jc w:val="both"/>
              <w:rPr>
                <w:rFonts w:ascii="Open Sans" w:hAnsi="Open Sans" w:cs="Open Sans"/>
                <w:sz w:val="20"/>
                <w:szCs w:val="20"/>
              </w:rPr>
            </w:pPr>
            <w:r w:rsidRPr="007D5AAA">
              <w:rPr>
                <w:rFonts w:ascii="Open Sans" w:hAnsi="Open Sans" w:cs="Open Sans"/>
                <w:sz w:val="20"/>
                <w:szCs w:val="20"/>
              </w:rPr>
              <w:t>18.3%</w:t>
            </w:r>
          </w:p>
        </w:tc>
      </w:tr>
    </w:tbl>
    <w:p w14:paraId="3CB63C43" w14:textId="77777777" w:rsidR="007D5AAA" w:rsidRPr="007D5AAA" w:rsidRDefault="007D5AAA" w:rsidP="007D5AAA">
      <w:pPr>
        <w:pStyle w:val="BodyText"/>
        <w:rPr>
          <w:b/>
          <w:bCs/>
        </w:rPr>
      </w:pPr>
    </w:p>
    <w:p w14:paraId="750F754C" w14:textId="3FDB94F1" w:rsidR="00754BFB" w:rsidRDefault="00754BFB" w:rsidP="00754BFB">
      <w:pPr>
        <w:pStyle w:val="BodyText"/>
      </w:pPr>
      <w:r>
        <w:t xml:space="preserve"> </w:t>
      </w:r>
    </w:p>
    <w:p w14:paraId="6D13CFC1" w14:textId="77777777" w:rsidR="00754BFB" w:rsidRDefault="00754BFB" w:rsidP="00754BFB">
      <w:pPr>
        <w:pStyle w:val="BodyText"/>
      </w:pPr>
      <w:r>
        <w:t>These ideas highlight that justice not only includes raising perpetrators’ awareness but importantly involves positive behaviour change to prevent future violence.</w:t>
      </w:r>
    </w:p>
    <w:p w14:paraId="2C1615BA" w14:textId="77777777" w:rsidR="00754BFB" w:rsidRDefault="00754BFB" w:rsidP="00754BFB">
      <w:pPr>
        <w:pStyle w:val="BodyText"/>
      </w:pPr>
    </w:p>
    <w:p w14:paraId="664C48B9" w14:textId="5E601057" w:rsidR="00754BFB" w:rsidRPr="00A965EE" w:rsidRDefault="00754BFB" w:rsidP="00A965EE">
      <w:pPr>
        <w:pStyle w:val="Heading3"/>
      </w:pPr>
      <w:bookmarkStart w:id="93" w:name="_Toc96092108"/>
      <w:r w:rsidRPr="00A965EE">
        <w:t>Restorative and transformative justice responses</w:t>
      </w:r>
      <w:bookmarkEnd w:id="93"/>
    </w:p>
    <w:p w14:paraId="265FAF7A" w14:textId="77777777" w:rsidR="00A965EE" w:rsidRDefault="00A965EE" w:rsidP="00754BFB">
      <w:pPr>
        <w:pStyle w:val="BodyText"/>
      </w:pPr>
    </w:p>
    <w:p w14:paraId="178EDE57" w14:textId="77777777" w:rsidR="00754BFB" w:rsidRDefault="00754BFB" w:rsidP="00754BFB">
      <w:pPr>
        <w:pStyle w:val="BodyText"/>
      </w:pPr>
      <w:r>
        <w:t>Restorative justice focuses on repairing the harm caused by the perpetrator. Often this involves the survivor and perpetrator being supported to meet safely and discuss what might repair that harm.</w:t>
      </w:r>
    </w:p>
    <w:p w14:paraId="5EF4701E" w14:textId="0F84BC1B" w:rsidR="00754BFB" w:rsidRDefault="00754BFB" w:rsidP="00754BFB">
      <w:pPr>
        <w:pStyle w:val="BodyText"/>
      </w:pPr>
      <w:r>
        <w:t>Alternatively, transformative justice approaches exist outside of courts, police</w:t>
      </w:r>
      <w:r w:rsidR="00680108">
        <w:t>,</w:t>
      </w:r>
      <w:r>
        <w:t xml:space="preserve"> and other current systems of power. </w:t>
      </w:r>
      <w:r w:rsidR="00987D44">
        <w:t>Transformative</w:t>
      </w:r>
      <w:r>
        <w:t xml:space="preserve"> justice focusses on not only repairing harm, but changing bigger structures like sexism, poverty and racism that make violence possible. Both these definitions were made available to survey respondents.</w:t>
      </w:r>
    </w:p>
    <w:p w14:paraId="6A663214" w14:textId="77777777" w:rsidR="00A965EE" w:rsidRDefault="00A965EE" w:rsidP="00754BFB">
      <w:pPr>
        <w:pStyle w:val="BodyText"/>
      </w:pPr>
    </w:p>
    <w:p w14:paraId="627E17CC" w14:textId="429D91DF" w:rsidR="00754BFB" w:rsidRDefault="00754BFB" w:rsidP="00754BFB">
      <w:pPr>
        <w:pStyle w:val="BodyText"/>
      </w:pPr>
      <w:r>
        <w:t>Responses in favour of transformative justice significantly outweighed responses in favour of restorative justice (See Table 6.2.). The response to restorative justice aligns with the relatively</w:t>
      </w:r>
      <w:r w:rsidR="00A965EE">
        <w:t xml:space="preserve"> contentious literature regarding restorative justice and cases of sexual violence.</w:t>
      </w:r>
      <w:r w:rsidR="00A965EE">
        <w:tab/>
      </w:r>
    </w:p>
    <w:p w14:paraId="0420E720" w14:textId="07739A1C" w:rsidR="007D5AAA" w:rsidRDefault="007D5AAA" w:rsidP="007D5AAA">
      <w:pPr>
        <w:pStyle w:val="BodyText"/>
        <w:rPr>
          <w:b/>
          <w:bCs/>
        </w:rPr>
      </w:pPr>
    </w:p>
    <w:tbl>
      <w:tblPr>
        <w:tblStyle w:val="TableGrid"/>
        <w:tblW w:w="0" w:type="auto"/>
        <w:tblLook w:val="04A0" w:firstRow="1" w:lastRow="0" w:firstColumn="1" w:lastColumn="0" w:noHBand="0" w:noVBand="1"/>
      </w:tblPr>
      <w:tblGrid>
        <w:gridCol w:w="3539"/>
        <w:gridCol w:w="777"/>
        <w:gridCol w:w="777"/>
        <w:gridCol w:w="850"/>
        <w:gridCol w:w="850"/>
        <w:gridCol w:w="993"/>
        <w:gridCol w:w="993"/>
      </w:tblGrid>
      <w:tr w:rsidR="00E24BF7" w:rsidRPr="007D5AAA" w14:paraId="1DC8CBEA" w14:textId="77777777" w:rsidTr="00FD4204">
        <w:tc>
          <w:tcPr>
            <w:tcW w:w="8779" w:type="dxa"/>
            <w:gridSpan w:val="7"/>
          </w:tcPr>
          <w:p w14:paraId="210D7EDE" w14:textId="317BAAEC" w:rsidR="00E24BF7" w:rsidRPr="007D5AAA" w:rsidRDefault="00E24BF7" w:rsidP="00E24BF7">
            <w:pPr>
              <w:pStyle w:val="BodyText"/>
              <w:rPr>
                <w:b/>
                <w:bCs/>
              </w:rPr>
            </w:pPr>
            <w:r w:rsidRPr="007D5AAA">
              <w:rPr>
                <w:b/>
                <w:bCs/>
              </w:rPr>
              <w:t xml:space="preserve"> Table 6.2: Restorative and transformative justice responses</w:t>
            </w:r>
          </w:p>
        </w:tc>
      </w:tr>
      <w:tr w:rsidR="00E24BF7" w:rsidRPr="007D5AAA" w14:paraId="3F138F6A" w14:textId="77777777" w:rsidTr="00634ECC">
        <w:tc>
          <w:tcPr>
            <w:tcW w:w="3539" w:type="dxa"/>
          </w:tcPr>
          <w:p w14:paraId="3B438B80" w14:textId="77777777" w:rsidR="00E24BF7" w:rsidRPr="007D5AAA" w:rsidRDefault="00E24BF7" w:rsidP="00E24BF7">
            <w:pPr>
              <w:jc w:val="both"/>
              <w:rPr>
                <w:rFonts w:ascii="Open Sans" w:hAnsi="Open Sans" w:cs="Open Sans"/>
                <w:sz w:val="20"/>
                <w:szCs w:val="20"/>
              </w:rPr>
            </w:pPr>
            <w:r w:rsidRPr="007D5AAA">
              <w:rPr>
                <w:rFonts w:ascii="Open Sans" w:hAnsi="Open Sans" w:cs="Open Sans"/>
                <w:sz w:val="20"/>
                <w:szCs w:val="20"/>
              </w:rPr>
              <w:t xml:space="preserve">Restorative justice responses </w:t>
            </w:r>
          </w:p>
        </w:tc>
        <w:tc>
          <w:tcPr>
            <w:tcW w:w="777" w:type="dxa"/>
          </w:tcPr>
          <w:p w14:paraId="05152197" w14:textId="0A5FA8EA" w:rsidR="00E24BF7" w:rsidRPr="007D5AAA" w:rsidRDefault="00E24BF7" w:rsidP="00E24BF7">
            <w:pPr>
              <w:jc w:val="both"/>
              <w:rPr>
                <w:rFonts w:ascii="Open Sans" w:hAnsi="Open Sans" w:cs="Open Sans"/>
                <w:sz w:val="20"/>
                <w:szCs w:val="20"/>
              </w:rPr>
            </w:pPr>
            <w:r w:rsidRPr="003E3230">
              <w:rPr>
                <w:rFonts w:ascii="Open Sans" w:hAnsi="Open Sans" w:cs="Open Sans"/>
                <w:b/>
                <w:bCs/>
                <w:sz w:val="20"/>
                <w:szCs w:val="20"/>
              </w:rPr>
              <w:t>Yes</w:t>
            </w:r>
          </w:p>
        </w:tc>
        <w:tc>
          <w:tcPr>
            <w:tcW w:w="777" w:type="dxa"/>
          </w:tcPr>
          <w:p w14:paraId="294B8FE2" w14:textId="30FA156F" w:rsidR="00E24BF7" w:rsidRPr="007D5AAA" w:rsidRDefault="00E24BF7" w:rsidP="00E24BF7">
            <w:pPr>
              <w:jc w:val="both"/>
              <w:rPr>
                <w:rFonts w:ascii="Open Sans" w:hAnsi="Open Sans" w:cs="Open Sans"/>
                <w:sz w:val="20"/>
                <w:szCs w:val="20"/>
              </w:rPr>
            </w:pPr>
            <w:r w:rsidRPr="007D5AAA">
              <w:rPr>
                <w:rFonts w:ascii="Open Sans" w:hAnsi="Open Sans" w:cs="Open Sans"/>
                <w:sz w:val="20"/>
                <w:szCs w:val="20"/>
              </w:rPr>
              <w:t>45.1%</w:t>
            </w:r>
          </w:p>
        </w:tc>
        <w:tc>
          <w:tcPr>
            <w:tcW w:w="850" w:type="dxa"/>
          </w:tcPr>
          <w:p w14:paraId="636179CB" w14:textId="4F565126" w:rsidR="00E24BF7" w:rsidRPr="007D5AAA" w:rsidRDefault="00E24BF7" w:rsidP="00E24BF7">
            <w:pPr>
              <w:jc w:val="both"/>
              <w:rPr>
                <w:rFonts w:ascii="Open Sans" w:hAnsi="Open Sans" w:cs="Open Sans"/>
                <w:sz w:val="20"/>
                <w:szCs w:val="20"/>
              </w:rPr>
            </w:pPr>
            <w:r w:rsidRPr="004B09FB">
              <w:rPr>
                <w:rFonts w:ascii="Open Sans" w:hAnsi="Open Sans" w:cs="Open Sans"/>
                <w:b/>
                <w:bCs/>
                <w:sz w:val="20"/>
                <w:szCs w:val="20"/>
              </w:rPr>
              <w:t>No</w:t>
            </w:r>
          </w:p>
        </w:tc>
        <w:tc>
          <w:tcPr>
            <w:tcW w:w="850" w:type="dxa"/>
          </w:tcPr>
          <w:p w14:paraId="52DB9789" w14:textId="7400F26F" w:rsidR="00E24BF7" w:rsidRPr="007D5AAA" w:rsidRDefault="00E24BF7" w:rsidP="00E24BF7">
            <w:pPr>
              <w:jc w:val="both"/>
              <w:rPr>
                <w:rFonts w:ascii="Open Sans" w:hAnsi="Open Sans" w:cs="Open Sans"/>
                <w:sz w:val="20"/>
                <w:szCs w:val="20"/>
              </w:rPr>
            </w:pPr>
            <w:r w:rsidRPr="007D5AAA">
              <w:rPr>
                <w:rFonts w:ascii="Open Sans" w:hAnsi="Open Sans" w:cs="Open Sans"/>
                <w:sz w:val="20"/>
                <w:szCs w:val="20"/>
              </w:rPr>
              <w:t>21.8%</w:t>
            </w:r>
          </w:p>
        </w:tc>
        <w:tc>
          <w:tcPr>
            <w:tcW w:w="993" w:type="dxa"/>
          </w:tcPr>
          <w:p w14:paraId="04E8F43A" w14:textId="5210F303" w:rsidR="00E24BF7" w:rsidRPr="007D5AAA" w:rsidRDefault="00E24BF7" w:rsidP="00E24BF7">
            <w:pPr>
              <w:jc w:val="both"/>
              <w:rPr>
                <w:rFonts w:ascii="Open Sans" w:hAnsi="Open Sans" w:cs="Open Sans"/>
                <w:sz w:val="20"/>
                <w:szCs w:val="20"/>
              </w:rPr>
            </w:pPr>
            <w:r w:rsidRPr="00174766">
              <w:rPr>
                <w:rFonts w:ascii="Open Sans" w:hAnsi="Open Sans" w:cs="Open Sans"/>
                <w:b/>
                <w:bCs/>
                <w:sz w:val="20"/>
                <w:szCs w:val="20"/>
              </w:rPr>
              <w:t>Unsure</w:t>
            </w:r>
          </w:p>
        </w:tc>
        <w:tc>
          <w:tcPr>
            <w:tcW w:w="993" w:type="dxa"/>
          </w:tcPr>
          <w:p w14:paraId="4D5132B8" w14:textId="31F4518A" w:rsidR="00E24BF7" w:rsidRPr="007D5AAA" w:rsidRDefault="00E24BF7" w:rsidP="00E24BF7">
            <w:pPr>
              <w:jc w:val="both"/>
              <w:rPr>
                <w:rFonts w:ascii="Open Sans" w:hAnsi="Open Sans" w:cs="Open Sans"/>
                <w:sz w:val="20"/>
                <w:szCs w:val="20"/>
              </w:rPr>
            </w:pPr>
            <w:r w:rsidRPr="007D5AAA">
              <w:rPr>
                <w:rFonts w:ascii="Open Sans" w:hAnsi="Open Sans" w:cs="Open Sans"/>
                <w:sz w:val="20"/>
                <w:szCs w:val="20"/>
              </w:rPr>
              <w:t xml:space="preserve"> 33.0%</w:t>
            </w:r>
          </w:p>
        </w:tc>
      </w:tr>
      <w:tr w:rsidR="00E24BF7" w:rsidRPr="007D5AAA" w14:paraId="10599F18" w14:textId="77777777" w:rsidTr="00634ECC">
        <w:tc>
          <w:tcPr>
            <w:tcW w:w="3539" w:type="dxa"/>
          </w:tcPr>
          <w:p w14:paraId="6C71B5CA" w14:textId="77777777" w:rsidR="00E24BF7" w:rsidRPr="007D5AAA" w:rsidRDefault="00E24BF7" w:rsidP="00E24BF7">
            <w:pPr>
              <w:jc w:val="both"/>
              <w:rPr>
                <w:rFonts w:ascii="Open Sans" w:hAnsi="Open Sans" w:cs="Open Sans"/>
                <w:sz w:val="20"/>
                <w:szCs w:val="20"/>
              </w:rPr>
            </w:pPr>
            <w:r w:rsidRPr="007D5AAA">
              <w:rPr>
                <w:rFonts w:ascii="Open Sans" w:hAnsi="Open Sans" w:cs="Open Sans"/>
                <w:sz w:val="20"/>
                <w:szCs w:val="20"/>
              </w:rPr>
              <w:t xml:space="preserve"> Transformative justice responses</w:t>
            </w:r>
          </w:p>
        </w:tc>
        <w:tc>
          <w:tcPr>
            <w:tcW w:w="777" w:type="dxa"/>
          </w:tcPr>
          <w:p w14:paraId="6880DC66" w14:textId="12DFBFF9" w:rsidR="00E24BF7" w:rsidRPr="007D5AAA" w:rsidRDefault="00E24BF7" w:rsidP="00E24BF7">
            <w:pPr>
              <w:jc w:val="both"/>
              <w:rPr>
                <w:rFonts w:ascii="Open Sans" w:hAnsi="Open Sans" w:cs="Open Sans"/>
                <w:sz w:val="20"/>
                <w:szCs w:val="20"/>
              </w:rPr>
            </w:pPr>
            <w:r w:rsidRPr="003E3230">
              <w:rPr>
                <w:rFonts w:ascii="Open Sans" w:hAnsi="Open Sans" w:cs="Open Sans"/>
                <w:b/>
                <w:bCs/>
                <w:sz w:val="20"/>
                <w:szCs w:val="20"/>
              </w:rPr>
              <w:t>Yes</w:t>
            </w:r>
          </w:p>
        </w:tc>
        <w:tc>
          <w:tcPr>
            <w:tcW w:w="777" w:type="dxa"/>
          </w:tcPr>
          <w:p w14:paraId="6157EFE1" w14:textId="16B63E4D" w:rsidR="00E24BF7" w:rsidRPr="007D5AAA" w:rsidRDefault="00E24BF7" w:rsidP="00E24BF7">
            <w:pPr>
              <w:jc w:val="both"/>
              <w:rPr>
                <w:rFonts w:ascii="Open Sans" w:hAnsi="Open Sans" w:cs="Open Sans"/>
                <w:sz w:val="20"/>
                <w:szCs w:val="20"/>
              </w:rPr>
            </w:pPr>
            <w:r w:rsidRPr="007D5AAA">
              <w:rPr>
                <w:rFonts w:ascii="Open Sans" w:hAnsi="Open Sans" w:cs="Open Sans"/>
                <w:sz w:val="20"/>
                <w:szCs w:val="20"/>
              </w:rPr>
              <w:t>92.2%</w:t>
            </w:r>
          </w:p>
        </w:tc>
        <w:tc>
          <w:tcPr>
            <w:tcW w:w="850" w:type="dxa"/>
          </w:tcPr>
          <w:p w14:paraId="2D240514" w14:textId="3D741125" w:rsidR="00E24BF7" w:rsidRPr="007D5AAA" w:rsidRDefault="00E24BF7" w:rsidP="00E24BF7">
            <w:pPr>
              <w:jc w:val="both"/>
              <w:rPr>
                <w:rFonts w:ascii="Open Sans" w:hAnsi="Open Sans" w:cs="Open Sans"/>
                <w:sz w:val="20"/>
                <w:szCs w:val="20"/>
              </w:rPr>
            </w:pPr>
            <w:r w:rsidRPr="004B09FB">
              <w:rPr>
                <w:rFonts w:ascii="Open Sans" w:hAnsi="Open Sans" w:cs="Open Sans"/>
                <w:b/>
                <w:bCs/>
                <w:sz w:val="20"/>
                <w:szCs w:val="20"/>
              </w:rPr>
              <w:t>No</w:t>
            </w:r>
          </w:p>
        </w:tc>
        <w:tc>
          <w:tcPr>
            <w:tcW w:w="850" w:type="dxa"/>
          </w:tcPr>
          <w:p w14:paraId="059A815B" w14:textId="2D8A491F" w:rsidR="00E24BF7" w:rsidRPr="007D5AAA" w:rsidRDefault="00E24BF7" w:rsidP="00E24BF7">
            <w:pPr>
              <w:jc w:val="both"/>
              <w:rPr>
                <w:rFonts w:ascii="Open Sans" w:hAnsi="Open Sans" w:cs="Open Sans"/>
                <w:sz w:val="20"/>
                <w:szCs w:val="20"/>
              </w:rPr>
            </w:pPr>
            <w:r w:rsidRPr="007D5AAA">
              <w:rPr>
                <w:rFonts w:ascii="Open Sans" w:hAnsi="Open Sans" w:cs="Open Sans"/>
                <w:sz w:val="20"/>
                <w:szCs w:val="20"/>
              </w:rPr>
              <w:t>1.7%</w:t>
            </w:r>
          </w:p>
        </w:tc>
        <w:tc>
          <w:tcPr>
            <w:tcW w:w="993" w:type="dxa"/>
          </w:tcPr>
          <w:p w14:paraId="019F967A" w14:textId="6F47A935" w:rsidR="00E24BF7" w:rsidRPr="007D5AAA" w:rsidRDefault="00E24BF7" w:rsidP="00E24BF7">
            <w:pPr>
              <w:jc w:val="both"/>
              <w:rPr>
                <w:rFonts w:ascii="Open Sans" w:hAnsi="Open Sans" w:cs="Open Sans"/>
                <w:sz w:val="20"/>
                <w:szCs w:val="20"/>
              </w:rPr>
            </w:pPr>
            <w:r w:rsidRPr="00174766">
              <w:rPr>
                <w:rFonts w:ascii="Open Sans" w:hAnsi="Open Sans" w:cs="Open Sans"/>
                <w:b/>
                <w:bCs/>
                <w:sz w:val="20"/>
                <w:szCs w:val="20"/>
              </w:rPr>
              <w:t>Unsure</w:t>
            </w:r>
          </w:p>
        </w:tc>
        <w:tc>
          <w:tcPr>
            <w:tcW w:w="993" w:type="dxa"/>
          </w:tcPr>
          <w:p w14:paraId="136121C8" w14:textId="77EE076B" w:rsidR="00E24BF7" w:rsidRPr="007D5AAA" w:rsidRDefault="00E24BF7" w:rsidP="00E24BF7">
            <w:pPr>
              <w:jc w:val="both"/>
              <w:rPr>
                <w:rFonts w:ascii="Open Sans" w:hAnsi="Open Sans" w:cs="Open Sans"/>
                <w:sz w:val="20"/>
                <w:szCs w:val="20"/>
              </w:rPr>
            </w:pPr>
            <w:r w:rsidRPr="007D5AAA">
              <w:rPr>
                <w:rFonts w:ascii="Open Sans" w:hAnsi="Open Sans" w:cs="Open Sans"/>
                <w:sz w:val="20"/>
                <w:szCs w:val="20"/>
              </w:rPr>
              <w:t>6.1%</w:t>
            </w:r>
          </w:p>
        </w:tc>
      </w:tr>
    </w:tbl>
    <w:p w14:paraId="78EBDCE4" w14:textId="77777777" w:rsidR="007D5AAA" w:rsidRDefault="007D5AAA" w:rsidP="007D5AAA">
      <w:pPr>
        <w:pStyle w:val="BodyText"/>
        <w:rPr>
          <w:b/>
          <w:bCs/>
        </w:rPr>
      </w:pPr>
    </w:p>
    <w:p w14:paraId="6D3E3B3E" w14:textId="77777777" w:rsidR="007D5AAA" w:rsidRPr="007D5AAA" w:rsidRDefault="007D5AAA" w:rsidP="007D5AAA">
      <w:pPr>
        <w:pStyle w:val="BodyText"/>
        <w:rPr>
          <w:b/>
          <w:bCs/>
        </w:rPr>
      </w:pPr>
    </w:p>
    <w:p w14:paraId="1A63D257" w14:textId="00B5A03E" w:rsidR="00754BFB" w:rsidRDefault="00A965EE" w:rsidP="00754BFB">
      <w:pPr>
        <w:pStyle w:val="BodyText"/>
      </w:pPr>
      <w:r w:rsidRPr="00A965EE">
        <w:t xml:space="preserve">Some noted that heavily </w:t>
      </w:r>
      <w:r w:rsidRPr="00A965EE">
        <w:rPr>
          <w:lang w:val="en-AU"/>
        </w:rPr>
        <w:t xml:space="preserve">involving the perpetrator in justice responses to violence may trivialise violence against women and </w:t>
      </w:r>
      <w:r w:rsidR="00987D44" w:rsidRPr="00A965EE">
        <w:rPr>
          <w:lang w:val="en-AU"/>
        </w:rPr>
        <w:t>revictimize</w:t>
      </w:r>
      <w:r w:rsidRPr="00A965EE">
        <w:rPr>
          <w:lang w:val="en-AU"/>
        </w:rPr>
        <w:t xml:space="preserve"> and further endanger victim-survivors.</w:t>
      </w:r>
      <w:r w:rsidR="00754BFB">
        <w:t xml:space="preserve"> </w:t>
      </w:r>
    </w:p>
    <w:p w14:paraId="25AB3002" w14:textId="77777777" w:rsidR="00A965EE" w:rsidRDefault="00A965EE" w:rsidP="00754BFB">
      <w:pPr>
        <w:pStyle w:val="BodyText"/>
      </w:pPr>
    </w:p>
    <w:p w14:paraId="0289164C" w14:textId="43135B8F" w:rsidR="00754BFB" w:rsidRDefault="00754BFB" w:rsidP="00754BFB">
      <w:pPr>
        <w:pStyle w:val="BodyText"/>
      </w:pPr>
      <w:r>
        <w:t>At the same time, others noted that restorative justice may enable victim-survivors to better articulate their stories holistically, ‘offering greater control and validation’, and reduce victim-blaming. The fact that 33% of respondents were unsure as to whether restorative justice would be an appropriate form of justice for young victim-survivors indicates that restorative justice remains a contested response. It may not be appropriate to be applied to all cases of sexual and gender-based violence for young people.</w:t>
      </w:r>
    </w:p>
    <w:p w14:paraId="58AC4780" w14:textId="77777777" w:rsidR="00A965EE" w:rsidRDefault="00A965EE" w:rsidP="00754BFB">
      <w:pPr>
        <w:pStyle w:val="BodyText"/>
      </w:pPr>
    </w:p>
    <w:p w14:paraId="6029080C" w14:textId="77777777" w:rsidR="00754BFB" w:rsidRDefault="00754BFB" w:rsidP="00754BFB">
      <w:pPr>
        <w:pStyle w:val="BodyText"/>
      </w:pPr>
      <w:r>
        <w:t>On the other hand, transformative justice was overwhelmingly supported by young victim- survivors. This was consistent in both the survey and forum, highlighting the harm the police and courts often perpetrate and indicating the need for these systems of power to be detached from services</w:t>
      </w:r>
    </w:p>
    <w:p w14:paraId="2126952C" w14:textId="29CD586F" w:rsidR="00754BFB" w:rsidRDefault="00754BFB" w:rsidP="00754BFB">
      <w:pPr>
        <w:pStyle w:val="BodyText"/>
      </w:pPr>
      <w:r>
        <w:t>and processes of supporting young women and non-binary people who have experienced violence.</w:t>
      </w:r>
    </w:p>
    <w:p w14:paraId="45C6506C" w14:textId="64081E9E" w:rsidR="00A965EE" w:rsidRDefault="00A965EE" w:rsidP="00754BFB">
      <w:pPr>
        <w:pStyle w:val="BodyText"/>
      </w:pPr>
    </w:p>
    <w:p w14:paraId="0B02266B" w14:textId="7C217863" w:rsidR="00A965EE" w:rsidRPr="00A965EE" w:rsidRDefault="00A965EE" w:rsidP="00A965EE">
      <w:pPr>
        <w:pStyle w:val="Heading3"/>
      </w:pPr>
      <w:bookmarkStart w:id="94" w:name="_Toc96092109"/>
      <w:r w:rsidRPr="00A965EE">
        <w:t>Financial compensation</w:t>
      </w:r>
      <w:bookmarkEnd w:id="94"/>
    </w:p>
    <w:p w14:paraId="2B147942" w14:textId="77777777" w:rsidR="00A965EE" w:rsidRDefault="00A965EE" w:rsidP="00A965EE">
      <w:pPr>
        <w:pStyle w:val="BodyText"/>
      </w:pPr>
    </w:p>
    <w:p w14:paraId="6C888DB7" w14:textId="3F7E5F9E" w:rsidR="00A965EE" w:rsidRDefault="00A965EE" w:rsidP="00A965EE">
      <w:pPr>
        <w:pStyle w:val="BodyText"/>
      </w:pPr>
      <w:r>
        <w:t>Financial strain is a key barrier that prevents young women and non-binary people from accessing support services. It is therefore not surprising that 67.8% of respondents view financial compensation, where the perpetrator pays for harm caused, as a form of justice.</w:t>
      </w:r>
    </w:p>
    <w:p w14:paraId="6E270C55" w14:textId="6B111435" w:rsidR="00A965EE" w:rsidRDefault="00A965EE" w:rsidP="00A965EE">
      <w:pPr>
        <w:pStyle w:val="BodyText"/>
      </w:pPr>
    </w:p>
    <w:p w14:paraId="4DB1A42F" w14:textId="1D646B73" w:rsidR="00A965EE" w:rsidRDefault="00A965EE" w:rsidP="00A965EE">
      <w:pPr>
        <w:pStyle w:val="IntenseQuote"/>
      </w:pPr>
      <w:r w:rsidRPr="00A965EE">
        <w:t>I would much rather my perpetrator pay for all of the support I needed to heal rather than be put in prison.</w:t>
      </w:r>
    </w:p>
    <w:p w14:paraId="32F47EE9" w14:textId="77777777" w:rsidR="00A965EE" w:rsidRDefault="00A965EE" w:rsidP="00A965EE">
      <w:pPr>
        <w:pStyle w:val="BodyText"/>
      </w:pPr>
    </w:p>
    <w:p w14:paraId="68B57055" w14:textId="72311A6B" w:rsidR="00A965EE" w:rsidRDefault="00A965EE" w:rsidP="00A965EE">
      <w:pPr>
        <w:pStyle w:val="BodyText"/>
      </w:pPr>
      <w:r>
        <w:t>At the same time, a few respondents noted that while financial compensation is an important form of justice, the ideal outcome for young victim- survivors would be a combination of perpetrator accountability, safety, recognition, restorative justice, transformative justice</w:t>
      </w:r>
      <w:r w:rsidR="00680108">
        <w:t>,</w:t>
      </w:r>
      <w:r>
        <w:t xml:space="preserve"> and financial compensation.</w:t>
      </w:r>
    </w:p>
    <w:p w14:paraId="0801E354" w14:textId="77777777" w:rsidR="00A965EE" w:rsidRDefault="00A965EE" w:rsidP="00A965EE">
      <w:pPr>
        <w:pStyle w:val="BodyText"/>
      </w:pPr>
    </w:p>
    <w:p w14:paraId="268B7602" w14:textId="13A355DB" w:rsidR="00A965EE" w:rsidRDefault="00A965EE" w:rsidP="00A965EE">
      <w:pPr>
        <w:pStyle w:val="BodyText"/>
      </w:pPr>
      <w:r>
        <w:t>Overall, participants made clear that young victim- survivors must be empowered to seek justice in a way that best suits their own situation and unique needs. Many agreed that traditional forms of retributive justice, rooted in ideals of punishment, do not adequately empower young-victim survivors, nor lead to sustainable change.</w:t>
      </w:r>
    </w:p>
    <w:p w14:paraId="6035772C" w14:textId="307ADF30" w:rsidR="00754BFB" w:rsidRDefault="00754BFB" w:rsidP="00754BFB">
      <w:pPr>
        <w:pStyle w:val="BodyText"/>
      </w:pPr>
    </w:p>
    <w:p w14:paraId="74D1080E" w14:textId="5F65D115" w:rsidR="00A965EE" w:rsidRDefault="00A965EE" w:rsidP="00A965EE">
      <w:pPr>
        <w:pStyle w:val="IntenseQuote"/>
      </w:pPr>
      <w:r>
        <w:t>I wouldn’t want my perpetrator to go to prison. That environment fuels misogyny and contributes to larger cycles of poverty and disadvantage. I want my perpetrator to learn from what he did wrong so that he doesn’t do it again.</w:t>
      </w:r>
    </w:p>
    <w:p w14:paraId="17FBE879" w14:textId="77777777" w:rsidR="00E24BF7" w:rsidRPr="009A5B8A" w:rsidRDefault="00157D58" w:rsidP="00E24BF7">
      <w:pPr>
        <w:pStyle w:val="Heading1"/>
      </w:pPr>
      <w:r>
        <w:br w:type="page"/>
      </w:r>
      <w:r w:rsidR="00E24BF7" w:rsidRPr="009A5B8A">
        <w:t>Appendix A: Methodology</w:t>
      </w:r>
    </w:p>
    <w:p w14:paraId="2CFA391C" w14:textId="77777777" w:rsidR="00E24BF7" w:rsidRDefault="00E24BF7" w:rsidP="00157D58">
      <w:pPr>
        <w:pStyle w:val="BodyText"/>
      </w:pPr>
    </w:p>
    <w:p w14:paraId="387A8B0C" w14:textId="7081572C" w:rsidR="00157D58" w:rsidRDefault="00157D58" w:rsidP="00157D58">
      <w:pPr>
        <w:pStyle w:val="BodyText"/>
      </w:pPr>
      <w:r w:rsidRPr="00157D58">
        <w:t>Data collection comprised two components: an online survey and a virtual forum.</w:t>
      </w:r>
    </w:p>
    <w:p w14:paraId="04EF8040" w14:textId="7317D0CB" w:rsidR="00157D58" w:rsidRDefault="00157D58" w:rsidP="00157D58">
      <w:pPr>
        <w:pStyle w:val="BodyText"/>
      </w:pPr>
    </w:p>
    <w:p w14:paraId="4B03BAB5" w14:textId="41D479A4" w:rsidR="00157D58" w:rsidRPr="00157D58" w:rsidRDefault="00157D58" w:rsidP="009A5B8A">
      <w:pPr>
        <w:pStyle w:val="Heading2"/>
      </w:pPr>
      <w:bookmarkStart w:id="95" w:name="_Toc96092111"/>
      <w:r>
        <w:t>The Online Survey</w:t>
      </w:r>
      <w:bookmarkEnd w:id="95"/>
    </w:p>
    <w:p w14:paraId="382F8538" w14:textId="7ADF2978" w:rsidR="00157D58" w:rsidRDefault="00157D58" w:rsidP="00157D58">
      <w:pPr>
        <w:pStyle w:val="BodyText"/>
      </w:pPr>
      <w:r w:rsidRPr="00157D58">
        <w:t>The online survey was open to the public between 27 April and 13 June 2021 and drafted in consultation with a number of experts, including the youth team from Our Watch, the NUS (National Union of Students) women’s officer, and the chair of the ACT Government Sexual Assault Prevention Working Group.</w:t>
      </w:r>
    </w:p>
    <w:p w14:paraId="5E46D541" w14:textId="77777777" w:rsidR="00157D58" w:rsidRPr="00157D58" w:rsidRDefault="00157D58" w:rsidP="00157D58">
      <w:pPr>
        <w:pStyle w:val="BodyText"/>
      </w:pPr>
    </w:p>
    <w:p w14:paraId="06B0AD8D" w14:textId="5E7017C5" w:rsidR="00157D58" w:rsidRDefault="00157D58" w:rsidP="00157D58">
      <w:pPr>
        <w:pStyle w:val="BodyText"/>
      </w:pPr>
      <w:r w:rsidRPr="00157D58">
        <w:t>The consultations included incorporating feedback on draft versions of the survey, as well as face-to-face meetings and verbal discussions. Feedback was also sought from members of the AWAVA Advisory Group. An accessible and Easy English version of the survey was also released in collaboration with Women With Disabilities Australia (WWDA) and Access Easy English.</w:t>
      </w:r>
    </w:p>
    <w:p w14:paraId="0D4CD5C2" w14:textId="77777777" w:rsidR="00157D58" w:rsidRPr="00157D58" w:rsidRDefault="00157D58" w:rsidP="00157D58">
      <w:pPr>
        <w:pStyle w:val="BodyText"/>
      </w:pPr>
    </w:p>
    <w:p w14:paraId="404912F7" w14:textId="60CF6711" w:rsidR="00157D58" w:rsidRDefault="00157D58" w:rsidP="00157D58">
      <w:pPr>
        <w:pStyle w:val="BodyText"/>
      </w:pPr>
      <w:r w:rsidRPr="00157D58">
        <w:t>The survey collected demographic information about the respondents and contained questions about three aspects of young women and non-binary people’s experiences of violence: reporting, accessing support, and views on justice and advocacy to prevent and respond to violence.</w:t>
      </w:r>
    </w:p>
    <w:p w14:paraId="42AEAA9F" w14:textId="77777777" w:rsidR="00157D58" w:rsidRPr="00157D58" w:rsidRDefault="00157D58" w:rsidP="00157D58">
      <w:pPr>
        <w:pStyle w:val="BodyText"/>
      </w:pPr>
    </w:p>
    <w:p w14:paraId="5098952D" w14:textId="74DDC518" w:rsidR="00157D58" w:rsidRPr="00157D58" w:rsidRDefault="00157D58" w:rsidP="00157D58">
      <w:pPr>
        <w:pStyle w:val="BodyText"/>
      </w:pPr>
      <w:r w:rsidRPr="00157D58">
        <w:t>Many questions were aimed at investigating how young women and non-binary people were interacting with institutions including police, courts, universities and hospitals, and different services such as rape crisis centres, women’s specialist services, and community specific services such as LGBTIQA+, disability, and Aboriginal controlled organisations.</w:t>
      </w:r>
    </w:p>
    <w:p w14:paraId="7613E346" w14:textId="77777777" w:rsidR="00157D58" w:rsidRPr="00157D58" w:rsidRDefault="00157D58" w:rsidP="00157D58"/>
    <w:p w14:paraId="001B1CE0" w14:textId="4A593B52" w:rsidR="00157D58" w:rsidRDefault="00157D58" w:rsidP="009A5B8A">
      <w:pPr>
        <w:pStyle w:val="Heading2"/>
      </w:pPr>
      <w:bookmarkStart w:id="96" w:name="_Toc96092112"/>
      <w:r>
        <w:t>The Virtual Forum</w:t>
      </w:r>
      <w:bookmarkEnd w:id="96"/>
    </w:p>
    <w:p w14:paraId="56020D0E" w14:textId="736405FC" w:rsidR="00157D58" w:rsidRPr="00157D58" w:rsidRDefault="00157D58" w:rsidP="00157D58">
      <w:pPr>
        <w:pStyle w:val="BodyText"/>
      </w:pPr>
      <w:r w:rsidRPr="00157D58">
        <w:t>The full-day virtual forum was held on 7 July 2021. Following an introduction and overview of the preliminary findings of the online survey,</w:t>
      </w:r>
      <w:r>
        <w:t xml:space="preserve"> </w:t>
      </w:r>
      <w:r w:rsidRPr="00157D58">
        <w:t>participants took part in facilitated discussions in</w:t>
      </w:r>
    </w:p>
    <w:p w14:paraId="682C58D5" w14:textId="2EE57C9B" w:rsidR="00157D58" w:rsidRPr="00157D58" w:rsidRDefault="00157D58" w:rsidP="00157D58">
      <w:pPr>
        <w:pStyle w:val="BodyText"/>
      </w:pPr>
      <w:r w:rsidRPr="00157D58">
        <w:t>a number of breakout rooms, led by young women with lived experience of gender-based violence including Dakshata Sharma, Sophia Cao, and</w:t>
      </w:r>
      <w:r>
        <w:t xml:space="preserve"> </w:t>
      </w:r>
      <w:r w:rsidRPr="00157D58">
        <w:t>Ajar Sana.</w:t>
      </w:r>
    </w:p>
    <w:p w14:paraId="0858DB58" w14:textId="77777777" w:rsidR="00157D58" w:rsidRPr="00157D58" w:rsidRDefault="00157D58" w:rsidP="00157D58">
      <w:pPr>
        <w:pStyle w:val="BodyText"/>
      </w:pPr>
    </w:p>
    <w:p w14:paraId="53E36B07" w14:textId="77777777" w:rsidR="00157D58" w:rsidRPr="00157D58" w:rsidRDefault="00157D58" w:rsidP="00157D58">
      <w:pPr>
        <w:pStyle w:val="BodyText"/>
      </w:pPr>
      <w:r w:rsidRPr="00157D58">
        <w:t>Each discussion was focused on a particular topic, and participants had the opportunity to attend a session on every topic. The sessions were as follows:</w:t>
      </w:r>
    </w:p>
    <w:p w14:paraId="568DBDE3" w14:textId="2941F130" w:rsidR="00157D58" w:rsidRPr="00157D58" w:rsidRDefault="00157D58" w:rsidP="00157D58">
      <w:pPr>
        <w:pStyle w:val="BodyText"/>
        <w:numPr>
          <w:ilvl w:val="0"/>
          <w:numId w:val="30"/>
        </w:numPr>
      </w:pPr>
      <w:r w:rsidRPr="00157D58">
        <w:t>Support for young victim-survivors - topics covered included improving support services; improving reporting mechanisms and interactions with institutions such as the police, courts, hospitals, and universities.</w:t>
      </w:r>
    </w:p>
    <w:p w14:paraId="16BA9F35" w14:textId="13DBDC19" w:rsidR="00157D58" w:rsidRPr="00157D58" w:rsidRDefault="00157D58" w:rsidP="00157D58">
      <w:pPr>
        <w:pStyle w:val="BodyText"/>
        <w:numPr>
          <w:ilvl w:val="0"/>
          <w:numId w:val="30"/>
        </w:numPr>
      </w:pPr>
      <w:r w:rsidRPr="00157D58">
        <w:t>Prevention of violence for young women and non-binary people —topics covered included improving young people’s awareness of violence and abuse; relationships, sex and consent education and preventing violence.</w:t>
      </w:r>
    </w:p>
    <w:p w14:paraId="471D523D" w14:textId="4E6FF8E3" w:rsidR="00157D58" w:rsidRPr="00157D58" w:rsidRDefault="00157D58" w:rsidP="00157D58">
      <w:pPr>
        <w:pStyle w:val="BodyText"/>
        <w:numPr>
          <w:ilvl w:val="0"/>
          <w:numId w:val="30"/>
        </w:numPr>
      </w:pPr>
      <w:r w:rsidRPr="00157D58">
        <w:t>NATSIWA Panel —hosted by Professor Sandra Creamer and Mikaela French, this breakout room focused specifically on the NAIDOC theme ‘Heal Country’ and its relationship to Aboriginal and Torres Strait Islander women in the justice system and the law.</w:t>
      </w:r>
    </w:p>
    <w:p w14:paraId="4AE8C0CE" w14:textId="38AC0DD5" w:rsidR="00157D58" w:rsidRDefault="00157D58" w:rsidP="00157D58">
      <w:pPr>
        <w:pStyle w:val="BodyText"/>
        <w:numPr>
          <w:ilvl w:val="0"/>
          <w:numId w:val="30"/>
        </w:numPr>
      </w:pPr>
      <w:r w:rsidRPr="00157D58">
        <w:t>Reform and political tasks for young women and non-binary people going forward - topics covered included young women and non-binary people’s leadership and advocacy opportunities and justice for young victim-survivors.</w:t>
      </w:r>
    </w:p>
    <w:p w14:paraId="3B9B7766" w14:textId="77777777" w:rsidR="00157D58" w:rsidRPr="00157D58" w:rsidRDefault="00157D58" w:rsidP="00157D58">
      <w:pPr>
        <w:pStyle w:val="BodyText"/>
        <w:ind w:left="1080"/>
      </w:pPr>
    </w:p>
    <w:p w14:paraId="5E398616" w14:textId="564067C9" w:rsidR="00157D58" w:rsidRDefault="00157D58" w:rsidP="00157D58">
      <w:pPr>
        <w:pStyle w:val="BodyText"/>
      </w:pPr>
      <w:r w:rsidRPr="00157D58">
        <w:t>Highlights from each of the breakout room discussions were presented, followed by a large group discussion on moving forward with a focus on primary prevention and advocacy. Minutes were taken throughout the forum and the event was also recorded by Emma Rowland, a graphic recording artist.</w:t>
      </w:r>
    </w:p>
    <w:p w14:paraId="7FDA5ACA" w14:textId="77777777" w:rsidR="00157D58" w:rsidRPr="00157D58" w:rsidRDefault="00157D58" w:rsidP="00157D58">
      <w:pPr>
        <w:pStyle w:val="BodyText"/>
      </w:pPr>
    </w:p>
    <w:p w14:paraId="5FD9DF5E" w14:textId="77777777" w:rsidR="00157D58" w:rsidRPr="00157D58" w:rsidRDefault="00157D58" w:rsidP="00157D58">
      <w:pPr>
        <w:pStyle w:val="BodyText"/>
      </w:pPr>
      <w:r w:rsidRPr="00157D58">
        <w:t>The findings from the online survey and virtual forum together provide an understanding of young women and non-binary people’s experiences of violence, from reporting to seeking support, as</w:t>
      </w:r>
    </w:p>
    <w:p w14:paraId="5C458F8E" w14:textId="445B1022" w:rsidR="00157D58" w:rsidRPr="00157D58" w:rsidRDefault="00157D58" w:rsidP="00157D58">
      <w:pPr>
        <w:pStyle w:val="BodyText"/>
      </w:pPr>
      <w:r w:rsidRPr="00157D58">
        <w:t>well as the ways to effectively respond to and prevent violence.</w:t>
      </w:r>
    </w:p>
    <w:p w14:paraId="49CB65DE" w14:textId="238F80E5" w:rsidR="009A5B8A" w:rsidRDefault="009A5B8A">
      <w:pPr>
        <w:spacing w:after="200" w:line="276" w:lineRule="auto"/>
      </w:pPr>
      <w:r>
        <w:br w:type="page"/>
      </w:r>
    </w:p>
    <w:p w14:paraId="53509E71" w14:textId="77777777" w:rsidR="00754BFB" w:rsidRDefault="00754BFB" w:rsidP="00754BFB"/>
    <w:p w14:paraId="3590D76C" w14:textId="267EF4F0" w:rsidR="00157D58" w:rsidRPr="009A5B8A" w:rsidRDefault="00754BFB" w:rsidP="009A5B8A">
      <w:pPr>
        <w:pStyle w:val="Heading1"/>
      </w:pPr>
      <w:r>
        <w:t xml:space="preserve"> </w:t>
      </w:r>
      <w:bookmarkStart w:id="97" w:name="_Toc96092113"/>
      <w:r w:rsidR="00157D58" w:rsidRPr="009A5B8A">
        <w:t>Appendix B: Forum’s Graphic Recordings</w:t>
      </w:r>
      <w:bookmarkEnd w:id="97"/>
    </w:p>
    <w:p w14:paraId="7D2F0412" w14:textId="3226F83A" w:rsidR="00157D58" w:rsidRPr="00157D58" w:rsidRDefault="00157D58" w:rsidP="00157D58">
      <w:pPr>
        <w:pStyle w:val="BodyText"/>
      </w:pPr>
      <w:r w:rsidRPr="00157D58">
        <w:t>As a key informing element of this report, the AWAVA Young Women and Non-Binary People’s Forum was held on July 7</w:t>
      </w:r>
      <w:r w:rsidR="007D5AAA">
        <w:t>,</w:t>
      </w:r>
      <w:r w:rsidRPr="00157D58">
        <w:t xml:space="preserve"> 2021, to add depth to our understanding of young women and non-binary people’s experiences. The forum comprised a number of break-out sessions on issues including primary prevention, the reform agenda, and with a special focus on First Nations women.</w:t>
      </w:r>
    </w:p>
    <w:p w14:paraId="0FBC0FF7" w14:textId="77777777" w:rsidR="00157D58" w:rsidRPr="00157D58" w:rsidRDefault="00157D58" w:rsidP="00157D58">
      <w:pPr>
        <w:pStyle w:val="BodyText"/>
      </w:pPr>
    </w:p>
    <w:p w14:paraId="3CBD4016" w14:textId="77777777" w:rsidR="00157D58" w:rsidRPr="00157D58" w:rsidRDefault="00157D58" w:rsidP="00157D58">
      <w:pPr>
        <w:pStyle w:val="BodyText"/>
      </w:pPr>
      <w:r w:rsidRPr="00157D58">
        <w:t>AWAVA was fortunate to have freelance artist and graphic recorder Emma Rowland join us at the forum and create a visual memory of the day, as well as enduring pieces of art.</w:t>
      </w:r>
    </w:p>
    <w:p w14:paraId="43505F2A" w14:textId="77777777" w:rsidR="00157D58" w:rsidRPr="00157D58" w:rsidRDefault="00157D58" w:rsidP="00157D58">
      <w:pPr>
        <w:pStyle w:val="BodyText"/>
      </w:pPr>
    </w:p>
    <w:p w14:paraId="6F875567" w14:textId="1C0D93B4" w:rsidR="00157D58" w:rsidRPr="00157D58" w:rsidRDefault="00157D58" w:rsidP="00157D58">
      <w:pPr>
        <w:pStyle w:val="BodyText"/>
      </w:pPr>
      <w:r w:rsidRPr="00157D58">
        <w:t>Graphic recordings support the facilitator by making ideas visible, as well as validate participants who can see that their thoughts and ideas are being taken into account. Most importantly, graphic recordings are inclusive and help break down barriers including in relation to language, learning styles, culture</w:t>
      </w:r>
      <w:r w:rsidR="007D5AAA">
        <w:t>,</w:t>
      </w:r>
      <w:r w:rsidRPr="00157D58">
        <w:t xml:space="preserve"> and disability. They represent a visual summary that</w:t>
      </w:r>
      <w:r>
        <w:t xml:space="preserve"> </w:t>
      </w:r>
      <w:r w:rsidRPr="00157D58">
        <w:t>has room for everyone, and which amplifies all the voices in the room. We are very pleased to be able to include these graphic recordings in this report.</w:t>
      </w:r>
    </w:p>
    <w:p w14:paraId="1B0FD5DC" w14:textId="5347A373" w:rsidR="00157D58" w:rsidRDefault="00157D58">
      <w:pPr>
        <w:spacing w:after="200" w:line="276" w:lineRule="auto"/>
      </w:pPr>
      <w:r>
        <w:br w:type="page"/>
      </w:r>
    </w:p>
    <w:p w14:paraId="7E564F3C" w14:textId="3568AB26" w:rsidR="00754BFB" w:rsidRPr="009A5B8A" w:rsidRDefault="00157D58" w:rsidP="009A5B8A">
      <w:pPr>
        <w:pStyle w:val="Heading1"/>
      </w:pPr>
      <w:bookmarkStart w:id="98" w:name="_Toc96092114"/>
      <w:r w:rsidRPr="009A5B8A">
        <w:t>REFERENCES</w:t>
      </w:r>
      <w:bookmarkEnd w:id="98"/>
    </w:p>
    <w:p w14:paraId="15E18979" w14:textId="6C12D05F" w:rsidR="00157D58" w:rsidRDefault="00157D58" w:rsidP="00157D58">
      <w:pPr>
        <w:pStyle w:val="BodyText"/>
        <w:numPr>
          <w:ilvl w:val="0"/>
          <w:numId w:val="32"/>
        </w:numPr>
      </w:pPr>
      <w:r>
        <w:t>https://www.ohchr.org/Documents/ ProfessionalInterest/eliminationvaw.pdf</w:t>
      </w:r>
    </w:p>
    <w:p w14:paraId="08639E42" w14:textId="30981927" w:rsidR="00157D58" w:rsidRDefault="00157D58" w:rsidP="00157D58">
      <w:pPr>
        <w:pStyle w:val="BodyText"/>
        <w:numPr>
          <w:ilvl w:val="0"/>
          <w:numId w:val="32"/>
        </w:numPr>
      </w:pPr>
      <w:r>
        <w:t>https://jech.bmj.com/content/58/7/536</w:t>
      </w:r>
    </w:p>
    <w:p w14:paraId="70BAFF66" w14:textId="5609AA3C" w:rsidR="00157D58" w:rsidRDefault="00157D58" w:rsidP="00157D58">
      <w:pPr>
        <w:pStyle w:val="BodyText"/>
        <w:numPr>
          <w:ilvl w:val="0"/>
          <w:numId w:val="32"/>
        </w:numPr>
      </w:pPr>
      <w:r>
        <w:t>https://www.anrows.org.au/project/</w:t>
      </w:r>
    </w:p>
    <w:p w14:paraId="50E4D973" w14:textId="77777777" w:rsidR="00157D58" w:rsidRDefault="00157D58" w:rsidP="00157D58">
      <w:pPr>
        <w:pStyle w:val="BodyText"/>
        <w:numPr>
          <w:ilvl w:val="0"/>
          <w:numId w:val="31"/>
        </w:numPr>
      </w:pPr>
      <w:r>
        <w:t>improved-accountability-the-role-of-perpetrator- intervention-systems/</w:t>
      </w:r>
    </w:p>
    <w:p w14:paraId="7676F21B" w14:textId="4BD49B0F" w:rsidR="00157D58" w:rsidRDefault="00157D58" w:rsidP="00157D58">
      <w:pPr>
        <w:pStyle w:val="BodyText"/>
        <w:numPr>
          <w:ilvl w:val="0"/>
          <w:numId w:val="32"/>
        </w:numPr>
      </w:pPr>
      <w:r>
        <w:t>https://www.vic.gov.au/family-violence-reform- rolling-action-plan-2020-2023/priorities-for-2020- 2023/perpetrators-and-people</w:t>
      </w:r>
    </w:p>
    <w:p w14:paraId="4C32F423" w14:textId="364D716E" w:rsidR="00157D58" w:rsidRDefault="00157D58" w:rsidP="00157D58">
      <w:pPr>
        <w:pStyle w:val="BodyText"/>
        <w:numPr>
          <w:ilvl w:val="0"/>
          <w:numId w:val="32"/>
        </w:numPr>
      </w:pPr>
      <w:r>
        <w:t>https://awava.org.au/2020/06/30/research-and- reports/survey-report-on-the-victims-survivors- experiences-of-seeking-help</w:t>
      </w:r>
    </w:p>
    <w:p w14:paraId="59CCC625" w14:textId="540560C7" w:rsidR="00157D58" w:rsidRDefault="00157D58" w:rsidP="00157D58">
      <w:pPr>
        <w:pStyle w:val="BodyText"/>
        <w:numPr>
          <w:ilvl w:val="0"/>
          <w:numId w:val="32"/>
        </w:numPr>
      </w:pPr>
      <w:r>
        <w:t>https://www.clcnsw.org.au/policy/victims- compensation</w:t>
      </w:r>
    </w:p>
    <w:p w14:paraId="1FDA54B5" w14:textId="6D5E87A2" w:rsidR="00157D58" w:rsidRDefault="00157D58" w:rsidP="00157D58">
      <w:pPr>
        <w:pStyle w:val="BodyText"/>
        <w:numPr>
          <w:ilvl w:val="0"/>
          <w:numId w:val="32"/>
        </w:numPr>
      </w:pPr>
      <w:r>
        <w:t>https://www.unwomen.org/en/news/ stories/2021/5/news-strengthening-police- response-to-gender-based-violence</w:t>
      </w:r>
    </w:p>
    <w:p w14:paraId="15F06060" w14:textId="5E864DC8" w:rsidR="00157D58" w:rsidRDefault="00157D58" w:rsidP="00157D58">
      <w:pPr>
        <w:pStyle w:val="BodyText"/>
        <w:numPr>
          <w:ilvl w:val="0"/>
          <w:numId w:val="32"/>
        </w:numPr>
      </w:pPr>
      <w:r>
        <w:t>https://www.aihw.gov.au/reports/children-youth/ engagement-in-education-or-employment</w:t>
      </w:r>
    </w:p>
    <w:p w14:paraId="41ADF454" w14:textId="6162DC47" w:rsidR="00157D58" w:rsidRDefault="00157D58" w:rsidP="00157D58">
      <w:pPr>
        <w:pStyle w:val="BodyText"/>
        <w:numPr>
          <w:ilvl w:val="0"/>
          <w:numId w:val="32"/>
        </w:numPr>
      </w:pPr>
      <w:r>
        <w:t>https://nowrongdoor.org.au/</w:t>
      </w:r>
    </w:p>
    <w:p w14:paraId="49830FDC" w14:textId="28A97BD7" w:rsidR="00157D58" w:rsidRDefault="00157D58" w:rsidP="00157D58">
      <w:pPr>
        <w:pStyle w:val="BodyText"/>
        <w:numPr>
          <w:ilvl w:val="0"/>
          <w:numId w:val="32"/>
        </w:numPr>
      </w:pPr>
      <w:r>
        <w:t>https://www.vic.gov.au/family-violence-reform- rolling-action-plan-2020-2023/orange-door</w:t>
      </w:r>
    </w:p>
    <w:p w14:paraId="4404407D" w14:textId="0900BE1A" w:rsidR="00157D58" w:rsidRDefault="00157D58" w:rsidP="00157D58">
      <w:pPr>
        <w:pStyle w:val="BodyText"/>
        <w:numPr>
          <w:ilvl w:val="0"/>
          <w:numId w:val="32"/>
        </w:numPr>
      </w:pPr>
      <w:r>
        <w:t>https://www.theguardian.com/education/2021/ apr/20/milkshake-video-sexual-consent- education-campaign-cost-australian- government-38m</w:t>
      </w:r>
    </w:p>
    <w:p w14:paraId="0B7A9092" w14:textId="2C0CB095" w:rsidR="00157D58" w:rsidRDefault="00157D58" w:rsidP="00157D58">
      <w:pPr>
        <w:pStyle w:val="BodyText"/>
        <w:numPr>
          <w:ilvl w:val="0"/>
          <w:numId w:val="32"/>
        </w:numPr>
      </w:pPr>
      <w:r>
        <w:t>https://www.ons.gov.uk/ peoplepopulationandcommunity/ crimeandjustice/</w:t>
      </w:r>
    </w:p>
    <w:p w14:paraId="7DDF0F6E" w14:textId="715FDDDA" w:rsidR="00157D58" w:rsidRDefault="00157D58" w:rsidP="00157D58">
      <w:pPr>
        <w:pStyle w:val="BodyText"/>
      </w:pPr>
    </w:p>
    <w:p w14:paraId="05CEEDCF" w14:textId="6E85CA2E" w:rsidR="00157D58" w:rsidRDefault="00157D58" w:rsidP="00157D58">
      <w:pPr>
        <w:pStyle w:val="BodyText"/>
      </w:pPr>
    </w:p>
    <w:p w14:paraId="33324086" w14:textId="77777777" w:rsidR="009A5B8A" w:rsidRDefault="009A5B8A" w:rsidP="00157D58">
      <w:pPr>
        <w:pStyle w:val="BodyText"/>
      </w:pPr>
    </w:p>
    <w:p w14:paraId="6572D23C" w14:textId="77777777" w:rsidR="009A5B8A" w:rsidRDefault="009A5B8A" w:rsidP="00157D58">
      <w:pPr>
        <w:pStyle w:val="BodyText"/>
      </w:pPr>
    </w:p>
    <w:p w14:paraId="4F342214" w14:textId="77777777" w:rsidR="009A5B8A" w:rsidRDefault="009A5B8A" w:rsidP="00157D58">
      <w:pPr>
        <w:pStyle w:val="BodyText"/>
      </w:pPr>
    </w:p>
    <w:p w14:paraId="54E651E2" w14:textId="77777777" w:rsidR="009A5B8A" w:rsidRDefault="009A5B8A" w:rsidP="00157D58">
      <w:pPr>
        <w:pStyle w:val="BodyText"/>
      </w:pPr>
    </w:p>
    <w:p w14:paraId="0E34E95C" w14:textId="77777777" w:rsidR="009A5B8A" w:rsidRDefault="009A5B8A" w:rsidP="00157D58">
      <w:pPr>
        <w:pStyle w:val="BodyText"/>
      </w:pPr>
    </w:p>
    <w:p w14:paraId="73ABE4DC" w14:textId="77777777" w:rsidR="009A5B8A" w:rsidRDefault="009A5B8A" w:rsidP="00157D58">
      <w:pPr>
        <w:pStyle w:val="BodyText"/>
      </w:pPr>
    </w:p>
    <w:p w14:paraId="1EB1697C" w14:textId="77777777" w:rsidR="009A5B8A" w:rsidRDefault="009A5B8A" w:rsidP="00157D58">
      <w:pPr>
        <w:pStyle w:val="BodyText"/>
      </w:pPr>
    </w:p>
    <w:p w14:paraId="05BF16B1" w14:textId="77777777" w:rsidR="009A5B8A" w:rsidRDefault="009A5B8A" w:rsidP="00157D58">
      <w:pPr>
        <w:pStyle w:val="BodyText"/>
      </w:pPr>
    </w:p>
    <w:p w14:paraId="49F30CCD" w14:textId="77777777" w:rsidR="009A5B8A" w:rsidRDefault="009A5B8A" w:rsidP="00157D58">
      <w:pPr>
        <w:pStyle w:val="BodyText"/>
      </w:pPr>
    </w:p>
    <w:p w14:paraId="680F44CA" w14:textId="77777777" w:rsidR="009A5B8A" w:rsidRDefault="009A5B8A" w:rsidP="00157D58">
      <w:pPr>
        <w:pStyle w:val="BodyText"/>
      </w:pPr>
    </w:p>
    <w:p w14:paraId="1827C540" w14:textId="77777777" w:rsidR="009A5B8A" w:rsidRDefault="009A5B8A" w:rsidP="00157D58">
      <w:pPr>
        <w:pStyle w:val="BodyText"/>
      </w:pPr>
    </w:p>
    <w:p w14:paraId="0FABE2F6" w14:textId="77777777" w:rsidR="009A5B8A" w:rsidRDefault="009A5B8A" w:rsidP="00157D58">
      <w:pPr>
        <w:pStyle w:val="BodyText"/>
      </w:pPr>
    </w:p>
    <w:p w14:paraId="2AC441FA" w14:textId="77777777" w:rsidR="009A5B8A" w:rsidRDefault="009A5B8A" w:rsidP="00157D58">
      <w:pPr>
        <w:pStyle w:val="BodyText"/>
      </w:pPr>
    </w:p>
    <w:p w14:paraId="68DA7B2A" w14:textId="77777777" w:rsidR="009A5B8A" w:rsidRDefault="009A5B8A" w:rsidP="00157D58">
      <w:pPr>
        <w:pStyle w:val="BodyText"/>
      </w:pPr>
    </w:p>
    <w:p w14:paraId="2EC56A48" w14:textId="77777777" w:rsidR="009A5B8A" w:rsidRDefault="009A5B8A" w:rsidP="00157D58">
      <w:pPr>
        <w:pStyle w:val="BodyText"/>
      </w:pPr>
    </w:p>
    <w:p w14:paraId="7F244882" w14:textId="77777777" w:rsidR="009A5B8A" w:rsidRDefault="009A5B8A" w:rsidP="00157D58">
      <w:pPr>
        <w:pStyle w:val="BodyText"/>
      </w:pPr>
    </w:p>
    <w:p w14:paraId="1DF2D793" w14:textId="77777777" w:rsidR="009A5B8A" w:rsidRDefault="009A5B8A" w:rsidP="00157D58">
      <w:pPr>
        <w:pStyle w:val="BodyText"/>
      </w:pPr>
    </w:p>
    <w:p w14:paraId="106F1D68" w14:textId="77777777" w:rsidR="009A5B8A" w:rsidRDefault="009A5B8A" w:rsidP="00157D58">
      <w:pPr>
        <w:pStyle w:val="BodyText"/>
      </w:pPr>
    </w:p>
    <w:p w14:paraId="320D99F4" w14:textId="74F9062F" w:rsidR="00157D58" w:rsidRDefault="00157D58" w:rsidP="00157D58">
      <w:pPr>
        <w:pStyle w:val="BodyText"/>
      </w:pPr>
      <w:r>
        <w:t>This report was published by:</w:t>
      </w:r>
    </w:p>
    <w:p w14:paraId="34BE9699" w14:textId="77777777" w:rsidR="00157D58" w:rsidRDefault="00157D58" w:rsidP="00157D58">
      <w:pPr>
        <w:pStyle w:val="BodyText"/>
      </w:pPr>
    </w:p>
    <w:p w14:paraId="4F7982F8" w14:textId="2F38E539" w:rsidR="00157D58" w:rsidRDefault="00157D58" w:rsidP="00157D58">
      <w:pPr>
        <w:pStyle w:val="BodyText"/>
      </w:pPr>
      <w:r>
        <w:t>WESNET (Women’s Services Network)</w:t>
      </w:r>
    </w:p>
    <w:p w14:paraId="03A23120" w14:textId="77777777" w:rsidR="00157D58" w:rsidRDefault="00157D58" w:rsidP="00157D58">
      <w:pPr>
        <w:pStyle w:val="BodyText"/>
      </w:pPr>
      <w:r>
        <w:t>GPO Box 1579 Canberra City, ACT, 2601, Australia www.wesnet.org.au</w:t>
      </w:r>
    </w:p>
    <w:p w14:paraId="1E11E7BA" w14:textId="2120FD9A" w:rsidR="00754BFB" w:rsidRDefault="00157D58" w:rsidP="009A5B8A">
      <w:pPr>
        <w:pStyle w:val="BodyText"/>
      </w:pPr>
      <w:r>
        <w:t>ABN: 16 068 548 631 | ACN: ACT A 02400</w:t>
      </w:r>
    </w:p>
    <w:sectPr w:rsidR="00754BFB" w:rsidSect="004E5372">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4EA8B" w14:textId="77777777" w:rsidR="0071194D" w:rsidRDefault="0071194D" w:rsidP="005A0296">
      <w:pPr>
        <w:spacing w:after="0" w:line="240" w:lineRule="auto"/>
      </w:pPr>
      <w:r>
        <w:separator/>
      </w:r>
    </w:p>
  </w:endnote>
  <w:endnote w:type="continuationSeparator" w:id="0">
    <w:p w14:paraId="5B2033F9" w14:textId="77777777" w:rsidR="0071194D" w:rsidRDefault="0071194D" w:rsidP="005A0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panose1 w:val="020B0604020202020204"/>
    <w:charset w:val="00"/>
    <w:family w:val="swiss"/>
    <w:pitch w:val="variable"/>
    <w:sig w:usb0="E00002EF" w:usb1="4000205B" w:usb2="00000028" w:usb3="00000000" w:csb0="000001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45438649"/>
      <w:docPartObj>
        <w:docPartGallery w:val="Page Numbers (Bottom of Page)"/>
        <w:docPartUnique/>
      </w:docPartObj>
    </w:sdtPr>
    <w:sdtEndPr>
      <w:rPr>
        <w:rStyle w:val="PageNumber"/>
      </w:rPr>
    </w:sdtEndPr>
    <w:sdtContent>
      <w:p w14:paraId="034450B1" w14:textId="7AE3A558" w:rsidR="003150C1" w:rsidRDefault="003150C1" w:rsidP="00F152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D90291" w14:textId="77777777" w:rsidR="003150C1" w:rsidRDefault="003150C1" w:rsidP="003150C1">
    <w:pPr>
      <w:pStyle w:val="Footer"/>
      <w:ind w:right="360"/>
    </w:pPr>
  </w:p>
  <w:p w14:paraId="3CAAE91C" w14:textId="77777777" w:rsidR="009A5B8A" w:rsidRDefault="009A5B8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32014476"/>
      <w:docPartObj>
        <w:docPartGallery w:val="Page Numbers (Bottom of Page)"/>
        <w:docPartUnique/>
      </w:docPartObj>
    </w:sdtPr>
    <w:sdtEndPr>
      <w:rPr>
        <w:rStyle w:val="PageNumber"/>
      </w:rPr>
    </w:sdtEndPr>
    <w:sdtContent>
      <w:p w14:paraId="28D07295" w14:textId="7599EC41" w:rsidR="00F1528E" w:rsidRDefault="00F1528E" w:rsidP="00F152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F4E9FF5" w14:textId="77777777" w:rsidR="003150C1" w:rsidRDefault="003150C1" w:rsidP="003150C1">
    <w:pPr>
      <w:pStyle w:val="Footer"/>
      <w:ind w:right="360"/>
    </w:pPr>
  </w:p>
  <w:p w14:paraId="7D6B0050" w14:textId="77777777" w:rsidR="009A5B8A" w:rsidRDefault="009A5B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53874" w14:textId="77777777" w:rsidR="0071194D" w:rsidRDefault="0071194D" w:rsidP="005A0296">
      <w:pPr>
        <w:spacing w:after="0" w:line="240" w:lineRule="auto"/>
      </w:pPr>
      <w:r>
        <w:separator/>
      </w:r>
    </w:p>
  </w:footnote>
  <w:footnote w:type="continuationSeparator" w:id="0">
    <w:p w14:paraId="69ABF3EA" w14:textId="77777777" w:rsidR="0071194D" w:rsidRDefault="0071194D" w:rsidP="005A0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19C7C" w14:textId="16BA23DE" w:rsidR="005A0296" w:rsidRDefault="005A0296">
    <w:pPr>
      <w:pStyle w:val="Header"/>
    </w:pPr>
    <w:r>
      <w:t>Young Women’s Report 2022</w:t>
    </w:r>
    <w:r>
      <w:ptab w:relativeTo="margin" w:alignment="center" w:leader="none"/>
    </w:r>
    <w:r>
      <w:ptab w:relativeTo="margin" w:alignment="right" w:leader="none"/>
    </w:r>
    <w:r>
      <w:rPr>
        <w:noProof/>
      </w:rPr>
      <w:drawing>
        <wp:inline distT="0" distB="0" distL="0" distR="0" wp14:anchorId="7DFEA707" wp14:editId="4B5B4137">
          <wp:extent cx="992784" cy="383085"/>
          <wp:effectExtent l="0" t="0" r="0" b="0"/>
          <wp:docPr id="4" name="Picture 4" descr="Australian Women Against VIolence Alli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Women Against VIolence Alliance Logo"/>
                  <pic:cNvPicPr/>
                </pic:nvPicPr>
                <pic:blipFill>
                  <a:blip r:embed="rId1">
                    <a:extLst>
                      <a:ext uri="{28A0092B-C50C-407E-A947-70E740481C1C}">
                        <a14:useLocalDpi xmlns:a14="http://schemas.microsoft.com/office/drawing/2010/main" val="0"/>
                      </a:ext>
                    </a:extLst>
                  </a:blip>
                  <a:stretch>
                    <a:fillRect/>
                  </a:stretch>
                </pic:blipFill>
                <pic:spPr>
                  <a:xfrm>
                    <a:off x="0" y="0"/>
                    <a:ext cx="1019697" cy="393470"/>
                  </a:xfrm>
                  <a:prstGeom prst="rect">
                    <a:avLst/>
                  </a:prstGeom>
                </pic:spPr>
              </pic:pic>
            </a:graphicData>
          </a:graphic>
        </wp:inline>
      </w:drawing>
    </w:r>
  </w:p>
  <w:p w14:paraId="4F05E30E" w14:textId="77777777" w:rsidR="009A5B8A" w:rsidRDefault="009A5B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54C5"/>
    <w:multiLevelType w:val="hybridMultilevel"/>
    <w:tmpl w:val="C8F4C642"/>
    <w:lvl w:ilvl="0" w:tplc="04090001">
      <w:start w:val="1"/>
      <w:numFmt w:val="bullet"/>
      <w:lvlText w:val=""/>
      <w:lvlJc w:val="left"/>
      <w:pPr>
        <w:ind w:left="720" w:hanging="360"/>
      </w:pPr>
      <w:rPr>
        <w:rFonts w:ascii="Symbol" w:hAnsi="Symbol" w:hint="default"/>
      </w:rPr>
    </w:lvl>
    <w:lvl w:ilvl="1" w:tplc="7FD24036">
      <w:start w:val="78"/>
      <w:numFmt w:val="bullet"/>
      <w:lvlText w:val="•"/>
      <w:lvlJc w:val="left"/>
      <w:pPr>
        <w:ind w:left="1800" w:hanging="720"/>
      </w:pPr>
      <w:rPr>
        <w:rFonts w:ascii="Open Sans" w:eastAsia="Open Sans" w:hAnsi="Open Sans" w:cs="Open San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00FF9"/>
    <w:multiLevelType w:val="hybridMultilevel"/>
    <w:tmpl w:val="10D4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76F5E"/>
    <w:multiLevelType w:val="hybridMultilevel"/>
    <w:tmpl w:val="A0683DEC"/>
    <w:lvl w:ilvl="0" w:tplc="FFFFFFFF">
      <w:start w:val="1"/>
      <w:numFmt w:val="upp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975168"/>
    <w:multiLevelType w:val="hybridMultilevel"/>
    <w:tmpl w:val="69D22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23A4D"/>
    <w:multiLevelType w:val="hybridMultilevel"/>
    <w:tmpl w:val="DB8ABF04"/>
    <w:lvl w:ilvl="0" w:tplc="72828650">
      <w:numFmt w:val="bullet"/>
      <w:lvlText w:val="•"/>
      <w:lvlJc w:val="left"/>
      <w:pPr>
        <w:ind w:left="803" w:hanging="128"/>
      </w:pPr>
      <w:rPr>
        <w:rFonts w:ascii="Open Sans" w:eastAsia="Open Sans" w:hAnsi="Open Sans" w:cs="Open Sans" w:hint="default"/>
        <w:b w:val="0"/>
        <w:bCs w:val="0"/>
        <w:i w:val="0"/>
        <w:iCs w:val="0"/>
        <w:color w:val="7ABC34"/>
        <w:w w:val="100"/>
        <w:sz w:val="20"/>
        <w:szCs w:val="20"/>
        <w:lang w:val="en-US" w:eastAsia="en-US" w:bidi="ar-SA"/>
      </w:rPr>
    </w:lvl>
    <w:lvl w:ilvl="1" w:tplc="17849176">
      <w:numFmt w:val="bullet"/>
      <w:lvlText w:val="•"/>
      <w:lvlJc w:val="left"/>
      <w:pPr>
        <w:ind w:left="2370" w:hanging="128"/>
      </w:pPr>
      <w:rPr>
        <w:rFonts w:hint="default"/>
        <w:lang w:val="en-US" w:eastAsia="en-US" w:bidi="ar-SA"/>
      </w:rPr>
    </w:lvl>
    <w:lvl w:ilvl="2" w:tplc="D2C0ACFA">
      <w:numFmt w:val="bullet"/>
      <w:lvlText w:val="•"/>
      <w:lvlJc w:val="left"/>
      <w:pPr>
        <w:ind w:left="3940" w:hanging="128"/>
      </w:pPr>
      <w:rPr>
        <w:rFonts w:hint="default"/>
        <w:lang w:val="en-US" w:eastAsia="en-US" w:bidi="ar-SA"/>
      </w:rPr>
    </w:lvl>
    <w:lvl w:ilvl="3" w:tplc="8FB45EE8">
      <w:numFmt w:val="bullet"/>
      <w:lvlText w:val="•"/>
      <w:lvlJc w:val="left"/>
      <w:pPr>
        <w:ind w:left="5510" w:hanging="128"/>
      </w:pPr>
      <w:rPr>
        <w:rFonts w:hint="default"/>
        <w:lang w:val="en-US" w:eastAsia="en-US" w:bidi="ar-SA"/>
      </w:rPr>
    </w:lvl>
    <w:lvl w:ilvl="4" w:tplc="5E7AC86A">
      <w:numFmt w:val="bullet"/>
      <w:lvlText w:val="•"/>
      <w:lvlJc w:val="left"/>
      <w:pPr>
        <w:ind w:left="7080" w:hanging="128"/>
      </w:pPr>
      <w:rPr>
        <w:rFonts w:hint="default"/>
        <w:lang w:val="en-US" w:eastAsia="en-US" w:bidi="ar-SA"/>
      </w:rPr>
    </w:lvl>
    <w:lvl w:ilvl="5" w:tplc="146A6B5A">
      <w:numFmt w:val="bullet"/>
      <w:lvlText w:val="•"/>
      <w:lvlJc w:val="left"/>
      <w:pPr>
        <w:ind w:left="8650" w:hanging="128"/>
      </w:pPr>
      <w:rPr>
        <w:rFonts w:hint="default"/>
        <w:lang w:val="en-US" w:eastAsia="en-US" w:bidi="ar-SA"/>
      </w:rPr>
    </w:lvl>
    <w:lvl w:ilvl="6" w:tplc="CD9684DA">
      <w:numFmt w:val="bullet"/>
      <w:lvlText w:val="•"/>
      <w:lvlJc w:val="left"/>
      <w:pPr>
        <w:ind w:left="10220" w:hanging="128"/>
      </w:pPr>
      <w:rPr>
        <w:rFonts w:hint="default"/>
        <w:lang w:val="en-US" w:eastAsia="en-US" w:bidi="ar-SA"/>
      </w:rPr>
    </w:lvl>
    <w:lvl w:ilvl="7" w:tplc="49BAFBE4">
      <w:numFmt w:val="bullet"/>
      <w:lvlText w:val="•"/>
      <w:lvlJc w:val="left"/>
      <w:pPr>
        <w:ind w:left="11790" w:hanging="128"/>
      </w:pPr>
      <w:rPr>
        <w:rFonts w:hint="default"/>
        <w:lang w:val="en-US" w:eastAsia="en-US" w:bidi="ar-SA"/>
      </w:rPr>
    </w:lvl>
    <w:lvl w:ilvl="8" w:tplc="0FDCE040">
      <w:numFmt w:val="bullet"/>
      <w:lvlText w:val="•"/>
      <w:lvlJc w:val="left"/>
      <w:pPr>
        <w:ind w:left="13360" w:hanging="128"/>
      </w:pPr>
      <w:rPr>
        <w:rFonts w:hint="default"/>
        <w:lang w:val="en-US" w:eastAsia="en-US" w:bidi="ar-SA"/>
      </w:rPr>
    </w:lvl>
  </w:abstractNum>
  <w:abstractNum w:abstractNumId="5" w15:restartNumberingAfterBreak="0">
    <w:nsid w:val="11A46467"/>
    <w:multiLevelType w:val="hybridMultilevel"/>
    <w:tmpl w:val="E88A9C82"/>
    <w:lvl w:ilvl="0" w:tplc="24D670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6E4A5C"/>
    <w:multiLevelType w:val="hybridMultilevel"/>
    <w:tmpl w:val="E6725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2F278F"/>
    <w:multiLevelType w:val="hybridMultilevel"/>
    <w:tmpl w:val="40C8A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E1536"/>
    <w:multiLevelType w:val="hybridMultilevel"/>
    <w:tmpl w:val="D05C1164"/>
    <w:lvl w:ilvl="0" w:tplc="04090001">
      <w:start w:val="1"/>
      <w:numFmt w:val="bullet"/>
      <w:lvlText w:val=""/>
      <w:lvlJc w:val="left"/>
      <w:pPr>
        <w:ind w:left="1239" w:hanging="360"/>
      </w:pPr>
      <w:rPr>
        <w:rFonts w:ascii="Symbol" w:hAnsi="Symbol" w:hint="default"/>
      </w:rPr>
    </w:lvl>
    <w:lvl w:ilvl="1" w:tplc="04090003" w:tentative="1">
      <w:start w:val="1"/>
      <w:numFmt w:val="bullet"/>
      <w:lvlText w:val="o"/>
      <w:lvlJc w:val="left"/>
      <w:pPr>
        <w:ind w:left="1959" w:hanging="360"/>
      </w:pPr>
      <w:rPr>
        <w:rFonts w:ascii="Courier New" w:hAnsi="Courier New" w:cs="Courier New" w:hint="default"/>
      </w:rPr>
    </w:lvl>
    <w:lvl w:ilvl="2" w:tplc="04090005" w:tentative="1">
      <w:start w:val="1"/>
      <w:numFmt w:val="bullet"/>
      <w:lvlText w:val=""/>
      <w:lvlJc w:val="left"/>
      <w:pPr>
        <w:ind w:left="2679" w:hanging="360"/>
      </w:pPr>
      <w:rPr>
        <w:rFonts w:ascii="Wingdings" w:hAnsi="Wingdings" w:hint="default"/>
      </w:rPr>
    </w:lvl>
    <w:lvl w:ilvl="3" w:tplc="04090001" w:tentative="1">
      <w:start w:val="1"/>
      <w:numFmt w:val="bullet"/>
      <w:lvlText w:val=""/>
      <w:lvlJc w:val="left"/>
      <w:pPr>
        <w:ind w:left="3399" w:hanging="360"/>
      </w:pPr>
      <w:rPr>
        <w:rFonts w:ascii="Symbol" w:hAnsi="Symbol" w:hint="default"/>
      </w:rPr>
    </w:lvl>
    <w:lvl w:ilvl="4" w:tplc="04090003" w:tentative="1">
      <w:start w:val="1"/>
      <w:numFmt w:val="bullet"/>
      <w:lvlText w:val="o"/>
      <w:lvlJc w:val="left"/>
      <w:pPr>
        <w:ind w:left="4119" w:hanging="360"/>
      </w:pPr>
      <w:rPr>
        <w:rFonts w:ascii="Courier New" w:hAnsi="Courier New" w:cs="Courier New" w:hint="default"/>
      </w:rPr>
    </w:lvl>
    <w:lvl w:ilvl="5" w:tplc="04090005" w:tentative="1">
      <w:start w:val="1"/>
      <w:numFmt w:val="bullet"/>
      <w:lvlText w:val=""/>
      <w:lvlJc w:val="left"/>
      <w:pPr>
        <w:ind w:left="4839" w:hanging="360"/>
      </w:pPr>
      <w:rPr>
        <w:rFonts w:ascii="Wingdings" w:hAnsi="Wingdings" w:hint="default"/>
      </w:rPr>
    </w:lvl>
    <w:lvl w:ilvl="6" w:tplc="04090001" w:tentative="1">
      <w:start w:val="1"/>
      <w:numFmt w:val="bullet"/>
      <w:lvlText w:val=""/>
      <w:lvlJc w:val="left"/>
      <w:pPr>
        <w:ind w:left="5559" w:hanging="360"/>
      </w:pPr>
      <w:rPr>
        <w:rFonts w:ascii="Symbol" w:hAnsi="Symbol" w:hint="default"/>
      </w:rPr>
    </w:lvl>
    <w:lvl w:ilvl="7" w:tplc="04090003" w:tentative="1">
      <w:start w:val="1"/>
      <w:numFmt w:val="bullet"/>
      <w:lvlText w:val="o"/>
      <w:lvlJc w:val="left"/>
      <w:pPr>
        <w:ind w:left="6279" w:hanging="360"/>
      </w:pPr>
      <w:rPr>
        <w:rFonts w:ascii="Courier New" w:hAnsi="Courier New" w:cs="Courier New" w:hint="default"/>
      </w:rPr>
    </w:lvl>
    <w:lvl w:ilvl="8" w:tplc="04090005" w:tentative="1">
      <w:start w:val="1"/>
      <w:numFmt w:val="bullet"/>
      <w:lvlText w:val=""/>
      <w:lvlJc w:val="left"/>
      <w:pPr>
        <w:ind w:left="6999" w:hanging="360"/>
      </w:pPr>
      <w:rPr>
        <w:rFonts w:ascii="Wingdings" w:hAnsi="Wingdings" w:hint="default"/>
      </w:rPr>
    </w:lvl>
  </w:abstractNum>
  <w:abstractNum w:abstractNumId="9" w15:restartNumberingAfterBreak="0">
    <w:nsid w:val="1EE15B60"/>
    <w:multiLevelType w:val="hybridMultilevel"/>
    <w:tmpl w:val="7368E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0A5A0E"/>
    <w:multiLevelType w:val="hybridMultilevel"/>
    <w:tmpl w:val="A0683DEC"/>
    <w:lvl w:ilvl="0" w:tplc="2F44895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D06D7A"/>
    <w:multiLevelType w:val="hybridMultilevel"/>
    <w:tmpl w:val="007A8770"/>
    <w:lvl w:ilvl="0" w:tplc="196EE4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62CF8"/>
    <w:multiLevelType w:val="hybridMultilevel"/>
    <w:tmpl w:val="E8D86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F30414"/>
    <w:multiLevelType w:val="hybridMultilevel"/>
    <w:tmpl w:val="44864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3B1892"/>
    <w:multiLevelType w:val="hybridMultilevel"/>
    <w:tmpl w:val="08ACF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9E0336"/>
    <w:multiLevelType w:val="hybridMultilevel"/>
    <w:tmpl w:val="A03E1240"/>
    <w:lvl w:ilvl="0" w:tplc="2F44895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8C4DC4"/>
    <w:multiLevelType w:val="hybridMultilevel"/>
    <w:tmpl w:val="1ACA1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5E408C"/>
    <w:multiLevelType w:val="hybridMultilevel"/>
    <w:tmpl w:val="EB9C5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BD38EE"/>
    <w:multiLevelType w:val="hybridMultilevel"/>
    <w:tmpl w:val="76168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93E07"/>
    <w:multiLevelType w:val="hybridMultilevel"/>
    <w:tmpl w:val="9BA6A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127249"/>
    <w:multiLevelType w:val="hybridMultilevel"/>
    <w:tmpl w:val="6CA8C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6A05F1"/>
    <w:multiLevelType w:val="hybridMultilevel"/>
    <w:tmpl w:val="E904F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887170"/>
    <w:multiLevelType w:val="hybridMultilevel"/>
    <w:tmpl w:val="A0683DEC"/>
    <w:lvl w:ilvl="0" w:tplc="FFFFFFFF">
      <w:start w:val="1"/>
      <w:numFmt w:val="upp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C96375B"/>
    <w:multiLevelType w:val="hybridMultilevel"/>
    <w:tmpl w:val="A03E1240"/>
    <w:lvl w:ilvl="0" w:tplc="FFFFFFFF">
      <w:start w:val="1"/>
      <w:numFmt w:val="upp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0E31F3D"/>
    <w:multiLevelType w:val="multilevel"/>
    <w:tmpl w:val="2758B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E57E76"/>
    <w:multiLevelType w:val="hybridMultilevel"/>
    <w:tmpl w:val="96362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4856E6"/>
    <w:multiLevelType w:val="hybridMultilevel"/>
    <w:tmpl w:val="E0AEF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CD4DF9"/>
    <w:multiLevelType w:val="hybridMultilevel"/>
    <w:tmpl w:val="9F1A59B0"/>
    <w:lvl w:ilvl="0" w:tplc="196EE4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EC4595"/>
    <w:multiLevelType w:val="hybridMultilevel"/>
    <w:tmpl w:val="A03E1240"/>
    <w:lvl w:ilvl="0" w:tplc="FFFFFFFF">
      <w:start w:val="1"/>
      <w:numFmt w:val="upp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EDE1448"/>
    <w:multiLevelType w:val="multilevel"/>
    <w:tmpl w:val="A440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C114B5"/>
    <w:multiLevelType w:val="hybridMultilevel"/>
    <w:tmpl w:val="4F14312C"/>
    <w:lvl w:ilvl="0" w:tplc="196EE4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CF2AB4"/>
    <w:multiLevelType w:val="hybridMultilevel"/>
    <w:tmpl w:val="A03E1240"/>
    <w:lvl w:ilvl="0" w:tplc="FFFFFFFF">
      <w:start w:val="1"/>
      <w:numFmt w:val="upp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A95084F"/>
    <w:multiLevelType w:val="hybridMultilevel"/>
    <w:tmpl w:val="C660E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773B93"/>
    <w:multiLevelType w:val="hybridMultilevel"/>
    <w:tmpl w:val="849CE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7"/>
  </w:num>
  <w:num w:numId="4">
    <w:abstractNumId w:val="16"/>
  </w:num>
  <w:num w:numId="5">
    <w:abstractNumId w:val="13"/>
  </w:num>
  <w:num w:numId="6">
    <w:abstractNumId w:val="33"/>
  </w:num>
  <w:num w:numId="7">
    <w:abstractNumId w:val="19"/>
  </w:num>
  <w:num w:numId="8">
    <w:abstractNumId w:val="6"/>
  </w:num>
  <w:num w:numId="9">
    <w:abstractNumId w:val="1"/>
  </w:num>
  <w:num w:numId="10">
    <w:abstractNumId w:val="9"/>
  </w:num>
  <w:num w:numId="11">
    <w:abstractNumId w:val="0"/>
  </w:num>
  <w:num w:numId="12">
    <w:abstractNumId w:val="32"/>
  </w:num>
  <w:num w:numId="13">
    <w:abstractNumId w:val="15"/>
  </w:num>
  <w:num w:numId="14">
    <w:abstractNumId w:val="28"/>
  </w:num>
  <w:num w:numId="15">
    <w:abstractNumId w:val="31"/>
  </w:num>
  <w:num w:numId="16">
    <w:abstractNumId w:val="18"/>
  </w:num>
  <w:num w:numId="17">
    <w:abstractNumId w:val="23"/>
  </w:num>
  <w:num w:numId="18">
    <w:abstractNumId w:val="10"/>
  </w:num>
  <w:num w:numId="19">
    <w:abstractNumId w:val="22"/>
  </w:num>
  <w:num w:numId="20">
    <w:abstractNumId w:val="2"/>
  </w:num>
  <w:num w:numId="21">
    <w:abstractNumId w:val="21"/>
  </w:num>
  <w:num w:numId="22">
    <w:abstractNumId w:val="26"/>
  </w:num>
  <w:num w:numId="23">
    <w:abstractNumId w:val="25"/>
  </w:num>
  <w:num w:numId="24">
    <w:abstractNumId w:val="7"/>
  </w:num>
  <w:num w:numId="25">
    <w:abstractNumId w:val="5"/>
  </w:num>
  <w:num w:numId="26">
    <w:abstractNumId w:val="14"/>
  </w:num>
  <w:num w:numId="27">
    <w:abstractNumId w:val="12"/>
  </w:num>
  <w:num w:numId="28">
    <w:abstractNumId w:val="3"/>
  </w:num>
  <w:num w:numId="29">
    <w:abstractNumId w:val="20"/>
  </w:num>
  <w:num w:numId="30">
    <w:abstractNumId w:val="27"/>
  </w:num>
  <w:num w:numId="31">
    <w:abstractNumId w:val="30"/>
  </w:num>
  <w:num w:numId="32">
    <w:abstractNumId w:val="11"/>
  </w:num>
  <w:num w:numId="33">
    <w:abstractNumId w:val="29"/>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296"/>
    <w:rsid w:val="00043DFC"/>
    <w:rsid w:val="00075256"/>
    <w:rsid w:val="00085404"/>
    <w:rsid w:val="000F02B3"/>
    <w:rsid w:val="001017FE"/>
    <w:rsid w:val="00102714"/>
    <w:rsid w:val="00157D58"/>
    <w:rsid w:val="00197C5B"/>
    <w:rsid w:val="001B2068"/>
    <w:rsid w:val="001E441E"/>
    <w:rsid w:val="0023637C"/>
    <w:rsid w:val="00286249"/>
    <w:rsid w:val="002B7A7D"/>
    <w:rsid w:val="003150C1"/>
    <w:rsid w:val="00330831"/>
    <w:rsid w:val="003F5FD0"/>
    <w:rsid w:val="00423175"/>
    <w:rsid w:val="0046789F"/>
    <w:rsid w:val="00484A62"/>
    <w:rsid w:val="004C1865"/>
    <w:rsid w:val="004E5372"/>
    <w:rsid w:val="00542EE0"/>
    <w:rsid w:val="00547BD5"/>
    <w:rsid w:val="00590959"/>
    <w:rsid w:val="005A0296"/>
    <w:rsid w:val="005D3146"/>
    <w:rsid w:val="00610DC8"/>
    <w:rsid w:val="00680108"/>
    <w:rsid w:val="006F5F6E"/>
    <w:rsid w:val="0071194D"/>
    <w:rsid w:val="00753A99"/>
    <w:rsid w:val="00754BFB"/>
    <w:rsid w:val="007A7BD3"/>
    <w:rsid w:val="007D5AAA"/>
    <w:rsid w:val="00837D8B"/>
    <w:rsid w:val="0084475C"/>
    <w:rsid w:val="00897B0D"/>
    <w:rsid w:val="008A693D"/>
    <w:rsid w:val="008E5641"/>
    <w:rsid w:val="00905161"/>
    <w:rsid w:val="00987D44"/>
    <w:rsid w:val="00990C65"/>
    <w:rsid w:val="009A5B8A"/>
    <w:rsid w:val="009C6632"/>
    <w:rsid w:val="00A4283B"/>
    <w:rsid w:val="00A50E35"/>
    <w:rsid w:val="00A5646D"/>
    <w:rsid w:val="00A965EE"/>
    <w:rsid w:val="00B03A7A"/>
    <w:rsid w:val="00B55131"/>
    <w:rsid w:val="00B74C33"/>
    <w:rsid w:val="00B81CAC"/>
    <w:rsid w:val="00BB4C43"/>
    <w:rsid w:val="00C308F8"/>
    <w:rsid w:val="00C32A1A"/>
    <w:rsid w:val="00CB68BF"/>
    <w:rsid w:val="00CE2F22"/>
    <w:rsid w:val="00CF0561"/>
    <w:rsid w:val="00D32B4A"/>
    <w:rsid w:val="00D7566E"/>
    <w:rsid w:val="00D909F2"/>
    <w:rsid w:val="00DD25E0"/>
    <w:rsid w:val="00E21C51"/>
    <w:rsid w:val="00E24BF7"/>
    <w:rsid w:val="00E3733B"/>
    <w:rsid w:val="00E654F7"/>
    <w:rsid w:val="00F02432"/>
    <w:rsid w:val="00F1528E"/>
    <w:rsid w:val="00F17BF6"/>
    <w:rsid w:val="00F41F91"/>
    <w:rsid w:val="00F9584B"/>
    <w:rsid w:val="00FA3B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9E2C4"/>
  <w15:docId w15:val="{9D0354A7-3DE0-9B42-8F6B-8E30B9EB7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28E"/>
    <w:pPr>
      <w:spacing w:after="180" w:line="274" w:lineRule="auto"/>
    </w:pPr>
    <w:rPr>
      <w:sz w:val="21"/>
    </w:rPr>
  </w:style>
  <w:style w:type="paragraph" w:styleId="Heading1">
    <w:name w:val="heading 1"/>
    <w:basedOn w:val="Normal"/>
    <w:next w:val="Normal"/>
    <w:link w:val="Heading1Char"/>
    <w:uiPriority w:val="9"/>
    <w:qFormat/>
    <w:rsid w:val="00F1528E"/>
    <w:pPr>
      <w:keepNext/>
      <w:keepLines/>
      <w:spacing w:before="360" w:after="0" w:line="240" w:lineRule="auto"/>
      <w:outlineLvl w:val="0"/>
    </w:pPr>
    <w:rPr>
      <w:rFonts w:asciiTheme="majorHAnsi" w:eastAsiaTheme="majorEastAsia" w:hAnsiTheme="majorHAnsi" w:cstheme="majorBidi"/>
      <w:bCs/>
      <w:color w:val="92278F" w:themeColor="accent1"/>
      <w:spacing w:val="20"/>
      <w:sz w:val="32"/>
      <w:szCs w:val="28"/>
    </w:rPr>
  </w:style>
  <w:style w:type="paragraph" w:styleId="Heading2">
    <w:name w:val="heading 2"/>
    <w:basedOn w:val="Normal"/>
    <w:next w:val="Normal"/>
    <w:link w:val="Heading2Char"/>
    <w:uiPriority w:val="9"/>
    <w:unhideWhenUsed/>
    <w:qFormat/>
    <w:rsid w:val="00F1528E"/>
    <w:pPr>
      <w:keepNext/>
      <w:keepLines/>
      <w:spacing w:before="120" w:after="0" w:line="240" w:lineRule="auto"/>
      <w:outlineLvl w:val="1"/>
    </w:pPr>
    <w:rPr>
      <w:rFonts w:eastAsiaTheme="majorEastAsia" w:cstheme="majorBidi"/>
      <w:b/>
      <w:bCs/>
      <w:color w:val="92278F" w:themeColor="accent1"/>
      <w:sz w:val="28"/>
      <w:szCs w:val="26"/>
    </w:rPr>
  </w:style>
  <w:style w:type="paragraph" w:styleId="Heading3">
    <w:name w:val="heading 3"/>
    <w:basedOn w:val="Normal"/>
    <w:next w:val="Normal"/>
    <w:link w:val="Heading3Char"/>
    <w:uiPriority w:val="9"/>
    <w:unhideWhenUsed/>
    <w:qFormat/>
    <w:rsid w:val="00F1528E"/>
    <w:pPr>
      <w:keepNext/>
      <w:keepLines/>
      <w:spacing w:before="20" w:after="0" w:line="240" w:lineRule="auto"/>
      <w:outlineLvl w:val="2"/>
    </w:pPr>
    <w:rPr>
      <w:rFonts w:asciiTheme="majorHAnsi" w:eastAsiaTheme="majorEastAsia" w:hAnsiTheme="majorHAnsi" w:cstheme="majorBidi"/>
      <w:bCs/>
      <w:color w:val="632E62" w:themeColor="text2"/>
      <w:spacing w:val="14"/>
      <w:sz w:val="24"/>
    </w:rPr>
  </w:style>
  <w:style w:type="paragraph" w:styleId="Heading4">
    <w:name w:val="heading 4"/>
    <w:basedOn w:val="Normal"/>
    <w:next w:val="Normal"/>
    <w:link w:val="Heading4Char"/>
    <w:uiPriority w:val="9"/>
    <w:unhideWhenUsed/>
    <w:qFormat/>
    <w:rsid w:val="00F1528E"/>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unhideWhenUsed/>
    <w:qFormat/>
    <w:rsid w:val="00F1528E"/>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F1528E"/>
    <w:pPr>
      <w:keepNext/>
      <w:keepLines/>
      <w:spacing w:before="200" w:after="0"/>
      <w:outlineLvl w:val="5"/>
    </w:pPr>
    <w:rPr>
      <w:rFonts w:asciiTheme="majorHAnsi" w:eastAsiaTheme="majorEastAsia" w:hAnsiTheme="majorHAnsi" w:cstheme="majorBidi"/>
      <w:iCs/>
      <w:color w:val="92278F" w:themeColor="accent1"/>
      <w:sz w:val="22"/>
    </w:rPr>
  </w:style>
  <w:style w:type="paragraph" w:styleId="Heading7">
    <w:name w:val="heading 7"/>
    <w:basedOn w:val="Normal"/>
    <w:next w:val="Normal"/>
    <w:link w:val="Heading7Char"/>
    <w:uiPriority w:val="9"/>
    <w:semiHidden/>
    <w:unhideWhenUsed/>
    <w:qFormat/>
    <w:rsid w:val="00F1528E"/>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F1528E"/>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F1528E"/>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rsonalName">
    <w:name w:val="Personal Name"/>
    <w:basedOn w:val="Title"/>
    <w:qFormat/>
    <w:rsid w:val="00F1528E"/>
    <w:rPr>
      <w:b/>
      <w:caps/>
      <w:color w:val="000000"/>
      <w:sz w:val="28"/>
      <w:szCs w:val="28"/>
    </w:rPr>
  </w:style>
  <w:style w:type="paragraph" w:styleId="Title">
    <w:name w:val="Title"/>
    <w:basedOn w:val="Normal"/>
    <w:next w:val="Normal"/>
    <w:link w:val="TitleChar"/>
    <w:uiPriority w:val="10"/>
    <w:qFormat/>
    <w:rsid w:val="00F1528E"/>
    <w:pPr>
      <w:spacing w:after="120" w:line="240" w:lineRule="auto"/>
      <w:contextualSpacing/>
    </w:pPr>
    <w:rPr>
      <w:rFonts w:asciiTheme="majorHAnsi" w:eastAsiaTheme="majorEastAsia" w:hAnsiTheme="majorHAnsi" w:cstheme="majorBidi"/>
      <w:color w:val="632E62" w:themeColor="text2"/>
      <w:spacing w:val="30"/>
      <w:kern w:val="28"/>
      <w:sz w:val="96"/>
      <w:szCs w:val="52"/>
    </w:rPr>
  </w:style>
  <w:style w:type="character" w:customStyle="1" w:styleId="TitleChar">
    <w:name w:val="Title Char"/>
    <w:basedOn w:val="DefaultParagraphFont"/>
    <w:link w:val="Title"/>
    <w:uiPriority w:val="10"/>
    <w:rsid w:val="00F1528E"/>
    <w:rPr>
      <w:rFonts w:asciiTheme="majorHAnsi" w:eastAsiaTheme="majorEastAsia" w:hAnsiTheme="majorHAnsi" w:cstheme="majorBidi"/>
      <w:color w:val="632E62" w:themeColor="text2"/>
      <w:spacing w:val="30"/>
      <w:kern w:val="28"/>
      <w:sz w:val="96"/>
      <w:szCs w:val="52"/>
    </w:rPr>
  </w:style>
  <w:style w:type="character" w:customStyle="1" w:styleId="Heading1Char">
    <w:name w:val="Heading 1 Char"/>
    <w:basedOn w:val="DefaultParagraphFont"/>
    <w:link w:val="Heading1"/>
    <w:uiPriority w:val="9"/>
    <w:rsid w:val="00F1528E"/>
    <w:rPr>
      <w:rFonts w:asciiTheme="majorHAnsi" w:eastAsiaTheme="majorEastAsia" w:hAnsiTheme="majorHAnsi" w:cstheme="majorBidi"/>
      <w:bCs/>
      <w:color w:val="92278F" w:themeColor="accent1"/>
      <w:spacing w:val="20"/>
      <w:sz w:val="32"/>
      <w:szCs w:val="28"/>
    </w:rPr>
  </w:style>
  <w:style w:type="character" w:customStyle="1" w:styleId="Heading2Char">
    <w:name w:val="Heading 2 Char"/>
    <w:basedOn w:val="DefaultParagraphFont"/>
    <w:link w:val="Heading2"/>
    <w:uiPriority w:val="9"/>
    <w:rsid w:val="00F1528E"/>
    <w:rPr>
      <w:rFonts w:eastAsiaTheme="majorEastAsia" w:cstheme="majorBidi"/>
      <w:b/>
      <w:bCs/>
      <w:color w:val="92278F" w:themeColor="accent1"/>
      <w:sz w:val="28"/>
      <w:szCs w:val="26"/>
    </w:rPr>
  </w:style>
  <w:style w:type="character" w:customStyle="1" w:styleId="Heading3Char">
    <w:name w:val="Heading 3 Char"/>
    <w:basedOn w:val="DefaultParagraphFont"/>
    <w:link w:val="Heading3"/>
    <w:uiPriority w:val="9"/>
    <w:rsid w:val="00F1528E"/>
    <w:rPr>
      <w:rFonts w:asciiTheme="majorHAnsi" w:eastAsiaTheme="majorEastAsia" w:hAnsiTheme="majorHAnsi" w:cstheme="majorBidi"/>
      <w:bCs/>
      <w:color w:val="632E62" w:themeColor="text2"/>
      <w:spacing w:val="14"/>
      <w:sz w:val="24"/>
    </w:rPr>
  </w:style>
  <w:style w:type="character" w:customStyle="1" w:styleId="Heading4Char">
    <w:name w:val="Heading 4 Char"/>
    <w:basedOn w:val="DefaultParagraphFont"/>
    <w:link w:val="Heading4"/>
    <w:uiPriority w:val="9"/>
    <w:rsid w:val="00F1528E"/>
    <w:rPr>
      <w:rFonts w:eastAsiaTheme="majorEastAsia" w:cstheme="majorBidi"/>
      <w:b/>
      <w:bCs/>
      <w:i/>
      <w:iCs/>
      <w:color w:val="000000"/>
      <w:sz w:val="24"/>
    </w:rPr>
  </w:style>
  <w:style w:type="character" w:customStyle="1" w:styleId="Heading5Char">
    <w:name w:val="Heading 5 Char"/>
    <w:basedOn w:val="DefaultParagraphFont"/>
    <w:link w:val="Heading5"/>
    <w:uiPriority w:val="9"/>
    <w:rsid w:val="00F1528E"/>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F1528E"/>
    <w:rPr>
      <w:rFonts w:asciiTheme="majorHAnsi" w:eastAsiaTheme="majorEastAsia" w:hAnsiTheme="majorHAnsi" w:cstheme="majorBidi"/>
      <w:iCs/>
      <w:color w:val="92278F" w:themeColor="accent1"/>
    </w:rPr>
  </w:style>
  <w:style w:type="character" w:customStyle="1" w:styleId="Heading7Char">
    <w:name w:val="Heading 7 Char"/>
    <w:basedOn w:val="DefaultParagraphFont"/>
    <w:link w:val="Heading7"/>
    <w:uiPriority w:val="9"/>
    <w:semiHidden/>
    <w:rsid w:val="00F1528E"/>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F1528E"/>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F1528E"/>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F1528E"/>
    <w:pPr>
      <w:spacing w:line="240" w:lineRule="auto"/>
    </w:pPr>
    <w:rPr>
      <w:rFonts w:asciiTheme="majorHAnsi" w:eastAsiaTheme="minorEastAsia" w:hAnsiTheme="majorHAnsi"/>
      <w:bCs/>
      <w:smallCaps/>
      <w:color w:val="632E62" w:themeColor="text2"/>
      <w:spacing w:val="6"/>
      <w:sz w:val="22"/>
      <w:szCs w:val="18"/>
    </w:rPr>
  </w:style>
  <w:style w:type="paragraph" w:styleId="Subtitle">
    <w:name w:val="Subtitle"/>
    <w:basedOn w:val="Normal"/>
    <w:next w:val="Normal"/>
    <w:link w:val="SubtitleChar"/>
    <w:uiPriority w:val="11"/>
    <w:qFormat/>
    <w:rsid w:val="00F1528E"/>
    <w:pPr>
      <w:numPr>
        <w:ilvl w:val="1"/>
      </w:numPr>
    </w:pPr>
    <w:rPr>
      <w:rFonts w:eastAsiaTheme="majorEastAsia" w:cstheme="majorBidi"/>
      <w:iCs/>
      <w:color w:val="632E62" w:themeColor="text2"/>
      <w:sz w:val="40"/>
      <w:szCs w:val="24"/>
    </w:rPr>
  </w:style>
  <w:style w:type="character" w:customStyle="1" w:styleId="SubtitleChar">
    <w:name w:val="Subtitle Char"/>
    <w:basedOn w:val="DefaultParagraphFont"/>
    <w:link w:val="Subtitle"/>
    <w:uiPriority w:val="11"/>
    <w:rsid w:val="00F1528E"/>
    <w:rPr>
      <w:rFonts w:eastAsiaTheme="majorEastAsia" w:cstheme="majorBidi"/>
      <w:iCs/>
      <w:color w:val="632E62" w:themeColor="text2"/>
      <w:sz w:val="40"/>
      <w:szCs w:val="24"/>
    </w:rPr>
  </w:style>
  <w:style w:type="character" w:styleId="Strong">
    <w:name w:val="Strong"/>
    <w:basedOn w:val="DefaultParagraphFont"/>
    <w:uiPriority w:val="22"/>
    <w:qFormat/>
    <w:rsid w:val="00F1528E"/>
    <w:rPr>
      <w:b w:val="0"/>
      <w:bCs/>
      <w:i/>
      <w:color w:val="632E62" w:themeColor="text2"/>
    </w:rPr>
  </w:style>
  <w:style w:type="character" w:styleId="Emphasis">
    <w:name w:val="Emphasis"/>
    <w:basedOn w:val="DefaultParagraphFont"/>
    <w:uiPriority w:val="20"/>
    <w:qFormat/>
    <w:rsid w:val="00F1528E"/>
    <w:rPr>
      <w:b/>
      <w:i/>
      <w:iCs/>
    </w:rPr>
  </w:style>
  <w:style w:type="paragraph" w:styleId="NoSpacing">
    <w:name w:val="No Spacing"/>
    <w:link w:val="NoSpacingChar"/>
    <w:uiPriority w:val="1"/>
    <w:qFormat/>
    <w:rsid w:val="00F1528E"/>
    <w:pPr>
      <w:spacing w:after="0" w:line="240" w:lineRule="auto"/>
    </w:pPr>
  </w:style>
  <w:style w:type="character" w:customStyle="1" w:styleId="NoSpacingChar">
    <w:name w:val="No Spacing Char"/>
    <w:basedOn w:val="DefaultParagraphFont"/>
    <w:link w:val="NoSpacing"/>
    <w:uiPriority w:val="1"/>
    <w:rsid w:val="00F1528E"/>
  </w:style>
  <w:style w:type="paragraph" w:styleId="ListParagraph">
    <w:name w:val="List Paragraph"/>
    <w:basedOn w:val="Normal"/>
    <w:uiPriority w:val="34"/>
    <w:qFormat/>
    <w:rsid w:val="00F1528E"/>
    <w:pPr>
      <w:spacing w:line="240" w:lineRule="auto"/>
      <w:ind w:left="720" w:hanging="288"/>
      <w:contextualSpacing/>
    </w:pPr>
    <w:rPr>
      <w:color w:val="632E62" w:themeColor="text2"/>
    </w:rPr>
  </w:style>
  <w:style w:type="paragraph" w:styleId="Quote">
    <w:name w:val="Quote"/>
    <w:basedOn w:val="Normal"/>
    <w:next w:val="Normal"/>
    <w:link w:val="QuoteChar"/>
    <w:uiPriority w:val="29"/>
    <w:qFormat/>
    <w:rsid w:val="00F1528E"/>
    <w:pPr>
      <w:spacing w:after="0" w:line="360" w:lineRule="auto"/>
      <w:jc w:val="center"/>
    </w:pPr>
    <w:rPr>
      <w:rFonts w:eastAsiaTheme="minorEastAsia"/>
      <w:b/>
      <w:i/>
      <w:iCs/>
      <w:color w:val="92278F" w:themeColor="accent1"/>
      <w:sz w:val="26"/>
    </w:rPr>
  </w:style>
  <w:style w:type="character" w:customStyle="1" w:styleId="QuoteChar">
    <w:name w:val="Quote Char"/>
    <w:basedOn w:val="DefaultParagraphFont"/>
    <w:link w:val="Quote"/>
    <w:uiPriority w:val="29"/>
    <w:rsid w:val="00F1528E"/>
    <w:rPr>
      <w:rFonts w:eastAsiaTheme="minorEastAsia"/>
      <w:b/>
      <w:i/>
      <w:iCs/>
      <w:color w:val="92278F" w:themeColor="accent1"/>
      <w:sz w:val="26"/>
    </w:rPr>
  </w:style>
  <w:style w:type="paragraph" w:styleId="IntenseQuote">
    <w:name w:val="Intense Quote"/>
    <w:basedOn w:val="Normal"/>
    <w:next w:val="Normal"/>
    <w:link w:val="IntenseQuoteChar"/>
    <w:uiPriority w:val="30"/>
    <w:qFormat/>
    <w:rsid w:val="00F1528E"/>
    <w:pPr>
      <w:pBdr>
        <w:top w:val="single" w:sz="36" w:space="8" w:color="92278F" w:themeColor="accent1"/>
        <w:left w:val="single" w:sz="36" w:space="8" w:color="92278F" w:themeColor="accent1"/>
        <w:bottom w:val="single" w:sz="36" w:space="8" w:color="92278F" w:themeColor="accent1"/>
        <w:right w:val="single" w:sz="36" w:space="8" w:color="92278F" w:themeColor="accent1"/>
      </w:pBdr>
      <w:shd w:val="clear" w:color="auto" w:fill="92278F"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IntenseQuoteChar">
    <w:name w:val="Intense Quote Char"/>
    <w:basedOn w:val="DefaultParagraphFont"/>
    <w:link w:val="IntenseQuote"/>
    <w:uiPriority w:val="30"/>
    <w:rsid w:val="00F1528E"/>
    <w:rPr>
      <w:rFonts w:asciiTheme="majorHAnsi" w:eastAsiaTheme="minorEastAsia" w:hAnsiTheme="majorHAnsi"/>
      <w:bCs/>
      <w:iCs/>
      <w:color w:val="FFFFFF" w:themeColor="background1"/>
      <w:sz w:val="28"/>
      <w:shd w:val="clear" w:color="auto" w:fill="92278F" w:themeFill="accent1"/>
    </w:rPr>
  </w:style>
  <w:style w:type="character" w:styleId="SubtleEmphasis">
    <w:name w:val="Subtle Emphasis"/>
    <w:basedOn w:val="DefaultParagraphFont"/>
    <w:uiPriority w:val="19"/>
    <w:qFormat/>
    <w:rsid w:val="00F1528E"/>
    <w:rPr>
      <w:i/>
      <w:iCs/>
      <w:color w:val="000000"/>
    </w:rPr>
  </w:style>
  <w:style w:type="character" w:styleId="IntenseEmphasis">
    <w:name w:val="Intense Emphasis"/>
    <w:basedOn w:val="DefaultParagraphFont"/>
    <w:uiPriority w:val="21"/>
    <w:qFormat/>
    <w:rsid w:val="00F1528E"/>
    <w:rPr>
      <w:b/>
      <w:bCs/>
      <w:i/>
      <w:iCs/>
      <w:color w:val="92278F" w:themeColor="accent1"/>
    </w:rPr>
  </w:style>
  <w:style w:type="character" w:styleId="SubtleReference">
    <w:name w:val="Subtle Reference"/>
    <w:basedOn w:val="DefaultParagraphFont"/>
    <w:uiPriority w:val="31"/>
    <w:qFormat/>
    <w:rsid w:val="00F1528E"/>
    <w:rPr>
      <w:smallCaps/>
      <w:color w:val="000000"/>
      <w:u w:val="single"/>
    </w:rPr>
  </w:style>
  <w:style w:type="character" w:styleId="IntenseReference">
    <w:name w:val="Intense Reference"/>
    <w:basedOn w:val="DefaultParagraphFont"/>
    <w:uiPriority w:val="32"/>
    <w:qFormat/>
    <w:rsid w:val="00F1528E"/>
    <w:rPr>
      <w:b w:val="0"/>
      <w:bCs/>
      <w:smallCaps/>
      <w:color w:val="92278F" w:themeColor="accent1"/>
      <w:spacing w:val="5"/>
      <w:u w:val="single"/>
    </w:rPr>
  </w:style>
  <w:style w:type="character" w:styleId="BookTitle">
    <w:name w:val="Book Title"/>
    <w:basedOn w:val="DefaultParagraphFont"/>
    <w:uiPriority w:val="33"/>
    <w:qFormat/>
    <w:rsid w:val="00F1528E"/>
    <w:rPr>
      <w:b/>
      <w:bCs/>
      <w:caps/>
      <w:smallCaps w:val="0"/>
      <w:color w:val="632E62" w:themeColor="text2"/>
      <w:spacing w:val="10"/>
    </w:rPr>
  </w:style>
  <w:style w:type="paragraph" w:styleId="TOCHeading">
    <w:name w:val="TOC Heading"/>
    <w:basedOn w:val="Heading1"/>
    <w:next w:val="Normal"/>
    <w:uiPriority w:val="39"/>
    <w:unhideWhenUsed/>
    <w:qFormat/>
    <w:rsid w:val="00F1528E"/>
    <w:pPr>
      <w:spacing w:before="480" w:line="264" w:lineRule="auto"/>
      <w:outlineLvl w:val="9"/>
    </w:pPr>
    <w:rPr>
      <w:b/>
    </w:rPr>
  </w:style>
  <w:style w:type="paragraph" w:styleId="Header">
    <w:name w:val="header"/>
    <w:basedOn w:val="Normal"/>
    <w:link w:val="HeaderChar"/>
    <w:uiPriority w:val="99"/>
    <w:unhideWhenUsed/>
    <w:rsid w:val="005A0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296"/>
    <w:rPr>
      <w:sz w:val="21"/>
    </w:rPr>
  </w:style>
  <w:style w:type="paragraph" w:styleId="Footer">
    <w:name w:val="footer"/>
    <w:basedOn w:val="Normal"/>
    <w:link w:val="FooterChar"/>
    <w:uiPriority w:val="99"/>
    <w:unhideWhenUsed/>
    <w:rsid w:val="005A0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296"/>
    <w:rPr>
      <w:sz w:val="21"/>
    </w:rPr>
  </w:style>
  <w:style w:type="paragraph" w:styleId="BodyText">
    <w:name w:val="Body Text"/>
    <w:basedOn w:val="Normal"/>
    <w:link w:val="BodyTextChar"/>
    <w:uiPriority w:val="1"/>
    <w:qFormat/>
    <w:rsid w:val="005A0296"/>
    <w:pPr>
      <w:widowControl w:val="0"/>
      <w:autoSpaceDE w:val="0"/>
      <w:autoSpaceDN w:val="0"/>
      <w:spacing w:after="0" w:line="240" w:lineRule="auto"/>
    </w:pPr>
    <w:rPr>
      <w:rFonts w:ascii="Open Sans" w:eastAsia="Open Sans" w:hAnsi="Open Sans" w:cs="Open Sans"/>
      <w:sz w:val="20"/>
      <w:szCs w:val="20"/>
      <w:lang w:val="en-US"/>
    </w:rPr>
  </w:style>
  <w:style w:type="character" w:customStyle="1" w:styleId="BodyTextChar">
    <w:name w:val="Body Text Char"/>
    <w:basedOn w:val="DefaultParagraphFont"/>
    <w:link w:val="BodyText"/>
    <w:uiPriority w:val="1"/>
    <w:rsid w:val="005A0296"/>
    <w:rPr>
      <w:rFonts w:ascii="Open Sans" w:eastAsia="Open Sans" w:hAnsi="Open Sans" w:cs="Open Sans"/>
      <w:sz w:val="20"/>
      <w:szCs w:val="20"/>
      <w:lang w:val="en-US"/>
    </w:rPr>
  </w:style>
  <w:style w:type="character" w:styleId="Hyperlink">
    <w:name w:val="Hyperlink"/>
    <w:basedOn w:val="DefaultParagraphFont"/>
    <w:uiPriority w:val="99"/>
    <w:unhideWhenUsed/>
    <w:rsid w:val="003150C1"/>
    <w:rPr>
      <w:color w:val="0066FF" w:themeColor="hyperlink"/>
      <w:u w:val="single"/>
    </w:rPr>
  </w:style>
  <w:style w:type="character" w:styleId="UnresolvedMention">
    <w:name w:val="Unresolved Mention"/>
    <w:basedOn w:val="DefaultParagraphFont"/>
    <w:uiPriority w:val="99"/>
    <w:semiHidden/>
    <w:unhideWhenUsed/>
    <w:rsid w:val="003150C1"/>
    <w:rPr>
      <w:color w:val="605E5C"/>
      <w:shd w:val="clear" w:color="auto" w:fill="E1DFDD"/>
    </w:rPr>
  </w:style>
  <w:style w:type="table" w:styleId="TableGrid">
    <w:name w:val="Table Grid"/>
    <w:basedOn w:val="TableNormal"/>
    <w:uiPriority w:val="39"/>
    <w:rsid w:val="00315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3150C1"/>
  </w:style>
  <w:style w:type="paragraph" w:styleId="TOC1">
    <w:name w:val="toc 1"/>
    <w:basedOn w:val="Normal"/>
    <w:next w:val="Normal"/>
    <w:autoRedefine/>
    <w:uiPriority w:val="39"/>
    <w:unhideWhenUsed/>
    <w:rsid w:val="003150C1"/>
    <w:pPr>
      <w:spacing w:before="120" w:after="0"/>
    </w:pPr>
    <w:rPr>
      <w:rFonts w:cstheme="minorHAnsi"/>
      <w:b/>
      <w:bCs/>
      <w:i/>
      <w:iCs/>
      <w:sz w:val="24"/>
      <w:szCs w:val="24"/>
    </w:rPr>
  </w:style>
  <w:style w:type="paragraph" w:styleId="TOC2">
    <w:name w:val="toc 2"/>
    <w:basedOn w:val="Normal"/>
    <w:next w:val="Normal"/>
    <w:autoRedefine/>
    <w:uiPriority w:val="39"/>
    <w:unhideWhenUsed/>
    <w:rsid w:val="003150C1"/>
    <w:pPr>
      <w:spacing w:before="120" w:after="0"/>
      <w:ind w:left="210"/>
    </w:pPr>
    <w:rPr>
      <w:rFonts w:cstheme="minorHAnsi"/>
      <w:b/>
      <w:bCs/>
      <w:sz w:val="22"/>
    </w:rPr>
  </w:style>
  <w:style w:type="paragraph" w:styleId="TOC3">
    <w:name w:val="toc 3"/>
    <w:basedOn w:val="Normal"/>
    <w:next w:val="Normal"/>
    <w:autoRedefine/>
    <w:uiPriority w:val="39"/>
    <w:unhideWhenUsed/>
    <w:rsid w:val="003150C1"/>
    <w:pPr>
      <w:spacing w:after="0"/>
      <w:ind w:left="420"/>
    </w:pPr>
    <w:rPr>
      <w:rFonts w:cstheme="minorHAnsi"/>
      <w:sz w:val="20"/>
      <w:szCs w:val="20"/>
    </w:rPr>
  </w:style>
  <w:style w:type="paragraph" w:styleId="TOC4">
    <w:name w:val="toc 4"/>
    <w:basedOn w:val="Normal"/>
    <w:next w:val="Normal"/>
    <w:autoRedefine/>
    <w:uiPriority w:val="39"/>
    <w:semiHidden/>
    <w:unhideWhenUsed/>
    <w:rsid w:val="003150C1"/>
    <w:pPr>
      <w:spacing w:after="0"/>
      <w:ind w:left="630"/>
    </w:pPr>
    <w:rPr>
      <w:rFonts w:cstheme="minorHAnsi"/>
      <w:sz w:val="20"/>
      <w:szCs w:val="20"/>
    </w:rPr>
  </w:style>
  <w:style w:type="character" w:styleId="FollowedHyperlink">
    <w:name w:val="FollowedHyperlink"/>
    <w:basedOn w:val="DefaultParagraphFont"/>
    <w:uiPriority w:val="99"/>
    <w:semiHidden/>
    <w:unhideWhenUsed/>
    <w:rsid w:val="00197C5B"/>
    <w:rPr>
      <w:color w:val="666699" w:themeColor="followedHyperlink"/>
      <w:u w:val="single"/>
    </w:rPr>
  </w:style>
  <w:style w:type="paragraph" w:customStyle="1" w:styleId="Tableleft">
    <w:name w:val="Table left"/>
    <w:basedOn w:val="NoSpacing"/>
    <w:qFormat/>
    <w:rsid w:val="001E441E"/>
    <w:rPr>
      <w:rFonts w:asciiTheme="majorHAnsi" w:eastAsia="Times New Roman" w:hAnsiTheme="majorHAnsi" w:cstheme="majorHAnsi"/>
      <w:color w:val="000000"/>
      <w:sz w:val="20"/>
      <w:szCs w:val="20"/>
      <w:lang w:eastAsia="en-GB"/>
    </w:rPr>
  </w:style>
  <w:style w:type="paragraph" w:customStyle="1" w:styleId="TableCentred">
    <w:name w:val="Table Centred"/>
    <w:basedOn w:val="NoSpacing"/>
    <w:qFormat/>
    <w:rsid w:val="001E441E"/>
    <w:pPr>
      <w:jc w:val="center"/>
    </w:pPr>
    <w:rPr>
      <w:rFonts w:asciiTheme="majorHAnsi" w:eastAsia="Times New Roman" w:hAnsiTheme="majorHAnsi" w:cstheme="majorHAnsi"/>
      <w:color w:val="000000"/>
      <w:sz w:val="20"/>
      <w:szCs w:val="20"/>
      <w:lang w:eastAsia="en-GB"/>
    </w:rPr>
  </w:style>
  <w:style w:type="paragraph" w:styleId="NormalWeb">
    <w:name w:val="Normal (Web)"/>
    <w:basedOn w:val="Normal"/>
    <w:uiPriority w:val="99"/>
    <w:unhideWhenUsed/>
    <w:rsid w:val="001E441E"/>
    <w:pPr>
      <w:spacing w:before="100" w:beforeAutospacing="1" w:after="100" w:afterAutospacing="1" w:line="240" w:lineRule="auto"/>
    </w:pPr>
    <w:rPr>
      <w:rFonts w:ascii="Calibri" w:eastAsia="Times New Roman" w:hAnsi="Calibri" w:cs="Calibri"/>
      <w:color w:val="000000"/>
      <w:sz w:val="22"/>
      <w:lang w:eastAsia="en-GB"/>
    </w:rPr>
  </w:style>
  <w:style w:type="table" w:styleId="GridTable4">
    <w:name w:val="Grid Table 4"/>
    <w:basedOn w:val="TableNormal"/>
    <w:uiPriority w:val="49"/>
    <w:rsid w:val="001E441E"/>
    <w:pPr>
      <w:spacing w:after="0" w:line="240" w:lineRule="auto"/>
    </w:pPr>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1E441E"/>
    <w:pPr>
      <w:spacing w:after="0" w:line="240" w:lineRule="auto"/>
    </w:pPr>
    <w:tblPr>
      <w:tblStyleRowBandSize w:val="1"/>
      <w:tblStyleColBandSize w:val="1"/>
      <w:tblBorders>
        <w:top w:val="single" w:sz="4" w:space="0" w:color="AC9DE8" w:themeColor="accent3" w:themeTint="99"/>
        <w:left w:val="single" w:sz="4" w:space="0" w:color="AC9DE8" w:themeColor="accent3" w:themeTint="99"/>
        <w:bottom w:val="single" w:sz="4" w:space="0" w:color="AC9DE8" w:themeColor="accent3" w:themeTint="99"/>
        <w:right w:val="single" w:sz="4" w:space="0" w:color="AC9DE8" w:themeColor="accent3" w:themeTint="99"/>
        <w:insideH w:val="single" w:sz="4" w:space="0" w:color="AC9DE8" w:themeColor="accent3" w:themeTint="99"/>
        <w:insideV w:val="single" w:sz="4" w:space="0" w:color="AC9DE8" w:themeColor="accent3" w:themeTint="99"/>
      </w:tblBorders>
    </w:tblPr>
    <w:tblStylePr w:type="firstRow">
      <w:rPr>
        <w:b/>
        <w:bCs/>
        <w:color w:val="FFFFFF" w:themeColor="background1"/>
      </w:rPr>
      <w:tblPr/>
      <w:tcPr>
        <w:tcBorders>
          <w:top w:val="single" w:sz="4" w:space="0" w:color="755DD9" w:themeColor="accent3"/>
          <w:left w:val="single" w:sz="4" w:space="0" w:color="755DD9" w:themeColor="accent3"/>
          <w:bottom w:val="single" w:sz="4" w:space="0" w:color="755DD9" w:themeColor="accent3"/>
          <w:right w:val="single" w:sz="4" w:space="0" w:color="755DD9" w:themeColor="accent3"/>
          <w:insideH w:val="nil"/>
          <w:insideV w:val="nil"/>
        </w:tcBorders>
        <w:shd w:val="clear" w:color="auto" w:fill="755DD9" w:themeFill="accent3"/>
      </w:tcPr>
    </w:tblStylePr>
    <w:tblStylePr w:type="lastRow">
      <w:rPr>
        <w:b/>
        <w:bCs/>
      </w:rPr>
      <w:tblPr/>
      <w:tcPr>
        <w:tcBorders>
          <w:top w:val="double" w:sz="4" w:space="0" w:color="755DD9" w:themeColor="accent3"/>
        </w:tcBorders>
      </w:tcPr>
    </w:tblStylePr>
    <w:tblStylePr w:type="firstCol">
      <w:rPr>
        <w:b/>
        <w:bCs/>
      </w:rPr>
    </w:tblStylePr>
    <w:tblStylePr w:type="lastCol">
      <w:rPr>
        <w:b/>
        <w:bCs/>
      </w:rPr>
    </w:tblStylePr>
    <w:tblStylePr w:type="band1Vert">
      <w:tblPr/>
      <w:tcPr>
        <w:shd w:val="clear" w:color="auto" w:fill="E3DEF7" w:themeFill="accent3" w:themeFillTint="33"/>
      </w:tcPr>
    </w:tblStylePr>
    <w:tblStylePr w:type="band1Horz">
      <w:tblPr/>
      <w:tcPr>
        <w:shd w:val="clear" w:color="auto" w:fill="E3DEF7" w:themeFill="accent3" w:themeFillTint="33"/>
      </w:tcPr>
    </w:tblStylePr>
  </w:style>
  <w:style w:type="table" w:customStyle="1" w:styleId="TableGrid2">
    <w:name w:val="Table Grid2"/>
    <w:basedOn w:val="TableNormal"/>
    <w:next w:val="TableGrid"/>
    <w:uiPriority w:val="39"/>
    <w:rsid w:val="00330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30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semiHidden/>
    <w:unhideWhenUsed/>
    <w:rsid w:val="00F1528E"/>
    <w:pPr>
      <w:spacing w:after="0"/>
      <w:ind w:left="840"/>
    </w:pPr>
    <w:rPr>
      <w:rFonts w:cstheme="minorHAnsi"/>
      <w:sz w:val="20"/>
      <w:szCs w:val="20"/>
    </w:rPr>
  </w:style>
  <w:style w:type="paragraph" w:styleId="TOC6">
    <w:name w:val="toc 6"/>
    <w:basedOn w:val="Normal"/>
    <w:next w:val="Normal"/>
    <w:autoRedefine/>
    <w:uiPriority w:val="39"/>
    <w:semiHidden/>
    <w:unhideWhenUsed/>
    <w:rsid w:val="00F1528E"/>
    <w:pPr>
      <w:spacing w:after="0"/>
      <w:ind w:left="1050"/>
    </w:pPr>
    <w:rPr>
      <w:rFonts w:cstheme="minorHAnsi"/>
      <w:sz w:val="20"/>
      <w:szCs w:val="20"/>
    </w:rPr>
  </w:style>
  <w:style w:type="paragraph" w:styleId="TOC7">
    <w:name w:val="toc 7"/>
    <w:basedOn w:val="Normal"/>
    <w:next w:val="Normal"/>
    <w:autoRedefine/>
    <w:uiPriority w:val="39"/>
    <w:semiHidden/>
    <w:unhideWhenUsed/>
    <w:rsid w:val="00F1528E"/>
    <w:pPr>
      <w:spacing w:after="0"/>
      <w:ind w:left="1260"/>
    </w:pPr>
    <w:rPr>
      <w:rFonts w:cstheme="minorHAnsi"/>
      <w:sz w:val="20"/>
      <w:szCs w:val="20"/>
    </w:rPr>
  </w:style>
  <w:style w:type="paragraph" w:styleId="TOC8">
    <w:name w:val="toc 8"/>
    <w:basedOn w:val="Normal"/>
    <w:next w:val="Normal"/>
    <w:autoRedefine/>
    <w:uiPriority w:val="39"/>
    <w:semiHidden/>
    <w:unhideWhenUsed/>
    <w:rsid w:val="00F1528E"/>
    <w:pPr>
      <w:spacing w:after="0"/>
      <w:ind w:left="1470"/>
    </w:pPr>
    <w:rPr>
      <w:rFonts w:cstheme="minorHAnsi"/>
      <w:sz w:val="20"/>
      <w:szCs w:val="20"/>
    </w:rPr>
  </w:style>
  <w:style w:type="paragraph" w:styleId="TOC9">
    <w:name w:val="toc 9"/>
    <w:basedOn w:val="Normal"/>
    <w:next w:val="Normal"/>
    <w:autoRedefine/>
    <w:uiPriority w:val="39"/>
    <w:semiHidden/>
    <w:unhideWhenUsed/>
    <w:rsid w:val="00F1528E"/>
    <w:pPr>
      <w:spacing w:after="0"/>
      <w:ind w:left="1680"/>
    </w:pPr>
    <w:rPr>
      <w:rFonts w:cstheme="minorHAnsi"/>
      <w:sz w:val="20"/>
      <w:szCs w:val="20"/>
    </w:rPr>
  </w:style>
  <w:style w:type="table" w:styleId="PlainTable4">
    <w:name w:val="Plain Table 4"/>
    <w:basedOn w:val="TableNormal"/>
    <w:uiPriority w:val="44"/>
    <w:rsid w:val="004C186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C186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4C18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4C186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CommentReference">
    <w:name w:val="annotation reference"/>
    <w:basedOn w:val="DefaultParagraphFont"/>
    <w:uiPriority w:val="99"/>
    <w:semiHidden/>
    <w:unhideWhenUsed/>
    <w:rsid w:val="00102714"/>
    <w:rPr>
      <w:sz w:val="16"/>
      <w:szCs w:val="16"/>
    </w:rPr>
  </w:style>
  <w:style w:type="paragraph" w:styleId="CommentText">
    <w:name w:val="annotation text"/>
    <w:basedOn w:val="Normal"/>
    <w:link w:val="CommentTextChar"/>
    <w:uiPriority w:val="99"/>
    <w:semiHidden/>
    <w:unhideWhenUsed/>
    <w:rsid w:val="00102714"/>
    <w:pPr>
      <w:spacing w:line="240" w:lineRule="auto"/>
    </w:pPr>
    <w:rPr>
      <w:sz w:val="20"/>
      <w:szCs w:val="20"/>
    </w:rPr>
  </w:style>
  <w:style w:type="character" w:customStyle="1" w:styleId="CommentTextChar">
    <w:name w:val="Comment Text Char"/>
    <w:basedOn w:val="DefaultParagraphFont"/>
    <w:link w:val="CommentText"/>
    <w:uiPriority w:val="99"/>
    <w:semiHidden/>
    <w:rsid w:val="00102714"/>
    <w:rPr>
      <w:sz w:val="20"/>
      <w:szCs w:val="20"/>
    </w:rPr>
  </w:style>
  <w:style w:type="paragraph" w:styleId="CommentSubject">
    <w:name w:val="annotation subject"/>
    <w:basedOn w:val="CommentText"/>
    <w:next w:val="CommentText"/>
    <w:link w:val="CommentSubjectChar"/>
    <w:uiPriority w:val="99"/>
    <w:semiHidden/>
    <w:unhideWhenUsed/>
    <w:rsid w:val="00102714"/>
    <w:rPr>
      <w:b/>
      <w:bCs/>
    </w:rPr>
  </w:style>
  <w:style w:type="character" w:customStyle="1" w:styleId="CommentSubjectChar">
    <w:name w:val="Comment Subject Char"/>
    <w:basedOn w:val="CommentTextChar"/>
    <w:link w:val="CommentSubject"/>
    <w:uiPriority w:val="99"/>
    <w:semiHidden/>
    <w:rsid w:val="001027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227499">
      <w:bodyDiv w:val="1"/>
      <w:marLeft w:val="0"/>
      <w:marRight w:val="0"/>
      <w:marTop w:val="0"/>
      <w:marBottom w:val="0"/>
      <w:divBdr>
        <w:top w:val="none" w:sz="0" w:space="0" w:color="auto"/>
        <w:left w:val="none" w:sz="0" w:space="0" w:color="auto"/>
        <w:bottom w:val="none" w:sz="0" w:space="0" w:color="auto"/>
        <w:right w:val="none" w:sz="0" w:space="0" w:color="auto"/>
      </w:divBdr>
    </w:div>
    <w:div w:id="1027607157">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2">
          <w:marLeft w:val="-45"/>
          <w:marRight w:val="0"/>
          <w:marTop w:val="0"/>
          <w:marBottom w:val="0"/>
          <w:divBdr>
            <w:top w:val="none" w:sz="0" w:space="0" w:color="auto"/>
            <w:left w:val="none" w:sz="0" w:space="0" w:color="auto"/>
            <w:bottom w:val="none" w:sz="0" w:space="0" w:color="auto"/>
            <w:right w:val="none" w:sz="0" w:space="0" w:color="auto"/>
          </w:divBdr>
        </w:div>
      </w:divsChild>
    </w:div>
    <w:div w:id="19260644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awava.org.au/" TargetMode="External"/><Relationship Id="rId4" Type="http://schemas.openxmlformats.org/officeDocument/2006/relationships/styles" Target="styles.xml"/><Relationship Id="rId9" Type="http://schemas.openxmlformats.org/officeDocument/2006/relationships/hyperlink" Target="https://awava.org.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43945E2-7B80-2247-A539-80C5B1728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14456</Words>
  <Characters>82402</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Young Women’s Report</vt:lpstr>
    </vt:vector>
  </TitlesOfParts>
  <Company/>
  <LinksUpToDate>false</LinksUpToDate>
  <CharactersWithSpaces>96665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Young Women’s Report</dc:title>
  <dc:subject>A report of the Young Women and Non-Binary People’s Forum 7 July 2021 and AWAVA’s Young Women Survey 2021.</dc:subject>
  <dc:creator>The Australian women against violence alliance (AWAVA)</dc:creator>
  <cp:keywords/>
  <dc:description/>
  <cp:lastModifiedBy>Heidi La Paglia | Women With Disabilities Australia</cp:lastModifiedBy>
  <cp:revision>2</cp:revision>
  <dcterms:created xsi:type="dcterms:W3CDTF">2022-02-22T00:23:00Z</dcterms:created>
  <dcterms:modified xsi:type="dcterms:W3CDTF">2022-02-22T00:23:00Z</dcterms:modified>
</cp:coreProperties>
</file>