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E7E5D" w14:textId="7270697D" w:rsidR="007B5DE5" w:rsidRDefault="007B5DE5" w:rsidP="00FC3F1F">
      <w:pPr>
        <w:rPr>
          <w:rFonts w:ascii="Proxima Nova" w:hAnsi="Proxima Nova"/>
          <w:sz w:val="20"/>
          <w:szCs w:val="20"/>
        </w:rPr>
      </w:pPr>
    </w:p>
    <w:p w14:paraId="5D8BC962" w14:textId="56B9A0DF" w:rsidR="00FC3F1F" w:rsidRDefault="00FC3F1F" w:rsidP="00FC3F1F">
      <w:pPr>
        <w:rPr>
          <w:rFonts w:ascii="Proxima Nova" w:hAnsi="Proxima Nova"/>
          <w:sz w:val="20"/>
          <w:szCs w:val="20"/>
        </w:rPr>
      </w:pPr>
    </w:p>
    <w:p w14:paraId="2A5D76E9" w14:textId="5EA791B3" w:rsidR="00FC3F1F" w:rsidRDefault="00FC3F1F" w:rsidP="00FC3F1F">
      <w:pPr>
        <w:rPr>
          <w:rFonts w:ascii="Proxima Nova" w:hAnsi="Proxima Nova"/>
          <w:sz w:val="20"/>
          <w:szCs w:val="20"/>
        </w:rPr>
      </w:pPr>
    </w:p>
    <w:p w14:paraId="5D8D5DB0" w14:textId="77777777" w:rsidR="00FC3F1F" w:rsidRPr="00FC3F1F" w:rsidRDefault="00FC3F1F" w:rsidP="00FC3F1F">
      <w:pPr>
        <w:rPr>
          <w:rFonts w:ascii="Proxima Nova" w:hAnsi="Proxima Nova"/>
          <w:sz w:val="20"/>
          <w:szCs w:val="20"/>
        </w:rPr>
      </w:pPr>
    </w:p>
    <w:p w14:paraId="3432637E" w14:textId="77777777" w:rsidR="007B5DE5" w:rsidRPr="00FC3F1F" w:rsidRDefault="007B5DE5" w:rsidP="00FC3F1F">
      <w:pPr>
        <w:rPr>
          <w:rFonts w:ascii="Proxima Nova" w:hAnsi="Proxima Nova"/>
          <w:sz w:val="20"/>
          <w:szCs w:val="20"/>
        </w:rPr>
      </w:pPr>
    </w:p>
    <w:p w14:paraId="0C1FAAF9" w14:textId="05E386F4" w:rsidR="007B5DE5" w:rsidRPr="00BD5E1A" w:rsidRDefault="00F60C09" w:rsidP="00FC3F1F">
      <w:pPr>
        <w:spacing w:line="276" w:lineRule="auto"/>
        <w:jc w:val="center"/>
        <w:rPr>
          <w:rFonts w:ascii="Proxima Nova" w:hAnsi="Proxima Nova" w:cs="Calibri"/>
          <w:sz w:val="22"/>
          <w:szCs w:val="22"/>
        </w:rPr>
      </w:pPr>
      <w:r w:rsidRPr="00BD5E1A">
        <w:rPr>
          <w:rFonts w:ascii="Proxima Nova" w:hAnsi="Proxima Nova" w:cs="Calibri"/>
          <w:noProof/>
          <w:sz w:val="22"/>
          <w:szCs w:val="22"/>
          <w:lang w:eastAsia="en-AU"/>
        </w:rPr>
        <w:drawing>
          <wp:inline distT="0" distB="0" distL="0" distR="0" wp14:anchorId="04BCE1B6" wp14:editId="0BED13CC">
            <wp:extent cx="5153410" cy="2333801"/>
            <wp:effectExtent l="0" t="0" r="3175" b="3175"/>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5180868" cy="2346236"/>
                    </a:xfrm>
                    <a:prstGeom prst="rect">
                      <a:avLst/>
                    </a:prstGeom>
                  </pic:spPr>
                </pic:pic>
              </a:graphicData>
            </a:graphic>
          </wp:inline>
        </w:drawing>
      </w:r>
    </w:p>
    <w:p w14:paraId="35EECFE6" w14:textId="77777777" w:rsidR="007B5DE5" w:rsidRPr="00BD5E1A" w:rsidRDefault="007B5DE5" w:rsidP="0055085E">
      <w:pPr>
        <w:spacing w:line="276" w:lineRule="auto"/>
        <w:jc w:val="center"/>
        <w:rPr>
          <w:rFonts w:ascii="Proxima Nova" w:hAnsi="Proxima Nova" w:cs="Calibri"/>
          <w:sz w:val="22"/>
          <w:szCs w:val="22"/>
        </w:rPr>
      </w:pPr>
    </w:p>
    <w:p w14:paraId="30596D65" w14:textId="77777777" w:rsidR="00D00A73" w:rsidRPr="00C61E8B" w:rsidRDefault="00D00A73" w:rsidP="0055085E">
      <w:pPr>
        <w:spacing w:line="276" w:lineRule="auto"/>
        <w:jc w:val="center"/>
        <w:rPr>
          <w:rFonts w:ascii="Calibri" w:hAnsi="Calibri" w:cs="Calibri"/>
          <w:sz w:val="22"/>
        </w:rPr>
      </w:pPr>
    </w:p>
    <w:p w14:paraId="71C6880A" w14:textId="77777777" w:rsidR="00D00A73" w:rsidRPr="00C61E8B" w:rsidRDefault="00D00A73" w:rsidP="0055085E">
      <w:pPr>
        <w:spacing w:line="276" w:lineRule="auto"/>
        <w:jc w:val="center"/>
        <w:rPr>
          <w:rFonts w:ascii="Calibri" w:hAnsi="Calibri" w:cs="Calibri"/>
          <w:sz w:val="22"/>
        </w:rPr>
      </w:pPr>
    </w:p>
    <w:p w14:paraId="685DEB5B" w14:textId="77777777" w:rsidR="00D00A73" w:rsidRPr="00FC3F1F" w:rsidRDefault="00D00A73" w:rsidP="00FC3F1F">
      <w:pPr>
        <w:jc w:val="center"/>
        <w:rPr>
          <w:rFonts w:ascii="League Spartan" w:hAnsi="League Spartan"/>
          <w:color w:val="004479"/>
          <w:sz w:val="36"/>
          <w:szCs w:val="36"/>
        </w:rPr>
      </w:pPr>
      <w:r w:rsidRPr="00FC3F1F">
        <w:rPr>
          <w:rFonts w:ascii="League Spartan" w:hAnsi="League Spartan"/>
          <w:color w:val="004479"/>
          <w:sz w:val="36"/>
          <w:szCs w:val="36"/>
        </w:rPr>
        <w:t>WOMEN WITH DISABILITIES AUSTRALIA (WWDA)</w:t>
      </w:r>
    </w:p>
    <w:p w14:paraId="5355215F" w14:textId="2C39BDF2" w:rsidR="00D00A73" w:rsidRDefault="00D00A73" w:rsidP="0055085E">
      <w:pPr>
        <w:jc w:val="center"/>
      </w:pPr>
    </w:p>
    <w:p w14:paraId="3E38BC30" w14:textId="77777777" w:rsidR="0055085E" w:rsidRPr="0055085E" w:rsidRDefault="0055085E" w:rsidP="0055085E">
      <w:pPr>
        <w:jc w:val="center"/>
        <w:rPr>
          <w:rFonts w:ascii="Proxima Nova" w:hAnsi="Proxima Nova"/>
        </w:rPr>
      </w:pPr>
    </w:p>
    <w:p w14:paraId="0155C281" w14:textId="03EE112F" w:rsidR="00D00A73" w:rsidRDefault="00D00A73" w:rsidP="0055085E">
      <w:pPr>
        <w:pStyle w:val="Heading1"/>
        <w:pBdr>
          <w:top w:val="single" w:sz="4" w:space="1" w:color="auto"/>
        </w:pBdr>
        <w:spacing w:line="276" w:lineRule="auto"/>
        <w:jc w:val="center"/>
        <w:rPr>
          <w:rFonts w:ascii="Calibri" w:hAnsi="Calibri" w:cs="Calibri"/>
          <w:b w:val="0"/>
          <w:color w:val="17365D"/>
          <w:sz w:val="20"/>
          <w:szCs w:val="20"/>
        </w:rPr>
      </w:pPr>
    </w:p>
    <w:p w14:paraId="5F15D91E" w14:textId="77777777" w:rsidR="00D00A73" w:rsidRPr="0055085E" w:rsidRDefault="00D00A73" w:rsidP="0055085E">
      <w:pPr>
        <w:jc w:val="center"/>
        <w:rPr>
          <w:rFonts w:ascii="Proxima Nova" w:hAnsi="Proxima Nova"/>
        </w:rPr>
      </w:pPr>
    </w:p>
    <w:p w14:paraId="5213803E" w14:textId="77777777" w:rsidR="00D00A73" w:rsidRPr="002E507A" w:rsidRDefault="00D00A73" w:rsidP="00FC3F1F">
      <w:pPr>
        <w:spacing w:line="276" w:lineRule="auto"/>
        <w:jc w:val="center"/>
        <w:rPr>
          <w:rFonts w:ascii="Proxima Nova" w:hAnsi="Proxima Nova" w:cs="Calibri"/>
          <w:b/>
          <w:bCs/>
          <w:color w:val="004479"/>
          <w:sz w:val="36"/>
          <w:szCs w:val="36"/>
          <w:lang w:val="en-GB"/>
        </w:rPr>
      </w:pPr>
      <w:r w:rsidRPr="002E507A">
        <w:rPr>
          <w:rFonts w:ascii="Proxima Nova" w:hAnsi="Proxima Nova" w:cs="Calibri"/>
          <w:b/>
          <w:bCs/>
          <w:color w:val="004479"/>
          <w:sz w:val="36"/>
          <w:szCs w:val="36"/>
          <w:lang w:val="en-GB"/>
        </w:rPr>
        <w:t>Royal Commission into Violence, Abuse, Neglect and Exploitation of People with Disability</w:t>
      </w:r>
    </w:p>
    <w:p w14:paraId="512B98E6" w14:textId="77777777" w:rsidR="00D00A73" w:rsidRPr="00C25B52" w:rsidRDefault="00D00A73" w:rsidP="00FC3F1F">
      <w:pPr>
        <w:spacing w:line="276" w:lineRule="auto"/>
        <w:jc w:val="center"/>
        <w:rPr>
          <w:rFonts w:ascii="Proxima Nova" w:hAnsi="Proxima Nova" w:cs="Calibri"/>
          <w:sz w:val="20"/>
          <w:szCs w:val="20"/>
          <w:lang w:val="en-GB"/>
        </w:rPr>
      </w:pPr>
    </w:p>
    <w:p w14:paraId="109594B6" w14:textId="15DB5C0B" w:rsidR="00D00A73" w:rsidRDefault="00D00A73" w:rsidP="00FC3F1F">
      <w:pPr>
        <w:spacing w:line="276" w:lineRule="auto"/>
        <w:jc w:val="center"/>
        <w:rPr>
          <w:rFonts w:ascii="Proxima Nova" w:hAnsi="Proxima Nova" w:cs="Calibri"/>
          <w:sz w:val="20"/>
          <w:szCs w:val="20"/>
          <w:lang w:val="en-GB"/>
        </w:rPr>
      </w:pPr>
    </w:p>
    <w:p w14:paraId="1B66C5A0" w14:textId="1EC93F5F" w:rsidR="00D00A73" w:rsidRDefault="00D00A73" w:rsidP="00FC3F1F">
      <w:pPr>
        <w:spacing w:line="276" w:lineRule="auto"/>
        <w:jc w:val="center"/>
        <w:rPr>
          <w:rFonts w:ascii="Proxima Nova" w:hAnsi="Proxima Nova" w:cs="Calibri"/>
          <w:sz w:val="20"/>
          <w:szCs w:val="20"/>
          <w:lang w:val="en-GB"/>
        </w:rPr>
      </w:pPr>
    </w:p>
    <w:p w14:paraId="2990E439" w14:textId="77777777" w:rsidR="00D00A73" w:rsidRPr="00C25B52" w:rsidRDefault="00D00A73" w:rsidP="00FC3F1F">
      <w:pPr>
        <w:spacing w:line="276" w:lineRule="auto"/>
        <w:jc w:val="center"/>
        <w:rPr>
          <w:rFonts w:ascii="Proxima Nova" w:hAnsi="Proxima Nova" w:cs="Calibri"/>
          <w:sz w:val="20"/>
          <w:szCs w:val="20"/>
          <w:lang w:val="en-GB"/>
        </w:rPr>
      </w:pPr>
    </w:p>
    <w:p w14:paraId="5576C5D6" w14:textId="4A2EAFE2" w:rsidR="00D00A73" w:rsidRPr="00FC3F1F" w:rsidRDefault="00D00A73" w:rsidP="00FC3F1F">
      <w:pPr>
        <w:spacing w:line="276" w:lineRule="auto"/>
        <w:jc w:val="center"/>
        <w:rPr>
          <w:rFonts w:ascii="Proxima Nova" w:hAnsi="Proxima Nova"/>
          <w:b/>
          <w:bCs/>
          <w:color w:val="AC1F79"/>
          <w:sz w:val="32"/>
          <w:szCs w:val="32"/>
          <w:lang w:val="en-GB"/>
        </w:rPr>
      </w:pPr>
      <w:r w:rsidRPr="00FC3F1F">
        <w:rPr>
          <w:rFonts w:ascii="Proxima Nova" w:hAnsi="Proxima Nova"/>
          <w:b/>
          <w:bCs/>
          <w:color w:val="AC1F79"/>
          <w:sz w:val="32"/>
          <w:szCs w:val="32"/>
        </w:rPr>
        <w:t xml:space="preserve">WWDA Response to </w:t>
      </w:r>
      <w:r w:rsidRPr="00FC3F1F">
        <w:rPr>
          <w:rFonts w:ascii="Proxima Nova" w:hAnsi="Proxima Nova"/>
          <w:b/>
          <w:bCs/>
          <w:color w:val="AC1F79"/>
          <w:sz w:val="32"/>
          <w:szCs w:val="32"/>
          <w:lang w:val="en-GB"/>
        </w:rPr>
        <w:t>Restrictive Practices Issues Paper</w:t>
      </w:r>
    </w:p>
    <w:p w14:paraId="489073AA" w14:textId="77777777" w:rsidR="00D00A73" w:rsidRPr="00C25B52" w:rsidRDefault="00D00A73" w:rsidP="00FC3F1F">
      <w:pPr>
        <w:spacing w:line="276" w:lineRule="auto"/>
        <w:jc w:val="center"/>
        <w:rPr>
          <w:rFonts w:ascii="Proxima Nova" w:hAnsi="Proxima Nova" w:cs="Calibri"/>
          <w:sz w:val="20"/>
          <w:szCs w:val="20"/>
          <w:lang w:val="en-GB"/>
        </w:rPr>
      </w:pPr>
    </w:p>
    <w:p w14:paraId="68B22130" w14:textId="77777777" w:rsidR="00D00A73" w:rsidRPr="00C25B52" w:rsidRDefault="00D00A73" w:rsidP="0055085E">
      <w:pPr>
        <w:pStyle w:val="Heading1"/>
        <w:pBdr>
          <w:bottom w:val="single" w:sz="4" w:space="1" w:color="auto"/>
        </w:pBdr>
        <w:spacing w:line="276" w:lineRule="auto"/>
        <w:jc w:val="center"/>
        <w:rPr>
          <w:rFonts w:ascii="Proxima Nova" w:hAnsi="Proxima Nova" w:cs="Calibri"/>
          <w:b w:val="0"/>
          <w:color w:val="17365D"/>
          <w:sz w:val="20"/>
          <w:szCs w:val="20"/>
        </w:rPr>
      </w:pPr>
    </w:p>
    <w:p w14:paraId="14B025E0" w14:textId="2AD24818" w:rsidR="00D00A73" w:rsidRDefault="00D00A73" w:rsidP="0055085E">
      <w:pPr>
        <w:jc w:val="center"/>
        <w:rPr>
          <w:rFonts w:ascii="Proxima Nova" w:hAnsi="Proxima Nova" w:cs="Calibri"/>
        </w:rPr>
      </w:pPr>
    </w:p>
    <w:p w14:paraId="60247A30" w14:textId="77777777" w:rsidR="00FC3F1F" w:rsidRPr="00C25B52" w:rsidRDefault="00FC3F1F" w:rsidP="0055085E">
      <w:pPr>
        <w:jc w:val="center"/>
        <w:rPr>
          <w:rFonts w:ascii="Proxima Nova" w:hAnsi="Proxima Nova" w:cs="Calibri"/>
        </w:rPr>
      </w:pPr>
    </w:p>
    <w:p w14:paraId="40C5DA6F" w14:textId="6C9CC9BB" w:rsidR="00D00A73" w:rsidRPr="00FC3F1F" w:rsidRDefault="00323902" w:rsidP="00FC3F1F">
      <w:pPr>
        <w:jc w:val="center"/>
        <w:rPr>
          <w:rFonts w:ascii="Proxima Nova" w:hAnsi="Proxima Nova"/>
          <w:b/>
          <w:bCs/>
          <w:color w:val="004479"/>
          <w:sz w:val="32"/>
          <w:szCs w:val="32"/>
        </w:rPr>
      </w:pPr>
      <w:r>
        <w:rPr>
          <w:rFonts w:ascii="Proxima Nova" w:hAnsi="Proxima Nova"/>
          <w:b/>
          <w:bCs/>
          <w:color w:val="004479"/>
          <w:sz w:val="32"/>
          <w:szCs w:val="32"/>
        </w:rPr>
        <w:t>Ju</w:t>
      </w:r>
      <w:r w:rsidR="00594265">
        <w:rPr>
          <w:rFonts w:ascii="Proxima Nova" w:hAnsi="Proxima Nova"/>
          <w:b/>
          <w:bCs/>
          <w:color w:val="004479"/>
          <w:sz w:val="32"/>
          <w:szCs w:val="32"/>
        </w:rPr>
        <w:t>ly</w:t>
      </w:r>
      <w:r w:rsidRPr="00FC3F1F">
        <w:rPr>
          <w:rFonts w:ascii="Proxima Nova" w:hAnsi="Proxima Nova"/>
          <w:b/>
          <w:bCs/>
          <w:color w:val="004479"/>
          <w:sz w:val="32"/>
          <w:szCs w:val="32"/>
        </w:rPr>
        <w:t xml:space="preserve"> </w:t>
      </w:r>
      <w:r w:rsidR="00D00A73" w:rsidRPr="00FC3F1F">
        <w:rPr>
          <w:rFonts w:ascii="Proxima Nova" w:hAnsi="Proxima Nova"/>
          <w:b/>
          <w:bCs/>
          <w:color w:val="004479"/>
          <w:sz w:val="32"/>
          <w:szCs w:val="32"/>
        </w:rPr>
        <w:t>2021</w:t>
      </w:r>
    </w:p>
    <w:p w14:paraId="01599D15" w14:textId="1E661C81" w:rsidR="00D00A73" w:rsidRDefault="00D00A73" w:rsidP="0055085E">
      <w:pPr>
        <w:jc w:val="center"/>
        <w:rPr>
          <w:rFonts w:ascii="Proxima Nova" w:hAnsi="Proxima Nova" w:cs="Calibri"/>
        </w:rPr>
      </w:pPr>
    </w:p>
    <w:p w14:paraId="4E6046D9" w14:textId="5E8ABF55" w:rsidR="00C80AD4" w:rsidRDefault="00C80AD4" w:rsidP="0055085E">
      <w:pPr>
        <w:jc w:val="center"/>
        <w:rPr>
          <w:rFonts w:ascii="Proxima Nova" w:hAnsi="Proxima Nova" w:cs="Calibri"/>
        </w:rPr>
      </w:pPr>
    </w:p>
    <w:p w14:paraId="0BDB0B2E" w14:textId="77777777" w:rsidR="00C80AD4" w:rsidRPr="00C25B52" w:rsidRDefault="00C80AD4" w:rsidP="0055085E">
      <w:pPr>
        <w:jc w:val="center"/>
        <w:rPr>
          <w:rFonts w:ascii="Proxima Nova" w:hAnsi="Proxima Nova" w:cs="Calibri"/>
        </w:rPr>
      </w:pPr>
    </w:p>
    <w:p w14:paraId="23F73C86" w14:textId="77777777" w:rsidR="001C5E14" w:rsidRPr="00BD5E1A" w:rsidRDefault="001C5E14" w:rsidP="0055085E">
      <w:pPr>
        <w:jc w:val="center"/>
        <w:rPr>
          <w:rFonts w:ascii="Proxima Nova" w:hAnsi="Proxima Nova" w:cs="Calibri"/>
          <w:sz w:val="22"/>
          <w:szCs w:val="22"/>
        </w:rPr>
      </w:pPr>
      <w:bookmarkStart w:id="0" w:name="_Toc509911746"/>
    </w:p>
    <w:p w14:paraId="727DF162" w14:textId="77777777" w:rsidR="007B5DE5" w:rsidRPr="00BD5E1A" w:rsidRDefault="007B5DE5" w:rsidP="00C92D1C">
      <w:pPr>
        <w:spacing w:line="276" w:lineRule="auto"/>
        <w:rPr>
          <w:rFonts w:ascii="Proxima Nova" w:hAnsi="Proxima Nova" w:cs="Calibri"/>
          <w:sz w:val="22"/>
          <w:szCs w:val="22"/>
        </w:rPr>
      </w:pPr>
      <w:r w:rsidRPr="00BD5E1A">
        <w:rPr>
          <w:rFonts w:ascii="Proxima Nova" w:hAnsi="Proxima Nova" w:cs="Calibri"/>
          <w:sz w:val="22"/>
          <w:szCs w:val="22"/>
        </w:rPr>
        <w:br w:type="page"/>
      </w:r>
    </w:p>
    <w:p w14:paraId="6782EB79" w14:textId="77777777" w:rsidR="00D00A73" w:rsidRPr="00055BB7" w:rsidRDefault="00D00A73" w:rsidP="00C92D1C">
      <w:pPr>
        <w:rPr>
          <w:rFonts w:ascii="League Spartan" w:hAnsi="League Spartan" w:cs="Arial"/>
          <w:bCs/>
          <w:color w:val="1F3864" w:themeColor="accent1" w:themeShade="80"/>
          <w:sz w:val="32"/>
          <w:szCs w:val="32"/>
        </w:rPr>
      </w:pPr>
      <w:bookmarkStart w:id="1" w:name="_Toc508009579"/>
      <w:bookmarkStart w:id="2" w:name="_Toc508009707"/>
      <w:bookmarkStart w:id="3" w:name="_Toc508018426"/>
      <w:bookmarkEnd w:id="0"/>
      <w:r w:rsidRPr="00055BB7">
        <w:rPr>
          <w:rFonts w:ascii="League Spartan" w:hAnsi="League Spartan" w:cs="Arial"/>
          <w:bCs/>
          <w:color w:val="1F3864" w:themeColor="accent1" w:themeShade="80"/>
          <w:sz w:val="32"/>
          <w:szCs w:val="32"/>
        </w:rPr>
        <w:lastRenderedPageBreak/>
        <w:t>PUBLISHING INFORMATION</w:t>
      </w:r>
      <w:bookmarkEnd w:id="1"/>
      <w:bookmarkEnd w:id="2"/>
      <w:bookmarkEnd w:id="3"/>
    </w:p>
    <w:p w14:paraId="3DDB69D4" w14:textId="77777777" w:rsidR="007B5DE5" w:rsidRPr="00FC3F1F" w:rsidRDefault="007B5DE5" w:rsidP="00B34D06">
      <w:pPr>
        <w:spacing w:line="276" w:lineRule="auto"/>
        <w:rPr>
          <w:rFonts w:ascii="Proxima Nova" w:hAnsi="Proxima Nova" w:cs="Calibri"/>
          <w:color w:val="CC0099"/>
          <w:sz w:val="20"/>
          <w:szCs w:val="20"/>
        </w:rPr>
      </w:pPr>
    </w:p>
    <w:p w14:paraId="7EEF16BC" w14:textId="016EB63C" w:rsidR="00AC3A5E" w:rsidRPr="00FC3F1F" w:rsidRDefault="009D2DCA" w:rsidP="00B34D06">
      <w:pPr>
        <w:spacing w:line="276" w:lineRule="auto"/>
        <w:rPr>
          <w:rFonts w:ascii="Proxima Nova" w:hAnsi="Proxima Nova" w:cs="Calibri"/>
          <w:sz w:val="20"/>
          <w:szCs w:val="20"/>
        </w:rPr>
      </w:pPr>
      <w:bookmarkStart w:id="4" w:name="_Toc468803767"/>
      <w:bookmarkStart w:id="5" w:name="_Toc350082565"/>
      <w:bookmarkStart w:id="6" w:name="_Toc501535864"/>
      <w:bookmarkStart w:id="7" w:name="_Toc501535946"/>
      <w:bookmarkStart w:id="8" w:name="_Toc501537209"/>
      <w:bookmarkStart w:id="9" w:name="_Toc501537273"/>
      <w:bookmarkStart w:id="10" w:name="_Toc501542224"/>
      <w:bookmarkStart w:id="11" w:name="_Toc501542266"/>
      <w:r w:rsidRPr="00FC3F1F">
        <w:rPr>
          <w:rFonts w:ascii="Proxima Nova" w:hAnsi="Proxima Nova" w:cs="Calibri"/>
          <w:sz w:val="20"/>
          <w:szCs w:val="20"/>
        </w:rPr>
        <w:t xml:space="preserve">Women </w:t>
      </w:r>
      <w:r w:rsidR="00DA7C84" w:rsidRPr="00FC3F1F">
        <w:rPr>
          <w:rFonts w:ascii="Proxima Nova" w:hAnsi="Proxima Nova" w:cs="Calibri"/>
          <w:sz w:val="20"/>
          <w:szCs w:val="20"/>
        </w:rPr>
        <w:t>W</w:t>
      </w:r>
      <w:r w:rsidRPr="00FC3F1F">
        <w:rPr>
          <w:rFonts w:ascii="Proxima Nova" w:hAnsi="Proxima Nova" w:cs="Calibri"/>
          <w:sz w:val="20"/>
          <w:szCs w:val="20"/>
        </w:rPr>
        <w:t>ith Disabilities Australia (WWDA) (20</w:t>
      </w:r>
      <w:r w:rsidR="000E657D" w:rsidRPr="00FC3F1F">
        <w:rPr>
          <w:rFonts w:ascii="Proxima Nova" w:hAnsi="Proxima Nova" w:cs="Calibri"/>
          <w:sz w:val="20"/>
          <w:szCs w:val="20"/>
        </w:rPr>
        <w:t>2</w:t>
      </w:r>
      <w:r w:rsidR="00373F5C" w:rsidRPr="00FC3F1F">
        <w:rPr>
          <w:rFonts w:ascii="Proxima Nova" w:hAnsi="Proxima Nova" w:cs="Calibri"/>
          <w:sz w:val="20"/>
          <w:szCs w:val="20"/>
        </w:rPr>
        <w:t>1</w:t>
      </w:r>
      <w:r w:rsidRPr="00FC3F1F">
        <w:rPr>
          <w:rFonts w:ascii="Proxima Nova" w:hAnsi="Proxima Nova" w:cs="Calibri"/>
          <w:sz w:val="20"/>
          <w:szCs w:val="20"/>
        </w:rPr>
        <w:t xml:space="preserve">). </w:t>
      </w:r>
      <w:r w:rsidR="00310AC4" w:rsidRPr="00FC3F1F">
        <w:rPr>
          <w:rFonts w:ascii="Proxima Nova" w:hAnsi="Proxima Nova" w:cs="Calibri"/>
          <w:i/>
          <w:iCs/>
          <w:sz w:val="20"/>
          <w:szCs w:val="20"/>
        </w:rPr>
        <w:t>‘</w:t>
      </w:r>
      <w:r w:rsidR="00D7106F" w:rsidRPr="00FC3F1F">
        <w:rPr>
          <w:rFonts w:ascii="Proxima Nova" w:hAnsi="Proxima Nova" w:cs="Calibri"/>
          <w:i/>
          <w:iCs/>
          <w:sz w:val="20"/>
          <w:szCs w:val="20"/>
        </w:rPr>
        <w:t xml:space="preserve">Response to </w:t>
      </w:r>
      <w:r w:rsidR="00373F5C" w:rsidRPr="00FC3F1F">
        <w:rPr>
          <w:rFonts w:ascii="Proxima Nova" w:hAnsi="Proxima Nova" w:cs="Calibri"/>
          <w:i/>
          <w:iCs/>
          <w:sz w:val="20"/>
          <w:szCs w:val="20"/>
        </w:rPr>
        <w:t>Restrictive Practices Issues</w:t>
      </w:r>
      <w:r w:rsidR="000E657D" w:rsidRPr="00FC3F1F">
        <w:rPr>
          <w:rFonts w:ascii="Proxima Nova" w:hAnsi="Proxima Nova" w:cs="Calibri"/>
          <w:i/>
          <w:iCs/>
          <w:sz w:val="20"/>
          <w:szCs w:val="20"/>
        </w:rPr>
        <w:t xml:space="preserve"> Paper of the Royal Commission into Violence, Abuse, Neglect and Exploitation of People with Disability</w:t>
      </w:r>
      <w:r w:rsidR="009D2C3C" w:rsidRPr="00FC3F1F">
        <w:rPr>
          <w:rFonts w:ascii="Proxima Nova" w:hAnsi="Proxima Nova" w:cs="Calibri"/>
          <w:i/>
          <w:iCs/>
          <w:sz w:val="20"/>
          <w:szCs w:val="20"/>
        </w:rPr>
        <w:t>.</w:t>
      </w:r>
      <w:r w:rsidR="000E657D" w:rsidRPr="00FC3F1F">
        <w:rPr>
          <w:rFonts w:ascii="Proxima Nova" w:hAnsi="Proxima Nova" w:cs="Calibri"/>
          <w:i/>
          <w:iCs/>
          <w:sz w:val="20"/>
          <w:szCs w:val="20"/>
        </w:rPr>
        <w:t>’</w:t>
      </w:r>
      <w:r w:rsidR="000E657D" w:rsidRPr="00FC3F1F">
        <w:rPr>
          <w:rFonts w:ascii="Proxima Nova" w:hAnsi="Proxima Nova" w:cs="Calibri"/>
          <w:sz w:val="20"/>
          <w:szCs w:val="20"/>
        </w:rPr>
        <w:t xml:space="preserve"> </w:t>
      </w:r>
      <w:r w:rsidR="00197731">
        <w:rPr>
          <w:rFonts w:ascii="Proxima Nova" w:hAnsi="Proxima Nova" w:cs="Calibri"/>
          <w:sz w:val="20"/>
          <w:szCs w:val="20"/>
        </w:rPr>
        <w:t xml:space="preserve"> </w:t>
      </w:r>
      <w:r w:rsidR="00323902">
        <w:rPr>
          <w:rFonts w:ascii="Proxima Nova" w:hAnsi="Proxima Nova" w:cs="Calibri"/>
          <w:sz w:val="20"/>
          <w:szCs w:val="20"/>
        </w:rPr>
        <w:t>Ju</w:t>
      </w:r>
      <w:r w:rsidR="00594265">
        <w:rPr>
          <w:rFonts w:ascii="Proxima Nova" w:hAnsi="Proxima Nova" w:cs="Calibri"/>
          <w:sz w:val="20"/>
          <w:szCs w:val="20"/>
        </w:rPr>
        <w:t>ly</w:t>
      </w:r>
      <w:r w:rsidR="00323902" w:rsidRPr="00FC3F1F">
        <w:rPr>
          <w:rFonts w:ascii="Proxima Nova" w:hAnsi="Proxima Nova" w:cs="Calibri"/>
          <w:sz w:val="20"/>
          <w:szCs w:val="20"/>
        </w:rPr>
        <w:t xml:space="preserve"> </w:t>
      </w:r>
      <w:r w:rsidR="00373F5C" w:rsidRPr="00FC3F1F">
        <w:rPr>
          <w:rFonts w:ascii="Proxima Nova" w:hAnsi="Proxima Nova" w:cs="Calibri"/>
          <w:sz w:val="20"/>
          <w:szCs w:val="20"/>
        </w:rPr>
        <w:t>2021</w:t>
      </w:r>
      <w:r w:rsidR="000E657D" w:rsidRPr="00FC3F1F">
        <w:rPr>
          <w:rFonts w:ascii="Proxima Nova" w:hAnsi="Proxima Nova" w:cs="Calibri"/>
          <w:sz w:val="20"/>
          <w:szCs w:val="20"/>
        </w:rPr>
        <w:t xml:space="preserve">. </w:t>
      </w:r>
      <w:r w:rsidR="00310AC4" w:rsidRPr="00FC3F1F">
        <w:rPr>
          <w:rFonts w:ascii="Proxima Nova" w:hAnsi="Proxima Nova" w:cs="Calibri"/>
          <w:sz w:val="20"/>
          <w:szCs w:val="20"/>
        </w:rPr>
        <w:t>WWDA: Hobart, Tasmania.</w:t>
      </w:r>
    </w:p>
    <w:p w14:paraId="35482DDF" w14:textId="77777777" w:rsidR="009D2DCA" w:rsidRPr="00FC3F1F" w:rsidRDefault="009D2DCA" w:rsidP="00B34D06">
      <w:pPr>
        <w:spacing w:line="276" w:lineRule="auto"/>
        <w:rPr>
          <w:rFonts w:ascii="Proxima Nova" w:hAnsi="Proxima Nova" w:cs="Calibri"/>
          <w:sz w:val="20"/>
          <w:szCs w:val="20"/>
        </w:rPr>
      </w:pPr>
    </w:p>
    <w:p w14:paraId="24DCD7E4" w14:textId="77777777" w:rsidR="00D00A73" w:rsidRPr="00FC3F1F" w:rsidRDefault="00D00A73" w:rsidP="00C92D1C">
      <w:pPr>
        <w:pStyle w:val="Heading3"/>
        <w:spacing w:line="240" w:lineRule="auto"/>
        <w:jc w:val="left"/>
        <w:rPr>
          <w:rFonts w:ascii="Proxima Nova" w:hAnsi="Proxima Nova" w:cs="Calibri"/>
          <w:bCs/>
          <w:color w:val="AC1F79"/>
        </w:rPr>
      </w:pPr>
      <w:bookmarkStart w:id="12" w:name="_Toc509920824"/>
      <w:bookmarkStart w:id="13" w:name="_Toc510523711"/>
      <w:bookmarkStart w:id="14" w:name="_Toc512603441"/>
      <w:bookmarkStart w:id="15" w:name="_Toc512604447"/>
      <w:bookmarkStart w:id="16" w:name="_Toc32738100"/>
      <w:bookmarkStart w:id="17" w:name="_Toc32757939"/>
      <w:bookmarkStart w:id="18" w:name="_Toc32759980"/>
      <w:r w:rsidRPr="00FC3F1F">
        <w:rPr>
          <w:rFonts w:ascii="Proxima Nova" w:hAnsi="Proxima Nova" w:cs="Calibri"/>
          <w:bCs/>
          <w:color w:val="AC1F79"/>
        </w:rPr>
        <w:t>Acknowledgments</w:t>
      </w:r>
      <w:bookmarkEnd w:id="12"/>
      <w:bookmarkEnd w:id="13"/>
      <w:bookmarkEnd w:id="14"/>
      <w:bookmarkEnd w:id="15"/>
      <w:bookmarkEnd w:id="16"/>
      <w:bookmarkEnd w:id="17"/>
      <w:bookmarkEnd w:id="18"/>
    </w:p>
    <w:p w14:paraId="639E5CCD" w14:textId="3DD1F889" w:rsidR="00310AC4" w:rsidRPr="00FC3F1F" w:rsidRDefault="00310AC4" w:rsidP="00B34D06">
      <w:pPr>
        <w:spacing w:line="276" w:lineRule="auto"/>
        <w:rPr>
          <w:rFonts w:ascii="Proxima Nova" w:hAnsi="Proxima Nova" w:cs="Calibri"/>
          <w:sz w:val="20"/>
          <w:szCs w:val="20"/>
        </w:rPr>
      </w:pPr>
    </w:p>
    <w:p w14:paraId="4D5B104B" w14:textId="75030D5B" w:rsidR="00310AC4" w:rsidRPr="00FC3F1F" w:rsidRDefault="00310AC4" w:rsidP="00B34D06">
      <w:pPr>
        <w:spacing w:line="276" w:lineRule="auto"/>
        <w:rPr>
          <w:rFonts w:ascii="Proxima Nova" w:hAnsi="Proxima Nova" w:cs="Calibri"/>
          <w:sz w:val="20"/>
          <w:szCs w:val="20"/>
        </w:rPr>
      </w:pPr>
      <w:r w:rsidRPr="00FC3F1F">
        <w:rPr>
          <w:rFonts w:ascii="Proxima Nova" w:hAnsi="Proxima Nova" w:cs="Calibri"/>
          <w:sz w:val="20"/>
          <w:szCs w:val="20"/>
        </w:rPr>
        <w:t xml:space="preserve">WWDA acknowledges the traditional owners of the land on which this publication was produced. We acknowledge Aboriginal and Torres Strait Islander people’s deep spiritual connection to this land. We extend our respects to community members and Elders past, present and </w:t>
      </w:r>
      <w:r w:rsidR="00BD4BB7" w:rsidRPr="00FC3F1F">
        <w:rPr>
          <w:rFonts w:ascii="Proxima Nova" w:hAnsi="Proxima Nova" w:cs="Calibri"/>
          <w:sz w:val="20"/>
          <w:szCs w:val="20"/>
        </w:rPr>
        <w:t>emerging</w:t>
      </w:r>
      <w:r w:rsidRPr="00FC3F1F">
        <w:rPr>
          <w:rFonts w:ascii="Proxima Nova" w:hAnsi="Proxima Nova" w:cs="Calibri"/>
          <w:sz w:val="20"/>
          <w:szCs w:val="20"/>
        </w:rPr>
        <w:t>.</w:t>
      </w:r>
    </w:p>
    <w:p w14:paraId="398CF5B2" w14:textId="462DC2B7" w:rsidR="00310AC4" w:rsidRPr="00FC3F1F" w:rsidRDefault="00310AC4" w:rsidP="00B34D06">
      <w:pPr>
        <w:spacing w:line="276" w:lineRule="auto"/>
        <w:rPr>
          <w:rFonts w:ascii="Proxima Nova" w:hAnsi="Proxima Nova" w:cs="Calibri"/>
          <w:sz w:val="20"/>
          <w:szCs w:val="20"/>
        </w:rPr>
      </w:pPr>
    </w:p>
    <w:p w14:paraId="1146497D" w14:textId="12B9A695" w:rsidR="0071331C" w:rsidRPr="00FC3F1F" w:rsidRDefault="0071331C" w:rsidP="00B34D06">
      <w:pPr>
        <w:spacing w:line="276" w:lineRule="auto"/>
        <w:rPr>
          <w:rFonts w:ascii="Proxima Nova" w:eastAsiaTheme="minorHAnsi" w:hAnsi="Proxima Nova" w:cs="Calibri"/>
          <w:sz w:val="20"/>
          <w:szCs w:val="20"/>
        </w:rPr>
      </w:pPr>
      <w:r w:rsidRPr="00FC3F1F">
        <w:rPr>
          <w:rFonts w:ascii="Proxima Nova" w:hAnsi="Proxima Nova" w:cs="Calibri"/>
          <w:sz w:val="20"/>
          <w:szCs w:val="20"/>
        </w:rPr>
        <w:t xml:space="preserve">This document was </w:t>
      </w:r>
      <w:r w:rsidR="00944977" w:rsidRPr="00FC3F1F">
        <w:rPr>
          <w:rFonts w:ascii="Proxima Nova" w:hAnsi="Proxima Nova" w:cs="Calibri"/>
          <w:sz w:val="20"/>
          <w:szCs w:val="20"/>
        </w:rPr>
        <w:t>written</w:t>
      </w:r>
      <w:r w:rsidRPr="00FC3F1F">
        <w:rPr>
          <w:rFonts w:ascii="Proxima Nova" w:hAnsi="Proxima Nova" w:cs="Calibri"/>
          <w:sz w:val="20"/>
          <w:szCs w:val="20"/>
        </w:rPr>
        <w:t xml:space="preserve"> by</w:t>
      </w:r>
      <w:r w:rsidR="00373F5C" w:rsidRPr="00FC3F1F">
        <w:rPr>
          <w:rFonts w:ascii="Proxima Nova" w:hAnsi="Proxima Nova" w:cs="Calibri"/>
          <w:sz w:val="20"/>
          <w:szCs w:val="20"/>
        </w:rPr>
        <w:t xml:space="preserve"> </w:t>
      </w:r>
      <w:r w:rsidR="00D00A73" w:rsidRPr="00FC3F1F">
        <w:rPr>
          <w:rFonts w:ascii="Proxima Nova" w:hAnsi="Proxima Nova" w:cs="Calibri"/>
          <w:sz w:val="20"/>
          <w:szCs w:val="20"/>
        </w:rPr>
        <w:t xml:space="preserve">Dr. </w:t>
      </w:r>
      <w:r w:rsidR="00373F5C" w:rsidRPr="00FC3F1F">
        <w:rPr>
          <w:rFonts w:ascii="Proxima Nova" w:hAnsi="Proxima Nova" w:cs="Calibri"/>
          <w:sz w:val="20"/>
          <w:szCs w:val="20"/>
        </w:rPr>
        <w:t>Linda Steele, University of Technology Sydney and</w:t>
      </w:r>
      <w:r w:rsidRPr="00FC3F1F">
        <w:rPr>
          <w:rFonts w:ascii="Proxima Nova" w:hAnsi="Proxima Nova" w:cs="Calibri"/>
          <w:sz w:val="20"/>
          <w:szCs w:val="20"/>
        </w:rPr>
        <w:t xml:space="preserve"> </w:t>
      </w:r>
      <w:r w:rsidR="00F701D0" w:rsidRPr="00FC3F1F">
        <w:rPr>
          <w:rFonts w:ascii="Proxima Nova" w:hAnsi="Proxima Nova" w:cs="Calibri"/>
          <w:sz w:val="20"/>
          <w:szCs w:val="20"/>
        </w:rPr>
        <w:t>Carolyn Frohmader</w:t>
      </w:r>
      <w:r w:rsidR="00DB10CE" w:rsidRPr="00FC3F1F">
        <w:rPr>
          <w:rFonts w:ascii="Proxima Nova" w:hAnsi="Proxima Nova" w:cs="Calibri"/>
          <w:sz w:val="20"/>
          <w:szCs w:val="20"/>
        </w:rPr>
        <w:t>, WWDA Executive Director,</w:t>
      </w:r>
      <w:r w:rsidRPr="00FC3F1F">
        <w:rPr>
          <w:rFonts w:ascii="Proxima Nova" w:hAnsi="Proxima Nova" w:cs="Calibri"/>
          <w:sz w:val="20"/>
          <w:szCs w:val="20"/>
        </w:rPr>
        <w:t xml:space="preserve"> for and on behalf of Women with Disabilities Australia (WWDA). </w:t>
      </w:r>
    </w:p>
    <w:p w14:paraId="6493B2FC" w14:textId="77777777" w:rsidR="0071331C" w:rsidRPr="00FC3F1F" w:rsidRDefault="0071331C" w:rsidP="00B34D06">
      <w:pPr>
        <w:spacing w:line="276" w:lineRule="auto"/>
        <w:rPr>
          <w:rFonts w:ascii="Proxima Nova" w:hAnsi="Proxima Nova" w:cs="Calibri"/>
          <w:sz w:val="20"/>
          <w:szCs w:val="20"/>
        </w:rPr>
      </w:pPr>
    </w:p>
    <w:p w14:paraId="3C918488" w14:textId="6E24E831" w:rsidR="007D5234" w:rsidRPr="00FC3F1F" w:rsidRDefault="004A4FAF" w:rsidP="00B34D06">
      <w:pPr>
        <w:spacing w:line="276" w:lineRule="auto"/>
        <w:rPr>
          <w:rFonts w:ascii="Proxima Nova" w:hAnsi="Proxima Nova" w:cs="Calibri"/>
          <w:sz w:val="20"/>
          <w:szCs w:val="20"/>
        </w:rPr>
      </w:pPr>
      <w:r w:rsidRPr="00FC3F1F">
        <w:rPr>
          <w:rFonts w:ascii="Proxima Nova" w:hAnsi="Proxima Nova" w:cs="Calibri"/>
          <w:sz w:val="20"/>
          <w:szCs w:val="20"/>
        </w:rPr>
        <w:t xml:space="preserve">We thank </w:t>
      </w:r>
      <w:r w:rsidR="007D5234" w:rsidRPr="00FC3F1F">
        <w:rPr>
          <w:rFonts w:ascii="Proxima Nova" w:hAnsi="Proxima Nova" w:cs="Calibri"/>
          <w:sz w:val="20"/>
          <w:szCs w:val="20"/>
        </w:rPr>
        <w:t>Briony Johnston for her research assistance.</w:t>
      </w:r>
    </w:p>
    <w:p w14:paraId="0207DBCB" w14:textId="67EB8B27" w:rsidR="007D5234" w:rsidRDefault="007D5234" w:rsidP="00B34D06">
      <w:pPr>
        <w:spacing w:line="276" w:lineRule="auto"/>
        <w:rPr>
          <w:rFonts w:ascii="Proxima Nova" w:hAnsi="Proxima Nova" w:cs="Calibri"/>
          <w:sz w:val="20"/>
          <w:szCs w:val="20"/>
        </w:rPr>
      </w:pPr>
    </w:p>
    <w:p w14:paraId="52465220" w14:textId="7B04E14A" w:rsidR="00A646C6" w:rsidRDefault="00A646C6" w:rsidP="00B34D06">
      <w:pPr>
        <w:spacing w:line="276" w:lineRule="auto"/>
        <w:rPr>
          <w:rFonts w:ascii="Proxima Nova" w:hAnsi="Proxima Nova" w:cs="Calibri"/>
          <w:sz w:val="20"/>
          <w:szCs w:val="20"/>
        </w:rPr>
      </w:pPr>
      <w:r>
        <w:rPr>
          <w:rFonts w:ascii="Proxima Nova" w:hAnsi="Proxima Nova" w:cs="Calibri"/>
          <w:sz w:val="20"/>
          <w:szCs w:val="20"/>
        </w:rPr>
        <w:t>Formatting and design by Jacinta Carlton (WWDA) and Carolyn Frohmader (WWDA).</w:t>
      </w:r>
    </w:p>
    <w:p w14:paraId="4130551E" w14:textId="77777777" w:rsidR="00A646C6" w:rsidRPr="00FC3F1F" w:rsidRDefault="00A646C6" w:rsidP="00B34D06">
      <w:pPr>
        <w:spacing w:line="276" w:lineRule="auto"/>
        <w:rPr>
          <w:rFonts w:ascii="Proxima Nova" w:hAnsi="Proxima Nova" w:cs="Calibri"/>
          <w:sz w:val="20"/>
          <w:szCs w:val="20"/>
        </w:rPr>
      </w:pPr>
    </w:p>
    <w:p w14:paraId="631DE3D3" w14:textId="3D60906D" w:rsidR="00AC3A5E" w:rsidRPr="00FC3F1F" w:rsidRDefault="009D2DCA" w:rsidP="00B34D06">
      <w:pPr>
        <w:spacing w:line="276" w:lineRule="auto"/>
        <w:rPr>
          <w:rFonts w:ascii="Proxima Nova" w:hAnsi="Proxima Nova" w:cs="Calibri"/>
          <w:sz w:val="20"/>
          <w:szCs w:val="20"/>
        </w:rPr>
      </w:pPr>
      <w:r w:rsidRPr="00FC3F1F">
        <w:rPr>
          <w:rFonts w:ascii="Proxima Nova" w:hAnsi="Proxima Nova" w:cs="Calibri"/>
          <w:sz w:val="20"/>
          <w:szCs w:val="20"/>
        </w:rPr>
        <w:t xml:space="preserve">Women </w:t>
      </w:r>
      <w:r w:rsidR="005B4E20" w:rsidRPr="00FC3F1F">
        <w:rPr>
          <w:rFonts w:ascii="Proxima Nova" w:hAnsi="Proxima Nova" w:cs="Calibri"/>
          <w:sz w:val="20"/>
          <w:szCs w:val="20"/>
        </w:rPr>
        <w:t>W</w:t>
      </w:r>
      <w:r w:rsidRPr="00FC3F1F">
        <w:rPr>
          <w:rFonts w:ascii="Proxima Nova" w:hAnsi="Proxima Nova" w:cs="Calibri"/>
          <w:sz w:val="20"/>
          <w:szCs w:val="20"/>
        </w:rPr>
        <w:t xml:space="preserve">ith Disabilities Australia (WWDA) receives </w:t>
      </w:r>
      <w:r w:rsidR="00D7106F" w:rsidRPr="00FC3F1F">
        <w:rPr>
          <w:rFonts w:ascii="Proxima Nova" w:hAnsi="Proxima Nova" w:cs="Calibri"/>
          <w:sz w:val="20"/>
          <w:szCs w:val="20"/>
        </w:rPr>
        <w:t xml:space="preserve">part of its </w:t>
      </w:r>
      <w:r w:rsidRPr="00FC3F1F">
        <w:rPr>
          <w:rFonts w:ascii="Proxima Nova" w:hAnsi="Proxima Nova" w:cs="Calibri"/>
          <w:sz w:val="20"/>
          <w:szCs w:val="20"/>
        </w:rPr>
        <w:t>funding from the Australian Government</w:t>
      </w:r>
      <w:r w:rsidR="00E528DD" w:rsidRPr="00FC3F1F">
        <w:rPr>
          <w:rFonts w:ascii="Proxima Nova" w:hAnsi="Proxima Nova" w:cs="Calibri"/>
          <w:sz w:val="20"/>
          <w:szCs w:val="20"/>
        </w:rPr>
        <w:t>, Department of Social Services.</w:t>
      </w:r>
    </w:p>
    <w:p w14:paraId="0CBA0693" w14:textId="77777777" w:rsidR="00AC3A5E" w:rsidRPr="00FC3F1F" w:rsidRDefault="00AC3A5E" w:rsidP="00B34D06">
      <w:pPr>
        <w:spacing w:line="276" w:lineRule="auto"/>
        <w:rPr>
          <w:rFonts w:ascii="Proxima Nova" w:hAnsi="Proxima Nova" w:cs="Calibri"/>
          <w:sz w:val="20"/>
          <w:szCs w:val="20"/>
        </w:rPr>
      </w:pPr>
    </w:p>
    <w:p w14:paraId="579ADE9D" w14:textId="77777777" w:rsidR="00310AC4" w:rsidRPr="00D00A73" w:rsidRDefault="007B5DE5" w:rsidP="00C92D1C">
      <w:pPr>
        <w:pStyle w:val="Heading3"/>
        <w:spacing w:line="240" w:lineRule="auto"/>
        <w:jc w:val="left"/>
        <w:rPr>
          <w:rFonts w:ascii="Proxima Nova" w:hAnsi="Proxima Nova" w:cs="Calibri"/>
          <w:bCs/>
          <w:color w:val="AC1F79"/>
        </w:rPr>
      </w:pPr>
      <w:bookmarkStart w:id="19" w:name="_Toc468803765"/>
      <w:bookmarkStart w:id="20" w:name="_Toc350082564"/>
      <w:bookmarkStart w:id="21" w:name="_Toc501535863"/>
      <w:bookmarkStart w:id="22" w:name="_Toc501535945"/>
      <w:bookmarkStart w:id="23" w:name="_Toc501537208"/>
      <w:bookmarkStart w:id="24" w:name="_Toc501537272"/>
      <w:bookmarkStart w:id="25" w:name="_Toc501542223"/>
      <w:bookmarkStart w:id="26" w:name="_Toc501542265"/>
      <w:bookmarkStart w:id="27" w:name="_Toc509920825"/>
      <w:bookmarkStart w:id="28" w:name="_Toc510523712"/>
      <w:bookmarkStart w:id="29" w:name="_Toc512603442"/>
      <w:bookmarkStart w:id="30" w:name="_Toc512604448"/>
      <w:bookmarkStart w:id="31" w:name="_Toc32738101"/>
      <w:bookmarkStart w:id="32" w:name="_Toc32738163"/>
      <w:bookmarkStart w:id="33" w:name="_Toc32757940"/>
      <w:bookmarkStart w:id="34" w:name="_Toc32759981"/>
      <w:bookmarkStart w:id="35" w:name="_Toc61349417"/>
      <w:r w:rsidRPr="00D00A73">
        <w:rPr>
          <w:rFonts w:ascii="Proxima Nova" w:hAnsi="Proxima Nova" w:cs="Calibri"/>
          <w:bCs/>
          <w:color w:val="AC1F79"/>
        </w:rPr>
        <w:t>Contact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D00A73">
        <w:rPr>
          <w:rFonts w:ascii="Proxima Nova" w:hAnsi="Proxima Nova" w:cs="Calibri"/>
          <w:bCs/>
          <w:color w:val="AC1F79"/>
        </w:rPr>
        <w:t xml:space="preserve"> </w:t>
      </w:r>
    </w:p>
    <w:p w14:paraId="6B5B0320" w14:textId="77777777" w:rsidR="000233A0" w:rsidRPr="00FC3F1F" w:rsidRDefault="000233A0" w:rsidP="00C92D1C">
      <w:pPr>
        <w:rPr>
          <w:rFonts w:ascii="Proxima Nova" w:hAnsi="Proxima Nova" w:cs="Calibri"/>
          <w:sz w:val="20"/>
          <w:szCs w:val="20"/>
        </w:rPr>
      </w:pPr>
    </w:p>
    <w:p w14:paraId="1D93D784" w14:textId="3F26525E" w:rsidR="00310AC4" w:rsidRPr="00FC3F1F" w:rsidRDefault="00310AC4" w:rsidP="00C92D1C">
      <w:pPr>
        <w:rPr>
          <w:rFonts w:ascii="Proxima Nova" w:hAnsi="Proxima Nova" w:cs="Calibri"/>
          <w:sz w:val="20"/>
          <w:szCs w:val="20"/>
        </w:rPr>
      </w:pPr>
      <w:r w:rsidRPr="00FC3F1F">
        <w:rPr>
          <w:rFonts w:ascii="Proxima Nova" w:hAnsi="Proxima Nova" w:cs="Calibri"/>
          <w:sz w:val="20"/>
          <w:szCs w:val="20"/>
        </w:rPr>
        <w:t xml:space="preserve">Women </w:t>
      </w:r>
      <w:r w:rsidR="005B4E20" w:rsidRPr="00FC3F1F">
        <w:rPr>
          <w:rFonts w:ascii="Proxima Nova" w:hAnsi="Proxima Nova" w:cs="Calibri"/>
          <w:sz w:val="20"/>
          <w:szCs w:val="20"/>
        </w:rPr>
        <w:t>W</w:t>
      </w:r>
      <w:r w:rsidRPr="00FC3F1F">
        <w:rPr>
          <w:rFonts w:ascii="Proxima Nova" w:hAnsi="Proxima Nova" w:cs="Calibri"/>
          <w:sz w:val="20"/>
          <w:szCs w:val="20"/>
        </w:rPr>
        <w:t>ith Disabilities Australia (WWDA)</w:t>
      </w:r>
    </w:p>
    <w:p w14:paraId="4BBFA437" w14:textId="77777777" w:rsidR="00F42993" w:rsidRPr="00FC3F1F" w:rsidRDefault="00F42993" w:rsidP="00C92D1C">
      <w:pPr>
        <w:rPr>
          <w:rFonts w:ascii="Proxima Nova" w:hAnsi="Proxima Nova" w:cs="Calibri"/>
          <w:sz w:val="20"/>
          <w:szCs w:val="20"/>
        </w:rPr>
      </w:pPr>
      <w:r w:rsidRPr="00FC3F1F">
        <w:rPr>
          <w:rFonts w:ascii="Proxima Nova" w:hAnsi="Proxima Nova" w:cs="Calibri"/>
          <w:sz w:val="20"/>
          <w:szCs w:val="20"/>
        </w:rPr>
        <w:t>Contact: Carolyn Frohmader, Executive Director</w:t>
      </w:r>
    </w:p>
    <w:p w14:paraId="120BB3D7" w14:textId="77777777" w:rsidR="00310AC4" w:rsidRPr="00FC3F1F" w:rsidRDefault="00310AC4" w:rsidP="00C92D1C">
      <w:pPr>
        <w:rPr>
          <w:rFonts w:ascii="Proxima Nova" w:hAnsi="Proxima Nova" w:cs="Calibri"/>
          <w:sz w:val="20"/>
          <w:szCs w:val="20"/>
        </w:rPr>
      </w:pPr>
      <w:r w:rsidRPr="00FC3F1F">
        <w:rPr>
          <w:rFonts w:ascii="Proxima Nova" w:hAnsi="Proxima Nova" w:cs="Calibri"/>
          <w:sz w:val="20"/>
          <w:szCs w:val="20"/>
        </w:rPr>
        <w:t>PO Box 407, Lenah Valley, 7008 Tasmania</w:t>
      </w:r>
      <w:r w:rsidR="00F22E4B" w:rsidRPr="00FC3F1F">
        <w:rPr>
          <w:rFonts w:ascii="Proxima Nova" w:hAnsi="Proxima Nova" w:cs="Calibri"/>
          <w:sz w:val="20"/>
          <w:szCs w:val="20"/>
        </w:rPr>
        <w:t>, Australia</w:t>
      </w:r>
    </w:p>
    <w:p w14:paraId="65FEFB1F" w14:textId="518F18DA" w:rsidR="00310AC4" w:rsidRPr="00FC3F1F" w:rsidRDefault="00310AC4" w:rsidP="00C92D1C">
      <w:pPr>
        <w:rPr>
          <w:rFonts w:ascii="Proxima Nova" w:hAnsi="Proxima Nova" w:cs="Calibri"/>
          <w:sz w:val="20"/>
          <w:szCs w:val="20"/>
        </w:rPr>
      </w:pPr>
      <w:r w:rsidRPr="00FC3F1F">
        <w:rPr>
          <w:rFonts w:ascii="Proxima Nova" w:hAnsi="Proxima Nova" w:cs="Calibri"/>
          <w:sz w:val="20"/>
          <w:szCs w:val="20"/>
        </w:rPr>
        <w:t>Phone: +61 438 535 123</w:t>
      </w:r>
    </w:p>
    <w:p w14:paraId="79B93E3B" w14:textId="5661EB54" w:rsidR="00BD4BB7" w:rsidRPr="00FC3F1F" w:rsidRDefault="00BD4BB7" w:rsidP="00C92D1C">
      <w:pPr>
        <w:rPr>
          <w:rFonts w:ascii="Proxima Nova" w:hAnsi="Proxima Nova" w:cs="Calibri"/>
          <w:sz w:val="20"/>
          <w:szCs w:val="20"/>
        </w:rPr>
      </w:pPr>
      <w:r w:rsidRPr="00FC3F1F">
        <w:rPr>
          <w:rFonts w:ascii="Proxima Nova" w:hAnsi="Proxima Nova" w:cs="Calibri"/>
          <w:sz w:val="20"/>
          <w:szCs w:val="20"/>
        </w:rPr>
        <w:t>Phone: +61 438 535 535</w:t>
      </w:r>
    </w:p>
    <w:p w14:paraId="01F4C110" w14:textId="39376742" w:rsidR="00310AC4" w:rsidRPr="00FC3F1F" w:rsidRDefault="00310AC4" w:rsidP="00C92D1C">
      <w:pPr>
        <w:rPr>
          <w:rFonts w:ascii="Proxima Nova" w:hAnsi="Proxima Nova" w:cs="Calibri"/>
          <w:sz w:val="20"/>
          <w:szCs w:val="20"/>
        </w:rPr>
      </w:pPr>
      <w:r w:rsidRPr="00FC3F1F">
        <w:rPr>
          <w:rFonts w:ascii="Proxima Nova" w:hAnsi="Proxima Nova" w:cs="Calibri"/>
          <w:sz w:val="20"/>
          <w:szCs w:val="20"/>
        </w:rPr>
        <w:t xml:space="preserve">Email: </w:t>
      </w:r>
      <w:hyperlink r:id="rId12" w:history="1">
        <w:r w:rsidR="00FC3F1F" w:rsidRPr="00B738A8">
          <w:rPr>
            <w:rStyle w:val="Hyperlink"/>
            <w:rFonts w:ascii="Proxima Nova" w:hAnsi="Proxima Nova" w:cs="Calibri"/>
            <w:sz w:val="20"/>
            <w:szCs w:val="20"/>
          </w:rPr>
          <w:t>officeadmin@wwda.org.au</w:t>
        </w:r>
      </w:hyperlink>
      <w:r w:rsidR="00FC3F1F">
        <w:rPr>
          <w:rFonts w:ascii="Proxima Nova" w:hAnsi="Proxima Nova" w:cs="Calibri"/>
          <w:sz w:val="20"/>
          <w:szCs w:val="20"/>
        </w:rPr>
        <w:t xml:space="preserve"> </w:t>
      </w:r>
    </w:p>
    <w:p w14:paraId="259F2C66" w14:textId="77777777" w:rsidR="00310AC4" w:rsidRPr="00FC3F1F" w:rsidRDefault="00310AC4" w:rsidP="00C92D1C">
      <w:pPr>
        <w:rPr>
          <w:rFonts w:ascii="Proxima Nova" w:hAnsi="Proxima Nova" w:cs="Calibri"/>
          <w:sz w:val="20"/>
          <w:szCs w:val="20"/>
          <w:u w:val="single"/>
        </w:rPr>
      </w:pPr>
      <w:r w:rsidRPr="00FC3F1F">
        <w:rPr>
          <w:rFonts w:ascii="Proxima Nova" w:hAnsi="Proxima Nova" w:cs="Calibri"/>
          <w:sz w:val="20"/>
          <w:szCs w:val="20"/>
        </w:rPr>
        <w:t xml:space="preserve">Web: </w:t>
      </w:r>
      <w:hyperlink r:id="rId13" w:history="1">
        <w:r w:rsidRPr="00FC3F1F">
          <w:rPr>
            <w:rStyle w:val="Hyperlink"/>
            <w:rFonts w:ascii="Proxima Nova" w:hAnsi="Proxima Nova" w:cs="Calibri"/>
            <w:sz w:val="20"/>
            <w:szCs w:val="20"/>
          </w:rPr>
          <w:t>www.wwda.org.au</w:t>
        </w:r>
      </w:hyperlink>
    </w:p>
    <w:p w14:paraId="667717A0" w14:textId="2632C15D" w:rsidR="00310AC4" w:rsidRPr="00FC3F1F" w:rsidRDefault="00310AC4" w:rsidP="00C92D1C">
      <w:pPr>
        <w:rPr>
          <w:rFonts w:ascii="Proxima Nova" w:hAnsi="Proxima Nova" w:cs="Calibri"/>
          <w:sz w:val="20"/>
          <w:szCs w:val="20"/>
          <w:lang w:val="en-US"/>
        </w:rPr>
      </w:pPr>
      <w:r w:rsidRPr="00FC3F1F">
        <w:rPr>
          <w:rFonts w:ascii="Proxima Nova" w:hAnsi="Proxima Nova" w:cs="Calibri"/>
          <w:sz w:val="20"/>
          <w:szCs w:val="20"/>
          <w:lang w:val="en-US"/>
        </w:rPr>
        <w:t>Facebook:</w:t>
      </w:r>
      <w:r w:rsidR="00FC3F1F">
        <w:rPr>
          <w:rFonts w:ascii="Proxima Nova" w:hAnsi="Proxima Nova" w:cs="Calibri"/>
          <w:sz w:val="20"/>
          <w:szCs w:val="20"/>
          <w:lang w:val="en-US"/>
        </w:rPr>
        <w:t xml:space="preserve"> </w:t>
      </w:r>
      <w:hyperlink r:id="rId14" w:history="1">
        <w:r w:rsidR="00FC3F1F" w:rsidRPr="00B738A8">
          <w:rPr>
            <w:rStyle w:val="Hyperlink"/>
            <w:rFonts w:ascii="Proxima Nova" w:hAnsi="Proxima Nova" w:cs="Calibri"/>
            <w:sz w:val="20"/>
            <w:szCs w:val="20"/>
            <w:lang w:val="en-US"/>
          </w:rPr>
          <w:t>www.facebook.com/WWDA.Australia</w:t>
        </w:r>
      </w:hyperlink>
    </w:p>
    <w:p w14:paraId="01D24C6A" w14:textId="2456A3AF" w:rsidR="00310AC4" w:rsidRPr="00FC3F1F" w:rsidRDefault="00310AC4" w:rsidP="00C92D1C">
      <w:pPr>
        <w:rPr>
          <w:rFonts w:ascii="Proxima Nova" w:hAnsi="Proxima Nova" w:cs="Calibri"/>
          <w:sz w:val="20"/>
          <w:szCs w:val="20"/>
        </w:rPr>
      </w:pPr>
      <w:r w:rsidRPr="00FC3F1F">
        <w:rPr>
          <w:rFonts w:ascii="Proxima Nova" w:hAnsi="Proxima Nova" w:cs="Calibri"/>
          <w:sz w:val="20"/>
          <w:szCs w:val="20"/>
          <w:lang w:val="en-US"/>
        </w:rPr>
        <w:t>Twitter:</w:t>
      </w:r>
      <w:r w:rsidR="00FC3F1F">
        <w:rPr>
          <w:rFonts w:ascii="Proxima Nova" w:hAnsi="Proxima Nova" w:cs="Calibri"/>
          <w:sz w:val="20"/>
          <w:szCs w:val="20"/>
          <w:lang w:val="en-US"/>
        </w:rPr>
        <w:t xml:space="preserve"> </w:t>
      </w:r>
      <w:hyperlink r:id="rId15" w:history="1">
        <w:r w:rsidR="00FC3F1F" w:rsidRPr="00B738A8">
          <w:rPr>
            <w:rStyle w:val="Hyperlink"/>
            <w:rFonts w:ascii="Proxima Nova" w:hAnsi="Proxima Nova" w:cs="Calibri"/>
            <w:sz w:val="20"/>
            <w:szCs w:val="20"/>
            <w:lang w:val="en-US"/>
          </w:rPr>
          <w:t>www.twitter.com/WWDA_AU</w:t>
        </w:r>
      </w:hyperlink>
    </w:p>
    <w:p w14:paraId="7BCA3893" w14:textId="77777777" w:rsidR="00F42993" w:rsidRPr="00FC3F1F" w:rsidRDefault="00F42993" w:rsidP="00C92D1C">
      <w:pPr>
        <w:spacing w:line="276" w:lineRule="auto"/>
        <w:rPr>
          <w:rFonts w:ascii="Proxima Nova" w:hAnsi="Proxima Nova" w:cs="Calibri"/>
          <w:sz w:val="20"/>
          <w:szCs w:val="20"/>
        </w:rPr>
      </w:pPr>
    </w:p>
    <w:p w14:paraId="17E956D8" w14:textId="77777777" w:rsidR="00F42993" w:rsidRPr="00D00A73" w:rsidRDefault="00F42993" w:rsidP="00C92D1C">
      <w:pPr>
        <w:rPr>
          <w:rFonts w:ascii="Proxima Nova" w:hAnsi="Proxima Nova" w:cs="Calibri"/>
          <w:sz w:val="18"/>
          <w:szCs w:val="18"/>
        </w:rPr>
      </w:pPr>
      <w:r w:rsidRPr="00D00A73">
        <w:rPr>
          <w:rFonts w:ascii="Proxima Nova" w:hAnsi="Proxima Nova" w:cs="Calibri"/>
          <w:sz w:val="18"/>
          <w:szCs w:val="18"/>
        </w:rPr>
        <w:t>Winner, National Human Rights Award 2001</w:t>
      </w:r>
    </w:p>
    <w:p w14:paraId="6DB55530" w14:textId="77777777" w:rsidR="00F42993" w:rsidRPr="00D00A73" w:rsidRDefault="00F42993" w:rsidP="00C92D1C">
      <w:pPr>
        <w:rPr>
          <w:rFonts w:ascii="Proxima Nova" w:hAnsi="Proxima Nova" w:cs="Calibri"/>
          <w:sz w:val="18"/>
          <w:szCs w:val="18"/>
        </w:rPr>
      </w:pPr>
      <w:r w:rsidRPr="00D00A73">
        <w:rPr>
          <w:rFonts w:ascii="Proxima Nova" w:hAnsi="Proxima Nova" w:cs="Calibri"/>
          <w:sz w:val="18"/>
          <w:szCs w:val="18"/>
        </w:rPr>
        <w:t>Winner, National Violence Prevention Award 1999</w:t>
      </w:r>
    </w:p>
    <w:p w14:paraId="6091FF88" w14:textId="77777777" w:rsidR="00F42993" w:rsidRPr="00D00A73" w:rsidRDefault="00F42993" w:rsidP="00C92D1C">
      <w:pPr>
        <w:rPr>
          <w:rFonts w:ascii="Proxima Nova" w:hAnsi="Proxima Nova" w:cs="Calibri"/>
          <w:sz w:val="18"/>
          <w:szCs w:val="18"/>
        </w:rPr>
      </w:pPr>
      <w:r w:rsidRPr="00D00A73">
        <w:rPr>
          <w:rFonts w:ascii="Proxima Nova" w:hAnsi="Proxima Nova" w:cs="Calibri"/>
          <w:sz w:val="18"/>
          <w:szCs w:val="18"/>
        </w:rPr>
        <w:t>Winner, Tasmanian Women's Safety Award 2008</w:t>
      </w:r>
    </w:p>
    <w:p w14:paraId="5C04F03A" w14:textId="08343ADD" w:rsidR="00F42993" w:rsidRDefault="00F42993" w:rsidP="00C92D1C">
      <w:pPr>
        <w:rPr>
          <w:rFonts w:ascii="Proxima Nova" w:hAnsi="Proxima Nova" w:cs="Calibri"/>
          <w:sz w:val="18"/>
          <w:szCs w:val="18"/>
        </w:rPr>
      </w:pPr>
      <w:r w:rsidRPr="00D00A73">
        <w:rPr>
          <w:rFonts w:ascii="Proxima Nova" w:hAnsi="Proxima Nova" w:cs="Calibri"/>
          <w:sz w:val="18"/>
          <w:szCs w:val="18"/>
        </w:rPr>
        <w:t>Certificate of Merit, Australian Crime &amp; Violence Prevention Awards 2008</w:t>
      </w:r>
    </w:p>
    <w:p w14:paraId="56C2E449" w14:textId="5787D22A" w:rsidR="00D27631" w:rsidRPr="00D00A73" w:rsidRDefault="00D27631" w:rsidP="00C92D1C">
      <w:pPr>
        <w:rPr>
          <w:rFonts w:ascii="Proxima Nova" w:hAnsi="Proxima Nova" w:cs="Calibri"/>
          <w:sz w:val="18"/>
          <w:szCs w:val="18"/>
        </w:rPr>
      </w:pPr>
      <w:r w:rsidRPr="00D27631">
        <w:rPr>
          <w:rFonts w:ascii="Proxima Nova" w:hAnsi="Proxima Nova" w:cs="Calibri"/>
          <w:sz w:val="18"/>
          <w:szCs w:val="18"/>
        </w:rPr>
        <w:t>Nominee, UNESCO Prize for Digital Empowerment of Persons with Disabilities 2021</w:t>
      </w:r>
    </w:p>
    <w:p w14:paraId="3CB829C6" w14:textId="17B25888" w:rsidR="00940EFA" w:rsidRPr="00D00A73" w:rsidRDefault="00940EFA" w:rsidP="00C92D1C">
      <w:pPr>
        <w:rPr>
          <w:rFonts w:ascii="Proxima Nova" w:hAnsi="Proxima Nova" w:cs="Calibri"/>
          <w:sz w:val="18"/>
          <w:szCs w:val="18"/>
        </w:rPr>
      </w:pPr>
      <w:r w:rsidRPr="00D00A73">
        <w:rPr>
          <w:rFonts w:ascii="Proxima Nova" w:hAnsi="Proxima Nova" w:cs="Calibri"/>
          <w:sz w:val="18"/>
          <w:szCs w:val="18"/>
        </w:rPr>
        <w:t>Nominee, National Disability Awards 2017</w:t>
      </w:r>
    </w:p>
    <w:p w14:paraId="4480C985" w14:textId="77777777" w:rsidR="00F42993" w:rsidRPr="00D00A73" w:rsidRDefault="00F42993" w:rsidP="00C92D1C">
      <w:pPr>
        <w:rPr>
          <w:rFonts w:ascii="Proxima Nova" w:hAnsi="Proxima Nova" w:cs="Calibri"/>
          <w:sz w:val="18"/>
          <w:szCs w:val="18"/>
        </w:rPr>
      </w:pPr>
      <w:r w:rsidRPr="00D00A73">
        <w:rPr>
          <w:rFonts w:ascii="Proxima Nova" w:hAnsi="Proxima Nova" w:cs="Calibri"/>
          <w:sz w:val="18"/>
          <w:szCs w:val="18"/>
        </w:rPr>
        <w:t>Nominee, French Republic's Human Rights Prize 2003</w:t>
      </w:r>
    </w:p>
    <w:p w14:paraId="1BBFD51A" w14:textId="66FA1EB1" w:rsidR="00F42993" w:rsidRPr="00D00A73" w:rsidRDefault="00F42993" w:rsidP="00C92D1C">
      <w:pPr>
        <w:rPr>
          <w:rFonts w:ascii="Proxima Nova" w:hAnsi="Proxima Nova" w:cs="Calibri"/>
          <w:sz w:val="18"/>
          <w:szCs w:val="18"/>
        </w:rPr>
      </w:pPr>
      <w:r w:rsidRPr="00D00A73">
        <w:rPr>
          <w:rFonts w:ascii="Proxima Nova" w:hAnsi="Proxima Nova" w:cs="Calibri"/>
          <w:sz w:val="18"/>
          <w:szCs w:val="18"/>
        </w:rPr>
        <w:t>Nominee, UN Millennium Peace Prize for Women 2000</w:t>
      </w:r>
    </w:p>
    <w:p w14:paraId="769FF2DA" w14:textId="0B013447" w:rsidR="00BE3470" w:rsidRPr="00FC3F1F" w:rsidRDefault="00BE3470" w:rsidP="00C92D1C">
      <w:pPr>
        <w:rPr>
          <w:rFonts w:ascii="Proxima Nova" w:hAnsi="Proxima Nova" w:cs="Calibri"/>
          <w:sz w:val="20"/>
          <w:szCs w:val="20"/>
        </w:rPr>
      </w:pPr>
    </w:p>
    <w:p w14:paraId="483F51AC" w14:textId="257AB91D" w:rsidR="0036184D" w:rsidRPr="00FC3F1F" w:rsidRDefault="0036184D" w:rsidP="00C92D1C">
      <w:pPr>
        <w:rPr>
          <w:rFonts w:ascii="Proxima Nova" w:hAnsi="Proxima Nova" w:cs="Calibri"/>
          <w:b/>
          <w:bCs/>
          <w:sz w:val="20"/>
          <w:szCs w:val="20"/>
        </w:rPr>
      </w:pPr>
      <w:r w:rsidRPr="00FC3F1F">
        <w:rPr>
          <w:rFonts w:ascii="Proxima Nova" w:hAnsi="Proxima Nova" w:cs="Calibri"/>
          <w:b/>
          <w:bCs/>
          <w:sz w:val="20"/>
          <w:szCs w:val="20"/>
        </w:rPr>
        <w:t>Women With Disabilities Australia (WWDA) has Special Consultative Status with the Economic and Social Council of the United Nations.</w:t>
      </w:r>
    </w:p>
    <w:p w14:paraId="1BF4B45C" w14:textId="77777777" w:rsidR="0036184D" w:rsidRPr="00FC3F1F" w:rsidRDefault="0036184D" w:rsidP="00C92D1C">
      <w:pPr>
        <w:rPr>
          <w:rFonts w:ascii="Proxima Nova" w:hAnsi="Proxima Nova" w:cs="Calibri"/>
          <w:sz w:val="20"/>
          <w:szCs w:val="20"/>
        </w:rPr>
      </w:pPr>
    </w:p>
    <w:p w14:paraId="313B17D8" w14:textId="77777777" w:rsidR="00BE3470" w:rsidRPr="00D00A73" w:rsidRDefault="00BE3470" w:rsidP="00C92D1C">
      <w:pPr>
        <w:rPr>
          <w:rFonts w:ascii="Proxima Nova" w:hAnsi="Proxima Nova" w:cs="Calibri"/>
          <w:b/>
          <w:bCs/>
          <w:color w:val="AC1F79"/>
        </w:rPr>
      </w:pPr>
      <w:r w:rsidRPr="00D00A73">
        <w:rPr>
          <w:rFonts w:ascii="Proxima Nova" w:hAnsi="Proxima Nova" w:cs="Calibri"/>
          <w:b/>
          <w:bCs/>
          <w:color w:val="AC1F79"/>
        </w:rPr>
        <w:t>Disclaimer</w:t>
      </w:r>
    </w:p>
    <w:p w14:paraId="430E7689" w14:textId="77777777" w:rsidR="00BE3470" w:rsidRPr="00FC3F1F" w:rsidRDefault="00BE3470" w:rsidP="00C92D1C">
      <w:pPr>
        <w:rPr>
          <w:rFonts w:ascii="Proxima Nova" w:hAnsi="Proxima Nova" w:cs="Calibri"/>
          <w:sz w:val="20"/>
          <w:szCs w:val="20"/>
        </w:rPr>
      </w:pPr>
    </w:p>
    <w:p w14:paraId="1CE64109" w14:textId="44C641B8" w:rsidR="00BE3470" w:rsidRPr="00FC3F1F" w:rsidRDefault="00BE3470" w:rsidP="00C92D1C">
      <w:pPr>
        <w:rPr>
          <w:rFonts w:ascii="Proxima Nova" w:hAnsi="Proxima Nova" w:cs="Calibri"/>
          <w:sz w:val="20"/>
          <w:szCs w:val="20"/>
        </w:rPr>
      </w:pPr>
      <w:r w:rsidRPr="00FC3F1F">
        <w:rPr>
          <w:rFonts w:ascii="Proxima Nova" w:hAnsi="Proxima Nova" w:cs="Calibri"/>
          <w:sz w:val="20"/>
          <w:szCs w:val="20"/>
        </w:rPr>
        <w:t xml:space="preserve">The views and opinions expressed in this publication are those of Women </w:t>
      </w:r>
      <w:r w:rsidR="005B4E20" w:rsidRPr="00FC3F1F">
        <w:rPr>
          <w:rFonts w:ascii="Proxima Nova" w:hAnsi="Proxima Nova" w:cs="Calibri"/>
          <w:sz w:val="20"/>
          <w:szCs w:val="20"/>
        </w:rPr>
        <w:t>W</w:t>
      </w:r>
      <w:r w:rsidRPr="00FC3F1F">
        <w:rPr>
          <w:rFonts w:ascii="Proxima Nova" w:hAnsi="Proxima Nova" w:cs="Calibri"/>
          <w:sz w:val="20"/>
          <w:szCs w:val="20"/>
        </w:rPr>
        <w:t>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6A5B6B06" w14:textId="558B2BDB" w:rsidR="00BE3470" w:rsidRPr="00FC3F1F" w:rsidRDefault="00BE3470" w:rsidP="00C92D1C">
      <w:pPr>
        <w:rPr>
          <w:rFonts w:ascii="Proxima Nova" w:hAnsi="Proxima Nova" w:cs="Calibri"/>
          <w:sz w:val="20"/>
          <w:szCs w:val="20"/>
        </w:rPr>
      </w:pPr>
    </w:p>
    <w:p w14:paraId="652F1D85" w14:textId="77777777" w:rsidR="00640BE6" w:rsidRPr="00FC3F1F" w:rsidRDefault="00640BE6" w:rsidP="00C92D1C">
      <w:pPr>
        <w:rPr>
          <w:rFonts w:ascii="Proxima Nova" w:hAnsi="Proxima Nova" w:cs="Calibri"/>
          <w:sz w:val="20"/>
          <w:szCs w:val="20"/>
        </w:rPr>
      </w:pPr>
      <w:bookmarkStart w:id="36" w:name="_Toc468803771"/>
      <w:r w:rsidRPr="00FC3F1F">
        <w:rPr>
          <w:rFonts w:ascii="Proxima Nova" w:hAnsi="Proxima Nova" w:cs="Calibri"/>
          <w:sz w:val="20"/>
          <w:szCs w:val="20"/>
        </w:rPr>
        <w:t>This work is copyright. Apart from any use as permitted under the Copyright Act 1968, no part may be reproduced without written permission from Women With Disabilities Australia (WWDA).</w:t>
      </w:r>
      <w:bookmarkEnd w:id="36"/>
    </w:p>
    <w:p w14:paraId="5B8C671C" w14:textId="77777777" w:rsidR="00640BE6" w:rsidRPr="00FC3F1F" w:rsidRDefault="00640BE6" w:rsidP="00C92D1C">
      <w:pPr>
        <w:rPr>
          <w:rFonts w:ascii="Proxima Nova" w:hAnsi="Proxima Nova" w:cs="Calibri"/>
          <w:sz w:val="20"/>
          <w:szCs w:val="20"/>
        </w:rPr>
      </w:pPr>
    </w:p>
    <w:p w14:paraId="345C7750" w14:textId="6577F7FF" w:rsidR="00640BE6" w:rsidRPr="00FC3F1F" w:rsidRDefault="00640BE6" w:rsidP="00C92D1C">
      <w:pPr>
        <w:rPr>
          <w:rFonts w:ascii="Proxima Nova" w:hAnsi="Proxima Nova" w:cs="Calibri"/>
          <w:sz w:val="20"/>
          <w:szCs w:val="20"/>
        </w:rPr>
      </w:pPr>
      <w:bookmarkStart w:id="37" w:name="_Toc468803773"/>
      <w:r w:rsidRPr="00FC3F1F">
        <w:rPr>
          <w:rFonts w:ascii="Proxima Nova" w:hAnsi="Proxima Nova" w:cs="Calibri"/>
          <w:sz w:val="20"/>
          <w:szCs w:val="20"/>
        </w:rPr>
        <w:t>© 202</w:t>
      </w:r>
      <w:r w:rsidR="00373F5C" w:rsidRPr="00FC3F1F">
        <w:rPr>
          <w:rFonts w:ascii="Proxima Nova" w:hAnsi="Proxima Nova" w:cs="Calibri"/>
          <w:sz w:val="20"/>
          <w:szCs w:val="20"/>
        </w:rPr>
        <w:t>1</w:t>
      </w:r>
      <w:r w:rsidRPr="00FC3F1F">
        <w:rPr>
          <w:rFonts w:ascii="Proxima Nova" w:hAnsi="Proxima Nova" w:cs="Calibri"/>
          <w:sz w:val="20"/>
          <w:szCs w:val="20"/>
        </w:rPr>
        <w:t xml:space="preserve"> Women With Disabilities Australia (WWDA).</w:t>
      </w:r>
      <w:bookmarkEnd w:id="37"/>
      <w:r w:rsidRPr="00FC3F1F">
        <w:rPr>
          <w:rFonts w:ascii="Proxima Nova" w:hAnsi="Proxima Nova" w:cs="Calibri"/>
          <w:sz w:val="20"/>
          <w:szCs w:val="20"/>
        </w:rPr>
        <w:t xml:space="preserve"> </w:t>
      </w:r>
    </w:p>
    <w:p w14:paraId="5A59FF3E" w14:textId="77777777" w:rsidR="00640BE6" w:rsidRPr="00FC3F1F" w:rsidRDefault="00640BE6" w:rsidP="00C92D1C">
      <w:pPr>
        <w:rPr>
          <w:rFonts w:ascii="Proxima Nova" w:hAnsi="Proxima Nova" w:cs="Calibri"/>
          <w:sz w:val="20"/>
          <w:szCs w:val="20"/>
        </w:rPr>
      </w:pPr>
    </w:p>
    <w:p w14:paraId="49A1DCCB" w14:textId="77777777" w:rsidR="00640BE6" w:rsidRPr="00FC3F1F" w:rsidRDefault="00640BE6" w:rsidP="00C92D1C">
      <w:pPr>
        <w:rPr>
          <w:rFonts w:ascii="Proxima Nova" w:hAnsi="Proxima Nova" w:cs="Calibri"/>
          <w:sz w:val="20"/>
          <w:szCs w:val="20"/>
        </w:rPr>
      </w:pPr>
      <w:r w:rsidRPr="00FC3F1F">
        <w:rPr>
          <w:rFonts w:ascii="Proxima Nova" w:hAnsi="Proxima Nova" w:cs="Calibri"/>
          <w:sz w:val="20"/>
          <w:szCs w:val="20"/>
        </w:rPr>
        <w:t>ABN: 23 627 650 121</w:t>
      </w:r>
    </w:p>
    <w:p w14:paraId="250252CC" w14:textId="77777777" w:rsidR="00640BE6" w:rsidRPr="00FC3F1F" w:rsidRDefault="00640BE6" w:rsidP="00C92D1C">
      <w:pPr>
        <w:rPr>
          <w:rFonts w:ascii="Proxima Nova" w:hAnsi="Proxima Nova" w:cs="Calibri"/>
          <w:sz w:val="20"/>
          <w:szCs w:val="20"/>
        </w:rPr>
      </w:pPr>
    </w:p>
    <w:p w14:paraId="295EFB7F" w14:textId="77777777" w:rsidR="00AC3A5E" w:rsidRPr="00BD5E1A" w:rsidRDefault="00AC3A5E" w:rsidP="00C92D1C">
      <w:pPr>
        <w:spacing w:line="276" w:lineRule="auto"/>
        <w:rPr>
          <w:rFonts w:ascii="Proxima Nova" w:hAnsi="Proxima Nova" w:cs="Calibri"/>
          <w:sz w:val="22"/>
          <w:szCs w:val="22"/>
        </w:rPr>
      </w:pPr>
      <w:r w:rsidRPr="00BD5E1A">
        <w:rPr>
          <w:rFonts w:ascii="Proxima Nova" w:hAnsi="Proxima Nova" w:cs="Calibri"/>
          <w:sz w:val="22"/>
          <w:szCs w:val="22"/>
        </w:rPr>
        <w:br w:type="page"/>
      </w:r>
    </w:p>
    <w:p w14:paraId="46369564" w14:textId="77777777" w:rsidR="004A4FAF" w:rsidRPr="00055BB7" w:rsidRDefault="004A4FAF" w:rsidP="00C92D1C">
      <w:pPr>
        <w:pStyle w:val="Heading2"/>
        <w:jc w:val="left"/>
        <w:rPr>
          <w:rFonts w:ascii="League Spartan" w:hAnsi="League Spartan" w:cs="Calibri"/>
          <w:b w:val="0"/>
          <w:bCs/>
          <w:color w:val="004479"/>
        </w:rPr>
      </w:pPr>
      <w:bookmarkStart w:id="38" w:name="_Toc509920827"/>
      <w:bookmarkStart w:id="39" w:name="_Toc510523714"/>
      <w:bookmarkStart w:id="40" w:name="_Toc512603443"/>
      <w:bookmarkStart w:id="41" w:name="_Toc512604449"/>
      <w:bookmarkStart w:id="42" w:name="_Toc32738102"/>
      <w:bookmarkEnd w:id="4"/>
      <w:bookmarkEnd w:id="5"/>
      <w:bookmarkEnd w:id="6"/>
      <w:bookmarkEnd w:id="7"/>
      <w:bookmarkEnd w:id="8"/>
      <w:bookmarkEnd w:id="9"/>
      <w:bookmarkEnd w:id="10"/>
      <w:bookmarkEnd w:id="11"/>
      <w:r w:rsidRPr="00055BB7">
        <w:rPr>
          <w:rFonts w:ascii="League Spartan" w:hAnsi="League Spartan" w:cs="Calibri"/>
          <w:b w:val="0"/>
          <w:bCs/>
          <w:color w:val="004479"/>
        </w:rPr>
        <w:lastRenderedPageBreak/>
        <w:t>ABOUT WOMEN WITH DISABILITIES AUSTRALIA (WWDA)</w:t>
      </w:r>
      <w:bookmarkEnd w:id="38"/>
      <w:bookmarkEnd w:id="39"/>
      <w:bookmarkEnd w:id="40"/>
      <w:bookmarkEnd w:id="41"/>
      <w:bookmarkEnd w:id="42"/>
    </w:p>
    <w:p w14:paraId="6D3A2A12" w14:textId="77777777" w:rsidR="0036184D" w:rsidRPr="00C52B21" w:rsidRDefault="0036184D" w:rsidP="00C52B21">
      <w:pPr>
        <w:spacing w:line="276" w:lineRule="auto"/>
        <w:rPr>
          <w:rFonts w:ascii="Proxima Nova" w:hAnsi="Proxima Nova" w:cs="Calibri"/>
          <w:sz w:val="22"/>
          <w:szCs w:val="22"/>
        </w:rPr>
      </w:pPr>
    </w:p>
    <w:p w14:paraId="6B6CD6D8" w14:textId="1AD9E788" w:rsidR="0036184D" w:rsidRPr="00C52B21" w:rsidRDefault="00234BEE" w:rsidP="00C52B21">
      <w:pPr>
        <w:spacing w:line="276" w:lineRule="auto"/>
        <w:rPr>
          <w:rFonts w:ascii="Proxima Nova" w:hAnsi="Proxima Nova" w:cs="Arial"/>
          <w:sz w:val="22"/>
          <w:szCs w:val="22"/>
        </w:rPr>
      </w:pPr>
      <w:hyperlink r:id="rId16" w:history="1">
        <w:r w:rsidR="0036184D" w:rsidRPr="00C52B21">
          <w:rPr>
            <w:rStyle w:val="Hyperlink"/>
            <w:rFonts w:ascii="Proxima Nova" w:hAnsi="Proxima Nova" w:cs="Calibri"/>
            <w:sz w:val="22"/>
            <w:szCs w:val="22"/>
          </w:rPr>
          <w:t>Women With Disabilities Australia (WWDA)</w:t>
        </w:r>
      </w:hyperlink>
      <w:r w:rsidR="0036184D" w:rsidRPr="00C52B21">
        <w:rPr>
          <w:rFonts w:ascii="Proxima Nova" w:hAnsi="Proxima Nova" w:cs="Calibri"/>
          <w:sz w:val="22"/>
          <w:szCs w:val="22"/>
        </w:rPr>
        <w:t xml:space="preserve"> </w:t>
      </w:r>
      <w:r w:rsidR="0036184D" w:rsidRPr="00C52B21">
        <w:rPr>
          <w:rFonts w:ascii="Proxima Nova" w:hAnsi="Proxima Nova" w:cs="Arial"/>
          <w:sz w:val="22"/>
          <w:szCs w:val="22"/>
        </w:rPr>
        <w:t xml:space="preserve">is the national </w:t>
      </w:r>
      <w:r w:rsidR="00FD01BF" w:rsidRPr="00C52B21">
        <w:rPr>
          <w:rFonts w:ascii="Proxima Nova" w:hAnsi="Proxima Nova" w:cs="Arial"/>
          <w:sz w:val="22"/>
          <w:szCs w:val="22"/>
        </w:rPr>
        <w:t>Disabled People’s Organisation (DPO)</w:t>
      </w:r>
      <w:r w:rsidR="0036184D" w:rsidRPr="00C52B21">
        <w:rPr>
          <w:rFonts w:ascii="Proxima Nova" w:hAnsi="Proxima Nova" w:cs="Arial"/>
          <w:sz w:val="22"/>
          <w:szCs w:val="22"/>
        </w:rPr>
        <w:t xml:space="preserve"> for women, girls, feminine identifying and non-binary people with disability in Australia. As an </w:t>
      </w:r>
      <w:r w:rsidR="00FD01BF" w:rsidRPr="00C52B21">
        <w:rPr>
          <w:rFonts w:ascii="Proxima Nova" w:hAnsi="Proxima Nova" w:cs="Arial"/>
          <w:sz w:val="22"/>
          <w:szCs w:val="22"/>
        </w:rPr>
        <w:t>DPO</w:t>
      </w:r>
      <w:r w:rsidR="0036184D" w:rsidRPr="00C52B21">
        <w:rPr>
          <w:rFonts w:ascii="Proxima Nova" w:hAnsi="Proxima Nova" w:cs="Arial"/>
          <w:sz w:val="22"/>
          <w:szCs w:val="22"/>
        </w:rPr>
        <w:t>, WWDA is run by and for women, girls, feminine identifying and non-binary people with disability.</w:t>
      </w:r>
    </w:p>
    <w:p w14:paraId="497B024C" w14:textId="77777777" w:rsidR="0036184D" w:rsidRPr="00C52B21" w:rsidRDefault="0036184D" w:rsidP="00C52B21">
      <w:pPr>
        <w:spacing w:line="276" w:lineRule="auto"/>
        <w:rPr>
          <w:rFonts w:ascii="Proxima Nova" w:hAnsi="Proxima Nova" w:cs="Arial"/>
          <w:sz w:val="22"/>
          <w:szCs w:val="22"/>
        </w:rPr>
      </w:pPr>
    </w:p>
    <w:p w14:paraId="0F13F1C2" w14:textId="77777777" w:rsidR="0036184D" w:rsidRPr="00C52B21" w:rsidRDefault="0036184D" w:rsidP="00C52B21">
      <w:pPr>
        <w:spacing w:line="276" w:lineRule="auto"/>
        <w:rPr>
          <w:rFonts w:ascii="Proxima Nova" w:hAnsi="Proxima Nova" w:cs="Arial"/>
          <w:sz w:val="22"/>
          <w:szCs w:val="22"/>
        </w:rPr>
      </w:pPr>
      <w:r w:rsidRPr="00C52B21">
        <w:rPr>
          <w:rFonts w:ascii="Proxima Nova" w:hAnsi="Proxima Nova" w:cs="Arial"/>
          <w:sz w:val="22"/>
          <w:szCs w:val="22"/>
        </w:rPr>
        <w:t>WWDA uses the term ‘women and girls with disability’, on the understanding that this term is inclusive and supportive of, women and girls with disability along with feminine identifying and non-binary people with disability in Australia.</w:t>
      </w:r>
    </w:p>
    <w:p w14:paraId="0B2E5248" w14:textId="77777777" w:rsidR="0036184D" w:rsidRPr="00C52B21" w:rsidRDefault="0036184D" w:rsidP="00C52B21">
      <w:pPr>
        <w:spacing w:line="276" w:lineRule="auto"/>
        <w:rPr>
          <w:rFonts w:ascii="Proxima Nova" w:hAnsi="Proxima Nova" w:cs="Arial"/>
          <w:sz w:val="22"/>
          <w:szCs w:val="22"/>
        </w:rPr>
      </w:pPr>
    </w:p>
    <w:p w14:paraId="0B174D7B" w14:textId="77777777" w:rsidR="0036184D" w:rsidRPr="00C52B21" w:rsidRDefault="0036184D" w:rsidP="00C52B21">
      <w:pPr>
        <w:spacing w:line="276" w:lineRule="auto"/>
        <w:rPr>
          <w:rFonts w:ascii="Proxima Nova" w:hAnsi="Proxima Nova" w:cs="Arial"/>
          <w:sz w:val="22"/>
          <w:szCs w:val="22"/>
        </w:rPr>
      </w:pPr>
      <w:r w:rsidRPr="00C52B21">
        <w:rPr>
          <w:rFonts w:ascii="Proxima Nova" w:hAnsi="Proxima Nova" w:cs="Arial"/>
          <w:sz w:val="22"/>
          <w:szCs w:val="22"/>
        </w:rPr>
        <w:t xml:space="preserve">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social and cultural rights. </w:t>
      </w:r>
    </w:p>
    <w:p w14:paraId="18041970" w14:textId="77777777" w:rsidR="0036184D" w:rsidRPr="00C52B21" w:rsidRDefault="0036184D" w:rsidP="00C52B21">
      <w:pPr>
        <w:spacing w:line="276" w:lineRule="auto"/>
        <w:rPr>
          <w:rFonts w:ascii="Proxima Nova" w:hAnsi="Proxima Nova" w:cs="Arial"/>
          <w:sz w:val="22"/>
          <w:szCs w:val="22"/>
        </w:rPr>
      </w:pPr>
    </w:p>
    <w:p w14:paraId="7050A88A" w14:textId="3D7F1E29" w:rsidR="0036184D" w:rsidRPr="00C52B21" w:rsidRDefault="00FD01BF" w:rsidP="00C52B21">
      <w:pPr>
        <w:spacing w:line="276" w:lineRule="auto"/>
        <w:rPr>
          <w:rFonts w:ascii="Proxima Nova" w:hAnsi="Proxima Nova" w:cs="Calibri"/>
          <w:sz w:val="22"/>
          <w:szCs w:val="22"/>
        </w:rPr>
      </w:pPr>
      <w:r w:rsidRPr="00C52B21">
        <w:rPr>
          <w:rFonts w:ascii="Proxima Nova" w:hAnsi="Proxima Nova" w:cs="Arial"/>
          <w:sz w:val="22"/>
          <w:szCs w:val="22"/>
        </w:rPr>
        <w:t>Disabled People’s Organisation</w:t>
      </w:r>
      <w:r w:rsidRPr="00C52B21">
        <w:rPr>
          <w:rFonts w:ascii="Proxima Nova" w:hAnsi="Proxima Nova" w:cs="Arial"/>
          <w:sz w:val="22"/>
          <w:szCs w:val="22"/>
        </w:rPr>
        <w:t>s (DPOs)</w:t>
      </w:r>
      <w:r w:rsidRPr="00C52B21">
        <w:rPr>
          <w:rFonts w:ascii="Proxima Nova" w:hAnsi="Proxima Nova" w:cs="Arial"/>
          <w:sz w:val="22"/>
          <w:szCs w:val="22"/>
        </w:rPr>
        <w:t xml:space="preserve"> </w:t>
      </w:r>
      <w:r w:rsidR="0036184D" w:rsidRPr="00C52B21">
        <w:rPr>
          <w:rFonts w:ascii="Proxima Nova" w:hAnsi="Proxima Nova" w:cs="Arial"/>
          <w:sz w:val="22"/>
          <w:szCs w:val="22"/>
        </w:rPr>
        <w:t xml:space="preserve">are recognised around the world, and in international human rights law, as self-determining organisations led by, controlled by, and constituted of, people with disability. </w:t>
      </w:r>
      <w:r w:rsidRPr="00C52B21">
        <w:rPr>
          <w:rFonts w:ascii="Proxima Nova" w:hAnsi="Proxima Nova" w:cs="Arial"/>
          <w:sz w:val="22"/>
          <w:szCs w:val="22"/>
        </w:rPr>
        <w:t>DPOs</w:t>
      </w:r>
      <w:r w:rsidR="0036184D" w:rsidRPr="00C52B21">
        <w:rPr>
          <w:rFonts w:ascii="Proxima Nova" w:hAnsi="Proxima Nova" w:cs="Arial"/>
          <w:sz w:val="22"/>
          <w:szCs w:val="22"/>
        </w:rPr>
        <w:t xml:space="preserve"> are organisations of people with disability, as opposed to organisations which may represent people with disability. </w:t>
      </w:r>
      <w:r w:rsidR="0036184D" w:rsidRPr="00C52B21">
        <w:rPr>
          <w:rFonts w:ascii="Proxima Nova" w:hAnsi="Proxima Nova" w:cs="Calibri"/>
          <w:sz w:val="22"/>
          <w:szCs w:val="22"/>
        </w:rPr>
        <w:t xml:space="preserve">The United Nations Committee on the Rights of Persons with Disabilities has clarified that States should give priority to the views of </w:t>
      </w:r>
      <w:r w:rsidRPr="00C52B21">
        <w:rPr>
          <w:rFonts w:ascii="Proxima Nova" w:hAnsi="Proxima Nova" w:cs="Calibri"/>
          <w:sz w:val="22"/>
          <w:szCs w:val="22"/>
        </w:rPr>
        <w:t>DPO</w:t>
      </w:r>
      <w:r w:rsidR="0036184D" w:rsidRPr="00C52B21">
        <w:rPr>
          <w:rFonts w:ascii="Proxima Nova" w:hAnsi="Proxima Nova" w:cs="Calibri"/>
          <w:sz w:val="22"/>
          <w:szCs w:val="22"/>
        </w:rPr>
        <w:t>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r w:rsidR="0036184D" w:rsidRPr="00C52B21">
        <w:rPr>
          <w:rStyle w:val="EndnoteReference"/>
          <w:rFonts w:ascii="Proxima Nova" w:hAnsi="Proxima Nova" w:cs="Calibri"/>
          <w:sz w:val="22"/>
          <w:szCs w:val="22"/>
        </w:rPr>
        <w:endnoteReference w:id="1"/>
      </w:r>
    </w:p>
    <w:p w14:paraId="615EA194" w14:textId="77777777" w:rsidR="0036184D" w:rsidRPr="00C52B21" w:rsidRDefault="0036184D" w:rsidP="00C52B21">
      <w:pPr>
        <w:spacing w:line="276" w:lineRule="auto"/>
        <w:rPr>
          <w:rFonts w:ascii="Proxima Nova" w:hAnsi="Proxima Nova" w:cs="Arial"/>
          <w:sz w:val="22"/>
          <w:szCs w:val="22"/>
        </w:rPr>
      </w:pPr>
    </w:p>
    <w:p w14:paraId="7A96557D" w14:textId="73C79BC4" w:rsidR="00D7106F" w:rsidRDefault="00D7106F" w:rsidP="00C52B21">
      <w:pPr>
        <w:spacing w:line="276" w:lineRule="auto"/>
        <w:rPr>
          <w:rFonts w:ascii="Proxima Nova" w:hAnsi="Proxima Nova" w:cs="Calibri"/>
          <w:sz w:val="22"/>
          <w:szCs w:val="22"/>
        </w:rPr>
      </w:pPr>
    </w:p>
    <w:p w14:paraId="3462A3D7" w14:textId="02DA20E0" w:rsidR="000B2FCE" w:rsidRPr="00055BB7" w:rsidRDefault="000B2FCE" w:rsidP="000B2FCE">
      <w:pPr>
        <w:pStyle w:val="Heading2"/>
        <w:jc w:val="left"/>
        <w:rPr>
          <w:rFonts w:ascii="League Spartan" w:hAnsi="League Spartan" w:cs="Calibri"/>
          <w:b w:val="0"/>
          <w:bCs/>
          <w:color w:val="004479"/>
        </w:rPr>
      </w:pPr>
      <w:r w:rsidRPr="00055BB7">
        <w:rPr>
          <w:rFonts w:ascii="League Spartan" w:hAnsi="League Spartan" w:cs="Calibri"/>
          <w:b w:val="0"/>
          <w:bCs/>
          <w:color w:val="004479"/>
        </w:rPr>
        <w:t xml:space="preserve">ABOUT </w:t>
      </w:r>
      <w:r>
        <w:rPr>
          <w:rFonts w:ascii="League Spartan" w:hAnsi="League Spartan" w:cs="Calibri"/>
          <w:b w:val="0"/>
          <w:bCs/>
          <w:color w:val="004479"/>
        </w:rPr>
        <w:t>THE UNIVERSITY OF TECHNOLOGY SYDNEY (UTS) FACULTY OF LAW</w:t>
      </w:r>
    </w:p>
    <w:p w14:paraId="4BAFA1BF" w14:textId="2BDCEA63" w:rsidR="000B2FCE" w:rsidRDefault="000B2FCE" w:rsidP="00C52B21">
      <w:pPr>
        <w:spacing w:line="276" w:lineRule="auto"/>
        <w:rPr>
          <w:rFonts w:ascii="Proxima Nova" w:hAnsi="Proxima Nova" w:cs="Calibri"/>
          <w:sz w:val="22"/>
          <w:szCs w:val="22"/>
        </w:rPr>
      </w:pPr>
    </w:p>
    <w:p w14:paraId="1292CB2E" w14:textId="77777777" w:rsidR="000B2FCE" w:rsidRPr="000B2FCE" w:rsidRDefault="000B2FCE" w:rsidP="000B2FCE">
      <w:pPr>
        <w:spacing w:line="276" w:lineRule="auto"/>
        <w:rPr>
          <w:rFonts w:ascii="Proxima Nova" w:hAnsi="Proxima Nova" w:cs="Calibri"/>
          <w:sz w:val="22"/>
          <w:szCs w:val="22"/>
        </w:rPr>
      </w:pPr>
      <w:r w:rsidRPr="000B2FCE">
        <w:rPr>
          <w:rFonts w:ascii="Proxima Nova" w:hAnsi="Proxima Nova" w:cs="Calibri"/>
          <w:sz w:val="22"/>
          <w:szCs w:val="22"/>
        </w:rPr>
        <w:t>The UTS Faculty of Law is a dynamic and innovative law school. Since its commencement in 1977 it has achieved great success for the quality of its legal education and its commitment to practice-oriented learning. In more recent years it has built a strong reputation for research excellence, engagement, and researcher development.</w:t>
      </w:r>
    </w:p>
    <w:p w14:paraId="248953AB" w14:textId="77777777" w:rsidR="000B2FCE" w:rsidRPr="000B2FCE" w:rsidRDefault="000B2FCE" w:rsidP="000B2FCE">
      <w:pPr>
        <w:spacing w:line="276" w:lineRule="auto"/>
        <w:rPr>
          <w:rFonts w:ascii="Proxima Nova" w:hAnsi="Proxima Nova" w:cs="Calibri"/>
          <w:sz w:val="22"/>
          <w:szCs w:val="22"/>
        </w:rPr>
      </w:pPr>
    </w:p>
    <w:p w14:paraId="5A86B602" w14:textId="68DA6245" w:rsidR="000B2FCE" w:rsidRPr="000B2FCE" w:rsidRDefault="000B2FCE" w:rsidP="000B2FCE">
      <w:pPr>
        <w:spacing w:line="276" w:lineRule="auto"/>
        <w:rPr>
          <w:rFonts w:ascii="Proxima Nova" w:hAnsi="Proxima Nova" w:cs="Calibri"/>
          <w:sz w:val="22"/>
          <w:szCs w:val="22"/>
        </w:rPr>
      </w:pPr>
      <w:r w:rsidRPr="000B2FCE">
        <w:rPr>
          <w:rFonts w:ascii="Proxima Nova" w:hAnsi="Proxima Nova" w:cs="Calibri"/>
          <w:sz w:val="22"/>
          <w:szCs w:val="22"/>
        </w:rPr>
        <w:t>Dr Linda Steele (Senior Lecturer, Faculty of Law)</w:t>
      </w:r>
      <w:r>
        <w:rPr>
          <w:rFonts w:ascii="Proxima Nova" w:hAnsi="Proxima Nova" w:cs="Calibri"/>
          <w:sz w:val="22"/>
          <w:szCs w:val="22"/>
        </w:rPr>
        <w:t>, and co-author of this Submission,</w:t>
      </w:r>
      <w:r w:rsidRPr="000B2FCE">
        <w:rPr>
          <w:rFonts w:ascii="Proxima Nova" w:hAnsi="Proxima Nova" w:cs="Calibri"/>
          <w:sz w:val="22"/>
          <w:szCs w:val="22"/>
        </w:rPr>
        <w:t xml:space="preserve"> is a socio-legal researcher working at the intersections of disability, law and social justice. She has been researching disability law and social issues for over a decade, having previously been a solicitor with the Intellectual Disability Rights Service. Dr Steele teaches civil court procedure law and mental health and disability law. Dr Steele's research is focused on understanding law’s complex and contradictory relationship to violence, reflecting on what this means for how we engage with legal methods (such as litigation, law reform and human rights advocacy) to achieve social justice for disabled people. She has </w:t>
      </w:r>
      <w:proofErr w:type="gramStart"/>
      <w:r w:rsidRPr="000B2FCE">
        <w:rPr>
          <w:rFonts w:ascii="Proxima Nova" w:hAnsi="Proxima Nova" w:cs="Calibri"/>
          <w:sz w:val="22"/>
          <w:szCs w:val="22"/>
        </w:rPr>
        <w:t>particular expertise</w:t>
      </w:r>
      <w:proofErr w:type="gramEnd"/>
      <w:r w:rsidRPr="000B2FCE">
        <w:rPr>
          <w:rFonts w:ascii="Proxima Nova" w:hAnsi="Proxima Nova" w:cs="Calibri"/>
          <w:sz w:val="22"/>
          <w:szCs w:val="22"/>
        </w:rPr>
        <w:t xml:space="preserve"> in law’s role in enabling and redressing violence against disabled people, including in the contexts of reproduction and sexuality, criminal justice systems, disability residential settings, residential aged care, and segregated disability employment.</w:t>
      </w:r>
    </w:p>
    <w:p w14:paraId="240D358F" w14:textId="29CC7B61" w:rsidR="000B2FCE" w:rsidRDefault="000B2FCE" w:rsidP="00C52B21">
      <w:pPr>
        <w:spacing w:line="276" w:lineRule="auto"/>
        <w:rPr>
          <w:rFonts w:ascii="Proxima Nova" w:hAnsi="Proxima Nova" w:cs="Calibri"/>
          <w:sz w:val="22"/>
          <w:szCs w:val="22"/>
        </w:rPr>
      </w:pPr>
    </w:p>
    <w:p w14:paraId="114399FE" w14:textId="77777777" w:rsidR="007B5DE5" w:rsidRPr="00BD5E1A" w:rsidRDefault="007B5DE5" w:rsidP="00C92D1C">
      <w:pPr>
        <w:spacing w:line="276" w:lineRule="auto"/>
        <w:rPr>
          <w:rFonts w:ascii="Proxima Nova" w:hAnsi="Proxima Nova" w:cs="Calibri"/>
          <w:sz w:val="22"/>
          <w:szCs w:val="22"/>
        </w:rPr>
      </w:pPr>
      <w:r w:rsidRPr="00BD5E1A">
        <w:rPr>
          <w:rFonts w:ascii="Proxima Nova" w:hAnsi="Proxima Nova" w:cs="Calibri"/>
          <w:sz w:val="22"/>
          <w:szCs w:val="22"/>
        </w:rPr>
        <w:br w:type="page"/>
      </w:r>
    </w:p>
    <w:p w14:paraId="07397862" w14:textId="1A82D750" w:rsidR="00096DF1" w:rsidRDefault="00096DF1" w:rsidP="00C92D1C">
      <w:pPr>
        <w:rPr>
          <w:rFonts w:ascii="Proxima Nova" w:hAnsi="Proxima Nova"/>
          <w:sz w:val="20"/>
          <w:szCs w:val="20"/>
        </w:rPr>
      </w:pPr>
    </w:p>
    <w:p w14:paraId="61C5229A" w14:textId="77777777" w:rsidR="00D92484" w:rsidRPr="00774298" w:rsidRDefault="00D92484" w:rsidP="00D92484">
      <w:pPr>
        <w:rPr>
          <w:rFonts w:ascii="League Spartan" w:hAnsi="League Spartan"/>
          <w:b/>
          <w:color w:val="004479"/>
          <w:sz w:val="32"/>
          <w:szCs w:val="32"/>
        </w:rPr>
      </w:pPr>
      <w:r>
        <w:rPr>
          <w:rFonts w:ascii="League Spartan" w:hAnsi="League Spartan"/>
          <w:color w:val="004479"/>
          <w:sz w:val="32"/>
          <w:szCs w:val="32"/>
        </w:rPr>
        <w:t>CONTENTS</w:t>
      </w:r>
    </w:p>
    <w:p w14:paraId="62CD4C21" w14:textId="77777777" w:rsidR="00D92484" w:rsidRPr="006F42C3" w:rsidRDefault="00D92484" w:rsidP="00D92484">
      <w:pPr>
        <w:spacing w:line="276" w:lineRule="auto"/>
        <w:rPr>
          <w:rFonts w:ascii="Proxima Nova" w:hAnsi="Proxima Nova" w:cs="Calibri"/>
          <w:sz w:val="20"/>
          <w:szCs w:val="20"/>
        </w:rPr>
      </w:pPr>
    </w:p>
    <w:p w14:paraId="3BF7A21B" w14:textId="77777777" w:rsidR="000D2D46" w:rsidRPr="006F42C3" w:rsidRDefault="000D2D46" w:rsidP="000D2D46">
      <w:pPr>
        <w:rPr>
          <w:rFonts w:ascii="Proxima Nova" w:hAnsi="Proxima Nova"/>
          <w:sz w:val="20"/>
          <w:szCs w:val="20"/>
        </w:rPr>
      </w:pPr>
    </w:p>
    <w:p w14:paraId="2612CA11" w14:textId="185C311A" w:rsidR="000D2D46" w:rsidRPr="006F42C3" w:rsidRDefault="000D2D46" w:rsidP="000D2D46">
      <w:pPr>
        <w:tabs>
          <w:tab w:val="left" w:pos="860"/>
          <w:tab w:val="right" w:pos="1134"/>
          <w:tab w:val="right" w:leader="dot" w:pos="9040"/>
          <w:tab w:val="left" w:pos="9639"/>
        </w:tabs>
        <w:jc w:val="both"/>
        <w:rPr>
          <w:rFonts w:ascii="Proxima Nova" w:hAnsi="Proxima Nova" w:cs="Segoe UI"/>
          <w:sz w:val="20"/>
          <w:szCs w:val="20"/>
        </w:rPr>
      </w:pPr>
      <w:r w:rsidRPr="0076136D">
        <w:rPr>
          <w:rFonts w:ascii="Proxima Nova" w:hAnsi="Proxima Nova" w:cs="Segoe UI"/>
          <w:b/>
          <w:bCs/>
          <w:sz w:val="20"/>
          <w:szCs w:val="20"/>
        </w:rPr>
        <w:t>Publishing Information</w:t>
      </w:r>
      <w:r w:rsidRPr="006F42C3">
        <w:rPr>
          <w:rFonts w:ascii="Proxima Nova" w:hAnsi="Proxima Nova" w:cs="Segoe UI"/>
          <w:sz w:val="20"/>
          <w:szCs w:val="20"/>
        </w:rPr>
        <w:tab/>
      </w:r>
    </w:p>
    <w:p w14:paraId="39DEA300" w14:textId="77777777" w:rsidR="000D2D46" w:rsidRPr="006F42C3" w:rsidRDefault="000D2D46" w:rsidP="000D2D46">
      <w:pPr>
        <w:pStyle w:val="NoSpacing"/>
        <w:rPr>
          <w:rFonts w:ascii="Proxima Nova" w:hAnsi="Proxima Nova"/>
          <w:sz w:val="20"/>
          <w:szCs w:val="20"/>
        </w:rPr>
      </w:pPr>
    </w:p>
    <w:p w14:paraId="2D201303" w14:textId="23D48099" w:rsidR="000D2D46" w:rsidRPr="006F42C3" w:rsidRDefault="000D2D46" w:rsidP="000D2D46">
      <w:pPr>
        <w:tabs>
          <w:tab w:val="left" w:pos="860"/>
          <w:tab w:val="right" w:pos="1134"/>
          <w:tab w:val="right" w:leader="dot" w:pos="9040"/>
          <w:tab w:val="left" w:pos="9639"/>
        </w:tabs>
        <w:jc w:val="both"/>
        <w:rPr>
          <w:rFonts w:ascii="Proxima Nova" w:hAnsi="Proxima Nova" w:cs="Segoe UI"/>
          <w:sz w:val="20"/>
          <w:szCs w:val="20"/>
        </w:rPr>
      </w:pPr>
      <w:r w:rsidRPr="0076136D">
        <w:rPr>
          <w:rFonts w:ascii="Proxima Nova" w:hAnsi="Proxima Nova" w:cs="Segoe UI"/>
          <w:b/>
          <w:bCs/>
          <w:sz w:val="20"/>
          <w:szCs w:val="20"/>
        </w:rPr>
        <w:t>About Women With Disabilities Australia (WWDA)</w:t>
      </w:r>
      <w:r w:rsidRPr="006F42C3">
        <w:rPr>
          <w:rFonts w:ascii="Proxima Nova" w:hAnsi="Proxima Nova" w:cs="Segoe UI"/>
          <w:sz w:val="20"/>
          <w:szCs w:val="20"/>
        </w:rPr>
        <w:t>………………………….</w:t>
      </w:r>
      <w:r w:rsidRPr="006F42C3">
        <w:rPr>
          <w:rFonts w:ascii="Proxima Nova" w:hAnsi="Proxima Nova" w:cs="Segoe UI"/>
          <w:sz w:val="20"/>
          <w:szCs w:val="20"/>
        </w:rPr>
        <w:tab/>
      </w:r>
    </w:p>
    <w:p w14:paraId="0ED80A03" w14:textId="77777777" w:rsidR="000D2D46" w:rsidRPr="006F42C3" w:rsidRDefault="000D2D46" w:rsidP="000D2D46">
      <w:pPr>
        <w:pStyle w:val="NoSpacing"/>
        <w:rPr>
          <w:rFonts w:ascii="Proxima Nova" w:hAnsi="Proxima Nova"/>
          <w:sz w:val="20"/>
          <w:szCs w:val="20"/>
        </w:rPr>
      </w:pPr>
    </w:p>
    <w:p w14:paraId="1104D515" w14:textId="2A56325E" w:rsidR="000D2D46" w:rsidRPr="006F42C3" w:rsidRDefault="000D2D46" w:rsidP="000D2D46">
      <w:pPr>
        <w:tabs>
          <w:tab w:val="left" w:pos="860"/>
          <w:tab w:val="right" w:pos="1134"/>
          <w:tab w:val="right" w:leader="dot" w:pos="9040"/>
          <w:tab w:val="left" w:pos="9639"/>
        </w:tabs>
        <w:jc w:val="both"/>
        <w:rPr>
          <w:rFonts w:ascii="Proxima Nova" w:hAnsi="Proxima Nova" w:cs="Segoe UI"/>
          <w:sz w:val="20"/>
          <w:szCs w:val="20"/>
        </w:rPr>
      </w:pPr>
      <w:r w:rsidRPr="0076136D">
        <w:rPr>
          <w:rFonts w:ascii="Proxima Nova" w:hAnsi="Proxima Nova" w:cs="Segoe UI"/>
          <w:b/>
          <w:bCs/>
          <w:sz w:val="20"/>
          <w:szCs w:val="20"/>
        </w:rPr>
        <w:t>Acronyms</w:t>
      </w:r>
      <w:r w:rsidRPr="006F42C3">
        <w:rPr>
          <w:rFonts w:ascii="Proxima Nova" w:hAnsi="Proxima Nova" w:cs="Segoe UI"/>
          <w:sz w:val="20"/>
          <w:szCs w:val="20"/>
        </w:rPr>
        <w:t>………………………….</w:t>
      </w:r>
      <w:r w:rsidRPr="006F42C3">
        <w:rPr>
          <w:rFonts w:ascii="Proxima Nova" w:hAnsi="Proxima Nova" w:cs="Segoe UI"/>
          <w:sz w:val="20"/>
          <w:szCs w:val="20"/>
        </w:rPr>
        <w:tab/>
      </w:r>
    </w:p>
    <w:p w14:paraId="150E9FB4" w14:textId="77777777" w:rsidR="000D2D46" w:rsidRPr="006F42C3" w:rsidRDefault="000D2D46" w:rsidP="000D2D46">
      <w:pPr>
        <w:pStyle w:val="NoSpacing"/>
        <w:rPr>
          <w:rFonts w:ascii="Proxima Nova" w:hAnsi="Proxima Nova"/>
          <w:sz w:val="20"/>
          <w:szCs w:val="20"/>
        </w:rPr>
      </w:pPr>
    </w:p>
    <w:p w14:paraId="6D116C31" w14:textId="47D7103F" w:rsidR="000D2D46" w:rsidRPr="006F42C3" w:rsidRDefault="000D2D46" w:rsidP="000D2D46">
      <w:pPr>
        <w:tabs>
          <w:tab w:val="left" w:pos="860"/>
          <w:tab w:val="right" w:pos="1134"/>
          <w:tab w:val="right" w:leader="dot" w:pos="9040"/>
          <w:tab w:val="left" w:pos="9639"/>
        </w:tabs>
        <w:jc w:val="both"/>
        <w:rPr>
          <w:rFonts w:ascii="Proxima Nova" w:hAnsi="Proxima Nova" w:cs="Segoe UI"/>
          <w:sz w:val="20"/>
          <w:szCs w:val="20"/>
        </w:rPr>
      </w:pPr>
      <w:r w:rsidRPr="0076136D">
        <w:rPr>
          <w:rFonts w:ascii="Proxima Nova" w:hAnsi="Proxima Nova"/>
          <w:b/>
          <w:bCs/>
          <w:sz w:val="20"/>
          <w:szCs w:val="20"/>
        </w:rPr>
        <w:t xml:space="preserve">Purpose and structure of </w:t>
      </w:r>
      <w:r w:rsidR="00C877AF" w:rsidRPr="0076136D">
        <w:rPr>
          <w:rFonts w:ascii="Proxima Nova" w:hAnsi="Proxima Nova"/>
          <w:b/>
          <w:bCs/>
          <w:sz w:val="20"/>
          <w:szCs w:val="20"/>
        </w:rPr>
        <w:t>S</w:t>
      </w:r>
      <w:r w:rsidRPr="0076136D">
        <w:rPr>
          <w:rFonts w:ascii="Proxima Nova" w:hAnsi="Proxima Nova"/>
          <w:b/>
          <w:bCs/>
          <w:sz w:val="20"/>
          <w:szCs w:val="20"/>
        </w:rPr>
        <w:t>ubmission</w:t>
      </w:r>
      <w:r w:rsidRPr="006F42C3">
        <w:rPr>
          <w:rFonts w:ascii="Proxima Nova" w:hAnsi="Proxima Nova" w:cs="Segoe UI"/>
          <w:sz w:val="20"/>
          <w:szCs w:val="20"/>
        </w:rPr>
        <w:t>………………………….</w:t>
      </w:r>
      <w:r w:rsidRPr="006F42C3">
        <w:rPr>
          <w:rFonts w:ascii="Proxima Nova" w:hAnsi="Proxima Nova" w:cs="Segoe UI"/>
          <w:sz w:val="20"/>
          <w:szCs w:val="20"/>
        </w:rPr>
        <w:tab/>
      </w:r>
    </w:p>
    <w:p w14:paraId="16F888C7" w14:textId="77777777" w:rsidR="007F39FC" w:rsidRPr="006F42C3" w:rsidRDefault="007F39FC" w:rsidP="007F39FC">
      <w:pPr>
        <w:pStyle w:val="NoSpacing"/>
        <w:rPr>
          <w:rFonts w:ascii="Proxima Nova" w:hAnsi="Proxima Nova"/>
          <w:sz w:val="20"/>
          <w:szCs w:val="20"/>
        </w:rPr>
      </w:pPr>
    </w:p>
    <w:p w14:paraId="57A3E66D" w14:textId="350B4C8B" w:rsidR="007F39FC" w:rsidRPr="006F42C3" w:rsidRDefault="007F39FC" w:rsidP="007F39FC">
      <w:pPr>
        <w:tabs>
          <w:tab w:val="left" w:pos="860"/>
          <w:tab w:val="right" w:pos="1134"/>
          <w:tab w:val="right" w:leader="dot" w:pos="9040"/>
          <w:tab w:val="left" w:pos="9639"/>
        </w:tabs>
        <w:jc w:val="both"/>
        <w:rPr>
          <w:rFonts w:ascii="Proxima Nova" w:hAnsi="Proxima Nova" w:cs="Segoe UI"/>
          <w:sz w:val="20"/>
          <w:szCs w:val="20"/>
        </w:rPr>
      </w:pPr>
      <w:r>
        <w:rPr>
          <w:rFonts w:ascii="Proxima Nova" w:hAnsi="Proxima Nova"/>
          <w:b/>
          <w:bCs/>
          <w:sz w:val="20"/>
          <w:szCs w:val="20"/>
        </w:rPr>
        <w:t>Recommendations</w:t>
      </w:r>
      <w:r w:rsidRPr="006F42C3">
        <w:rPr>
          <w:rFonts w:ascii="Proxima Nova" w:hAnsi="Proxima Nova" w:cs="Segoe UI"/>
          <w:sz w:val="20"/>
          <w:szCs w:val="20"/>
        </w:rPr>
        <w:t>………………………….</w:t>
      </w:r>
      <w:r w:rsidRPr="006F42C3">
        <w:rPr>
          <w:rFonts w:ascii="Proxima Nova" w:hAnsi="Proxima Nova" w:cs="Segoe UI"/>
          <w:sz w:val="20"/>
          <w:szCs w:val="20"/>
        </w:rPr>
        <w:tab/>
      </w:r>
    </w:p>
    <w:p w14:paraId="45CBBCEA" w14:textId="77777777" w:rsidR="007F39FC" w:rsidRPr="006F42C3" w:rsidRDefault="007F39FC" w:rsidP="007F39FC">
      <w:pPr>
        <w:pStyle w:val="NoSpacing"/>
        <w:rPr>
          <w:rFonts w:ascii="Proxima Nova" w:hAnsi="Proxima Nova"/>
          <w:sz w:val="20"/>
          <w:szCs w:val="20"/>
        </w:rPr>
      </w:pPr>
    </w:p>
    <w:p w14:paraId="4683503E" w14:textId="20972166" w:rsidR="00C877AF" w:rsidRPr="006F42C3" w:rsidRDefault="00C877AF" w:rsidP="00C877AF">
      <w:pPr>
        <w:tabs>
          <w:tab w:val="left" w:pos="860"/>
          <w:tab w:val="right" w:pos="1134"/>
          <w:tab w:val="right" w:leader="dot" w:pos="9040"/>
          <w:tab w:val="left" w:pos="9639"/>
        </w:tabs>
        <w:jc w:val="both"/>
        <w:rPr>
          <w:rFonts w:ascii="Proxima Nova" w:hAnsi="Proxima Nova" w:cs="Segoe UI"/>
          <w:sz w:val="20"/>
          <w:szCs w:val="20"/>
        </w:rPr>
      </w:pPr>
      <w:r w:rsidRPr="0076136D">
        <w:rPr>
          <w:rFonts w:ascii="Proxima Nova" w:hAnsi="Proxima Nova"/>
          <w:b/>
          <w:bCs/>
          <w:sz w:val="20"/>
          <w:szCs w:val="20"/>
        </w:rPr>
        <w:t>Background to the Royal Commission and our Submission</w:t>
      </w:r>
      <w:r w:rsidRPr="00C877AF">
        <w:rPr>
          <w:rFonts w:ascii="Proxima Nova" w:hAnsi="Proxima Nova"/>
          <w:sz w:val="20"/>
          <w:szCs w:val="20"/>
        </w:rPr>
        <w:t xml:space="preserve"> </w:t>
      </w:r>
      <w:r w:rsidRPr="006F42C3">
        <w:rPr>
          <w:rFonts w:ascii="Proxima Nova" w:hAnsi="Proxima Nova" w:cs="Segoe UI"/>
          <w:sz w:val="20"/>
          <w:szCs w:val="20"/>
        </w:rPr>
        <w:t>………………………….</w:t>
      </w:r>
      <w:r w:rsidRPr="006F42C3">
        <w:rPr>
          <w:rFonts w:ascii="Proxima Nova" w:hAnsi="Proxima Nova" w:cs="Segoe UI"/>
          <w:sz w:val="20"/>
          <w:szCs w:val="20"/>
        </w:rPr>
        <w:tab/>
      </w:r>
    </w:p>
    <w:p w14:paraId="6298349E" w14:textId="77777777" w:rsidR="00A17443" w:rsidRPr="006F42C3" w:rsidRDefault="00A17443" w:rsidP="00A17443">
      <w:pPr>
        <w:tabs>
          <w:tab w:val="left" w:pos="860"/>
          <w:tab w:val="right" w:pos="1134"/>
          <w:tab w:val="right" w:leader="dot" w:pos="9040"/>
          <w:tab w:val="left" w:pos="9639"/>
        </w:tabs>
        <w:ind w:left="720"/>
        <w:jc w:val="both"/>
        <w:rPr>
          <w:rFonts w:ascii="Proxima Nova" w:hAnsi="Proxima Nova" w:cs="Segoe UI"/>
          <w:sz w:val="20"/>
          <w:szCs w:val="20"/>
        </w:rPr>
      </w:pPr>
    </w:p>
    <w:p w14:paraId="042788B0" w14:textId="60E8F7BB" w:rsidR="00A17443" w:rsidRPr="006F42C3" w:rsidRDefault="00A17443" w:rsidP="00A17443">
      <w:pPr>
        <w:tabs>
          <w:tab w:val="left" w:pos="860"/>
          <w:tab w:val="right" w:pos="1134"/>
          <w:tab w:val="right" w:leader="dot" w:pos="9040"/>
          <w:tab w:val="left" w:pos="9639"/>
        </w:tabs>
        <w:ind w:left="720"/>
        <w:jc w:val="both"/>
        <w:rPr>
          <w:rFonts w:ascii="Proxima Nova" w:hAnsi="Proxima Nova" w:cs="Segoe UI"/>
          <w:sz w:val="20"/>
          <w:szCs w:val="20"/>
        </w:rPr>
      </w:pPr>
      <w:r w:rsidRPr="00B62E34">
        <w:rPr>
          <w:rFonts w:ascii="Proxima Nova" w:hAnsi="Proxima Nova"/>
          <w:sz w:val="20"/>
          <w:szCs w:val="20"/>
        </w:rPr>
        <w:t>The Failures of Past Inquiries into Restrictive Practices</w:t>
      </w:r>
      <w:r w:rsidRPr="006F42C3">
        <w:rPr>
          <w:rFonts w:ascii="Proxima Nova" w:hAnsi="Proxima Nova" w:cs="Segoe UI"/>
          <w:sz w:val="20"/>
          <w:szCs w:val="20"/>
        </w:rPr>
        <w:tab/>
      </w:r>
    </w:p>
    <w:p w14:paraId="7BB38201" w14:textId="77777777" w:rsidR="00A17443" w:rsidRPr="006F42C3" w:rsidRDefault="00A17443" w:rsidP="00A17443">
      <w:pPr>
        <w:tabs>
          <w:tab w:val="left" w:pos="860"/>
          <w:tab w:val="right" w:pos="1134"/>
          <w:tab w:val="right" w:leader="dot" w:pos="9040"/>
          <w:tab w:val="left" w:pos="9639"/>
        </w:tabs>
        <w:ind w:left="720"/>
        <w:jc w:val="both"/>
        <w:rPr>
          <w:rFonts w:ascii="Proxima Nova" w:hAnsi="Proxima Nova" w:cs="Segoe UI"/>
          <w:sz w:val="20"/>
          <w:szCs w:val="20"/>
        </w:rPr>
      </w:pPr>
    </w:p>
    <w:p w14:paraId="308F57CD" w14:textId="6474AB2E" w:rsidR="00A17443" w:rsidRPr="006F42C3" w:rsidRDefault="00A17443" w:rsidP="00A17443">
      <w:pPr>
        <w:tabs>
          <w:tab w:val="left" w:pos="860"/>
          <w:tab w:val="right" w:pos="1134"/>
          <w:tab w:val="right" w:leader="dot" w:pos="9040"/>
          <w:tab w:val="left" w:pos="9639"/>
        </w:tabs>
        <w:ind w:left="720"/>
        <w:jc w:val="both"/>
        <w:rPr>
          <w:rFonts w:ascii="Proxima Nova" w:hAnsi="Proxima Nova" w:cs="Segoe UI"/>
          <w:sz w:val="20"/>
          <w:szCs w:val="20"/>
        </w:rPr>
      </w:pPr>
      <w:r w:rsidRPr="00082E92">
        <w:rPr>
          <w:rFonts w:ascii="Proxima Nova" w:hAnsi="Proxima Nova"/>
          <w:sz w:val="20"/>
          <w:szCs w:val="20"/>
        </w:rPr>
        <w:t>The Royal Commission</w:t>
      </w:r>
      <w:r w:rsidRPr="006F42C3">
        <w:rPr>
          <w:rFonts w:ascii="Proxima Nova" w:hAnsi="Proxima Nova" w:cs="Segoe UI"/>
          <w:sz w:val="20"/>
          <w:szCs w:val="20"/>
        </w:rPr>
        <w:tab/>
      </w:r>
    </w:p>
    <w:p w14:paraId="06281BA2" w14:textId="77777777" w:rsidR="00A17443" w:rsidRPr="006F42C3" w:rsidRDefault="00A17443" w:rsidP="00A17443">
      <w:pPr>
        <w:tabs>
          <w:tab w:val="left" w:pos="860"/>
          <w:tab w:val="right" w:pos="1134"/>
          <w:tab w:val="right" w:leader="dot" w:pos="9040"/>
          <w:tab w:val="left" w:pos="9639"/>
        </w:tabs>
        <w:ind w:left="720"/>
        <w:jc w:val="both"/>
        <w:rPr>
          <w:rFonts w:ascii="Proxima Nova" w:hAnsi="Proxima Nova" w:cs="Segoe UI"/>
          <w:sz w:val="20"/>
          <w:szCs w:val="20"/>
        </w:rPr>
      </w:pPr>
    </w:p>
    <w:p w14:paraId="4BB8C641" w14:textId="6AD7F347" w:rsidR="00A17443" w:rsidRPr="006F42C3" w:rsidRDefault="00A17443" w:rsidP="00A17443">
      <w:pPr>
        <w:tabs>
          <w:tab w:val="left" w:pos="860"/>
          <w:tab w:val="right" w:pos="1134"/>
          <w:tab w:val="right" w:leader="dot" w:pos="9040"/>
          <w:tab w:val="left" w:pos="9639"/>
        </w:tabs>
        <w:ind w:left="720"/>
        <w:jc w:val="both"/>
        <w:rPr>
          <w:rFonts w:ascii="Proxima Nova" w:hAnsi="Proxima Nova" w:cs="Segoe UI"/>
          <w:sz w:val="20"/>
          <w:szCs w:val="20"/>
        </w:rPr>
      </w:pPr>
      <w:r w:rsidRPr="00082E92">
        <w:rPr>
          <w:rFonts w:ascii="Proxima Nova" w:hAnsi="Proxima Nova"/>
          <w:sz w:val="20"/>
          <w:szCs w:val="20"/>
        </w:rPr>
        <w:t>Dearth of Empirical Data, Research and Studies on Restrictive Practices</w:t>
      </w:r>
      <w:r w:rsidRPr="006F42C3">
        <w:rPr>
          <w:rFonts w:ascii="Proxima Nova" w:hAnsi="Proxima Nova" w:cs="Segoe UI"/>
          <w:sz w:val="20"/>
          <w:szCs w:val="20"/>
        </w:rPr>
        <w:tab/>
      </w:r>
    </w:p>
    <w:p w14:paraId="76EDF82E" w14:textId="77777777" w:rsidR="009E3751" w:rsidRPr="006F42C3" w:rsidRDefault="009E3751" w:rsidP="009E3751">
      <w:pPr>
        <w:pStyle w:val="NoSpacing"/>
        <w:rPr>
          <w:rFonts w:ascii="Proxima Nova" w:hAnsi="Proxima Nova"/>
          <w:sz w:val="20"/>
          <w:szCs w:val="20"/>
        </w:rPr>
      </w:pPr>
    </w:p>
    <w:p w14:paraId="2256F4D3" w14:textId="7DAC0388" w:rsidR="009E3751" w:rsidRPr="006F42C3" w:rsidRDefault="009E3751" w:rsidP="009E3751">
      <w:pPr>
        <w:tabs>
          <w:tab w:val="left" w:pos="860"/>
          <w:tab w:val="right" w:pos="1134"/>
          <w:tab w:val="right" w:leader="dot" w:pos="9040"/>
          <w:tab w:val="left" w:pos="9639"/>
        </w:tabs>
        <w:jc w:val="both"/>
        <w:rPr>
          <w:rFonts w:ascii="Proxima Nova" w:hAnsi="Proxima Nova" w:cs="Segoe UI"/>
          <w:sz w:val="20"/>
          <w:szCs w:val="20"/>
        </w:rPr>
      </w:pPr>
      <w:r w:rsidRPr="0076136D">
        <w:rPr>
          <w:rFonts w:ascii="Proxima Nova" w:hAnsi="Proxima Nova"/>
          <w:b/>
          <w:bCs/>
          <w:sz w:val="20"/>
          <w:szCs w:val="20"/>
        </w:rPr>
        <w:t>Moving Forward: Key areas of action for the Royal Commission’s work on restrictive practices</w:t>
      </w:r>
      <w:r w:rsidR="003D7488">
        <w:rPr>
          <w:rFonts w:ascii="Proxima Nova" w:hAnsi="Proxima Nova" w:cs="Segoe UI"/>
          <w:sz w:val="20"/>
          <w:szCs w:val="20"/>
        </w:rPr>
        <w:tab/>
      </w:r>
    </w:p>
    <w:p w14:paraId="7CFAFCB8" w14:textId="77777777" w:rsidR="009E3751" w:rsidRPr="006F42C3" w:rsidRDefault="009E3751" w:rsidP="009E3751">
      <w:pPr>
        <w:pStyle w:val="NoSpacing"/>
        <w:rPr>
          <w:rFonts w:ascii="Proxima Nova" w:hAnsi="Proxima Nova"/>
          <w:sz w:val="20"/>
          <w:szCs w:val="20"/>
        </w:rPr>
      </w:pPr>
    </w:p>
    <w:p w14:paraId="40893020" w14:textId="10D98DE0" w:rsidR="009E3751" w:rsidRPr="006F42C3" w:rsidRDefault="009E3751" w:rsidP="009E3751">
      <w:pPr>
        <w:tabs>
          <w:tab w:val="left" w:pos="860"/>
          <w:tab w:val="right" w:pos="1134"/>
          <w:tab w:val="right" w:leader="dot" w:pos="9040"/>
          <w:tab w:val="left" w:pos="9639"/>
        </w:tabs>
        <w:ind w:left="720"/>
        <w:jc w:val="both"/>
        <w:rPr>
          <w:rFonts w:ascii="Proxima Nova" w:hAnsi="Proxima Nova" w:cs="Segoe UI"/>
          <w:sz w:val="20"/>
          <w:szCs w:val="20"/>
        </w:rPr>
      </w:pPr>
      <w:r w:rsidRPr="00A17443">
        <w:rPr>
          <w:rFonts w:ascii="Proxima Nova" w:hAnsi="Proxima Nova"/>
          <w:sz w:val="20"/>
          <w:szCs w:val="20"/>
        </w:rPr>
        <w:t>Centring Experiences and Perspectives of Women and Girls with Disability</w:t>
      </w:r>
      <w:r w:rsidRPr="006F42C3">
        <w:rPr>
          <w:rFonts w:ascii="Proxima Nova" w:hAnsi="Proxima Nova" w:cs="Segoe UI"/>
          <w:sz w:val="20"/>
          <w:szCs w:val="20"/>
        </w:rPr>
        <w:tab/>
      </w:r>
    </w:p>
    <w:p w14:paraId="6A07FFE2" w14:textId="77777777" w:rsidR="009E3751" w:rsidRPr="006F42C3" w:rsidRDefault="009E3751" w:rsidP="009E3751">
      <w:pPr>
        <w:tabs>
          <w:tab w:val="left" w:pos="860"/>
          <w:tab w:val="right" w:pos="1134"/>
          <w:tab w:val="right" w:leader="dot" w:pos="9040"/>
          <w:tab w:val="left" w:pos="9639"/>
        </w:tabs>
        <w:ind w:left="720"/>
        <w:jc w:val="both"/>
        <w:rPr>
          <w:rFonts w:ascii="Proxima Nova" w:hAnsi="Proxima Nova" w:cs="Segoe UI"/>
          <w:sz w:val="20"/>
          <w:szCs w:val="20"/>
        </w:rPr>
      </w:pPr>
    </w:p>
    <w:p w14:paraId="4FF06D26" w14:textId="0524923C" w:rsidR="009E3751" w:rsidRPr="006F42C3" w:rsidRDefault="002B6222" w:rsidP="009E3751">
      <w:pPr>
        <w:tabs>
          <w:tab w:val="left" w:pos="860"/>
          <w:tab w:val="right" w:pos="1134"/>
          <w:tab w:val="right" w:leader="dot" w:pos="9040"/>
          <w:tab w:val="left" w:pos="9639"/>
        </w:tabs>
        <w:ind w:left="720"/>
        <w:jc w:val="both"/>
        <w:rPr>
          <w:rFonts w:ascii="Proxima Nova" w:hAnsi="Proxima Nova" w:cs="Segoe UI"/>
          <w:sz w:val="20"/>
          <w:szCs w:val="20"/>
        </w:rPr>
      </w:pPr>
      <w:r w:rsidRPr="002B6222">
        <w:rPr>
          <w:rFonts w:ascii="Proxima Nova" w:hAnsi="Proxima Nova"/>
          <w:sz w:val="20"/>
          <w:szCs w:val="20"/>
        </w:rPr>
        <w:t>Taking a Gender-Inclusive Approach to Restrictive Practices</w:t>
      </w:r>
      <w:r w:rsidR="009E3751" w:rsidRPr="006F42C3">
        <w:rPr>
          <w:rFonts w:ascii="Proxima Nova" w:hAnsi="Proxima Nova" w:cs="Segoe UI"/>
          <w:sz w:val="20"/>
          <w:szCs w:val="20"/>
        </w:rPr>
        <w:tab/>
      </w:r>
    </w:p>
    <w:p w14:paraId="559821CC" w14:textId="77777777" w:rsidR="009E3751" w:rsidRPr="006F42C3" w:rsidRDefault="009E3751" w:rsidP="009E3751">
      <w:pPr>
        <w:tabs>
          <w:tab w:val="left" w:pos="860"/>
          <w:tab w:val="right" w:pos="1134"/>
          <w:tab w:val="right" w:leader="dot" w:pos="9040"/>
          <w:tab w:val="left" w:pos="9639"/>
        </w:tabs>
        <w:ind w:left="720"/>
        <w:jc w:val="both"/>
        <w:rPr>
          <w:rFonts w:ascii="Proxima Nova" w:hAnsi="Proxima Nova" w:cs="Segoe UI"/>
          <w:sz w:val="20"/>
          <w:szCs w:val="20"/>
        </w:rPr>
      </w:pPr>
    </w:p>
    <w:p w14:paraId="48556487" w14:textId="4B10796F" w:rsidR="009E3751" w:rsidRPr="006F42C3" w:rsidRDefault="002B6222" w:rsidP="009E3751">
      <w:pPr>
        <w:tabs>
          <w:tab w:val="left" w:pos="860"/>
          <w:tab w:val="right" w:pos="1134"/>
          <w:tab w:val="right" w:leader="dot" w:pos="9040"/>
          <w:tab w:val="left" w:pos="9639"/>
        </w:tabs>
        <w:ind w:left="720"/>
        <w:jc w:val="both"/>
        <w:rPr>
          <w:rFonts w:ascii="Proxima Nova" w:hAnsi="Proxima Nova" w:cs="Segoe UI"/>
          <w:sz w:val="20"/>
          <w:szCs w:val="20"/>
        </w:rPr>
      </w:pPr>
      <w:r w:rsidRPr="002B6222">
        <w:rPr>
          <w:rFonts w:ascii="Proxima Nova" w:hAnsi="Proxima Nova"/>
          <w:sz w:val="20"/>
          <w:szCs w:val="20"/>
        </w:rPr>
        <w:t>An Unequivocal Approach to Restrictive Practices as Violence</w:t>
      </w:r>
      <w:r w:rsidR="009E3751" w:rsidRPr="006F42C3">
        <w:rPr>
          <w:rFonts w:ascii="Proxima Nova" w:hAnsi="Proxima Nova" w:cs="Segoe UI"/>
          <w:sz w:val="20"/>
          <w:szCs w:val="20"/>
        </w:rPr>
        <w:tab/>
      </w:r>
    </w:p>
    <w:p w14:paraId="68B0CC62" w14:textId="77777777" w:rsidR="002B6222" w:rsidRPr="006F42C3" w:rsidRDefault="002B6222" w:rsidP="002B6222">
      <w:pPr>
        <w:tabs>
          <w:tab w:val="left" w:pos="860"/>
          <w:tab w:val="right" w:pos="1134"/>
          <w:tab w:val="right" w:leader="dot" w:pos="9040"/>
          <w:tab w:val="left" w:pos="9639"/>
        </w:tabs>
        <w:ind w:left="720"/>
        <w:jc w:val="both"/>
        <w:rPr>
          <w:rFonts w:ascii="Proxima Nova" w:hAnsi="Proxima Nova" w:cs="Segoe UI"/>
          <w:sz w:val="20"/>
          <w:szCs w:val="20"/>
        </w:rPr>
      </w:pPr>
    </w:p>
    <w:p w14:paraId="619DCD27" w14:textId="520F6912" w:rsidR="002B6222" w:rsidRPr="006F42C3" w:rsidRDefault="002B6222" w:rsidP="002B6222">
      <w:pPr>
        <w:tabs>
          <w:tab w:val="left" w:pos="860"/>
          <w:tab w:val="right" w:pos="1134"/>
          <w:tab w:val="right" w:leader="dot" w:pos="9040"/>
          <w:tab w:val="left" w:pos="9639"/>
        </w:tabs>
        <w:ind w:left="720"/>
        <w:jc w:val="both"/>
        <w:rPr>
          <w:rFonts w:ascii="Proxima Nova" w:hAnsi="Proxima Nova" w:cs="Segoe UI"/>
          <w:sz w:val="20"/>
          <w:szCs w:val="20"/>
        </w:rPr>
      </w:pPr>
      <w:r w:rsidRPr="002B6222">
        <w:rPr>
          <w:rFonts w:ascii="Proxima Nova" w:hAnsi="Proxima Nova"/>
          <w:sz w:val="20"/>
          <w:szCs w:val="20"/>
        </w:rPr>
        <w:t>Situating Restrictive Practices in Structural Contexts</w:t>
      </w:r>
      <w:r w:rsidRPr="006F42C3">
        <w:rPr>
          <w:rFonts w:ascii="Proxima Nova" w:hAnsi="Proxima Nova" w:cs="Segoe UI"/>
          <w:sz w:val="20"/>
          <w:szCs w:val="20"/>
        </w:rPr>
        <w:tab/>
      </w:r>
    </w:p>
    <w:p w14:paraId="388880FF" w14:textId="77777777" w:rsidR="00F24A78" w:rsidRPr="006F42C3" w:rsidRDefault="00F24A78" w:rsidP="00F24A78">
      <w:pPr>
        <w:pStyle w:val="NoSpacing"/>
        <w:rPr>
          <w:rFonts w:ascii="Proxima Nova" w:hAnsi="Proxima Nova"/>
          <w:sz w:val="20"/>
          <w:szCs w:val="20"/>
        </w:rPr>
      </w:pPr>
    </w:p>
    <w:p w14:paraId="67C97C8B" w14:textId="343EB7E6" w:rsidR="00F24A78" w:rsidRPr="006F42C3" w:rsidRDefault="00F24A78" w:rsidP="00F24A78">
      <w:pPr>
        <w:tabs>
          <w:tab w:val="left" w:pos="860"/>
          <w:tab w:val="right" w:pos="1134"/>
          <w:tab w:val="right" w:leader="dot" w:pos="9040"/>
          <w:tab w:val="left" w:pos="9639"/>
        </w:tabs>
        <w:jc w:val="both"/>
        <w:rPr>
          <w:rFonts w:ascii="Proxima Nova" w:hAnsi="Proxima Nova" w:cs="Segoe UI"/>
          <w:sz w:val="20"/>
          <w:szCs w:val="20"/>
        </w:rPr>
      </w:pPr>
      <w:r w:rsidRPr="0076136D">
        <w:rPr>
          <w:rFonts w:ascii="Proxima Nova" w:hAnsi="Proxima Nova"/>
          <w:b/>
          <w:bCs/>
          <w:sz w:val="20"/>
          <w:szCs w:val="20"/>
        </w:rPr>
        <w:t>A Gender-inclusive definition of Restrictive Practices</w:t>
      </w:r>
      <w:r w:rsidRPr="00C877AF">
        <w:rPr>
          <w:rFonts w:ascii="Proxima Nova" w:hAnsi="Proxima Nova"/>
          <w:sz w:val="20"/>
          <w:szCs w:val="20"/>
        </w:rPr>
        <w:t xml:space="preserve"> </w:t>
      </w:r>
      <w:r w:rsidRPr="006F42C3">
        <w:rPr>
          <w:rFonts w:ascii="Proxima Nova" w:hAnsi="Proxima Nova" w:cs="Segoe UI"/>
          <w:sz w:val="20"/>
          <w:szCs w:val="20"/>
        </w:rPr>
        <w:t>………………………….</w:t>
      </w:r>
      <w:r w:rsidRPr="006F42C3">
        <w:rPr>
          <w:rFonts w:ascii="Proxima Nova" w:hAnsi="Proxima Nova" w:cs="Segoe UI"/>
          <w:sz w:val="20"/>
          <w:szCs w:val="20"/>
        </w:rPr>
        <w:tab/>
      </w:r>
    </w:p>
    <w:p w14:paraId="1944CD60" w14:textId="77777777" w:rsidR="0086628C" w:rsidRPr="006F42C3" w:rsidRDefault="0086628C" w:rsidP="0086628C">
      <w:pPr>
        <w:pStyle w:val="NoSpacing"/>
        <w:rPr>
          <w:rFonts w:ascii="Proxima Nova" w:hAnsi="Proxima Nova"/>
          <w:sz w:val="20"/>
          <w:szCs w:val="20"/>
        </w:rPr>
      </w:pPr>
    </w:p>
    <w:p w14:paraId="7F878F0C" w14:textId="6521BCA8" w:rsidR="0086628C" w:rsidRPr="006F42C3" w:rsidRDefault="0086628C" w:rsidP="0086628C">
      <w:pPr>
        <w:tabs>
          <w:tab w:val="left" w:pos="860"/>
          <w:tab w:val="right" w:pos="1134"/>
          <w:tab w:val="right" w:leader="dot" w:pos="9040"/>
          <w:tab w:val="left" w:pos="9639"/>
        </w:tabs>
        <w:jc w:val="both"/>
        <w:rPr>
          <w:rFonts w:ascii="Proxima Nova" w:hAnsi="Proxima Nova" w:cs="Segoe UI"/>
          <w:sz w:val="20"/>
          <w:szCs w:val="20"/>
        </w:rPr>
      </w:pPr>
      <w:r w:rsidRPr="0076136D">
        <w:rPr>
          <w:rFonts w:ascii="Proxima Nova" w:hAnsi="Proxima Nova"/>
          <w:b/>
          <w:bCs/>
          <w:sz w:val="20"/>
          <w:szCs w:val="20"/>
        </w:rPr>
        <w:t>Use of Restrictive Practices</w:t>
      </w:r>
      <w:r w:rsidRPr="00C877AF">
        <w:rPr>
          <w:rFonts w:ascii="Proxima Nova" w:hAnsi="Proxima Nova"/>
          <w:sz w:val="20"/>
          <w:szCs w:val="20"/>
        </w:rPr>
        <w:t xml:space="preserve"> </w:t>
      </w:r>
      <w:r w:rsidRPr="006F42C3">
        <w:rPr>
          <w:rFonts w:ascii="Proxima Nova" w:hAnsi="Proxima Nova" w:cs="Segoe UI"/>
          <w:sz w:val="20"/>
          <w:szCs w:val="20"/>
        </w:rPr>
        <w:t>………………………….</w:t>
      </w:r>
      <w:r w:rsidRPr="006F42C3">
        <w:rPr>
          <w:rFonts w:ascii="Proxima Nova" w:hAnsi="Proxima Nova" w:cs="Segoe UI"/>
          <w:sz w:val="20"/>
          <w:szCs w:val="20"/>
        </w:rPr>
        <w:tab/>
      </w:r>
    </w:p>
    <w:p w14:paraId="43B2A85E" w14:textId="77777777" w:rsidR="00DE0511" w:rsidRPr="006F42C3" w:rsidRDefault="00DE0511" w:rsidP="00DE0511">
      <w:pPr>
        <w:pStyle w:val="NoSpacing"/>
        <w:rPr>
          <w:rFonts w:ascii="Proxima Nova" w:hAnsi="Proxima Nova"/>
          <w:sz w:val="20"/>
          <w:szCs w:val="20"/>
        </w:rPr>
      </w:pPr>
    </w:p>
    <w:p w14:paraId="37F202C7" w14:textId="5A4F6B85" w:rsidR="00DE0511" w:rsidRPr="006F42C3" w:rsidRDefault="00DE0511" w:rsidP="00DE0511">
      <w:pPr>
        <w:tabs>
          <w:tab w:val="left" w:pos="860"/>
          <w:tab w:val="right" w:pos="1134"/>
          <w:tab w:val="right" w:leader="dot" w:pos="9040"/>
          <w:tab w:val="left" w:pos="9639"/>
        </w:tabs>
        <w:ind w:left="720"/>
        <w:jc w:val="both"/>
        <w:rPr>
          <w:rFonts w:ascii="Proxima Nova" w:hAnsi="Proxima Nova" w:cs="Segoe UI"/>
          <w:sz w:val="20"/>
          <w:szCs w:val="20"/>
        </w:rPr>
      </w:pPr>
      <w:r w:rsidRPr="00DE0511">
        <w:rPr>
          <w:rFonts w:ascii="Proxima Nova" w:hAnsi="Proxima Nova"/>
          <w:sz w:val="20"/>
          <w:szCs w:val="20"/>
        </w:rPr>
        <w:t>Questioning the Conventional Rationales for Use of Restrictive Practices</w:t>
      </w:r>
      <w:r w:rsidRPr="006F42C3">
        <w:rPr>
          <w:rFonts w:ascii="Proxima Nova" w:hAnsi="Proxima Nova" w:cs="Segoe UI"/>
          <w:sz w:val="20"/>
          <w:szCs w:val="20"/>
        </w:rPr>
        <w:tab/>
      </w:r>
    </w:p>
    <w:p w14:paraId="5A6163F5" w14:textId="77777777" w:rsidR="00DE0511" w:rsidRPr="006F42C3" w:rsidRDefault="00DE0511" w:rsidP="00DE0511">
      <w:pPr>
        <w:tabs>
          <w:tab w:val="left" w:pos="860"/>
          <w:tab w:val="right" w:pos="1134"/>
          <w:tab w:val="right" w:leader="dot" w:pos="9040"/>
          <w:tab w:val="left" w:pos="9639"/>
        </w:tabs>
        <w:ind w:left="720"/>
        <w:jc w:val="both"/>
        <w:rPr>
          <w:rFonts w:ascii="Proxima Nova" w:hAnsi="Proxima Nova" w:cs="Segoe UI"/>
          <w:sz w:val="20"/>
          <w:szCs w:val="20"/>
        </w:rPr>
      </w:pPr>
    </w:p>
    <w:p w14:paraId="65449BC6" w14:textId="33DCBC23" w:rsidR="00DE0511" w:rsidRPr="006F42C3" w:rsidRDefault="00DE0511" w:rsidP="00DE0511">
      <w:pPr>
        <w:tabs>
          <w:tab w:val="left" w:pos="860"/>
          <w:tab w:val="right" w:pos="1134"/>
          <w:tab w:val="right" w:leader="dot" w:pos="9040"/>
          <w:tab w:val="left" w:pos="9639"/>
        </w:tabs>
        <w:ind w:left="720"/>
        <w:jc w:val="both"/>
        <w:rPr>
          <w:rFonts w:ascii="Proxima Nova" w:hAnsi="Proxima Nova" w:cs="Segoe UI"/>
          <w:sz w:val="20"/>
          <w:szCs w:val="20"/>
        </w:rPr>
      </w:pPr>
      <w:r w:rsidRPr="00DE0511">
        <w:rPr>
          <w:rFonts w:ascii="Proxima Nova" w:hAnsi="Proxima Nova"/>
          <w:sz w:val="20"/>
          <w:szCs w:val="20"/>
        </w:rPr>
        <w:t>Interpersonal Violence</w:t>
      </w:r>
      <w:r w:rsidRPr="006F42C3">
        <w:rPr>
          <w:rFonts w:ascii="Proxima Nova" w:hAnsi="Proxima Nova" w:cs="Segoe UI"/>
          <w:sz w:val="20"/>
          <w:szCs w:val="20"/>
        </w:rPr>
        <w:tab/>
      </w:r>
    </w:p>
    <w:p w14:paraId="1418D8BE" w14:textId="77777777" w:rsidR="00DE0511" w:rsidRPr="006F42C3" w:rsidRDefault="00DE0511" w:rsidP="00DE0511">
      <w:pPr>
        <w:tabs>
          <w:tab w:val="left" w:pos="860"/>
          <w:tab w:val="right" w:pos="1134"/>
          <w:tab w:val="right" w:leader="dot" w:pos="9040"/>
          <w:tab w:val="left" w:pos="9639"/>
        </w:tabs>
        <w:ind w:left="720"/>
        <w:jc w:val="both"/>
        <w:rPr>
          <w:rFonts w:ascii="Proxima Nova" w:hAnsi="Proxima Nova" w:cs="Segoe UI"/>
          <w:sz w:val="20"/>
          <w:szCs w:val="20"/>
        </w:rPr>
      </w:pPr>
    </w:p>
    <w:p w14:paraId="183FB463" w14:textId="362A56FE" w:rsidR="00DE0511" w:rsidRPr="006F42C3" w:rsidRDefault="00DE0511" w:rsidP="00DE0511">
      <w:pPr>
        <w:tabs>
          <w:tab w:val="left" w:pos="860"/>
          <w:tab w:val="right" w:pos="1134"/>
          <w:tab w:val="right" w:leader="dot" w:pos="9040"/>
          <w:tab w:val="left" w:pos="9639"/>
        </w:tabs>
        <w:ind w:left="720"/>
        <w:jc w:val="both"/>
        <w:rPr>
          <w:rFonts w:ascii="Proxima Nova" w:hAnsi="Proxima Nova" w:cs="Segoe UI"/>
          <w:sz w:val="20"/>
          <w:szCs w:val="20"/>
        </w:rPr>
      </w:pPr>
      <w:r w:rsidRPr="00DE0511">
        <w:rPr>
          <w:rFonts w:ascii="Proxima Nova" w:hAnsi="Proxima Nova"/>
          <w:sz w:val="20"/>
          <w:szCs w:val="20"/>
        </w:rPr>
        <w:t>Ableism</w:t>
      </w:r>
      <w:r w:rsidRPr="006F42C3">
        <w:rPr>
          <w:rFonts w:ascii="Proxima Nova" w:hAnsi="Proxima Nova" w:cs="Segoe UI"/>
          <w:sz w:val="20"/>
          <w:szCs w:val="20"/>
        </w:rPr>
        <w:tab/>
      </w:r>
    </w:p>
    <w:p w14:paraId="5EF7F8C1" w14:textId="77777777" w:rsidR="00DE0511" w:rsidRPr="006F42C3" w:rsidRDefault="00DE0511" w:rsidP="00DE0511">
      <w:pPr>
        <w:tabs>
          <w:tab w:val="left" w:pos="860"/>
          <w:tab w:val="right" w:pos="1134"/>
          <w:tab w:val="right" w:leader="dot" w:pos="9040"/>
          <w:tab w:val="left" w:pos="9639"/>
        </w:tabs>
        <w:ind w:left="720"/>
        <w:jc w:val="both"/>
        <w:rPr>
          <w:rFonts w:ascii="Proxima Nova" w:hAnsi="Proxima Nova" w:cs="Segoe UI"/>
          <w:sz w:val="20"/>
          <w:szCs w:val="20"/>
        </w:rPr>
      </w:pPr>
    </w:p>
    <w:p w14:paraId="6A0EE631" w14:textId="115824AB" w:rsidR="00DE0511" w:rsidRPr="006F42C3" w:rsidRDefault="00DE0511" w:rsidP="00DE0511">
      <w:pPr>
        <w:tabs>
          <w:tab w:val="left" w:pos="860"/>
          <w:tab w:val="right" w:pos="1134"/>
          <w:tab w:val="right" w:leader="dot" w:pos="9040"/>
          <w:tab w:val="left" w:pos="9639"/>
        </w:tabs>
        <w:ind w:left="720"/>
        <w:jc w:val="both"/>
        <w:rPr>
          <w:rFonts w:ascii="Proxima Nova" w:hAnsi="Proxima Nova" w:cs="Segoe UI"/>
          <w:sz w:val="20"/>
          <w:szCs w:val="20"/>
        </w:rPr>
      </w:pPr>
      <w:r w:rsidRPr="00DE0511">
        <w:rPr>
          <w:rFonts w:ascii="Proxima Nova" w:hAnsi="Proxima Nova"/>
          <w:sz w:val="20"/>
          <w:szCs w:val="20"/>
        </w:rPr>
        <w:t>Gendering Ableism</w:t>
      </w:r>
      <w:r w:rsidRPr="006F42C3">
        <w:rPr>
          <w:rFonts w:ascii="Proxima Nova" w:hAnsi="Proxima Nova" w:cs="Segoe UI"/>
          <w:sz w:val="20"/>
          <w:szCs w:val="20"/>
        </w:rPr>
        <w:tab/>
      </w:r>
    </w:p>
    <w:p w14:paraId="3218968D" w14:textId="77777777" w:rsidR="00DE0511" w:rsidRPr="006F42C3" w:rsidRDefault="00DE0511" w:rsidP="00DE0511">
      <w:pPr>
        <w:tabs>
          <w:tab w:val="left" w:pos="860"/>
          <w:tab w:val="right" w:pos="1134"/>
          <w:tab w:val="right" w:leader="dot" w:pos="9040"/>
          <w:tab w:val="left" w:pos="9639"/>
        </w:tabs>
        <w:ind w:left="720"/>
        <w:jc w:val="both"/>
        <w:rPr>
          <w:rFonts w:ascii="Proxima Nova" w:hAnsi="Proxima Nova" w:cs="Segoe UI"/>
          <w:sz w:val="20"/>
          <w:szCs w:val="20"/>
        </w:rPr>
      </w:pPr>
    </w:p>
    <w:p w14:paraId="7454710B" w14:textId="7D837827" w:rsidR="00DE0511" w:rsidRPr="006F42C3" w:rsidRDefault="00DE0511" w:rsidP="00DE0511">
      <w:pPr>
        <w:tabs>
          <w:tab w:val="left" w:pos="860"/>
          <w:tab w:val="right" w:pos="1134"/>
          <w:tab w:val="right" w:leader="dot" w:pos="9040"/>
          <w:tab w:val="left" w:pos="9639"/>
        </w:tabs>
        <w:ind w:left="720"/>
        <w:jc w:val="both"/>
        <w:rPr>
          <w:rFonts w:ascii="Proxima Nova" w:hAnsi="Proxima Nova" w:cs="Segoe UI"/>
          <w:sz w:val="20"/>
          <w:szCs w:val="20"/>
        </w:rPr>
      </w:pPr>
      <w:r w:rsidRPr="00DE0511">
        <w:rPr>
          <w:rFonts w:ascii="Proxima Nova" w:hAnsi="Proxima Nova"/>
          <w:sz w:val="20"/>
          <w:szCs w:val="20"/>
        </w:rPr>
        <w:t>Dehumanisation: Ontological and Epistemic Violence</w:t>
      </w:r>
      <w:r w:rsidRPr="006F42C3">
        <w:rPr>
          <w:rFonts w:ascii="Proxima Nova" w:hAnsi="Proxima Nova" w:cs="Segoe UI"/>
          <w:sz w:val="20"/>
          <w:szCs w:val="20"/>
        </w:rPr>
        <w:tab/>
      </w:r>
    </w:p>
    <w:p w14:paraId="150A2837" w14:textId="4DD56EA9" w:rsidR="00DE0511" w:rsidRPr="006F42C3" w:rsidRDefault="00DE0511" w:rsidP="00DE0511">
      <w:pPr>
        <w:tabs>
          <w:tab w:val="left" w:pos="860"/>
          <w:tab w:val="right" w:pos="1134"/>
          <w:tab w:val="right" w:leader="dot" w:pos="9040"/>
          <w:tab w:val="left" w:pos="9639"/>
        </w:tabs>
        <w:jc w:val="both"/>
        <w:rPr>
          <w:rFonts w:ascii="Proxima Nova" w:hAnsi="Proxima Nova" w:cs="Segoe UI"/>
          <w:sz w:val="20"/>
          <w:szCs w:val="20"/>
        </w:rPr>
      </w:pPr>
    </w:p>
    <w:p w14:paraId="41B57316" w14:textId="37A56DAC" w:rsidR="00DE0511" w:rsidRPr="006F42C3" w:rsidRDefault="00DE0511" w:rsidP="00DE0511">
      <w:pPr>
        <w:tabs>
          <w:tab w:val="left" w:pos="860"/>
          <w:tab w:val="right" w:pos="1134"/>
          <w:tab w:val="right" w:leader="dot" w:pos="9040"/>
          <w:tab w:val="left" w:pos="9639"/>
        </w:tabs>
        <w:ind w:left="720"/>
        <w:jc w:val="both"/>
        <w:rPr>
          <w:rFonts w:ascii="Proxima Nova" w:hAnsi="Proxima Nova" w:cs="Segoe UI"/>
          <w:sz w:val="20"/>
          <w:szCs w:val="20"/>
        </w:rPr>
      </w:pPr>
      <w:r w:rsidRPr="00DE0511">
        <w:rPr>
          <w:rFonts w:ascii="Proxima Nova" w:hAnsi="Proxima Nova"/>
          <w:sz w:val="20"/>
          <w:szCs w:val="20"/>
        </w:rPr>
        <w:t>Settler Colonial Violence</w:t>
      </w:r>
      <w:r w:rsidRPr="006F42C3">
        <w:rPr>
          <w:rFonts w:ascii="Proxima Nova" w:hAnsi="Proxima Nova" w:cs="Segoe UI"/>
          <w:sz w:val="20"/>
          <w:szCs w:val="20"/>
        </w:rPr>
        <w:tab/>
      </w:r>
    </w:p>
    <w:p w14:paraId="3C44A020" w14:textId="77777777" w:rsidR="00DE0511" w:rsidRPr="006F42C3" w:rsidRDefault="00DE0511" w:rsidP="00DE0511">
      <w:pPr>
        <w:tabs>
          <w:tab w:val="left" w:pos="860"/>
          <w:tab w:val="right" w:pos="1134"/>
          <w:tab w:val="right" w:leader="dot" w:pos="9040"/>
          <w:tab w:val="left" w:pos="9639"/>
        </w:tabs>
        <w:ind w:left="720"/>
        <w:jc w:val="both"/>
        <w:rPr>
          <w:rFonts w:ascii="Proxima Nova" w:hAnsi="Proxima Nova" w:cs="Segoe UI"/>
          <w:sz w:val="20"/>
          <w:szCs w:val="20"/>
        </w:rPr>
      </w:pPr>
    </w:p>
    <w:p w14:paraId="2FBFC983" w14:textId="606D42EA" w:rsidR="00DE0511" w:rsidRPr="006F42C3" w:rsidRDefault="00DE0511" w:rsidP="00DE0511">
      <w:pPr>
        <w:tabs>
          <w:tab w:val="left" w:pos="860"/>
          <w:tab w:val="right" w:pos="1134"/>
          <w:tab w:val="right" w:leader="dot" w:pos="9040"/>
          <w:tab w:val="left" w:pos="9639"/>
        </w:tabs>
        <w:ind w:left="720"/>
        <w:jc w:val="both"/>
        <w:rPr>
          <w:rFonts w:ascii="Proxima Nova" w:hAnsi="Proxima Nova" w:cs="Segoe UI"/>
          <w:sz w:val="20"/>
          <w:szCs w:val="20"/>
        </w:rPr>
      </w:pPr>
      <w:r w:rsidRPr="00DE0511">
        <w:rPr>
          <w:rFonts w:ascii="Proxima Nova" w:hAnsi="Proxima Nova"/>
          <w:sz w:val="20"/>
          <w:szCs w:val="20"/>
        </w:rPr>
        <w:t>Profiting from Violence: Economic Dynamics of Restrictive Practices</w:t>
      </w:r>
      <w:r w:rsidRPr="006F42C3">
        <w:rPr>
          <w:rFonts w:ascii="Proxima Nova" w:hAnsi="Proxima Nova" w:cs="Segoe UI"/>
          <w:sz w:val="20"/>
          <w:szCs w:val="20"/>
        </w:rPr>
        <w:tab/>
      </w:r>
    </w:p>
    <w:p w14:paraId="7BCF499B" w14:textId="77777777" w:rsidR="00DE0511" w:rsidRPr="006F42C3" w:rsidRDefault="00DE0511" w:rsidP="00DE0511">
      <w:pPr>
        <w:tabs>
          <w:tab w:val="left" w:pos="860"/>
          <w:tab w:val="right" w:pos="1134"/>
          <w:tab w:val="right" w:leader="dot" w:pos="9040"/>
          <w:tab w:val="left" w:pos="9639"/>
        </w:tabs>
        <w:ind w:left="720"/>
        <w:jc w:val="both"/>
        <w:rPr>
          <w:rFonts w:ascii="Proxima Nova" w:hAnsi="Proxima Nova" w:cs="Segoe UI"/>
          <w:sz w:val="20"/>
          <w:szCs w:val="20"/>
        </w:rPr>
      </w:pPr>
    </w:p>
    <w:p w14:paraId="5A47B0E6" w14:textId="5AACE645" w:rsidR="00DE0511" w:rsidRPr="006F42C3" w:rsidRDefault="00DE0511" w:rsidP="00DE0511">
      <w:pPr>
        <w:tabs>
          <w:tab w:val="left" w:pos="860"/>
          <w:tab w:val="right" w:pos="1134"/>
          <w:tab w:val="right" w:leader="dot" w:pos="9040"/>
          <w:tab w:val="left" w:pos="9639"/>
        </w:tabs>
        <w:ind w:left="720"/>
        <w:jc w:val="both"/>
        <w:rPr>
          <w:rFonts w:ascii="Proxima Nova" w:hAnsi="Proxima Nova" w:cs="Segoe UI"/>
          <w:sz w:val="20"/>
          <w:szCs w:val="20"/>
        </w:rPr>
      </w:pPr>
      <w:r w:rsidRPr="00DE0511">
        <w:rPr>
          <w:rFonts w:ascii="Proxima Nova" w:hAnsi="Proxima Nova"/>
          <w:sz w:val="20"/>
          <w:szCs w:val="20"/>
        </w:rPr>
        <w:t>Structural Violence</w:t>
      </w:r>
      <w:r w:rsidRPr="006F42C3">
        <w:rPr>
          <w:rFonts w:ascii="Proxima Nova" w:hAnsi="Proxima Nova" w:cs="Segoe UI"/>
          <w:sz w:val="20"/>
          <w:szCs w:val="20"/>
        </w:rPr>
        <w:tab/>
      </w:r>
    </w:p>
    <w:p w14:paraId="64831CAD" w14:textId="77777777" w:rsidR="00DE0511" w:rsidRPr="006F42C3" w:rsidRDefault="00DE0511" w:rsidP="000F6F11">
      <w:pPr>
        <w:pStyle w:val="NoSpacing"/>
        <w:rPr>
          <w:rFonts w:ascii="Proxima Nova" w:hAnsi="Proxima Nova"/>
          <w:sz w:val="20"/>
          <w:szCs w:val="20"/>
        </w:rPr>
      </w:pPr>
    </w:p>
    <w:p w14:paraId="251EC0B3" w14:textId="360AC80C" w:rsidR="000F6F11" w:rsidRPr="006F42C3" w:rsidRDefault="000F6F11" w:rsidP="000F6F11">
      <w:pPr>
        <w:tabs>
          <w:tab w:val="left" w:pos="860"/>
          <w:tab w:val="right" w:pos="1134"/>
          <w:tab w:val="right" w:leader="dot" w:pos="9040"/>
          <w:tab w:val="left" w:pos="9639"/>
        </w:tabs>
        <w:jc w:val="both"/>
        <w:rPr>
          <w:rFonts w:ascii="Proxima Nova" w:hAnsi="Proxima Nova" w:cs="Segoe UI"/>
          <w:sz w:val="20"/>
          <w:szCs w:val="20"/>
        </w:rPr>
      </w:pPr>
      <w:r w:rsidRPr="0076136D">
        <w:rPr>
          <w:rFonts w:ascii="Proxima Nova" w:hAnsi="Proxima Nova"/>
          <w:b/>
          <w:bCs/>
          <w:sz w:val="20"/>
          <w:szCs w:val="20"/>
        </w:rPr>
        <w:t>Legality of Restrictive Practices</w:t>
      </w:r>
      <w:r>
        <w:rPr>
          <w:rFonts w:ascii="Proxima Nova" w:hAnsi="Proxima Nova"/>
          <w:sz w:val="20"/>
          <w:szCs w:val="20"/>
        </w:rPr>
        <w:tab/>
      </w:r>
      <w:r w:rsidRPr="006F42C3">
        <w:rPr>
          <w:rFonts w:ascii="Proxima Nova" w:hAnsi="Proxima Nova" w:cs="Segoe UI"/>
          <w:sz w:val="20"/>
          <w:szCs w:val="20"/>
        </w:rPr>
        <w:t>……………</w:t>
      </w:r>
      <w:r>
        <w:rPr>
          <w:rFonts w:ascii="Proxima Nova" w:hAnsi="Proxima Nova" w:cs="Segoe UI"/>
          <w:sz w:val="20"/>
          <w:szCs w:val="20"/>
        </w:rPr>
        <w:t>..</w:t>
      </w:r>
    </w:p>
    <w:p w14:paraId="27D36693" w14:textId="77777777" w:rsidR="000F6F11" w:rsidRPr="006F42C3" w:rsidRDefault="000F6F11" w:rsidP="000F6F11">
      <w:pPr>
        <w:pStyle w:val="NoSpacing"/>
        <w:rPr>
          <w:rFonts w:ascii="Proxima Nova" w:hAnsi="Proxima Nova"/>
          <w:sz w:val="20"/>
          <w:szCs w:val="20"/>
        </w:rPr>
      </w:pPr>
    </w:p>
    <w:p w14:paraId="7412DD2E" w14:textId="56A94C2D" w:rsidR="000F6F11" w:rsidRPr="006F42C3" w:rsidRDefault="00020AD4" w:rsidP="000F6F11">
      <w:pPr>
        <w:tabs>
          <w:tab w:val="left" w:pos="860"/>
          <w:tab w:val="right" w:pos="1134"/>
          <w:tab w:val="right" w:leader="dot" w:pos="9040"/>
          <w:tab w:val="left" w:pos="9639"/>
        </w:tabs>
        <w:ind w:left="720"/>
        <w:jc w:val="both"/>
        <w:rPr>
          <w:rFonts w:ascii="Proxima Nova" w:hAnsi="Proxima Nova" w:cs="Segoe UI"/>
          <w:sz w:val="20"/>
          <w:szCs w:val="20"/>
        </w:rPr>
      </w:pPr>
      <w:r w:rsidRPr="00020AD4">
        <w:rPr>
          <w:rFonts w:ascii="Proxima Nova" w:hAnsi="Proxima Nova"/>
          <w:sz w:val="20"/>
          <w:szCs w:val="20"/>
        </w:rPr>
        <w:t>Legal Violence</w:t>
      </w:r>
      <w:r w:rsidR="000F6F11" w:rsidRPr="006F42C3">
        <w:rPr>
          <w:rFonts w:ascii="Proxima Nova" w:hAnsi="Proxima Nova" w:cs="Segoe UI"/>
          <w:sz w:val="20"/>
          <w:szCs w:val="20"/>
        </w:rPr>
        <w:tab/>
      </w:r>
    </w:p>
    <w:p w14:paraId="12BC2E5E" w14:textId="77777777" w:rsidR="000F6F11" w:rsidRPr="006F42C3" w:rsidRDefault="000F6F11" w:rsidP="000F6F11">
      <w:pPr>
        <w:tabs>
          <w:tab w:val="left" w:pos="860"/>
          <w:tab w:val="right" w:pos="1134"/>
          <w:tab w:val="right" w:leader="dot" w:pos="9040"/>
          <w:tab w:val="left" w:pos="9639"/>
        </w:tabs>
        <w:ind w:left="720"/>
        <w:jc w:val="both"/>
        <w:rPr>
          <w:rFonts w:ascii="Proxima Nova" w:hAnsi="Proxima Nova" w:cs="Segoe UI"/>
          <w:sz w:val="20"/>
          <w:szCs w:val="20"/>
        </w:rPr>
      </w:pPr>
    </w:p>
    <w:p w14:paraId="584B7AFA" w14:textId="37DC2FB1" w:rsidR="000F6F11" w:rsidRPr="006F42C3" w:rsidRDefault="00020AD4" w:rsidP="000F6F11">
      <w:pPr>
        <w:tabs>
          <w:tab w:val="left" w:pos="860"/>
          <w:tab w:val="right" w:pos="1134"/>
          <w:tab w:val="right" w:leader="dot" w:pos="9040"/>
          <w:tab w:val="left" w:pos="9639"/>
        </w:tabs>
        <w:ind w:left="720"/>
        <w:jc w:val="both"/>
        <w:rPr>
          <w:rFonts w:ascii="Proxima Nova" w:hAnsi="Proxima Nova" w:cs="Segoe UI"/>
          <w:sz w:val="20"/>
          <w:szCs w:val="20"/>
        </w:rPr>
      </w:pPr>
      <w:r w:rsidRPr="00020AD4">
        <w:rPr>
          <w:rFonts w:ascii="Proxima Nova" w:hAnsi="Proxima Nova"/>
          <w:sz w:val="20"/>
          <w:szCs w:val="20"/>
        </w:rPr>
        <w:t>Ableist Legal Violence</w:t>
      </w:r>
      <w:r w:rsidR="000F6F11" w:rsidRPr="006F42C3">
        <w:rPr>
          <w:rFonts w:ascii="Proxima Nova" w:hAnsi="Proxima Nova" w:cs="Segoe UI"/>
          <w:sz w:val="20"/>
          <w:szCs w:val="20"/>
        </w:rPr>
        <w:tab/>
      </w:r>
    </w:p>
    <w:p w14:paraId="4F631E3B" w14:textId="77777777" w:rsidR="00020AD4" w:rsidRPr="006F42C3" w:rsidRDefault="00020AD4" w:rsidP="00020AD4">
      <w:pPr>
        <w:tabs>
          <w:tab w:val="left" w:pos="860"/>
          <w:tab w:val="right" w:pos="1134"/>
          <w:tab w:val="right" w:leader="dot" w:pos="9040"/>
          <w:tab w:val="left" w:pos="9639"/>
        </w:tabs>
        <w:ind w:left="720"/>
        <w:jc w:val="both"/>
        <w:rPr>
          <w:rFonts w:ascii="Proxima Nova" w:hAnsi="Proxima Nova" w:cs="Segoe UI"/>
          <w:sz w:val="20"/>
          <w:szCs w:val="20"/>
        </w:rPr>
      </w:pPr>
    </w:p>
    <w:p w14:paraId="288B8E48" w14:textId="151E6EDF" w:rsidR="00020AD4" w:rsidRPr="006F42C3" w:rsidRDefault="00020AD4" w:rsidP="00020AD4">
      <w:pPr>
        <w:tabs>
          <w:tab w:val="left" w:pos="860"/>
          <w:tab w:val="right" w:pos="1134"/>
          <w:tab w:val="right" w:leader="dot" w:pos="9040"/>
          <w:tab w:val="left" w:pos="9639"/>
        </w:tabs>
        <w:ind w:left="720"/>
        <w:jc w:val="both"/>
        <w:rPr>
          <w:rFonts w:ascii="Proxima Nova" w:hAnsi="Proxima Nova" w:cs="Segoe UI"/>
          <w:sz w:val="20"/>
          <w:szCs w:val="20"/>
        </w:rPr>
      </w:pPr>
      <w:r w:rsidRPr="00020AD4">
        <w:rPr>
          <w:rFonts w:ascii="Proxima Nova" w:hAnsi="Proxima Nova"/>
          <w:sz w:val="20"/>
          <w:szCs w:val="20"/>
        </w:rPr>
        <w:t>NDIS and Legal Violence</w:t>
      </w:r>
      <w:r w:rsidRPr="006F42C3">
        <w:rPr>
          <w:rFonts w:ascii="Proxima Nova" w:hAnsi="Proxima Nova" w:cs="Segoe UI"/>
          <w:sz w:val="20"/>
          <w:szCs w:val="20"/>
        </w:rPr>
        <w:tab/>
      </w:r>
    </w:p>
    <w:p w14:paraId="7D497C62" w14:textId="77777777" w:rsidR="00020AD4" w:rsidRPr="006F42C3" w:rsidRDefault="00020AD4" w:rsidP="00020AD4">
      <w:pPr>
        <w:tabs>
          <w:tab w:val="left" w:pos="860"/>
          <w:tab w:val="right" w:pos="1134"/>
          <w:tab w:val="right" w:leader="dot" w:pos="9040"/>
          <w:tab w:val="left" w:pos="9639"/>
        </w:tabs>
        <w:ind w:left="720"/>
        <w:jc w:val="both"/>
        <w:rPr>
          <w:rFonts w:ascii="Proxima Nova" w:hAnsi="Proxima Nova" w:cs="Segoe UI"/>
          <w:sz w:val="20"/>
          <w:szCs w:val="20"/>
        </w:rPr>
      </w:pPr>
    </w:p>
    <w:p w14:paraId="0735B92F" w14:textId="4B90251F" w:rsidR="00020AD4" w:rsidRPr="006F42C3" w:rsidRDefault="00020AD4" w:rsidP="00020AD4">
      <w:pPr>
        <w:tabs>
          <w:tab w:val="left" w:pos="860"/>
          <w:tab w:val="right" w:pos="1134"/>
          <w:tab w:val="right" w:leader="dot" w:pos="9040"/>
          <w:tab w:val="left" w:pos="9639"/>
        </w:tabs>
        <w:ind w:left="720"/>
        <w:jc w:val="both"/>
        <w:rPr>
          <w:rFonts w:ascii="Proxima Nova" w:hAnsi="Proxima Nova" w:cs="Segoe UI"/>
          <w:sz w:val="20"/>
          <w:szCs w:val="20"/>
        </w:rPr>
      </w:pPr>
      <w:r w:rsidRPr="00020AD4">
        <w:rPr>
          <w:rFonts w:ascii="Proxima Nova" w:hAnsi="Proxima Nova"/>
          <w:sz w:val="20"/>
          <w:szCs w:val="20"/>
        </w:rPr>
        <w:t>Gendered Ableist Legal Violence</w:t>
      </w:r>
      <w:r w:rsidRPr="006F42C3">
        <w:rPr>
          <w:rFonts w:ascii="Proxima Nova" w:hAnsi="Proxima Nova" w:cs="Segoe UI"/>
          <w:sz w:val="20"/>
          <w:szCs w:val="20"/>
        </w:rPr>
        <w:tab/>
      </w:r>
    </w:p>
    <w:p w14:paraId="2FBC5360" w14:textId="77777777" w:rsidR="00F0460E" w:rsidRPr="006F42C3" w:rsidRDefault="00F0460E" w:rsidP="00F0460E">
      <w:pPr>
        <w:pStyle w:val="NoSpacing"/>
        <w:rPr>
          <w:rFonts w:ascii="Proxima Nova" w:hAnsi="Proxima Nova"/>
          <w:sz w:val="20"/>
          <w:szCs w:val="20"/>
        </w:rPr>
      </w:pPr>
    </w:p>
    <w:p w14:paraId="66D761FD" w14:textId="73ECF45E" w:rsidR="00F0460E" w:rsidRPr="006F42C3" w:rsidRDefault="00F0460E" w:rsidP="00F0460E">
      <w:pPr>
        <w:tabs>
          <w:tab w:val="left" w:pos="860"/>
          <w:tab w:val="right" w:pos="1134"/>
          <w:tab w:val="right" w:leader="dot" w:pos="9040"/>
          <w:tab w:val="left" w:pos="9639"/>
        </w:tabs>
        <w:jc w:val="both"/>
        <w:rPr>
          <w:rFonts w:ascii="Proxima Nova" w:hAnsi="Proxima Nova" w:cs="Segoe UI"/>
          <w:sz w:val="20"/>
          <w:szCs w:val="20"/>
        </w:rPr>
      </w:pPr>
      <w:r w:rsidRPr="0076136D">
        <w:rPr>
          <w:rFonts w:ascii="Proxima Nova" w:hAnsi="Proxima Nova"/>
          <w:b/>
          <w:bCs/>
          <w:sz w:val="20"/>
          <w:szCs w:val="20"/>
        </w:rPr>
        <w:t>Restrictive Practices – A violation of human rights</w:t>
      </w:r>
      <w:r>
        <w:rPr>
          <w:rFonts w:ascii="Proxima Nova" w:hAnsi="Proxima Nova"/>
          <w:sz w:val="20"/>
          <w:szCs w:val="20"/>
        </w:rPr>
        <w:tab/>
      </w:r>
      <w:r w:rsidRPr="006F42C3">
        <w:rPr>
          <w:rFonts w:ascii="Proxima Nova" w:hAnsi="Proxima Nova" w:cs="Segoe UI"/>
          <w:sz w:val="20"/>
          <w:szCs w:val="20"/>
        </w:rPr>
        <w:t>……………</w:t>
      </w:r>
      <w:r>
        <w:rPr>
          <w:rFonts w:ascii="Proxima Nova" w:hAnsi="Proxima Nova" w:cs="Segoe UI"/>
          <w:sz w:val="20"/>
          <w:szCs w:val="20"/>
        </w:rPr>
        <w:t>..</w:t>
      </w:r>
    </w:p>
    <w:p w14:paraId="6FD71820" w14:textId="77777777" w:rsidR="00F0460E" w:rsidRPr="006F42C3" w:rsidRDefault="00F0460E" w:rsidP="00F0460E">
      <w:pPr>
        <w:pStyle w:val="NoSpacing"/>
        <w:rPr>
          <w:rFonts w:ascii="Proxima Nova" w:hAnsi="Proxima Nova"/>
          <w:sz w:val="20"/>
          <w:szCs w:val="20"/>
        </w:rPr>
      </w:pPr>
    </w:p>
    <w:p w14:paraId="29C56F13" w14:textId="6467BFBE" w:rsidR="00F0460E" w:rsidRPr="006F42C3" w:rsidRDefault="00F0460E" w:rsidP="00F0460E">
      <w:pPr>
        <w:tabs>
          <w:tab w:val="left" w:pos="860"/>
          <w:tab w:val="right" w:pos="1134"/>
          <w:tab w:val="right" w:leader="dot" w:pos="9040"/>
          <w:tab w:val="left" w:pos="9639"/>
        </w:tabs>
        <w:ind w:left="720"/>
        <w:jc w:val="both"/>
        <w:rPr>
          <w:rFonts w:ascii="Proxima Nova" w:hAnsi="Proxima Nova" w:cs="Segoe UI"/>
          <w:sz w:val="20"/>
          <w:szCs w:val="20"/>
        </w:rPr>
      </w:pPr>
      <w:r w:rsidRPr="00F0460E">
        <w:rPr>
          <w:rFonts w:ascii="Proxima Nova" w:hAnsi="Proxima Nova"/>
          <w:sz w:val="20"/>
          <w:szCs w:val="20"/>
        </w:rPr>
        <w:t>Human Rights Generally</w:t>
      </w:r>
      <w:r w:rsidRPr="006F42C3">
        <w:rPr>
          <w:rFonts w:ascii="Proxima Nova" w:hAnsi="Proxima Nova" w:cs="Segoe UI"/>
          <w:sz w:val="20"/>
          <w:szCs w:val="20"/>
        </w:rPr>
        <w:tab/>
      </w:r>
    </w:p>
    <w:p w14:paraId="1642F1AA" w14:textId="77777777" w:rsidR="00F0460E" w:rsidRPr="006F42C3" w:rsidRDefault="00F0460E" w:rsidP="00F0460E">
      <w:pPr>
        <w:tabs>
          <w:tab w:val="left" w:pos="860"/>
          <w:tab w:val="right" w:pos="1134"/>
          <w:tab w:val="right" w:leader="dot" w:pos="9040"/>
          <w:tab w:val="left" w:pos="9639"/>
        </w:tabs>
        <w:ind w:left="720"/>
        <w:jc w:val="both"/>
        <w:rPr>
          <w:rFonts w:ascii="Proxima Nova" w:hAnsi="Proxima Nova" w:cs="Segoe UI"/>
          <w:sz w:val="20"/>
          <w:szCs w:val="20"/>
        </w:rPr>
      </w:pPr>
    </w:p>
    <w:p w14:paraId="213DBE5B" w14:textId="7B33D721" w:rsidR="00F0460E" w:rsidRPr="006F42C3" w:rsidRDefault="00F0460E" w:rsidP="00F0460E">
      <w:pPr>
        <w:tabs>
          <w:tab w:val="left" w:pos="860"/>
          <w:tab w:val="right" w:pos="1134"/>
          <w:tab w:val="right" w:leader="dot" w:pos="9040"/>
          <w:tab w:val="left" w:pos="9639"/>
        </w:tabs>
        <w:ind w:left="720"/>
        <w:jc w:val="both"/>
        <w:rPr>
          <w:rFonts w:ascii="Proxima Nova" w:hAnsi="Proxima Nova" w:cs="Segoe UI"/>
          <w:sz w:val="20"/>
          <w:szCs w:val="20"/>
        </w:rPr>
      </w:pPr>
      <w:r w:rsidRPr="00F0460E">
        <w:rPr>
          <w:rFonts w:ascii="Proxima Nova" w:hAnsi="Proxima Nova"/>
          <w:sz w:val="20"/>
          <w:szCs w:val="20"/>
        </w:rPr>
        <w:t>Use and Legality of Restrictive Practices as Human Rights Violations</w:t>
      </w:r>
      <w:r w:rsidRPr="006F42C3">
        <w:rPr>
          <w:rFonts w:ascii="Proxima Nova" w:hAnsi="Proxima Nova" w:cs="Segoe UI"/>
          <w:sz w:val="20"/>
          <w:szCs w:val="20"/>
        </w:rPr>
        <w:tab/>
      </w:r>
    </w:p>
    <w:p w14:paraId="58BC7A5B" w14:textId="77777777" w:rsidR="00F0460E" w:rsidRPr="006F42C3" w:rsidRDefault="00F0460E" w:rsidP="00F0460E">
      <w:pPr>
        <w:tabs>
          <w:tab w:val="left" w:pos="860"/>
          <w:tab w:val="right" w:pos="1134"/>
          <w:tab w:val="right" w:leader="dot" w:pos="9040"/>
          <w:tab w:val="left" w:pos="9639"/>
        </w:tabs>
        <w:ind w:left="720"/>
        <w:jc w:val="both"/>
        <w:rPr>
          <w:rFonts w:ascii="Proxima Nova" w:hAnsi="Proxima Nova" w:cs="Segoe UI"/>
          <w:sz w:val="20"/>
          <w:szCs w:val="20"/>
        </w:rPr>
      </w:pPr>
    </w:p>
    <w:p w14:paraId="51AED1F8" w14:textId="0ED0F78A" w:rsidR="00F0460E" w:rsidRPr="006F42C3" w:rsidRDefault="00F0460E" w:rsidP="00F0460E">
      <w:pPr>
        <w:tabs>
          <w:tab w:val="left" w:pos="860"/>
          <w:tab w:val="right" w:pos="1134"/>
          <w:tab w:val="right" w:leader="dot" w:pos="9040"/>
          <w:tab w:val="left" w:pos="9639"/>
        </w:tabs>
        <w:ind w:left="720"/>
        <w:jc w:val="both"/>
        <w:rPr>
          <w:rFonts w:ascii="Proxima Nova" w:hAnsi="Proxima Nova" w:cs="Segoe UI"/>
          <w:sz w:val="20"/>
          <w:szCs w:val="20"/>
        </w:rPr>
      </w:pPr>
      <w:r w:rsidRPr="00F0460E">
        <w:rPr>
          <w:rFonts w:ascii="Proxima Nova" w:hAnsi="Proxima Nova"/>
          <w:sz w:val="20"/>
          <w:szCs w:val="20"/>
        </w:rPr>
        <w:t>Equality, Non-Discrimination and Participation</w:t>
      </w:r>
      <w:r w:rsidRPr="006F42C3">
        <w:rPr>
          <w:rFonts w:ascii="Proxima Nova" w:hAnsi="Proxima Nova" w:cs="Segoe UI"/>
          <w:sz w:val="20"/>
          <w:szCs w:val="20"/>
        </w:rPr>
        <w:tab/>
      </w:r>
    </w:p>
    <w:p w14:paraId="3AB9F9ED" w14:textId="77777777" w:rsidR="00F0460E" w:rsidRPr="006F42C3" w:rsidRDefault="00F0460E" w:rsidP="00F0460E">
      <w:pPr>
        <w:tabs>
          <w:tab w:val="left" w:pos="860"/>
          <w:tab w:val="right" w:pos="1134"/>
          <w:tab w:val="right" w:leader="dot" w:pos="9040"/>
          <w:tab w:val="left" w:pos="9639"/>
        </w:tabs>
        <w:ind w:left="720"/>
        <w:jc w:val="both"/>
        <w:rPr>
          <w:rFonts w:ascii="Proxima Nova" w:hAnsi="Proxima Nova" w:cs="Segoe UI"/>
          <w:sz w:val="20"/>
          <w:szCs w:val="20"/>
        </w:rPr>
      </w:pPr>
    </w:p>
    <w:p w14:paraId="0BB5C2FB" w14:textId="01B52800" w:rsidR="00F0460E" w:rsidRPr="006F42C3" w:rsidRDefault="004D1656" w:rsidP="00F0460E">
      <w:pPr>
        <w:tabs>
          <w:tab w:val="left" w:pos="860"/>
          <w:tab w:val="right" w:pos="1134"/>
          <w:tab w:val="right" w:leader="dot" w:pos="9040"/>
          <w:tab w:val="left" w:pos="9639"/>
        </w:tabs>
        <w:ind w:left="720"/>
        <w:jc w:val="both"/>
        <w:rPr>
          <w:rFonts w:ascii="Proxima Nova" w:hAnsi="Proxima Nova" w:cs="Segoe UI"/>
          <w:sz w:val="20"/>
          <w:szCs w:val="20"/>
        </w:rPr>
      </w:pPr>
      <w:r w:rsidRPr="00597851">
        <w:rPr>
          <w:rFonts w:ascii="Proxima Nova" w:hAnsi="Proxima Nova"/>
          <w:sz w:val="20"/>
          <w:szCs w:val="20"/>
        </w:rPr>
        <w:t>Freedom from Violence, Abuse, Neglect and Exploitation</w:t>
      </w:r>
      <w:r w:rsidR="00F0460E" w:rsidRPr="006F42C3">
        <w:rPr>
          <w:rFonts w:ascii="Proxima Nova" w:hAnsi="Proxima Nova" w:cs="Segoe UI"/>
          <w:sz w:val="20"/>
          <w:szCs w:val="20"/>
        </w:rPr>
        <w:tab/>
      </w:r>
    </w:p>
    <w:p w14:paraId="56001313" w14:textId="77777777" w:rsidR="004D1656" w:rsidRPr="006F42C3" w:rsidRDefault="004D1656" w:rsidP="004D1656">
      <w:pPr>
        <w:tabs>
          <w:tab w:val="left" w:pos="860"/>
          <w:tab w:val="right" w:pos="1134"/>
          <w:tab w:val="right" w:leader="dot" w:pos="9040"/>
          <w:tab w:val="left" w:pos="9639"/>
        </w:tabs>
        <w:ind w:left="720"/>
        <w:jc w:val="both"/>
        <w:rPr>
          <w:rFonts w:ascii="Proxima Nova" w:hAnsi="Proxima Nova" w:cs="Segoe UI"/>
          <w:sz w:val="20"/>
          <w:szCs w:val="20"/>
        </w:rPr>
      </w:pPr>
    </w:p>
    <w:p w14:paraId="5BE8934C" w14:textId="1DCC4AB0" w:rsidR="004D1656" w:rsidRPr="006F42C3" w:rsidRDefault="004D1656" w:rsidP="004D1656">
      <w:pPr>
        <w:tabs>
          <w:tab w:val="left" w:pos="860"/>
          <w:tab w:val="right" w:pos="1134"/>
          <w:tab w:val="right" w:leader="dot" w:pos="9040"/>
          <w:tab w:val="left" w:pos="9639"/>
        </w:tabs>
        <w:ind w:left="720"/>
        <w:jc w:val="both"/>
        <w:rPr>
          <w:rFonts w:ascii="Proxima Nova" w:hAnsi="Proxima Nova" w:cs="Segoe UI"/>
          <w:sz w:val="20"/>
          <w:szCs w:val="20"/>
        </w:rPr>
      </w:pPr>
      <w:r w:rsidRPr="00597851">
        <w:rPr>
          <w:rFonts w:ascii="Proxima Nova" w:hAnsi="Proxima Nova"/>
          <w:sz w:val="20"/>
          <w:szCs w:val="20"/>
        </w:rPr>
        <w:t>Equal Recognition Before The Law</w:t>
      </w:r>
      <w:r w:rsidRPr="006F42C3">
        <w:rPr>
          <w:rFonts w:ascii="Proxima Nova" w:hAnsi="Proxima Nova" w:cs="Segoe UI"/>
          <w:sz w:val="20"/>
          <w:szCs w:val="20"/>
        </w:rPr>
        <w:tab/>
      </w:r>
    </w:p>
    <w:p w14:paraId="55CD8590" w14:textId="77777777" w:rsidR="004D1656" w:rsidRPr="006F42C3" w:rsidRDefault="004D1656" w:rsidP="004D1656">
      <w:pPr>
        <w:tabs>
          <w:tab w:val="left" w:pos="860"/>
          <w:tab w:val="right" w:pos="1134"/>
          <w:tab w:val="right" w:leader="dot" w:pos="9040"/>
          <w:tab w:val="left" w:pos="9639"/>
        </w:tabs>
        <w:ind w:left="720"/>
        <w:jc w:val="both"/>
        <w:rPr>
          <w:rFonts w:ascii="Proxima Nova" w:hAnsi="Proxima Nova" w:cs="Segoe UI"/>
          <w:sz w:val="20"/>
          <w:szCs w:val="20"/>
        </w:rPr>
      </w:pPr>
    </w:p>
    <w:p w14:paraId="4889CD3D" w14:textId="415A0EBE" w:rsidR="004D1656" w:rsidRPr="006F42C3" w:rsidRDefault="004D1656" w:rsidP="004D1656">
      <w:pPr>
        <w:tabs>
          <w:tab w:val="left" w:pos="860"/>
          <w:tab w:val="right" w:pos="1134"/>
          <w:tab w:val="right" w:leader="dot" w:pos="9040"/>
          <w:tab w:val="left" w:pos="9639"/>
        </w:tabs>
        <w:ind w:left="720"/>
        <w:jc w:val="both"/>
        <w:rPr>
          <w:rFonts w:ascii="Proxima Nova" w:hAnsi="Proxima Nova" w:cs="Segoe UI"/>
          <w:sz w:val="20"/>
          <w:szCs w:val="20"/>
        </w:rPr>
      </w:pPr>
      <w:r w:rsidRPr="00597851">
        <w:rPr>
          <w:rFonts w:ascii="Proxima Nova" w:hAnsi="Proxima Nova"/>
          <w:sz w:val="20"/>
          <w:szCs w:val="20"/>
        </w:rPr>
        <w:t>Liberty</w:t>
      </w:r>
      <w:r w:rsidRPr="006F42C3">
        <w:rPr>
          <w:rFonts w:ascii="Proxima Nova" w:hAnsi="Proxima Nova" w:cs="Segoe UI"/>
          <w:sz w:val="20"/>
          <w:szCs w:val="20"/>
        </w:rPr>
        <w:tab/>
      </w:r>
    </w:p>
    <w:p w14:paraId="7B36FC18" w14:textId="77777777" w:rsidR="004D1656" w:rsidRPr="006F42C3" w:rsidRDefault="004D1656" w:rsidP="004D1656">
      <w:pPr>
        <w:tabs>
          <w:tab w:val="left" w:pos="860"/>
          <w:tab w:val="right" w:pos="1134"/>
          <w:tab w:val="right" w:leader="dot" w:pos="9040"/>
          <w:tab w:val="left" w:pos="9639"/>
        </w:tabs>
        <w:ind w:left="720"/>
        <w:jc w:val="both"/>
        <w:rPr>
          <w:rFonts w:ascii="Proxima Nova" w:hAnsi="Proxima Nova" w:cs="Segoe UI"/>
          <w:sz w:val="20"/>
          <w:szCs w:val="20"/>
        </w:rPr>
      </w:pPr>
    </w:p>
    <w:p w14:paraId="077213FE" w14:textId="36F46079" w:rsidR="004D1656" w:rsidRPr="006F42C3" w:rsidRDefault="004D1656" w:rsidP="004D1656">
      <w:pPr>
        <w:tabs>
          <w:tab w:val="left" w:pos="860"/>
          <w:tab w:val="right" w:pos="1134"/>
          <w:tab w:val="right" w:leader="dot" w:pos="9040"/>
          <w:tab w:val="left" w:pos="9639"/>
        </w:tabs>
        <w:ind w:left="720"/>
        <w:jc w:val="both"/>
        <w:rPr>
          <w:rFonts w:ascii="Proxima Nova" w:hAnsi="Proxima Nova" w:cs="Segoe UI"/>
          <w:sz w:val="20"/>
          <w:szCs w:val="20"/>
        </w:rPr>
      </w:pPr>
      <w:r w:rsidRPr="00597851">
        <w:rPr>
          <w:rFonts w:ascii="Proxima Nova" w:hAnsi="Proxima Nova"/>
          <w:sz w:val="20"/>
          <w:szCs w:val="20"/>
        </w:rPr>
        <w:t>Personal Integrity</w:t>
      </w:r>
      <w:r w:rsidRPr="006F42C3">
        <w:rPr>
          <w:rFonts w:ascii="Proxima Nova" w:hAnsi="Proxima Nova" w:cs="Segoe UI"/>
          <w:sz w:val="20"/>
          <w:szCs w:val="20"/>
        </w:rPr>
        <w:tab/>
      </w:r>
    </w:p>
    <w:p w14:paraId="5D894578" w14:textId="77777777" w:rsidR="004D1656" w:rsidRPr="006F42C3" w:rsidRDefault="004D1656" w:rsidP="004D1656">
      <w:pPr>
        <w:tabs>
          <w:tab w:val="left" w:pos="860"/>
          <w:tab w:val="right" w:pos="1134"/>
          <w:tab w:val="right" w:leader="dot" w:pos="9040"/>
          <w:tab w:val="left" w:pos="9639"/>
        </w:tabs>
        <w:ind w:left="720"/>
        <w:jc w:val="both"/>
        <w:rPr>
          <w:rFonts w:ascii="Proxima Nova" w:hAnsi="Proxima Nova" w:cs="Segoe UI"/>
          <w:sz w:val="20"/>
          <w:szCs w:val="20"/>
        </w:rPr>
      </w:pPr>
    </w:p>
    <w:p w14:paraId="763AFC62" w14:textId="5825C671" w:rsidR="004D1656" w:rsidRPr="006F42C3" w:rsidRDefault="004D1656" w:rsidP="004D1656">
      <w:pPr>
        <w:tabs>
          <w:tab w:val="left" w:pos="860"/>
          <w:tab w:val="right" w:pos="1134"/>
          <w:tab w:val="right" w:leader="dot" w:pos="9040"/>
          <w:tab w:val="left" w:pos="9639"/>
        </w:tabs>
        <w:ind w:left="720"/>
        <w:jc w:val="both"/>
        <w:rPr>
          <w:rFonts w:ascii="Proxima Nova" w:hAnsi="Proxima Nova" w:cs="Segoe UI"/>
          <w:sz w:val="20"/>
          <w:szCs w:val="20"/>
        </w:rPr>
      </w:pPr>
      <w:r w:rsidRPr="00597851">
        <w:rPr>
          <w:rFonts w:ascii="Proxima Nova" w:hAnsi="Proxima Nova"/>
          <w:sz w:val="20"/>
          <w:szCs w:val="20"/>
        </w:rPr>
        <w:t>Freedom from Torture</w:t>
      </w:r>
      <w:r w:rsidRPr="006F42C3">
        <w:rPr>
          <w:rFonts w:ascii="Proxima Nova" w:hAnsi="Proxima Nova" w:cs="Segoe UI"/>
          <w:sz w:val="20"/>
          <w:szCs w:val="20"/>
        </w:rPr>
        <w:tab/>
      </w:r>
    </w:p>
    <w:p w14:paraId="3925095E" w14:textId="77777777" w:rsidR="004D1656" w:rsidRPr="006F42C3" w:rsidRDefault="004D1656" w:rsidP="004D1656">
      <w:pPr>
        <w:tabs>
          <w:tab w:val="left" w:pos="860"/>
          <w:tab w:val="right" w:pos="1134"/>
          <w:tab w:val="right" w:leader="dot" w:pos="9040"/>
          <w:tab w:val="left" w:pos="9639"/>
        </w:tabs>
        <w:ind w:left="720"/>
        <w:jc w:val="both"/>
        <w:rPr>
          <w:rFonts w:ascii="Proxima Nova" w:hAnsi="Proxima Nova" w:cs="Segoe UI"/>
          <w:sz w:val="20"/>
          <w:szCs w:val="20"/>
        </w:rPr>
      </w:pPr>
    </w:p>
    <w:p w14:paraId="5CE53762" w14:textId="3C3AB7A4" w:rsidR="004D1656" w:rsidRPr="006F42C3" w:rsidRDefault="004D1656" w:rsidP="004D1656">
      <w:pPr>
        <w:tabs>
          <w:tab w:val="left" w:pos="860"/>
          <w:tab w:val="right" w:pos="1134"/>
          <w:tab w:val="right" w:leader="dot" w:pos="9040"/>
          <w:tab w:val="left" w:pos="9639"/>
        </w:tabs>
        <w:ind w:left="720"/>
        <w:jc w:val="both"/>
        <w:rPr>
          <w:rFonts w:ascii="Proxima Nova" w:hAnsi="Proxima Nova" w:cs="Segoe UI"/>
          <w:sz w:val="20"/>
          <w:szCs w:val="20"/>
        </w:rPr>
      </w:pPr>
      <w:r w:rsidRPr="00597851">
        <w:rPr>
          <w:rFonts w:ascii="Proxima Nova" w:hAnsi="Proxima Nova"/>
          <w:sz w:val="20"/>
          <w:szCs w:val="20"/>
        </w:rPr>
        <w:t>Living Independently and Being Included in the Community</w:t>
      </w:r>
      <w:r w:rsidRPr="006F42C3">
        <w:rPr>
          <w:rFonts w:ascii="Proxima Nova" w:hAnsi="Proxima Nova" w:cs="Segoe UI"/>
          <w:sz w:val="20"/>
          <w:szCs w:val="20"/>
        </w:rPr>
        <w:tab/>
      </w:r>
    </w:p>
    <w:p w14:paraId="64E1452F" w14:textId="77777777" w:rsidR="004D1656" w:rsidRPr="006F42C3" w:rsidRDefault="004D1656" w:rsidP="004D1656">
      <w:pPr>
        <w:pStyle w:val="NoSpacing"/>
        <w:rPr>
          <w:rFonts w:ascii="Proxima Nova" w:hAnsi="Proxima Nova"/>
          <w:sz w:val="20"/>
          <w:szCs w:val="20"/>
        </w:rPr>
      </w:pPr>
    </w:p>
    <w:p w14:paraId="312807E6" w14:textId="33A3D935" w:rsidR="004D1656" w:rsidRPr="006F42C3" w:rsidRDefault="004D1656" w:rsidP="004D1656">
      <w:pPr>
        <w:tabs>
          <w:tab w:val="left" w:pos="860"/>
          <w:tab w:val="right" w:pos="1134"/>
          <w:tab w:val="right" w:leader="dot" w:pos="9040"/>
          <w:tab w:val="left" w:pos="9639"/>
        </w:tabs>
        <w:jc w:val="both"/>
        <w:rPr>
          <w:rFonts w:ascii="Proxima Nova" w:hAnsi="Proxima Nova" w:cs="Segoe UI"/>
          <w:sz w:val="20"/>
          <w:szCs w:val="20"/>
        </w:rPr>
      </w:pPr>
      <w:r w:rsidRPr="0076136D">
        <w:rPr>
          <w:rFonts w:ascii="Proxima Nova" w:hAnsi="Proxima Nova"/>
          <w:b/>
          <w:bCs/>
          <w:sz w:val="20"/>
          <w:szCs w:val="20"/>
        </w:rPr>
        <w:t>Responses to Restrictive Practices Issues Paper</w:t>
      </w:r>
      <w:r>
        <w:rPr>
          <w:rFonts w:ascii="Proxima Nova" w:hAnsi="Proxima Nova"/>
          <w:sz w:val="20"/>
          <w:szCs w:val="20"/>
        </w:rPr>
        <w:tab/>
      </w:r>
      <w:r w:rsidRPr="006F42C3">
        <w:rPr>
          <w:rFonts w:ascii="Proxima Nova" w:hAnsi="Proxima Nova" w:cs="Segoe UI"/>
          <w:sz w:val="20"/>
          <w:szCs w:val="20"/>
        </w:rPr>
        <w:t>……………</w:t>
      </w:r>
      <w:r>
        <w:rPr>
          <w:rFonts w:ascii="Proxima Nova" w:hAnsi="Proxima Nova" w:cs="Segoe UI"/>
          <w:sz w:val="20"/>
          <w:szCs w:val="20"/>
        </w:rPr>
        <w:t>..</w:t>
      </w:r>
    </w:p>
    <w:p w14:paraId="169627A7" w14:textId="77777777" w:rsidR="004D1656" w:rsidRPr="006F42C3" w:rsidRDefault="004D1656" w:rsidP="004D1656">
      <w:pPr>
        <w:pStyle w:val="NoSpacing"/>
        <w:rPr>
          <w:rFonts w:ascii="Proxima Nova" w:hAnsi="Proxima Nova"/>
          <w:sz w:val="20"/>
          <w:szCs w:val="20"/>
        </w:rPr>
      </w:pPr>
    </w:p>
    <w:p w14:paraId="197BDDE1" w14:textId="2FD09CCC" w:rsidR="004D1656" w:rsidRPr="006F42C3" w:rsidRDefault="004D1656" w:rsidP="004D1656">
      <w:pPr>
        <w:tabs>
          <w:tab w:val="left" w:pos="860"/>
          <w:tab w:val="right" w:pos="1134"/>
          <w:tab w:val="right" w:leader="dot" w:pos="9040"/>
          <w:tab w:val="left" w:pos="9639"/>
        </w:tabs>
        <w:jc w:val="both"/>
        <w:rPr>
          <w:rFonts w:ascii="Proxima Nova" w:hAnsi="Proxima Nova" w:cs="Segoe UI"/>
          <w:sz w:val="20"/>
          <w:szCs w:val="20"/>
        </w:rPr>
      </w:pPr>
      <w:r w:rsidRPr="0076136D">
        <w:rPr>
          <w:rFonts w:ascii="Proxima Nova" w:hAnsi="Proxima Nova"/>
          <w:b/>
          <w:bCs/>
          <w:sz w:val="20"/>
          <w:szCs w:val="20"/>
        </w:rPr>
        <w:t>Appendix 1: Relevant Concluding Comments from UN Treaty Bodies</w:t>
      </w:r>
      <w:r>
        <w:rPr>
          <w:rFonts w:ascii="Proxima Nova" w:hAnsi="Proxima Nova"/>
          <w:sz w:val="20"/>
          <w:szCs w:val="20"/>
        </w:rPr>
        <w:tab/>
      </w:r>
      <w:r w:rsidRPr="006F42C3">
        <w:rPr>
          <w:rFonts w:ascii="Proxima Nova" w:hAnsi="Proxima Nova" w:cs="Segoe UI"/>
          <w:sz w:val="20"/>
          <w:szCs w:val="20"/>
        </w:rPr>
        <w:t>……………</w:t>
      </w:r>
      <w:r>
        <w:rPr>
          <w:rFonts w:ascii="Proxima Nova" w:hAnsi="Proxima Nova" w:cs="Segoe UI"/>
          <w:sz w:val="20"/>
          <w:szCs w:val="20"/>
        </w:rPr>
        <w:t>..</w:t>
      </w:r>
    </w:p>
    <w:p w14:paraId="1D9D1959" w14:textId="77777777" w:rsidR="004D1656" w:rsidRPr="006F42C3" w:rsidRDefault="004D1656" w:rsidP="004D1656">
      <w:pPr>
        <w:pStyle w:val="NoSpacing"/>
        <w:rPr>
          <w:rFonts w:ascii="Proxima Nova" w:hAnsi="Proxima Nova"/>
          <w:sz w:val="20"/>
          <w:szCs w:val="20"/>
        </w:rPr>
      </w:pPr>
    </w:p>
    <w:p w14:paraId="2EE22986" w14:textId="711C1014" w:rsidR="004D1656" w:rsidRPr="006F42C3" w:rsidRDefault="004D1656" w:rsidP="004D1656">
      <w:pPr>
        <w:tabs>
          <w:tab w:val="left" w:pos="860"/>
          <w:tab w:val="right" w:pos="1134"/>
          <w:tab w:val="right" w:leader="dot" w:pos="9040"/>
          <w:tab w:val="left" w:pos="9639"/>
        </w:tabs>
        <w:jc w:val="both"/>
        <w:rPr>
          <w:rFonts w:ascii="Proxima Nova" w:hAnsi="Proxima Nova" w:cs="Segoe UI"/>
          <w:sz w:val="20"/>
          <w:szCs w:val="20"/>
        </w:rPr>
      </w:pPr>
      <w:r w:rsidRPr="0076136D">
        <w:rPr>
          <w:rFonts w:ascii="Proxima Nova" w:hAnsi="Proxima Nova"/>
          <w:b/>
          <w:bCs/>
          <w:sz w:val="20"/>
          <w:szCs w:val="20"/>
        </w:rPr>
        <w:t>Appendix 2: Endnotes</w:t>
      </w:r>
      <w:r>
        <w:rPr>
          <w:rFonts w:ascii="Proxima Nova" w:hAnsi="Proxima Nova"/>
          <w:sz w:val="20"/>
          <w:szCs w:val="20"/>
        </w:rPr>
        <w:tab/>
      </w:r>
      <w:r w:rsidRPr="006F42C3">
        <w:rPr>
          <w:rFonts w:ascii="Proxima Nova" w:hAnsi="Proxima Nova" w:cs="Segoe UI"/>
          <w:sz w:val="20"/>
          <w:szCs w:val="20"/>
        </w:rPr>
        <w:t>……………</w:t>
      </w:r>
      <w:r>
        <w:rPr>
          <w:rFonts w:ascii="Proxima Nova" w:hAnsi="Proxima Nova" w:cs="Segoe UI"/>
          <w:sz w:val="20"/>
          <w:szCs w:val="20"/>
        </w:rPr>
        <w:t>..</w:t>
      </w:r>
    </w:p>
    <w:p w14:paraId="355FCA61" w14:textId="77777777" w:rsidR="004D1656" w:rsidRPr="006F42C3" w:rsidRDefault="004D1656" w:rsidP="004D1656">
      <w:pPr>
        <w:pStyle w:val="NoSpacing"/>
        <w:rPr>
          <w:rFonts w:ascii="Proxima Nova" w:hAnsi="Proxima Nova"/>
          <w:sz w:val="20"/>
          <w:szCs w:val="20"/>
        </w:rPr>
      </w:pPr>
    </w:p>
    <w:p w14:paraId="3FFBBAA8" w14:textId="77777777" w:rsidR="004D1656" w:rsidRPr="006F42C3" w:rsidRDefault="004D1656" w:rsidP="004D1656">
      <w:pPr>
        <w:pStyle w:val="NoSpacing"/>
        <w:rPr>
          <w:rFonts w:ascii="Proxima Nova" w:hAnsi="Proxima Nova"/>
          <w:sz w:val="20"/>
          <w:szCs w:val="20"/>
        </w:rPr>
      </w:pPr>
    </w:p>
    <w:p w14:paraId="3CED093E" w14:textId="5B70876A" w:rsidR="00C877AF" w:rsidRDefault="00C877AF" w:rsidP="00C877AF">
      <w:pPr>
        <w:pStyle w:val="NoSpacing"/>
        <w:rPr>
          <w:rFonts w:ascii="Proxima Nova" w:hAnsi="Proxima Nova"/>
          <w:sz w:val="20"/>
          <w:szCs w:val="20"/>
        </w:rPr>
      </w:pPr>
    </w:p>
    <w:p w14:paraId="0707E3F9" w14:textId="54C1819A" w:rsidR="009261DC" w:rsidRDefault="009261DC" w:rsidP="00C877AF">
      <w:pPr>
        <w:pStyle w:val="NoSpacing"/>
        <w:rPr>
          <w:rFonts w:ascii="Proxima Nova" w:hAnsi="Proxima Nova"/>
          <w:sz w:val="20"/>
          <w:szCs w:val="20"/>
        </w:rPr>
      </w:pPr>
    </w:p>
    <w:p w14:paraId="1E95C8FD" w14:textId="734C55CB" w:rsidR="009261DC" w:rsidRDefault="009261DC" w:rsidP="00C877AF">
      <w:pPr>
        <w:pStyle w:val="NoSpacing"/>
        <w:rPr>
          <w:rFonts w:ascii="Proxima Nova" w:hAnsi="Proxima Nova"/>
          <w:sz w:val="20"/>
          <w:szCs w:val="20"/>
        </w:rPr>
      </w:pPr>
    </w:p>
    <w:p w14:paraId="52843C50" w14:textId="360AB4BC" w:rsidR="009261DC" w:rsidRDefault="009261DC" w:rsidP="00C877AF">
      <w:pPr>
        <w:pStyle w:val="NoSpacing"/>
        <w:rPr>
          <w:rFonts w:ascii="Proxima Nova" w:hAnsi="Proxima Nova"/>
          <w:sz w:val="20"/>
          <w:szCs w:val="20"/>
        </w:rPr>
      </w:pPr>
    </w:p>
    <w:p w14:paraId="53C46ACF" w14:textId="31427139" w:rsidR="009261DC" w:rsidRDefault="009261DC" w:rsidP="00C877AF">
      <w:pPr>
        <w:pStyle w:val="NoSpacing"/>
        <w:rPr>
          <w:rFonts w:ascii="Proxima Nova" w:hAnsi="Proxima Nova"/>
          <w:sz w:val="20"/>
          <w:szCs w:val="20"/>
        </w:rPr>
      </w:pPr>
    </w:p>
    <w:p w14:paraId="5CFE725E" w14:textId="2876781C" w:rsidR="009261DC" w:rsidRDefault="009261DC" w:rsidP="00C877AF">
      <w:pPr>
        <w:pStyle w:val="NoSpacing"/>
        <w:rPr>
          <w:rFonts w:ascii="Proxima Nova" w:hAnsi="Proxima Nova"/>
          <w:sz w:val="20"/>
          <w:szCs w:val="20"/>
        </w:rPr>
      </w:pPr>
    </w:p>
    <w:p w14:paraId="79D6F50C" w14:textId="77777777" w:rsidR="00A90737" w:rsidRPr="00BD5E1A" w:rsidRDefault="00A90737" w:rsidP="00C92D1C">
      <w:pPr>
        <w:rPr>
          <w:rFonts w:ascii="Proxima Nova" w:hAnsi="Proxima Nova"/>
          <w:sz w:val="22"/>
          <w:szCs w:val="22"/>
        </w:rPr>
      </w:pPr>
    </w:p>
    <w:p w14:paraId="6C049ACB" w14:textId="63DC5147" w:rsidR="007A27CF" w:rsidRPr="00BD5E1A" w:rsidRDefault="00423748" w:rsidP="00C92D1C">
      <w:pPr>
        <w:rPr>
          <w:rFonts w:ascii="Proxima Nova" w:hAnsi="Proxima Nova"/>
          <w:sz w:val="22"/>
          <w:szCs w:val="22"/>
        </w:rPr>
      </w:pPr>
      <w:r w:rsidRPr="00BD5E1A">
        <w:rPr>
          <w:rFonts w:ascii="Proxima Nova" w:hAnsi="Proxima Nova"/>
          <w:sz w:val="22"/>
          <w:szCs w:val="22"/>
        </w:rPr>
        <w:br w:type="page"/>
      </w:r>
    </w:p>
    <w:p w14:paraId="0E69FBBA" w14:textId="33254168" w:rsidR="009168BE" w:rsidRPr="00C84823" w:rsidRDefault="00C84823" w:rsidP="00C92D1C">
      <w:pPr>
        <w:pStyle w:val="Heading1"/>
        <w:rPr>
          <w:rFonts w:ascii="League Spartan" w:hAnsi="League Spartan"/>
          <w:b w:val="0"/>
          <w:color w:val="004479"/>
          <w:sz w:val="28"/>
          <w:szCs w:val="28"/>
        </w:rPr>
      </w:pPr>
      <w:bookmarkStart w:id="43" w:name="_Toc74855809"/>
      <w:bookmarkStart w:id="44" w:name="_Toc61349419"/>
      <w:r w:rsidRPr="00C84823">
        <w:rPr>
          <w:rFonts w:ascii="League Spartan" w:hAnsi="League Spartan"/>
          <w:b w:val="0"/>
          <w:color w:val="004479"/>
          <w:sz w:val="28"/>
          <w:szCs w:val="28"/>
        </w:rPr>
        <w:lastRenderedPageBreak/>
        <w:t>ACRONYMS</w:t>
      </w:r>
      <w:bookmarkEnd w:id="43"/>
    </w:p>
    <w:p w14:paraId="78B178EB" w14:textId="77777777" w:rsidR="00C9097C" w:rsidRPr="00C52B21" w:rsidRDefault="00C9097C" w:rsidP="00C92D1C">
      <w:pPr>
        <w:rPr>
          <w:rFonts w:ascii="Proxima Nova" w:hAnsi="Proxima Nova"/>
          <w:sz w:val="22"/>
          <w:szCs w:val="22"/>
        </w:rPr>
      </w:pPr>
    </w:p>
    <w:p w14:paraId="3A2DF425" w14:textId="51B90437" w:rsidR="007C3928" w:rsidRPr="00C52B21" w:rsidRDefault="007C3928" w:rsidP="00C92D1C">
      <w:pPr>
        <w:rPr>
          <w:rFonts w:ascii="Proxima Nova" w:hAnsi="Proxima Nova" w:cstheme="minorHAnsi"/>
          <w:sz w:val="22"/>
          <w:szCs w:val="22"/>
        </w:rPr>
      </w:pPr>
      <w:r w:rsidRPr="00C52B21">
        <w:rPr>
          <w:rFonts w:ascii="Proxima Nova" w:hAnsi="Proxima Nova" w:cstheme="minorHAnsi"/>
          <w:sz w:val="22"/>
          <w:szCs w:val="22"/>
        </w:rPr>
        <w:t>ABS</w:t>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00F13B36" w:rsidRPr="00C52B21">
        <w:rPr>
          <w:rFonts w:ascii="Proxima Nova" w:hAnsi="Proxima Nova" w:cstheme="minorHAnsi"/>
          <w:sz w:val="22"/>
          <w:szCs w:val="22"/>
        </w:rPr>
        <w:tab/>
      </w:r>
      <w:r w:rsidRPr="00C52B21">
        <w:rPr>
          <w:rFonts w:ascii="Proxima Nova" w:hAnsi="Proxima Nova" w:cstheme="minorHAnsi"/>
          <w:sz w:val="22"/>
          <w:szCs w:val="22"/>
        </w:rPr>
        <w:t>Australian Bureau of Statistics</w:t>
      </w:r>
    </w:p>
    <w:p w14:paraId="22CB3BBC" w14:textId="69BF5750" w:rsidR="00EA69A3" w:rsidRPr="00C52B21" w:rsidRDefault="00EA69A3" w:rsidP="00C92D1C">
      <w:pPr>
        <w:rPr>
          <w:rFonts w:ascii="Proxima Nova" w:hAnsi="Proxima Nova" w:cstheme="minorHAnsi"/>
          <w:sz w:val="22"/>
          <w:szCs w:val="22"/>
        </w:rPr>
      </w:pPr>
    </w:p>
    <w:p w14:paraId="46C94AAB" w14:textId="45003D6D" w:rsidR="00FB0605" w:rsidRPr="00C52B21" w:rsidRDefault="00FB0605" w:rsidP="00C92D1C">
      <w:pPr>
        <w:ind w:left="3600" w:hanging="3600"/>
        <w:rPr>
          <w:rFonts w:ascii="Proxima Nova" w:hAnsi="Proxima Nova" w:cstheme="minorHAnsi"/>
          <w:sz w:val="22"/>
          <w:szCs w:val="22"/>
        </w:rPr>
      </w:pPr>
      <w:r w:rsidRPr="00C52B21">
        <w:rPr>
          <w:rFonts w:ascii="Proxima Nova" w:hAnsi="Proxima Nova" w:cstheme="minorHAnsi"/>
          <w:sz w:val="22"/>
          <w:szCs w:val="22"/>
        </w:rPr>
        <w:t>AGAC</w:t>
      </w:r>
      <w:r w:rsidRPr="00C52B21">
        <w:rPr>
          <w:rFonts w:ascii="Proxima Nova" w:hAnsi="Proxima Nova" w:cstheme="minorHAnsi"/>
          <w:sz w:val="22"/>
          <w:szCs w:val="22"/>
        </w:rPr>
        <w:tab/>
        <w:t>Australian Guardianship and Administration Council</w:t>
      </w:r>
    </w:p>
    <w:p w14:paraId="35415F1B" w14:textId="77777777" w:rsidR="00FB0605" w:rsidRPr="00C52B21" w:rsidRDefault="00FB0605" w:rsidP="00C92D1C">
      <w:pPr>
        <w:ind w:left="3600" w:hanging="3600"/>
        <w:rPr>
          <w:rFonts w:ascii="Proxima Nova" w:hAnsi="Proxima Nova" w:cstheme="minorHAnsi"/>
          <w:sz w:val="22"/>
          <w:szCs w:val="22"/>
          <w:lang w:val="en-GB"/>
        </w:rPr>
      </w:pPr>
    </w:p>
    <w:p w14:paraId="553A738D" w14:textId="274CC25E" w:rsidR="005A2BFD" w:rsidRPr="00C52B21" w:rsidRDefault="005A2BFD" w:rsidP="00C92D1C">
      <w:pPr>
        <w:ind w:left="3600" w:hanging="3600"/>
        <w:rPr>
          <w:rFonts w:ascii="Proxima Nova" w:hAnsi="Proxima Nova" w:cstheme="minorHAnsi"/>
          <w:sz w:val="22"/>
          <w:szCs w:val="22"/>
          <w:lang w:val="en-GB"/>
        </w:rPr>
      </w:pPr>
      <w:r w:rsidRPr="00C52B21">
        <w:rPr>
          <w:rFonts w:ascii="Proxima Nova" w:hAnsi="Proxima Nova" w:cstheme="minorHAnsi"/>
          <w:sz w:val="22"/>
          <w:szCs w:val="22"/>
          <w:lang w:val="en-GB"/>
        </w:rPr>
        <w:t>ACRC Final Report</w:t>
      </w:r>
      <w:r w:rsidRPr="00C52B21">
        <w:rPr>
          <w:rFonts w:ascii="Proxima Nova" w:hAnsi="Proxima Nova" w:cstheme="minorHAnsi"/>
          <w:sz w:val="22"/>
          <w:szCs w:val="22"/>
          <w:lang w:val="en-GB"/>
        </w:rPr>
        <w:tab/>
        <w:t>Final Report of the Royal Commission into Aged Care Quality and Safety</w:t>
      </w:r>
    </w:p>
    <w:p w14:paraId="6490C226" w14:textId="77777777" w:rsidR="005A2BFD" w:rsidRPr="00C52B21" w:rsidRDefault="005A2BFD" w:rsidP="00C92D1C">
      <w:pPr>
        <w:ind w:left="3600" w:hanging="3600"/>
        <w:rPr>
          <w:rFonts w:ascii="Proxima Nova" w:hAnsi="Proxima Nova" w:cstheme="minorHAnsi"/>
          <w:sz w:val="22"/>
          <w:szCs w:val="22"/>
          <w:lang w:val="en-GB"/>
        </w:rPr>
      </w:pPr>
    </w:p>
    <w:p w14:paraId="4B5E9958" w14:textId="3E6FDD7C" w:rsidR="00DE00A3" w:rsidRPr="00C52B21" w:rsidRDefault="00DE00A3" w:rsidP="00C92D1C">
      <w:pPr>
        <w:ind w:left="3600" w:hanging="3600"/>
        <w:rPr>
          <w:rFonts w:ascii="Proxima Nova" w:hAnsi="Proxima Nova" w:cstheme="minorHAnsi"/>
          <w:sz w:val="22"/>
          <w:szCs w:val="22"/>
          <w:lang w:val="en-GB"/>
        </w:rPr>
      </w:pPr>
      <w:r w:rsidRPr="00C52B21">
        <w:rPr>
          <w:rFonts w:ascii="Proxima Nova" w:hAnsi="Proxima Nova" w:cstheme="minorHAnsi"/>
          <w:sz w:val="22"/>
          <w:szCs w:val="22"/>
          <w:lang w:val="en-GB"/>
        </w:rPr>
        <w:t>ACRC Interim Report</w:t>
      </w:r>
      <w:r w:rsidRPr="00C52B21">
        <w:rPr>
          <w:rFonts w:ascii="Proxima Nova" w:hAnsi="Proxima Nova" w:cstheme="minorHAnsi"/>
          <w:sz w:val="22"/>
          <w:szCs w:val="22"/>
          <w:lang w:val="en-GB"/>
        </w:rPr>
        <w:tab/>
        <w:t>Interim Report of the Royal Commission into Aged Care Quality and Safety</w:t>
      </w:r>
    </w:p>
    <w:p w14:paraId="3C148A0D" w14:textId="77777777" w:rsidR="00DE00A3" w:rsidRPr="00C52B21" w:rsidRDefault="00DE00A3" w:rsidP="00C92D1C">
      <w:pPr>
        <w:rPr>
          <w:rFonts w:ascii="Proxima Nova" w:hAnsi="Proxima Nova" w:cstheme="minorHAnsi"/>
          <w:sz w:val="22"/>
          <w:szCs w:val="22"/>
          <w:lang w:val="en-GB"/>
        </w:rPr>
      </w:pPr>
    </w:p>
    <w:p w14:paraId="40B6A950" w14:textId="3F3BF6E7" w:rsidR="00491AE3" w:rsidRPr="00C52B21" w:rsidRDefault="00491AE3" w:rsidP="00C92D1C">
      <w:pPr>
        <w:rPr>
          <w:rFonts w:ascii="Proxima Nova" w:hAnsi="Proxima Nova" w:cstheme="minorHAnsi"/>
          <w:sz w:val="22"/>
          <w:szCs w:val="22"/>
          <w:lang w:val="en-GB"/>
        </w:rPr>
      </w:pPr>
      <w:r w:rsidRPr="00C52B21">
        <w:rPr>
          <w:rFonts w:ascii="Proxima Nova" w:eastAsia="Calibri" w:hAnsi="Proxima Nova" w:cstheme="minorHAnsi"/>
          <w:sz w:val="22"/>
          <w:szCs w:val="22"/>
        </w:rPr>
        <w:t>ACQSC</w:t>
      </w:r>
      <w:r w:rsidRPr="00C52B21">
        <w:rPr>
          <w:rFonts w:ascii="Proxima Nova" w:eastAsia="Calibri" w:hAnsi="Proxima Nova" w:cstheme="minorHAnsi"/>
          <w:sz w:val="22"/>
          <w:szCs w:val="22"/>
        </w:rPr>
        <w:tab/>
      </w:r>
      <w:r w:rsidRPr="00C52B21">
        <w:rPr>
          <w:rFonts w:ascii="Proxima Nova" w:eastAsia="Calibri" w:hAnsi="Proxima Nova" w:cstheme="minorHAnsi"/>
          <w:sz w:val="22"/>
          <w:szCs w:val="22"/>
        </w:rPr>
        <w:tab/>
      </w:r>
      <w:r w:rsidRPr="00C52B21">
        <w:rPr>
          <w:rFonts w:ascii="Proxima Nova" w:eastAsia="Calibri" w:hAnsi="Proxima Nova" w:cstheme="minorHAnsi"/>
          <w:sz w:val="22"/>
          <w:szCs w:val="22"/>
        </w:rPr>
        <w:tab/>
      </w:r>
      <w:r w:rsidRPr="00C52B21">
        <w:rPr>
          <w:rFonts w:ascii="Proxima Nova" w:eastAsia="Calibri" w:hAnsi="Proxima Nova" w:cstheme="minorHAnsi"/>
          <w:sz w:val="22"/>
          <w:szCs w:val="22"/>
        </w:rPr>
        <w:tab/>
        <w:t>Aged Care Quality and Safety Commission</w:t>
      </w:r>
    </w:p>
    <w:p w14:paraId="1B7499C9" w14:textId="77777777" w:rsidR="00491AE3" w:rsidRPr="00C52B21" w:rsidRDefault="00491AE3" w:rsidP="00C92D1C">
      <w:pPr>
        <w:rPr>
          <w:rFonts w:ascii="Proxima Nova" w:hAnsi="Proxima Nova" w:cstheme="minorHAnsi"/>
          <w:sz w:val="22"/>
          <w:szCs w:val="22"/>
          <w:lang w:val="en-GB"/>
        </w:rPr>
      </w:pPr>
    </w:p>
    <w:p w14:paraId="0388EA64" w14:textId="2532730E" w:rsidR="004C5025" w:rsidRPr="00C52B21" w:rsidRDefault="004C5025" w:rsidP="00C92D1C">
      <w:pPr>
        <w:rPr>
          <w:rFonts w:ascii="Proxima Nova" w:hAnsi="Proxima Nova" w:cstheme="minorHAnsi"/>
          <w:sz w:val="22"/>
          <w:szCs w:val="22"/>
          <w:lang w:val="en-GB"/>
        </w:rPr>
      </w:pPr>
      <w:r w:rsidRPr="00C52B21">
        <w:rPr>
          <w:rFonts w:ascii="Proxima Nova" w:hAnsi="Proxima Nova" w:cstheme="minorHAnsi"/>
          <w:sz w:val="22"/>
          <w:szCs w:val="22"/>
          <w:lang w:val="en-GB"/>
        </w:rPr>
        <w:t>Aged Care Royal Commission</w:t>
      </w:r>
      <w:r w:rsidRPr="00C52B21">
        <w:rPr>
          <w:rFonts w:ascii="Proxima Nova" w:hAnsi="Proxima Nova" w:cstheme="minorHAnsi"/>
          <w:sz w:val="22"/>
          <w:szCs w:val="22"/>
          <w:lang w:val="en-GB"/>
        </w:rPr>
        <w:tab/>
      </w:r>
      <w:r w:rsidR="00F13B36" w:rsidRPr="00C52B21">
        <w:rPr>
          <w:rFonts w:ascii="Proxima Nova" w:hAnsi="Proxima Nova" w:cstheme="minorHAnsi"/>
          <w:sz w:val="22"/>
          <w:szCs w:val="22"/>
          <w:lang w:val="en-GB"/>
        </w:rPr>
        <w:tab/>
      </w:r>
      <w:r w:rsidRPr="00C52B21">
        <w:rPr>
          <w:rFonts w:ascii="Proxima Nova" w:hAnsi="Proxima Nova" w:cstheme="minorHAnsi"/>
          <w:sz w:val="22"/>
          <w:szCs w:val="22"/>
          <w:lang w:val="en-GB"/>
        </w:rPr>
        <w:t>Royal Commission into Aged Care Quality and Safety</w:t>
      </w:r>
    </w:p>
    <w:p w14:paraId="743D435B" w14:textId="77777777" w:rsidR="007C3928" w:rsidRPr="00C52B21" w:rsidRDefault="007C3928" w:rsidP="00C92D1C">
      <w:pPr>
        <w:rPr>
          <w:rFonts w:ascii="Proxima Nova" w:hAnsi="Proxima Nova" w:cstheme="minorHAnsi"/>
          <w:sz w:val="22"/>
          <w:szCs w:val="22"/>
        </w:rPr>
      </w:pPr>
    </w:p>
    <w:p w14:paraId="2BC9E679" w14:textId="6B1E8D39" w:rsidR="00CC31BA" w:rsidRPr="00C52B21" w:rsidRDefault="00CC31BA" w:rsidP="00C92D1C">
      <w:pPr>
        <w:rPr>
          <w:rFonts w:ascii="Proxima Nova" w:hAnsi="Proxima Nova" w:cstheme="minorHAnsi"/>
          <w:sz w:val="22"/>
          <w:szCs w:val="22"/>
        </w:rPr>
      </w:pPr>
      <w:r w:rsidRPr="00C52B21">
        <w:rPr>
          <w:rFonts w:ascii="Proxima Nova" w:hAnsi="Proxima Nova" w:cstheme="minorHAnsi"/>
          <w:sz w:val="22"/>
          <w:szCs w:val="22"/>
        </w:rPr>
        <w:t>AHRC</w:t>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00F13B36" w:rsidRPr="00C52B21">
        <w:rPr>
          <w:rFonts w:ascii="Proxima Nova" w:hAnsi="Proxima Nova" w:cstheme="minorHAnsi"/>
          <w:sz w:val="22"/>
          <w:szCs w:val="22"/>
        </w:rPr>
        <w:tab/>
      </w:r>
      <w:r w:rsidRPr="00C52B21">
        <w:rPr>
          <w:rFonts w:ascii="Proxima Nova" w:hAnsi="Proxima Nova" w:cstheme="minorHAnsi"/>
          <w:sz w:val="22"/>
          <w:szCs w:val="22"/>
        </w:rPr>
        <w:t>Australian Human Rights Commission</w:t>
      </w:r>
    </w:p>
    <w:p w14:paraId="5EC8018D" w14:textId="77777777" w:rsidR="00CC31BA" w:rsidRPr="00C52B21" w:rsidRDefault="00CC31BA" w:rsidP="00C92D1C">
      <w:pPr>
        <w:rPr>
          <w:rFonts w:ascii="Proxima Nova" w:hAnsi="Proxima Nova" w:cstheme="minorHAnsi"/>
          <w:sz w:val="22"/>
          <w:szCs w:val="22"/>
        </w:rPr>
      </w:pPr>
    </w:p>
    <w:p w14:paraId="0778F09B" w14:textId="19BC6294" w:rsidR="00C9097C" w:rsidRPr="00C52B21" w:rsidRDefault="00C9097C" w:rsidP="00C92D1C">
      <w:pPr>
        <w:rPr>
          <w:rFonts w:ascii="Proxima Nova" w:hAnsi="Proxima Nova" w:cstheme="minorHAnsi"/>
          <w:sz w:val="22"/>
          <w:szCs w:val="22"/>
        </w:rPr>
      </w:pPr>
      <w:r w:rsidRPr="00C52B21">
        <w:rPr>
          <w:rFonts w:ascii="Proxima Nova" w:hAnsi="Proxima Nova" w:cstheme="minorHAnsi"/>
          <w:sz w:val="22"/>
          <w:szCs w:val="22"/>
        </w:rPr>
        <w:t>ALRC</w:t>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00F13B36" w:rsidRPr="00C52B21">
        <w:rPr>
          <w:rFonts w:ascii="Proxima Nova" w:hAnsi="Proxima Nova" w:cstheme="minorHAnsi"/>
          <w:sz w:val="22"/>
          <w:szCs w:val="22"/>
        </w:rPr>
        <w:tab/>
      </w:r>
      <w:r w:rsidRPr="00C52B21">
        <w:rPr>
          <w:rFonts w:ascii="Proxima Nova" w:hAnsi="Proxima Nova" w:cstheme="minorHAnsi"/>
          <w:sz w:val="22"/>
          <w:szCs w:val="22"/>
        </w:rPr>
        <w:t>Australian Law Reform Commission</w:t>
      </w:r>
    </w:p>
    <w:p w14:paraId="737A51C2" w14:textId="00F27E95" w:rsidR="00D46D6A" w:rsidRPr="00C52B21" w:rsidRDefault="00D46D6A" w:rsidP="00C92D1C">
      <w:pPr>
        <w:rPr>
          <w:rFonts w:ascii="Proxima Nova" w:hAnsi="Proxima Nova" w:cstheme="minorHAnsi"/>
          <w:sz w:val="22"/>
          <w:szCs w:val="22"/>
        </w:rPr>
      </w:pPr>
    </w:p>
    <w:p w14:paraId="71EEBDB8" w14:textId="58719DB7" w:rsidR="002639EE" w:rsidRPr="00C52B21" w:rsidRDefault="002639EE" w:rsidP="00C92D1C">
      <w:pPr>
        <w:rPr>
          <w:rFonts w:ascii="Proxima Nova" w:hAnsi="Proxima Nova" w:cstheme="minorHAnsi"/>
          <w:sz w:val="22"/>
          <w:szCs w:val="22"/>
          <w:lang w:val="en-GB"/>
        </w:rPr>
      </w:pPr>
      <w:r w:rsidRPr="00C52B21">
        <w:rPr>
          <w:rFonts w:ascii="Proxima Nova" w:hAnsi="Proxima Nova" w:cstheme="minorHAnsi"/>
          <w:sz w:val="22"/>
          <w:szCs w:val="22"/>
          <w:lang w:val="en-GB"/>
        </w:rPr>
        <w:t xml:space="preserve">BPSD </w:t>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00F13B36" w:rsidRPr="00C52B21">
        <w:rPr>
          <w:rFonts w:ascii="Proxima Nova" w:hAnsi="Proxima Nova" w:cstheme="minorHAnsi"/>
          <w:sz w:val="22"/>
          <w:szCs w:val="22"/>
          <w:lang w:val="en-GB"/>
        </w:rPr>
        <w:tab/>
      </w:r>
      <w:r w:rsidRPr="00C52B21">
        <w:rPr>
          <w:rFonts w:ascii="Proxima Nova" w:hAnsi="Proxima Nova" w:cstheme="minorHAnsi"/>
          <w:sz w:val="22"/>
          <w:szCs w:val="22"/>
          <w:lang w:val="en-GB"/>
        </w:rPr>
        <w:t>Behavioural and Psychiatric Symptoms of Dementia</w:t>
      </w:r>
    </w:p>
    <w:p w14:paraId="4D62E9DC" w14:textId="6A168EC3" w:rsidR="002639EE" w:rsidRPr="00C52B21" w:rsidRDefault="002639EE" w:rsidP="00C92D1C">
      <w:pPr>
        <w:rPr>
          <w:rFonts w:ascii="Proxima Nova" w:hAnsi="Proxima Nova" w:cstheme="minorHAnsi"/>
          <w:sz w:val="22"/>
          <w:szCs w:val="22"/>
        </w:rPr>
      </w:pPr>
    </w:p>
    <w:p w14:paraId="7A2397F8" w14:textId="4C5E4B0A" w:rsidR="003101A6" w:rsidRPr="00C52B21" w:rsidRDefault="003101A6" w:rsidP="00C92D1C">
      <w:pPr>
        <w:rPr>
          <w:rFonts w:ascii="Proxima Nova" w:hAnsi="Proxima Nova" w:cstheme="minorHAnsi"/>
          <w:sz w:val="22"/>
          <w:szCs w:val="22"/>
          <w:lang w:val="en-GB"/>
        </w:rPr>
      </w:pPr>
      <w:r w:rsidRPr="00C52B21">
        <w:rPr>
          <w:rFonts w:ascii="Proxima Nova" w:hAnsi="Proxima Nova" w:cstheme="minorHAnsi"/>
          <w:sz w:val="22"/>
          <w:szCs w:val="22"/>
          <w:lang w:val="en-GB"/>
        </w:rPr>
        <w:t xml:space="preserve">CAT </w:t>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00F13B36" w:rsidRPr="00C52B21">
        <w:rPr>
          <w:rFonts w:ascii="Proxima Nova" w:hAnsi="Proxima Nova" w:cstheme="minorHAnsi"/>
          <w:sz w:val="22"/>
          <w:szCs w:val="22"/>
          <w:lang w:val="en-GB"/>
        </w:rPr>
        <w:tab/>
      </w:r>
      <w:r w:rsidRPr="00C52B21">
        <w:rPr>
          <w:rFonts w:ascii="Proxima Nova" w:hAnsi="Proxima Nova" w:cstheme="minorHAnsi"/>
          <w:sz w:val="22"/>
          <w:szCs w:val="22"/>
          <w:lang w:val="en-GB"/>
        </w:rPr>
        <w:t>Convention Against Torture</w:t>
      </w:r>
    </w:p>
    <w:p w14:paraId="7E6FD08A" w14:textId="77777777" w:rsidR="003101A6" w:rsidRPr="00C52B21" w:rsidRDefault="003101A6" w:rsidP="00C92D1C">
      <w:pPr>
        <w:rPr>
          <w:rFonts w:ascii="Proxima Nova" w:hAnsi="Proxima Nova" w:cstheme="minorHAnsi"/>
          <w:sz w:val="22"/>
          <w:szCs w:val="22"/>
        </w:rPr>
      </w:pPr>
    </w:p>
    <w:p w14:paraId="5D7A7AE5" w14:textId="7BA6E2F8" w:rsidR="00D46D6A" w:rsidRPr="00C52B21" w:rsidRDefault="00D46D6A" w:rsidP="00C92D1C">
      <w:pPr>
        <w:ind w:left="3600" w:hanging="3600"/>
        <w:rPr>
          <w:rFonts w:ascii="Proxima Nova" w:hAnsi="Proxima Nova" w:cstheme="minorHAnsi"/>
          <w:sz w:val="22"/>
          <w:szCs w:val="22"/>
        </w:rPr>
      </w:pPr>
      <w:r w:rsidRPr="00C52B21">
        <w:rPr>
          <w:rFonts w:ascii="Proxima Nova" w:hAnsi="Proxima Nova" w:cstheme="minorHAnsi"/>
          <w:sz w:val="22"/>
          <w:szCs w:val="22"/>
        </w:rPr>
        <w:t>CEDAW</w:t>
      </w:r>
      <w:r w:rsidRPr="00C52B21">
        <w:rPr>
          <w:rFonts w:ascii="Proxima Nova" w:hAnsi="Proxima Nova" w:cstheme="minorHAnsi"/>
          <w:sz w:val="22"/>
          <w:szCs w:val="22"/>
        </w:rPr>
        <w:tab/>
        <w:t xml:space="preserve">Convention on the Elimination of </w:t>
      </w:r>
      <w:r w:rsidR="00C91EDF" w:rsidRPr="00C52B21">
        <w:rPr>
          <w:rFonts w:ascii="Proxima Nova" w:hAnsi="Proxima Nova" w:cstheme="minorHAnsi"/>
          <w:sz w:val="22"/>
          <w:szCs w:val="22"/>
        </w:rPr>
        <w:t>A</w:t>
      </w:r>
      <w:r w:rsidRPr="00C52B21">
        <w:rPr>
          <w:rFonts w:ascii="Proxima Nova" w:hAnsi="Proxima Nova" w:cstheme="minorHAnsi"/>
          <w:sz w:val="22"/>
          <w:szCs w:val="22"/>
        </w:rPr>
        <w:t>ll Forms of Discrimination Against Women</w:t>
      </w:r>
    </w:p>
    <w:p w14:paraId="74FCE4AA" w14:textId="190D88FA" w:rsidR="00C9097C" w:rsidRPr="00C52B21" w:rsidRDefault="00C9097C" w:rsidP="00C92D1C">
      <w:pPr>
        <w:rPr>
          <w:rFonts w:ascii="Proxima Nova" w:hAnsi="Proxima Nova" w:cstheme="minorHAnsi"/>
          <w:sz w:val="22"/>
          <w:szCs w:val="22"/>
        </w:rPr>
      </w:pPr>
    </w:p>
    <w:p w14:paraId="374C9F09" w14:textId="4C9A1FF9" w:rsidR="008A3E9A" w:rsidRPr="00C52B21" w:rsidRDefault="008A3E9A" w:rsidP="00C92D1C">
      <w:pPr>
        <w:rPr>
          <w:rFonts w:ascii="Proxima Nova" w:hAnsi="Proxima Nova" w:cstheme="minorHAnsi"/>
          <w:sz w:val="22"/>
          <w:szCs w:val="22"/>
        </w:rPr>
      </w:pPr>
      <w:r w:rsidRPr="00C52B21">
        <w:rPr>
          <w:rFonts w:ascii="Proxima Nova" w:hAnsi="Proxima Nova" w:cstheme="minorHAnsi"/>
          <w:sz w:val="22"/>
          <w:szCs w:val="22"/>
        </w:rPr>
        <w:t>COAG</w:t>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00F13B36" w:rsidRPr="00C52B21">
        <w:rPr>
          <w:rFonts w:ascii="Proxima Nova" w:hAnsi="Proxima Nova" w:cstheme="minorHAnsi"/>
          <w:sz w:val="22"/>
          <w:szCs w:val="22"/>
        </w:rPr>
        <w:tab/>
      </w:r>
      <w:r w:rsidRPr="00C52B21">
        <w:rPr>
          <w:rFonts w:ascii="Proxima Nova" w:hAnsi="Proxima Nova" w:cstheme="minorHAnsi"/>
          <w:sz w:val="22"/>
          <w:szCs w:val="22"/>
        </w:rPr>
        <w:t>Council of Australian Governments</w:t>
      </w:r>
    </w:p>
    <w:p w14:paraId="166EABEE" w14:textId="30DB1EF8" w:rsidR="008A3E9A" w:rsidRPr="00C52B21" w:rsidRDefault="008A3E9A" w:rsidP="00C92D1C">
      <w:pPr>
        <w:rPr>
          <w:rFonts w:ascii="Proxima Nova" w:hAnsi="Proxima Nova" w:cstheme="minorHAnsi"/>
          <w:sz w:val="22"/>
          <w:szCs w:val="22"/>
        </w:rPr>
      </w:pPr>
    </w:p>
    <w:p w14:paraId="54AECEDD" w14:textId="04670508" w:rsidR="00C9097C" w:rsidRPr="00C52B21" w:rsidRDefault="00C9097C" w:rsidP="00C92D1C">
      <w:pPr>
        <w:ind w:left="3600" w:hanging="3600"/>
        <w:rPr>
          <w:rFonts w:ascii="Proxima Nova" w:hAnsi="Proxima Nova" w:cstheme="minorHAnsi"/>
          <w:sz w:val="22"/>
          <w:szCs w:val="22"/>
        </w:rPr>
      </w:pPr>
      <w:r w:rsidRPr="00C52B21">
        <w:rPr>
          <w:rFonts w:ascii="Proxima Nova" w:hAnsi="Proxima Nova" w:cstheme="minorHAnsi"/>
          <w:sz w:val="22"/>
          <w:szCs w:val="22"/>
        </w:rPr>
        <w:t>CRPD</w:t>
      </w:r>
      <w:r w:rsidRPr="00C52B21">
        <w:rPr>
          <w:rFonts w:ascii="Proxima Nova" w:hAnsi="Proxima Nova" w:cstheme="minorHAnsi"/>
          <w:sz w:val="22"/>
          <w:szCs w:val="22"/>
        </w:rPr>
        <w:tab/>
        <w:t xml:space="preserve">United Nations Convention on the Rights </w:t>
      </w:r>
      <w:r w:rsidR="00C30B51" w:rsidRPr="00C52B21">
        <w:rPr>
          <w:rFonts w:ascii="Proxima Nova" w:hAnsi="Proxima Nova" w:cstheme="minorHAnsi"/>
          <w:sz w:val="22"/>
          <w:szCs w:val="22"/>
        </w:rPr>
        <w:t>of Persons with Disabilities</w:t>
      </w:r>
    </w:p>
    <w:p w14:paraId="36CBCD6E" w14:textId="4394C8CE" w:rsidR="00C059F6" w:rsidRPr="00C52B21" w:rsidRDefault="00C059F6" w:rsidP="00C92D1C">
      <w:pPr>
        <w:rPr>
          <w:rFonts w:ascii="Proxima Nova" w:hAnsi="Proxima Nova" w:cstheme="minorHAnsi"/>
          <w:sz w:val="22"/>
          <w:szCs w:val="22"/>
        </w:rPr>
      </w:pPr>
    </w:p>
    <w:p w14:paraId="3DE86A7E" w14:textId="4A8F5066" w:rsidR="00C059F6" w:rsidRPr="00C52B21" w:rsidRDefault="00C059F6" w:rsidP="00C92D1C">
      <w:pPr>
        <w:rPr>
          <w:rFonts w:ascii="Proxima Nova" w:hAnsi="Proxima Nova" w:cstheme="minorHAnsi"/>
          <w:sz w:val="22"/>
          <w:szCs w:val="22"/>
        </w:rPr>
      </w:pPr>
      <w:r w:rsidRPr="00C52B21">
        <w:rPr>
          <w:rFonts w:ascii="Proxima Nova" w:hAnsi="Proxima Nova" w:cstheme="minorHAnsi"/>
          <w:sz w:val="22"/>
          <w:szCs w:val="22"/>
        </w:rPr>
        <w:t>DPO</w:t>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00F13B36" w:rsidRPr="00C52B21">
        <w:rPr>
          <w:rFonts w:ascii="Proxima Nova" w:hAnsi="Proxima Nova" w:cstheme="minorHAnsi"/>
          <w:sz w:val="22"/>
          <w:szCs w:val="22"/>
        </w:rPr>
        <w:tab/>
      </w:r>
      <w:r w:rsidRPr="00C52B21">
        <w:rPr>
          <w:rFonts w:ascii="Proxima Nova" w:hAnsi="Proxima Nova" w:cstheme="minorHAnsi"/>
          <w:sz w:val="22"/>
          <w:szCs w:val="22"/>
        </w:rPr>
        <w:t>Disabled People’s Organisation</w:t>
      </w:r>
    </w:p>
    <w:p w14:paraId="0589AB5E" w14:textId="0D7FDAB1" w:rsidR="00F55459" w:rsidRPr="00C52B21" w:rsidRDefault="00F55459" w:rsidP="00C92D1C">
      <w:pPr>
        <w:rPr>
          <w:rFonts w:ascii="Proxima Nova" w:hAnsi="Proxima Nova" w:cstheme="minorHAnsi"/>
          <w:sz w:val="22"/>
          <w:szCs w:val="22"/>
        </w:rPr>
      </w:pPr>
    </w:p>
    <w:p w14:paraId="7CF56BD9" w14:textId="4FF02384" w:rsidR="00F55459" w:rsidRPr="00C52B21" w:rsidRDefault="00F55459" w:rsidP="00C92D1C">
      <w:pPr>
        <w:rPr>
          <w:rFonts w:ascii="Proxima Nova" w:hAnsi="Proxima Nova" w:cstheme="minorHAnsi"/>
          <w:sz w:val="22"/>
          <w:szCs w:val="22"/>
        </w:rPr>
      </w:pPr>
      <w:r w:rsidRPr="00C52B21">
        <w:rPr>
          <w:rFonts w:ascii="Proxima Nova" w:hAnsi="Proxima Nova" w:cstheme="minorHAnsi"/>
          <w:sz w:val="22"/>
          <w:szCs w:val="22"/>
        </w:rPr>
        <w:t>DPO Australia</w:t>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00F13B36" w:rsidRPr="00C52B21">
        <w:rPr>
          <w:rFonts w:ascii="Proxima Nova" w:hAnsi="Proxima Nova" w:cstheme="minorHAnsi"/>
          <w:sz w:val="22"/>
          <w:szCs w:val="22"/>
        </w:rPr>
        <w:tab/>
      </w:r>
      <w:r w:rsidRPr="00C52B21">
        <w:rPr>
          <w:rFonts w:ascii="Proxima Nova" w:hAnsi="Proxima Nova" w:cstheme="minorHAnsi"/>
          <w:sz w:val="22"/>
          <w:szCs w:val="22"/>
        </w:rPr>
        <w:t>Disabled People’s Organisation</w:t>
      </w:r>
      <w:r w:rsidR="00134F3E" w:rsidRPr="00C52B21">
        <w:rPr>
          <w:rFonts w:ascii="Proxima Nova" w:hAnsi="Proxima Nova" w:cstheme="minorHAnsi"/>
          <w:sz w:val="22"/>
          <w:szCs w:val="22"/>
        </w:rPr>
        <w:t>s</w:t>
      </w:r>
      <w:r w:rsidRPr="00C52B21">
        <w:rPr>
          <w:rFonts w:ascii="Proxima Nova" w:hAnsi="Proxima Nova" w:cstheme="minorHAnsi"/>
          <w:sz w:val="22"/>
          <w:szCs w:val="22"/>
        </w:rPr>
        <w:t xml:space="preserve"> Australia</w:t>
      </w:r>
    </w:p>
    <w:p w14:paraId="1B363913" w14:textId="77777777" w:rsidR="00304822" w:rsidRPr="00C52B21" w:rsidRDefault="00304822" w:rsidP="00304822">
      <w:pPr>
        <w:rPr>
          <w:rFonts w:ascii="Proxima Nova" w:hAnsi="Proxima Nova" w:cstheme="minorHAnsi"/>
          <w:sz w:val="22"/>
          <w:szCs w:val="22"/>
        </w:rPr>
      </w:pPr>
    </w:p>
    <w:p w14:paraId="0A385876" w14:textId="77777777" w:rsidR="00304822" w:rsidRPr="00C52B21" w:rsidRDefault="00304822" w:rsidP="00304822">
      <w:pPr>
        <w:ind w:left="3600" w:hanging="3600"/>
        <w:rPr>
          <w:rFonts w:ascii="Proxima Nova" w:hAnsi="Proxima Nova" w:cstheme="minorHAnsi"/>
          <w:sz w:val="22"/>
          <w:szCs w:val="22"/>
        </w:rPr>
      </w:pPr>
      <w:r w:rsidRPr="00C52B21">
        <w:rPr>
          <w:rFonts w:ascii="Proxima Nova" w:hAnsi="Proxima Nova" w:cstheme="minorHAnsi"/>
          <w:sz w:val="22"/>
          <w:szCs w:val="22"/>
        </w:rPr>
        <w:t>DRC Interim Report</w:t>
      </w:r>
      <w:r w:rsidRPr="00C52B21">
        <w:rPr>
          <w:rFonts w:ascii="Proxima Nova" w:hAnsi="Proxima Nova" w:cstheme="minorHAnsi"/>
          <w:sz w:val="22"/>
          <w:szCs w:val="22"/>
        </w:rPr>
        <w:tab/>
        <w:t>Interim Report of the Royal Commission into Violence, Abuse, Neglect and Exploitation of People with Disability</w:t>
      </w:r>
    </w:p>
    <w:p w14:paraId="79FA87BC" w14:textId="77777777" w:rsidR="00304822" w:rsidRPr="00C52B21" w:rsidRDefault="00304822" w:rsidP="00C92D1C">
      <w:pPr>
        <w:rPr>
          <w:rFonts w:ascii="Proxima Nova" w:hAnsi="Proxima Nova" w:cstheme="minorHAnsi"/>
          <w:sz w:val="22"/>
          <w:szCs w:val="22"/>
          <w:lang w:val="en-GB"/>
        </w:rPr>
      </w:pPr>
    </w:p>
    <w:p w14:paraId="520680EE" w14:textId="4D095479" w:rsidR="00772A20" w:rsidRPr="00C52B21" w:rsidRDefault="00772A20" w:rsidP="00C92D1C">
      <w:pPr>
        <w:rPr>
          <w:rFonts w:ascii="Proxima Nova" w:hAnsi="Proxima Nova" w:cstheme="minorHAnsi"/>
          <w:sz w:val="22"/>
          <w:szCs w:val="22"/>
          <w:lang w:val="en-GB"/>
        </w:rPr>
      </w:pPr>
      <w:r w:rsidRPr="00C52B21">
        <w:rPr>
          <w:rFonts w:ascii="Proxima Nova" w:hAnsi="Proxima Nova" w:cstheme="minorHAnsi"/>
          <w:sz w:val="22"/>
          <w:szCs w:val="22"/>
          <w:lang w:val="en-GB"/>
        </w:rPr>
        <w:t xml:space="preserve">ECT </w:t>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t>Electroconvulsive Therapy</w:t>
      </w:r>
    </w:p>
    <w:p w14:paraId="7E35EAB8" w14:textId="77777777" w:rsidR="00772A20" w:rsidRPr="00C52B21" w:rsidRDefault="00772A20" w:rsidP="00C92D1C">
      <w:pPr>
        <w:rPr>
          <w:rFonts w:ascii="Proxima Nova" w:hAnsi="Proxima Nova" w:cstheme="minorHAnsi"/>
          <w:sz w:val="22"/>
          <w:szCs w:val="22"/>
        </w:rPr>
      </w:pPr>
    </w:p>
    <w:p w14:paraId="0623590E" w14:textId="568CB97A" w:rsidR="00AB3F76" w:rsidRPr="00C52B21" w:rsidRDefault="00AB3F76" w:rsidP="00C92D1C">
      <w:pPr>
        <w:rPr>
          <w:rFonts w:ascii="Proxima Nova" w:hAnsi="Proxima Nova" w:cstheme="minorHAnsi"/>
          <w:sz w:val="22"/>
          <w:szCs w:val="22"/>
          <w:lang w:val="en-GB"/>
        </w:rPr>
      </w:pPr>
      <w:r w:rsidRPr="00C52B21">
        <w:rPr>
          <w:rFonts w:ascii="Proxima Nova" w:hAnsi="Proxima Nova" w:cstheme="minorHAnsi"/>
          <w:sz w:val="22"/>
          <w:szCs w:val="22"/>
          <w:lang w:val="en-GB"/>
        </w:rPr>
        <w:t xml:space="preserve">ICCPR </w:t>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00F13B36" w:rsidRPr="00C52B21">
        <w:rPr>
          <w:rFonts w:ascii="Proxima Nova" w:hAnsi="Proxima Nova" w:cstheme="minorHAnsi"/>
          <w:sz w:val="22"/>
          <w:szCs w:val="22"/>
          <w:lang w:val="en-GB"/>
        </w:rPr>
        <w:tab/>
      </w:r>
      <w:r w:rsidRPr="00C52B21">
        <w:rPr>
          <w:rFonts w:ascii="Proxima Nova" w:hAnsi="Proxima Nova" w:cstheme="minorHAnsi"/>
          <w:sz w:val="22"/>
          <w:szCs w:val="22"/>
          <w:lang w:val="en-GB"/>
        </w:rPr>
        <w:t>International Covenant on Civil and Political Rights</w:t>
      </w:r>
    </w:p>
    <w:p w14:paraId="1EF8F2A7" w14:textId="77777777" w:rsidR="00AB3F76" w:rsidRPr="00C52B21" w:rsidRDefault="00AB3F76" w:rsidP="00C92D1C">
      <w:pPr>
        <w:rPr>
          <w:rFonts w:ascii="Proxima Nova" w:hAnsi="Proxima Nova" w:cstheme="minorHAnsi"/>
          <w:sz w:val="22"/>
          <w:szCs w:val="22"/>
        </w:rPr>
      </w:pPr>
    </w:p>
    <w:p w14:paraId="56D37651" w14:textId="42AF08C4" w:rsidR="0066380C" w:rsidRPr="00C52B21" w:rsidRDefault="0066380C" w:rsidP="00C92D1C">
      <w:pPr>
        <w:ind w:left="3600" w:hanging="3600"/>
        <w:rPr>
          <w:rFonts w:ascii="Proxima Nova" w:hAnsi="Proxima Nova" w:cstheme="minorHAnsi"/>
          <w:sz w:val="22"/>
          <w:szCs w:val="22"/>
        </w:rPr>
      </w:pPr>
      <w:r w:rsidRPr="00C52B21">
        <w:rPr>
          <w:rFonts w:ascii="Proxima Nova" w:hAnsi="Proxima Nova" w:cstheme="minorHAnsi"/>
          <w:sz w:val="22"/>
          <w:szCs w:val="22"/>
        </w:rPr>
        <w:t>ICESCR</w:t>
      </w:r>
      <w:r w:rsidRPr="00C52B21">
        <w:rPr>
          <w:rFonts w:ascii="Proxima Nova" w:hAnsi="Proxima Nova" w:cstheme="minorHAnsi"/>
          <w:sz w:val="22"/>
          <w:szCs w:val="22"/>
        </w:rPr>
        <w:tab/>
        <w:t>International Covenant on Economic, Social and Cultural Rights</w:t>
      </w:r>
    </w:p>
    <w:p w14:paraId="6B0E1468" w14:textId="7FDA3166" w:rsidR="005943CB" w:rsidRPr="00C52B21" w:rsidRDefault="005943CB" w:rsidP="00C92D1C">
      <w:pPr>
        <w:rPr>
          <w:rFonts w:ascii="Proxima Nova" w:hAnsi="Proxima Nova" w:cstheme="minorHAnsi"/>
          <w:sz w:val="22"/>
          <w:szCs w:val="22"/>
        </w:rPr>
      </w:pPr>
    </w:p>
    <w:p w14:paraId="70A611C2" w14:textId="4E9CBF89" w:rsidR="005943CB" w:rsidRPr="00C52B21" w:rsidRDefault="005943CB" w:rsidP="00C92D1C">
      <w:pPr>
        <w:rPr>
          <w:rFonts w:ascii="Proxima Nova" w:hAnsi="Proxima Nova" w:cstheme="minorHAnsi"/>
          <w:sz w:val="22"/>
          <w:szCs w:val="22"/>
        </w:rPr>
      </w:pPr>
      <w:r w:rsidRPr="00C52B21">
        <w:rPr>
          <w:rFonts w:ascii="Proxima Nova" w:hAnsi="Proxima Nova" w:cstheme="minorHAnsi"/>
          <w:sz w:val="22"/>
          <w:szCs w:val="22"/>
        </w:rPr>
        <w:t>LARC</w:t>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t>Long acting reversible contraception</w:t>
      </w:r>
    </w:p>
    <w:p w14:paraId="759BB227" w14:textId="6764E43E" w:rsidR="00124FB2" w:rsidRPr="00C52B21" w:rsidRDefault="00124FB2" w:rsidP="00C92D1C">
      <w:pPr>
        <w:rPr>
          <w:rFonts w:ascii="Proxima Nova" w:hAnsi="Proxima Nova" w:cstheme="minorHAnsi"/>
          <w:sz w:val="22"/>
          <w:szCs w:val="22"/>
        </w:rPr>
      </w:pPr>
    </w:p>
    <w:p w14:paraId="3628FCC8" w14:textId="41D84E96" w:rsidR="00520FA7" w:rsidRPr="00C52B21" w:rsidRDefault="00520FA7" w:rsidP="00C92D1C">
      <w:pPr>
        <w:rPr>
          <w:rFonts w:ascii="Proxima Nova" w:hAnsi="Proxima Nova" w:cstheme="minorHAnsi"/>
          <w:sz w:val="22"/>
          <w:szCs w:val="22"/>
          <w:lang w:val="en-GB"/>
        </w:rPr>
      </w:pPr>
      <w:r w:rsidRPr="00C52B21">
        <w:rPr>
          <w:rFonts w:ascii="Proxima Nova" w:hAnsi="Proxima Nova" w:cstheme="minorHAnsi"/>
          <w:sz w:val="22"/>
          <w:szCs w:val="22"/>
          <w:lang w:val="en-GB"/>
        </w:rPr>
        <w:t xml:space="preserve">NDIA </w:t>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00F13B36" w:rsidRPr="00C52B21">
        <w:rPr>
          <w:rFonts w:ascii="Proxima Nova" w:hAnsi="Proxima Nova" w:cstheme="minorHAnsi"/>
          <w:sz w:val="22"/>
          <w:szCs w:val="22"/>
          <w:lang w:val="en-GB"/>
        </w:rPr>
        <w:tab/>
      </w:r>
      <w:r w:rsidRPr="00C52B21">
        <w:rPr>
          <w:rFonts w:ascii="Proxima Nova" w:hAnsi="Proxima Nova" w:cstheme="minorHAnsi"/>
          <w:sz w:val="22"/>
          <w:szCs w:val="22"/>
          <w:lang w:val="en-GB"/>
        </w:rPr>
        <w:t>National Disability Insurance Agency</w:t>
      </w:r>
    </w:p>
    <w:p w14:paraId="5058810E" w14:textId="229A9CE0" w:rsidR="00DE66A3" w:rsidRPr="00C52B21" w:rsidRDefault="00DE66A3" w:rsidP="00C92D1C">
      <w:pPr>
        <w:rPr>
          <w:rFonts w:ascii="Proxima Nova" w:hAnsi="Proxima Nova" w:cstheme="minorHAnsi"/>
          <w:sz w:val="22"/>
          <w:szCs w:val="22"/>
          <w:lang w:val="en-GB"/>
        </w:rPr>
      </w:pPr>
    </w:p>
    <w:p w14:paraId="3D99FCDA" w14:textId="7BBDF7CC" w:rsidR="00DE66A3" w:rsidRPr="00C52B21" w:rsidRDefault="00DE66A3" w:rsidP="00C92D1C">
      <w:pPr>
        <w:rPr>
          <w:rFonts w:ascii="Proxima Nova" w:hAnsi="Proxima Nova" w:cstheme="minorHAnsi"/>
          <w:sz w:val="22"/>
          <w:szCs w:val="22"/>
          <w:lang w:val="en-GB"/>
        </w:rPr>
      </w:pPr>
      <w:r w:rsidRPr="00C52B21">
        <w:rPr>
          <w:rFonts w:ascii="Proxima Nova" w:hAnsi="Proxima Nova" w:cstheme="minorHAnsi"/>
          <w:sz w:val="22"/>
          <w:szCs w:val="22"/>
          <w:lang w:val="en-GB"/>
        </w:rPr>
        <w:t xml:space="preserve">NDIS </w:t>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00F13B36" w:rsidRPr="00C52B21">
        <w:rPr>
          <w:rFonts w:ascii="Proxima Nova" w:hAnsi="Proxima Nova" w:cstheme="minorHAnsi"/>
          <w:sz w:val="22"/>
          <w:szCs w:val="22"/>
          <w:lang w:val="en-GB"/>
        </w:rPr>
        <w:tab/>
      </w:r>
      <w:r w:rsidRPr="00C52B21">
        <w:rPr>
          <w:rFonts w:ascii="Proxima Nova" w:hAnsi="Proxima Nova" w:cstheme="minorHAnsi"/>
          <w:sz w:val="22"/>
          <w:szCs w:val="22"/>
          <w:lang w:val="en-GB"/>
        </w:rPr>
        <w:t xml:space="preserve">National Disability Insurance Scheme </w:t>
      </w:r>
    </w:p>
    <w:p w14:paraId="30918D3E" w14:textId="5AE442E9" w:rsidR="00FF5E37" w:rsidRPr="00C52B21" w:rsidRDefault="00FF5E37" w:rsidP="00C92D1C">
      <w:pPr>
        <w:rPr>
          <w:rFonts w:ascii="Proxima Nova" w:hAnsi="Proxima Nova" w:cstheme="minorHAnsi"/>
          <w:sz w:val="22"/>
          <w:szCs w:val="22"/>
          <w:lang w:val="en-GB"/>
        </w:rPr>
      </w:pPr>
    </w:p>
    <w:p w14:paraId="01E7D81D" w14:textId="5639A00D" w:rsidR="00FF5E37" w:rsidRPr="00C52B21" w:rsidRDefault="00FF5E37" w:rsidP="00C92D1C">
      <w:pPr>
        <w:rPr>
          <w:rFonts w:ascii="Proxima Nova" w:hAnsi="Proxima Nova" w:cstheme="minorHAnsi"/>
          <w:sz w:val="22"/>
          <w:szCs w:val="22"/>
          <w:lang w:val="en-GB"/>
        </w:rPr>
      </w:pPr>
      <w:r w:rsidRPr="00C52B21">
        <w:rPr>
          <w:rFonts w:ascii="Proxima Nova" w:hAnsi="Proxima Nova" w:cstheme="minorHAnsi"/>
          <w:sz w:val="22"/>
          <w:szCs w:val="22"/>
          <w:lang w:val="en-GB"/>
        </w:rPr>
        <w:t xml:space="preserve">NDISQSC </w:t>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00F13B36" w:rsidRPr="00C52B21">
        <w:rPr>
          <w:rFonts w:ascii="Proxima Nova" w:hAnsi="Proxima Nova" w:cstheme="minorHAnsi"/>
          <w:sz w:val="22"/>
          <w:szCs w:val="22"/>
          <w:lang w:val="en-GB"/>
        </w:rPr>
        <w:tab/>
      </w:r>
      <w:r w:rsidRPr="00C52B21">
        <w:rPr>
          <w:rFonts w:ascii="Proxima Nova" w:hAnsi="Proxima Nova" w:cstheme="minorHAnsi"/>
          <w:sz w:val="22"/>
          <w:szCs w:val="22"/>
          <w:lang w:val="en-GB"/>
        </w:rPr>
        <w:t xml:space="preserve">NDIS Quality and Safeguarding Commission </w:t>
      </w:r>
    </w:p>
    <w:p w14:paraId="64E624BA" w14:textId="6443DB2D" w:rsidR="00EC3C1A" w:rsidRPr="00C52B21" w:rsidRDefault="00EC3C1A" w:rsidP="00C92D1C">
      <w:pPr>
        <w:rPr>
          <w:rFonts w:ascii="Proxima Nova" w:hAnsi="Proxima Nova" w:cstheme="minorHAnsi"/>
          <w:sz w:val="22"/>
          <w:szCs w:val="22"/>
          <w:lang w:val="en-GB"/>
        </w:rPr>
      </w:pPr>
    </w:p>
    <w:p w14:paraId="6D9105C5" w14:textId="13DB1176" w:rsidR="00EC3C1A" w:rsidRPr="00C52B21" w:rsidRDefault="00EC3C1A" w:rsidP="00C92D1C">
      <w:pPr>
        <w:rPr>
          <w:rFonts w:ascii="Proxima Nova" w:hAnsi="Proxima Nova" w:cstheme="minorHAnsi"/>
          <w:sz w:val="22"/>
          <w:szCs w:val="22"/>
          <w:lang w:val="en-GB"/>
        </w:rPr>
      </w:pPr>
      <w:r w:rsidRPr="00C52B21">
        <w:rPr>
          <w:rFonts w:ascii="Proxima Nova" w:hAnsi="Proxima Nova" w:cstheme="minorHAnsi"/>
          <w:sz w:val="22"/>
          <w:szCs w:val="22"/>
          <w:lang w:val="en-GB"/>
        </w:rPr>
        <w:t xml:space="preserve">NDS </w:t>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00F13B36" w:rsidRPr="00C52B21">
        <w:rPr>
          <w:rFonts w:ascii="Proxima Nova" w:hAnsi="Proxima Nova" w:cstheme="minorHAnsi"/>
          <w:sz w:val="22"/>
          <w:szCs w:val="22"/>
          <w:lang w:val="en-GB"/>
        </w:rPr>
        <w:tab/>
      </w:r>
      <w:r w:rsidRPr="00C52B21">
        <w:rPr>
          <w:rFonts w:ascii="Proxima Nova" w:hAnsi="Proxima Nova" w:cstheme="minorHAnsi"/>
          <w:sz w:val="22"/>
          <w:szCs w:val="22"/>
          <w:lang w:val="en-GB"/>
        </w:rPr>
        <w:t>National Disability Strategy</w:t>
      </w:r>
    </w:p>
    <w:p w14:paraId="132D6965" w14:textId="79F5C823" w:rsidR="004F5B30" w:rsidRPr="00C52B21" w:rsidRDefault="004F5B30" w:rsidP="00C92D1C">
      <w:pPr>
        <w:rPr>
          <w:rFonts w:ascii="Proxima Nova" w:hAnsi="Proxima Nova" w:cstheme="minorHAnsi"/>
          <w:sz w:val="22"/>
          <w:szCs w:val="22"/>
          <w:lang w:val="en-GB"/>
        </w:rPr>
      </w:pPr>
    </w:p>
    <w:p w14:paraId="74B35559" w14:textId="59A11623" w:rsidR="004F5B30" w:rsidRPr="00C52B21" w:rsidRDefault="004F5B30" w:rsidP="00C92D1C">
      <w:pPr>
        <w:rPr>
          <w:rFonts w:ascii="Proxima Nova" w:hAnsi="Proxima Nova" w:cstheme="minorHAnsi"/>
          <w:sz w:val="22"/>
          <w:szCs w:val="22"/>
          <w:lang w:val="en-GB"/>
        </w:rPr>
      </w:pPr>
      <w:r w:rsidRPr="00C52B21">
        <w:rPr>
          <w:rFonts w:ascii="Proxima Nova" w:hAnsi="Proxima Nova" w:cstheme="minorHAnsi"/>
          <w:sz w:val="22"/>
          <w:szCs w:val="22"/>
          <w:lang w:val="en-GB"/>
        </w:rPr>
        <w:t xml:space="preserve">NPM </w:t>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00F13B36" w:rsidRPr="00C52B21">
        <w:rPr>
          <w:rFonts w:ascii="Proxima Nova" w:hAnsi="Proxima Nova" w:cstheme="minorHAnsi"/>
          <w:sz w:val="22"/>
          <w:szCs w:val="22"/>
          <w:lang w:val="en-GB"/>
        </w:rPr>
        <w:tab/>
      </w:r>
      <w:r w:rsidRPr="00C52B21">
        <w:rPr>
          <w:rFonts w:ascii="Proxima Nova" w:hAnsi="Proxima Nova" w:cstheme="minorHAnsi"/>
          <w:sz w:val="22"/>
          <w:szCs w:val="22"/>
          <w:lang w:val="en-GB"/>
        </w:rPr>
        <w:t>National Preventive Mechanism</w:t>
      </w:r>
    </w:p>
    <w:p w14:paraId="34F8C9CA" w14:textId="77777777" w:rsidR="00CE3116" w:rsidRPr="00C52B21" w:rsidRDefault="00CE3116" w:rsidP="00C92D1C">
      <w:pPr>
        <w:rPr>
          <w:rFonts w:ascii="Proxima Nova" w:hAnsi="Proxima Nova" w:cstheme="minorHAnsi"/>
          <w:sz w:val="22"/>
          <w:szCs w:val="22"/>
        </w:rPr>
      </w:pPr>
    </w:p>
    <w:p w14:paraId="45E9D192" w14:textId="43AF8953" w:rsidR="009C3DAD" w:rsidRPr="00C52B21" w:rsidRDefault="009C3DAD" w:rsidP="00C92D1C">
      <w:pPr>
        <w:rPr>
          <w:rFonts w:ascii="Proxima Nova" w:hAnsi="Proxima Nova" w:cstheme="minorHAnsi"/>
          <w:sz w:val="22"/>
          <w:szCs w:val="22"/>
          <w:lang w:val="en-GB"/>
        </w:rPr>
      </w:pPr>
      <w:r w:rsidRPr="00C52B21">
        <w:rPr>
          <w:rFonts w:ascii="Proxima Nova" w:hAnsi="Proxima Nova" w:cstheme="minorHAnsi"/>
          <w:sz w:val="22"/>
          <w:szCs w:val="22"/>
          <w:lang w:val="en-GB"/>
        </w:rPr>
        <w:t xml:space="preserve">OPCAT </w:t>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Pr="00C52B21">
        <w:rPr>
          <w:rFonts w:ascii="Proxima Nova" w:hAnsi="Proxima Nova" w:cstheme="minorHAnsi"/>
          <w:sz w:val="22"/>
          <w:szCs w:val="22"/>
          <w:lang w:val="en-GB"/>
        </w:rPr>
        <w:tab/>
      </w:r>
      <w:r w:rsidR="00F13B36" w:rsidRPr="00C52B21">
        <w:rPr>
          <w:rFonts w:ascii="Proxima Nova" w:hAnsi="Proxima Nova" w:cstheme="minorHAnsi"/>
          <w:sz w:val="22"/>
          <w:szCs w:val="22"/>
          <w:lang w:val="en-GB"/>
        </w:rPr>
        <w:tab/>
      </w:r>
      <w:r w:rsidRPr="00C52B21">
        <w:rPr>
          <w:rFonts w:ascii="Proxima Nova" w:hAnsi="Proxima Nova" w:cstheme="minorHAnsi"/>
          <w:sz w:val="22"/>
          <w:szCs w:val="22"/>
          <w:lang w:val="en-GB"/>
        </w:rPr>
        <w:t>Optional Protocol on the Convention Against Torture</w:t>
      </w:r>
    </w:p>
    <w:p w14:paraId="711F1E1E" w14:textId="4E1205D7" w:rsidR="00707C7C" w:rsidRPr="00C52B21" w:rsidRDefault="00707C7C" w:rsidP="00C92D1C">
      <w:pPr>
        <w:rPr>
          <w:rFonts w:ascii="Proxima Nova" w:hAnsi="Proxima Nova" w:cstheme="minorHAnsi"/>
          <w:sz w:val="22"/>
          <w:szCs w:val="22"/>
        </w:rPr>
      </w:pPr>
    </w:p>
    <w:p w14:paraId="54001644" w14:textId="55B4A30F" w:rsidR="00FB3BA1" w:rsidRPr="00C52B21" w:rsidRDefault="00FB3BA1" w:rsidP="00C92D1C">
      <w:pPr>
        <w:rPr>
          <w:rFonts w:ascii="Proxima Nova" w:hAnsi="Proxima Nova" w:cstheme="minorHAnsi"/>
          <w:sz w:val="22"/>
          <w:szCs w:val="22"/>
        </w:rPr>
      </w:pPr>
      <w:r w:rsidRPr="00C52B21">
        <w:rPr>
          <w:rFonts w:ascii="Proxima Nova" w:hAnsi="Proxima Nova" w:cstheme="minorHAnsi"/>
          <w:sz w:val="22"/>
          <w:szCs w:val="22"/>
        </w:rPr>
        <w:t>OPD</w:t>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Arial"/>
          <w:sz w:val="22"/>
          <w:szCs w:val="22"/>
        </w:rPr>
        <w:t>Organisations of Persons with Disabilities</w:t>
      </w:r>
    </w:p>
    <w:p w14:paraId="4F2B6D0F" w14:textId="77777777" w:rsidR="00FB3BA1" w:rsidRPr="00C52B21" w:rsidRDefault="00FB3BA1" w:rsidP="00C92D1C">
      <w:pPr>
        <w:rPr>
          <w:rFonts w:ascii="Proxima Nova" w:hAnsi="Proxima Nova" w:cstheme="minorHAnsi"/>
          <w:sz w:val="22"/>
          <w:szCs w:val="22"/>
        </w:rPr>
      </w:pPr>
    </w:p>
    <w:p w14:paraId="2476D6CF" w14:textId="22631BBA" w:rsidR="00707C7C" w:rsidRPr="00C52B21" w:rsidRDefault="00707C7C" w:rsidP="00C92D1C">
      <w:pPr>
        <w:rPr>
          <w:rFonts w:ascii="Proxima Nova" w:hAnsi="Proxima Nova" w:cstheme="minorHAnsi"/>
          <w:sz w:val="22"/>
          <w:szCs w:val="22"/>
        </w:rPr>
      </w:pPr>
      <w:r w:rsidRPr="00C52B21">
        <w:rPr>
          <w:rFonts w:ascii="Proxima Nova" w:hAnsi="Proxima Nova" w:cstheme="minorHAnsi"/>
          <w:sz w:val="22"/>
          <w:szCs w:val="22"/>
        </w:rPr>
        <w:t>PSS</w:t>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00F13B36" w:rsidRPr="00C52B21">
        <w:rPr>
          <w:rFonts w:ascii="Proxima Nova" w:hAnsi="Proxima Nova" w:cstheme="minorHAnsi"/>
          <w:sz w:val="22"/>
          <w:szCs w:val="22"/>
        </w:rPr>
        <w:tab/>
      </w:r>
      <w:r w:rsidRPr="00C52B21">
        <w:rPr>
          <w:rFonts w:ascii="Proxima Nova" w:hAnsi="Proxima Nova" w:cstheme="minorHAnsi"/>
          <w:sz w:val="22"/>
          <w:szCs w:val="22"/>
        </w:rPr>
        <w:t>Personal Safety Survey</w:t>
      </w:r>
    </w:p>
    <w:p w14:paraId="2903096B" w14:textId="6BEB7F8E" w:rsidR="00C9097C" w:rsidRPr="00C52B21" w:rsidRDefault="00C9097C" w:rsidP="00C92D1C">
      <w:pPr>
        <w:rPr>
          <w:rFonts w:ascii="Proxima Nova" w:hAnsi="Proxima Nova" w:cstheme="minorHAnsi"/>
          <w:sz w:val="22"/>
          <w:szCs w:val="22"/>
        </w:rPr>
      </w:pPr>
    </w:p>
    <w:p w14:paraId="448962B2" w14:textId="0B6B2B8B" w:rsidR="00C9097C" w:rsidRPr="00C52B21" w:rsidRDefault="00C9097C" w:rsidP="00C92D1C">
      <w:pPr>
        <w:rPr>
          <w:rFonts w:ascii="Proxima Nova" w:hAnsi="Proxima Nova" w:cstheme="minorHAnsi"/>
          <w:sz w:val="22"/>
          <w:szCs w:val="22"/>
        </w:rPr>
      </w:pPr>
      <w:r w:rsidRPr="00C52B21">
        <w:rPr>
          <w:rFonts w:ascii="Proxima Nova" w:hAnsi="Proxima Nova" w:cstheme="minorHAnsi"/>
          <w:sz w:val="22"/>
          <w:szCs w:val="22"/>
        </w:rPr>
        <w:t>RACF</w:t>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00F13B36" w:rsidRPr="00C52B21">
        <w:rPr>
          <w:rFonts w:ascii="Proxima Nova" w:hAnsi="Proxima Nova" w:cstheme="minorHAnsi"/>
          <w:sz w:val="22"/>
          <w:szCs w:val="22"/>
        </w:rPr>
        <w:tab/>
      </w:r>
      <w:r w:rsidR="0079677E" w:rsidRPr="00C52B21">
        <w:rPr>
          <w:rFonts w:ascii="Proxima Nova" w:hAnsi="Proxima Nova" w:cstheme="minorHAnsi"/>
          <w:sz w:val="22"/>
          <w:szCs w:val="22"/>
        </w:rPr>
        <w:t>R</w:t>
      </w:r>
      <w:r w:rsidRPr="00C52B21">
        <w:rPr>
          <w:rFonts w:ascii="Proxima Nova" w:hAnsi="Proxima Nova" w:cstheme="minorHAnsi"/>
          <w:sz w:val="22"/>
          <w:szCs w:val="22"/>
        </w:rPr>
        <w:t xml:space="preserve">esidential </w:t>
      </w:r>
      <w:r w:rsidR="0079677E" w:rsidRPr="00C52B21">
        <w:rPr>
          <w:rFonts w:ascii="Proxima Nova" w:hAnsi="Proxima Nova" w:cstheme="minorHAnsi"/>
          <w:sz w:val="22"/>
          <w:szCs w:val="22"/>
        </w:rPr>
        <w:t>A</w:t>
      </w:r>
      <w:r w:rsidRPr="00C52B21">
        <w:rPr>
          <w:rFonts w:ascii="Proxima Nova" w:hAnsi="Proxima Nova" w:cstheme="minorHAnsi"/>
          <w:sz w:val="22"/>
          <w:szCs w:val="22"/>
        </w:rPr>
        <w:t xml:space="preserve">ged </w:t>
      </w:r>
      <w:r w:rsidR="0079677E" w:rsidRPr="00C52B21">
        <w:rPr>
          <w:rFonts w:ascii="Proxima Nova" w:hAnsi="Proxima Nova" w:cstheme="minorHAnsi"/>
          <w:sz w:val="22"/>
          <w:szCs w:val="22"/>
        </w:rPr>
        <w:t>C</w:t>
      </w:r>
      <w:r w:rsidRPr="00C52B21">
        <w:rPr>
          <w:rFonts w:ascii="Proxima Nova" w:hAnsi="Proxima Nova" w:cstheme="minorHAnsi"/>
          <w:sz w:val="22"/>
          <w:szCs w:val="22"/>
        </w:rPr>
        <w:t xml:space="preserve">are </w:t>
      </w:r>
      <w:r w:rsidR="0079677E" w:rsidRPr="00C52B21">
        <w:rPr>
          <w:rFonts w:ascii="Proxima Nova" w:hAnsi="Proxima Nova" w:cstheme="minorHAnsi"/>
          <w:sz w:val="22"/>
          <w:szCs w:val="22"/>
        </w:rPr>
        <w:t>F</w:t>
      </w:r>
      <w:r w:rsidRPr="00C52B21">
        <w:rPr>
          <w:rFonts w:ascii="Proxima Nova" w:hAnsi="Proxima Nova" w:cstheme="minorHAnsi"/>
          <w:sz w:val="22"/>
          <w:szCs w:val="22"/>
        </w:rPr>
        <w:t>acility</w:t>
      </w:r>
    </w:p>
    <w:p w14:paraId="5299C832" w14:textId="77777777" w:rsidR="00C9097C" w:rsidRPr="00C52B21" w:rsidRDefault="00C9097C" w:rsidP="00C92D1C">
      <w:pPr>
        <w:rPr>
          <w:rFonts w:ascii="Proxima Nova" w:hAnsi="Proxima Nova" w:cstheme="minorHAnsi"/>
          <w:sz w:val="22"/>
          <w:szCs w:val="22"/>
        </w:rPr>
      </w:pPr>
    </w:p>
    <w:p w14:paraId="038B14ED" w14:textId="45A711F8" w:rsidR="00C9097C" w:rsidRPr="00C52B21" w:rsidRDefault="00C9097C" w:rsidP="00C92D1C">
      <w:pPr>
        <w:ind w:left="3600" w:hanging="3600"/>
        <w:rPr>
          <w:rFonts w:ascii="Proxima Nova" w:hAnsi="Proxima Nova" w:cstheme="minorHAnsi"/>
          <w:sz w:val="22"/>
          <w:szCs w:val="22"/>
        </w:rPr>
      </w:pPr>
      <w:r w:rsidRPr="00C52B21">
        <w:rPr>
          <w:rFonts w:ascii="Proxima Nova" w:hAnsi="Proxima Nova" w:cstheme="minorHAnsi"/>
          <w:sz w:val="22"/>
          <w:szCs w:val="22"/>
        </w:rPr>
        <w:t>Royal Commission</w:t>
      </w:r>
      <w:r w:rsidRPr="00C52B21">
        <w:rPr>
          <w:rFonts w:ascii="Proxima Nova" w:hAnsi="Proxima Nova" w:cstheme="minorHAnsi"/>
          <w:sz w:val="22"/>
          <w:szCs w:val="22"/>
        </w:rPr>
        <w:tab/>
        <w:t>Royal Commission into Violence, Abuse, Neglect and Exploitation</w:t>
      </w:r>
      <w:r w:rsidR="00010162" w:rsidRPr="00C52B21">
        <w:rPr>
          <w:rFonts w:ascii="Proxima Nova" w:hAnsi="Proxima Nova" w:cstheme="minorHAnsi"/>
          <w:sz w:val="22"/>
          <w:szCs w:val="22"/>
        </w:rPr>
        <w:t xml:space="preserve"> of People </w:t>
      </w:r>
      <w:r w:rsidR="00B51C7F" w:rsidRPr="00C52B21">
        <w:rPr>
          <w:rFonts w:ascii="Proxima Nova" w:hAnsi="Proxima Nova" w:cstheme="minorHAnsi"/>
          <w:sz w:val="22"/>
          <w:szCs w:val="22"/>
        </w:rPr>
        <w:t>with Disability</w:t>
      </w:r>
    </w:p>
    <w:p w14:paraId="63CE991A" w14:textId="77777777" w:rsidR="00B42054" w:rsidRPr="00C52B21" w:rsidRDefault="00B42054" w:rsidP="00B42054">
      <w:pPr>
        <w:rPr>
          <w:rFonts w:ascii="Proxima Nova" w:hAnsi="Proxima Nova" w:cstheme="minorHAnsi"/>
          <w:sz w:val="22"/>
          <w:szCs w:val="22"/>
        </w:rPr>
      </w:pPr>
    </w:p>
    <w:p w14:paraId="07D46273" w14:textId="6B795F71" w:rsidR="00B42054" w:rsidRPr="00C52B21" w:rsidRDefault="00B42054" w:rsidP="00B42054">
      <w:pPr>
        <w:rPr>
          <w:rFonts w:ascii="Proxima Nova" w:hAnsi="Proxima Nova" w:cstheme="minorHAnsi"/>
          <w:sz w:val="22"/>
          <w:szCs w:val="22"/>
        </w:rPr>
      </w:pPr>
      <w:r w:rsidRPr="00C52B21">
        <w:rPr>
          <w:rFonts w:ascii="Proxima Nova" w:hAnsi="Proxima Nova" w:cstheme="minorHAnsi"/>
          <w:sz w:val="22"/>
          <w:szCs w:val="22"/>
        </w:rPr>
        <w:t>R</w:t>
      </w:r>
      <w:r w:rsidR="00197731" w:rsidRPr="00C52B21">
        <w:rPr>
          <w:rFonts w:ascii="Proxima Nova" w:hAnsi="Proxima Nova" w:cstheme="minorHAnsi"/>
          <w:sz w:val="22"/>
          <w:szCs w:val="22"/>
        </w:rPr>
        <w:t xml:space="preserve">estrictive </w:t>
      </w:r>
      <w:r w:rsidRPr="00C52B21">
        <w:rPr>
          <w:rFonts w:ascii="Proxima Nova" w:hAnsi="Proxima Nova" w:cstheme="minorHAnsi"/>
          <w:sz w:val="22"/>
          <w:szCs w:val="22"/>
        </w:rPr>
        <w:t>P</w:t>
      </w:r>
      <w:r w:rsidR="00197731" w:rsidRPr="00C52B21">
        <w:rPr>
          <w:rFonts w:ascii="Proxima Nova" w:hAnsi="Proxima Nova" w:cstheme="minorHAnsi"/>
          <w:sz w:val="22"/>
          <w:szCs w:val="22"/>
        </w:rPr>
        <w:t>ractices</w:t>
      </w:r>
      <w:r w:rsidRPr="00C52B21">
        <w:rPr>
          <w:rFonts w:ascii="Proxima Nova" w:hAnsi="Proxima Nova" w:cstheme="minorHAnsi"/>
          <w:sz w:val="22"/>
          <w:szCs w:val="22"/>
        </w:rPr>
        <w:t xml:space="preserve"> Issues Paper</w:t>
      </w:r>
      <w:r w:rsidRPr="00C52B21">
        <w:rPr>
          <w:rFonts w:ascii="Proxima Nova" w:hAnsi="Proxima Nova" w:cstheme="minorHAnsi"/>
          <w:sz w:val="22"/>
          <w:szCs w:val="22"/>
        </w:rPr>
        <w:tab/>
        <w:t>Restrictive Practices Issues Paper</w:t>
      </w:r>
    </w:p>
    <w:p w14:paraId="253E584F" w14:textId="77777777" w:rsidR="00B42054" w:rsidRPr="00C52B21" w:rsidRDefault="00B42054" w:rsidP="00C92D1C">
      <w:pPr>
        <w:ind w:left="2880" w:hanging="2880"/>
        <w:rPr>
          <w:rFonts w:ascii="Proxima Nova" w:hAnsi="Proxima Nova" w:cstheme="minorHAnsi"/>
          <w:sz w:val="22"/>
          <w:szCs w:val="22"/>
        </w:rPr>
      </w:pPr>
    </w:p>
    <w:p w14:paraId="0C628E00" w14:textId="1844B4D4" w:rsidR="00134F3E" w:rsidRPr="00C52B21" w:rsidRDefault="00AA6279" w:rsidP="00C92D1C">
      <w:pPr>
        <w:ind w:left="3600" w:hanging="3600"/>
        <w:rPr>
          <w:rFonts w:ascii="Proxima Nova" w:hAnsi="Proxima Nova" w:cstheme="minorHAnsi"/>
          <w:sz w:val="22"/>
          <w:szCs w:val="22"/>
        </w:rPr>
      </w:pPr>
      <w:r w:rsidRPr="00C52B21">
        <w:rPr>
          <w:rFonts w:ascii="Proxima Nova" w:hAnsi="Proxima Nova" w:cstheme="minorHAnsi"/>
          <w:sz w:val="22"/>
          <w:szCs w:val="22"/>
        </w:rPr>
        <w:t xml:space="preserve">Senate Institutional Violence </w:t>
      </w:r>
      <w:r w:rsidR="00134F3E" w:rsidRPr="00C52B21">
        <w:rPr>
          <w:rFonts w:ascii="Proxima Nova" w:hAnsi="Proxima Nova" w:cstheme="minorHAnsi"/>
          <w:sz w:val="22"/>
          <w:szCs w:val="22"/>
        </w:rPr>
        <w:t>Inquiry</w:t>
      </w:r>
      <w:r w:rsidR="00134F3E" w:rsidRPr="00C52B21">
        <w:rPr>
          <w:rFonts w:ascii="Proxima Nova" w:hAnsi="Proxima Nova" w:cstheme="minorHAnsi"/>
          <w:sz w:val="22"/>
          <w:szCs w:val="22"/>
        </w:rPr>
        <w:tab/>
        <w:t>Senate Inquiry into Violence, Abuse and Neglect Against People with Disability in Institutional and Residential Settings</w:t>
      </w:r>
    </w:p>
    <w:p w14:paraId="7755C59B" w14:textId="43FA622B" w:rsidR="001B2E31" w:rsidRPr="00C52B21" w:rsidRDefault="001B2E31" w:rsidP="00C92D1C">
      <w:pPr>
        <w:ind w:left="2880" w:hanging="2880"/>
        <w:rPr>
          <w:rFonts w:ascii="Proxima Nova" w:hAnsi="Proxima Nova" w:cstheme="minorHAnsi"/>
          <w:sz w:val="22"/>
          <w:szCs w:val="22"/>
        </w:rPr>
      </w:pPr>
    </w:p>
    <w:p w14:paraId="7794E7DB" w14:textId="76ED6AEB" w:rsidR="00D825F1" w:rsidRPr="00C52B21" w:rsidRDefault="00D825F1" w:rsidP="00C92D1C">
      <w:pPr>
        <w:ind w:left="3600" w:hanging="3600"/>
        <w:rPr>
          <w:rFonts w:ascii="Proxima Nova" w:hAnsi="Proxima Nova" w:cstheme="minorHAnsi"/>
          <w:sz w:val="22"/>
          <w:szCs w:val="22"/>
          <w:lang w:val="en-GB"/>
        </w:rPr>
      </w:pPr>
      <w:r w:rsidRPr="00C52B21">
        <w:rPr>
          <w:rFonts w:ascii="Proxima Nova" w:hAnsi="Proxima Nova" w:cstheme="minorHAnsi"/>
          <w:sz w:val="22"/>
          <w:szCs w:val="22"/>
          <w:lang w:val="en-GB"/>
        </w:rPr>
        <w:t xml:space="preserve">Senate Sterilisation Inquiry </w:t>
      </w:r>
      <w:r w:rsidRPr="00C52B21">
        <w:rPr>
          <w:rFonts w:ascii="Proxima Nova" w:hAnsi="Proxima Nova" w:cstheme="minorHAnsi"/>
          <w:sz w:val="22"/>
          <w:szCs w:val="22"/>
          <w:lang w:val="en-GB"/>
        </w:rPr>
        <w:tab/>
        <w:t>Senate Standing Committees on Community Affairs Inquiry into the Involuntary or Coerced Sterilisation of People with Disabilities in Australia</w:t>
      </w:r>
    </w:p>
    <w:p w14:paraId="33618B31" w14:textId="737977FD" w:rsidR="00D825F1" w:rsidRPr="00C52B21" w:rsidRDefault="00D825F1" w:rsidP="00C92D1C">
      <w:pPr>
        <w:ind w:left="2880" w:hanging="2880"/>
        <w:rPr>
          <w:rFonts w:ascii="Proxima Nova" w:hAnsi="Proxima Nova" w:cstheme="minorHAnsi"/>
          <w:sz w:val="22"/>
          <w:szCs w:val="22"/>
        </w:rPr>
      </w:pPr>
    </w:p>
    <w:p w14:paraId="15FD0DBD" w14:textId="11609C53" w:rsidR="00273BA6" w:rsidRPr="00C52B21" w:rsidRDefault="00273BA6" w:rsidP="00C92D1C">
      <w:pPr>
        <w:ind w:left="2880" w:hanging="2880"/>
        <w:rPr>
          <w:rFonts w:ascii="Proxima Nova" w:hAnsi="Proxima Nova" w:cstheme="minorHAnsi"/>
          <w:sz w:val="22"/>
          <w:szCs w:val="22"/>
          <w:lang w:val="en-GB"/>
        </w:rPr>
      </w:pPr>
      <w:r w:rsidRPr="00C52B21">
        <w:rPr>
          <w:rFonts w:ascii="Proxima Nova" w:hAnsi="Proxima Nova" w:cstheme="minorHAnsi"/>
          <w:sz w:val="22"/>
          <w:szCs w:val="22"/>
          <w:lang w:val="en-GB"/>
        </w:rPr>
        <w:t xml:space="preserve">Special Rapporteur </w:t>
      </w:r>
      <w:r w:rsidR="00F13B36" w:rsidRPr="00C52B21">
        <w:rPr>
          <w:rFonts w:ascii="Proxima Nova" w:hAnsi="Proxima Nova" w:cstheme="minorHAnsi"/>
          <w:sz w:val="22"/>
          <w:szCs w:val="22"/>
          <w:lang w:val="en-GB"/>
        </w:rPr>
        <w:t xml:space="preserve">on </w:t>
      </w:r>
      <w:r w:rsidRPr="00C52B21">
        <w:rPr>
          <w:rFonts w:ascii="Proxima Nova" w:hAnsi="Proxima Nova" w:cstheme="minorHAnsi"/>
          <w:sz w:val="22"/>
          <w:szCs w:val="22"/>
          <w:lang w:val="en-GB"/>
        </w:rPr>
        <w:t>D</w:t>
      </w:r>
      <w:r w:rsidR="008F3942" w:rsidRPr="00C52B21">
        <w:rPr>
          <w:rFonts w:ascii="Proxima Nova" w:hAnsi="Proxima Nova" w:cstheme="minorHAnsi"/>
          <w:sz w:val="22"/>
          <w:szCs w:val="22"/>
          <w:lang w:val="en-GB"/>
        </w:rPr>
        <w:t>isabilities</w:t>
      </w:r>
      <w:r w:rsidRPr="00C52B21">
        <w:rPr>
          <w:rFonts w:ascii="Proxima Nova" w:hAnsi="Proxima Nova" w:cstheme="minorHAnsi"/>
          <w:sz w:val="22"/>
          <w:szCs w:val="22"/>
          <w:lang w:val="en-GB"/>
        </w:rPr>
        <w:t xml:space="preserve"> </w:t>
      </w:r>
      <w:r w:rsidRPr="00C52B21">
        <w:rPr>
          <w:rFonts w:ascii="Proxima Nova" w:hAnsi="Proxima Nova" w:cstheme="minorHAnsi"/>
          <w:sz w:val="22"/>
          <w:szCs w:val="22"/>
          <w:lang w:val="en-GB"/>
        </w:rPr>
        <w:tab/>
        <w:t>Special Rapporteur on the Rights of Persons with Disabilities</w:t>
      </w:r>
    </w:p>
    <w:p w14:paraId="609A19B7" w14:textId="4337BB64" w:rsidR="00273BA6" w:rsidRPr="00C52B21" w:rsidRDefault="00273BA6" w:rsidP="00C92D1C">
      <w:pPr>
        <w:ind w:left="2880" w:hanging="2880"/>
        <w:rPr>
          <w:rFonts w:ascii="Proxima Nova" w:hAnsi="Proxima Nova" w:cstheme="minorHAnsi"/>
          <w:sz w:val="22"/>
          <w:szCs w:val="22"/>
        </w:rPr>
      </w:pPr>
    </w:p>
    <w:p w14:paraId="4C1CC072" w14:textId="460C8BD0" w:rsidR="00F13B36" w:rsidRPr="00C52B21" w:rsidRDefault="00F13B36" w:rsidP="00C92D1C">
      <w:pPr>
        <w:ind w:left="3600" w:hanging="3600"/>
        <w:rPr>
          <w:rFonts w:ascii="Proxima Nova" w:hAnsi="Proxima Nova" w:cstheme="minorHAnsi"/>
          <w:sz w:val="22"/>
          <w:szCs w:val="22"/>
          <w:lang w:val="en-GB"/>
        </w:rPr>
      </w:pPr>
      <w:r w:rsidRPr="00C52B21">
        <w:rPr>
          <w:rFonts w:ascii="Proxima Nova" w:hAnsi="Proxima Nova" w:cstheme="minorHAnsi"/>
          <w:sz w:val="22"/>
          <w:szCs w:val="22"/>
          <w:lang w:val="en-GB"/>
        </w:rPr>
        <w:t xml:space="preserve">Special Rapporteur on Torture </w:t>
      </w:r>
      <w:r w:rsidRPr="00C52B21">
        <w:rPr>
          <w:rFonts w:ascii="Proxima Nova" w:hAnsi="Proxima Nova" w:cstheme="minorHAnsi"/>
          <w:sz w:val="22"/>
          <w:szCs w:val="22"/>
          <w:lang w:val="en-GB"/>
        </w:rPr>
        <w:tab/>
        <w:t>Special Rapporteur on Torture and Other Cruel, Inhuman or Degrading Treatment or Punishment</w:t>
      </w:r>
    </w:p>
    <w:p w14:paraId="42401184" w14:textId="77777777" w:rsidR="00D03F41" w:rsidRPr="00C52B21" w:rsidRDefault="00D03F41" w:rsidP="00C92D1C">
      <w:pPr>
        <w:ind w:left="2880" w:hanging="2880"/>
        <w:rPr>
          <w:rFonts w:ascii="Proxima Nova" w:hAnsi="Proxima Nova" w:cstheme="minorHAnsi"/>
          <w:sz w:val="22"/>
          <w:szCs w:val="22"/>
        </w:rPr>
      </w:pPr>
    </w:p>
    <w:p w14:paraId="4AB304A1" w14:textId="12A95B7C" w:rsidR="00D03F41" w:rsidRPr="00C52B21" w:rsidRDefault="00D03F41" w:rsidP="00A25A52">
      <w:pPr>
        <w:ind w:left="3600" w:hanging="3600"/>
        <w:rPr>
          <w:rFonts w:ascii="Proxima Nova" w:hAnsi="Proxima Nova" w:cstheme="minorHAnsi"/>
          <w:sz w:val="22"/>
          <w:szCs w:val="22"/>
        </w:rPr>
      </w:pPr>
      <w:r w:rsidRPr="00C52B21">
        <w:rPr>
          <w:rFonts w:ascii="Proxima Nova" w:hAnsi="Proxima Nova" w:cstheme="minorHAnsi"/>
          <w:sz w:val="22"/>
          <w:szCs w:val="22"/>
        </w:rPr>
        <w:t xml:space="preserve">Special Rapporteur on Violence </w:t>
      </w:r>
      <w:r w:rsidRPr="00C52B21">
        <w:rPr>
          <w:rFonts w:ascii="Proxima Nova" w:hAnsi="Proxima Nova" w:cstheme="minorHAnsi"/>
          <w:sz w:val="22"/>
          <w:szCs w:val="22"/>
        </w:rPr>
        <w:tab/>
        <w:t>Special Rapporteur on Violence</w:t>
      </w:r>
      <w:r w:rsidR="00A25A52">
        <w:rPr>
          <w:rFonts w:ascii="Proxima Nova" w:hAnsi="Proxima Nova" w:cstheme="minorHAnsi"/>
          <w:sz w:val="22"/>
          <w:szCs w:val="22"/>
        </w:rPr>
        <w:t xml:space="preserve"> </w:t>
      </w:r>
      <w:r w:rsidR="00A25A52" w:rsidRPr="00A25A52">
        <w:rPr>
          <w:rFonts w:ascii="Proxima Nova" w:hAnsi="Proxima Nova" w:cstheme="minorHAnsi"/>
          <w:sz w:val="22"/>
          <w:szCs w:val="22"/>
        </w:rPr>
        <w:t>Against Women</w:t>
      </w:r>
      <w:r w:rsidRPr="00C52B21">
        <w:rPr>
          <w:rFonts w:ascii="Proxima Nova" w:hAnsi="Proxima Nova" w:cstheme="minorHAnsi"/>
          <w:sz w:val="22"/>
          <w:szCs w:val="22"/>
        </w:rPr>
        <w:t>, its Causes and Consequences</w:t>
      </w:r>
    </w:p>
    <w:p w14:paraId="0D82F023" w14:textId="77777777" w:rsidR="00D03F41" w:rsidRPr="00C52B21" w:rsidRDefault="00D03F41" w:rsidP="00C92D1C">
      <w:pPr>
        <w:ind w:left="2880" w:hanging="2880"/>
        <w:rPr>
          <w:rFonts w:ascii="Proxima Nova" w:hAnsi="Proxima Nova" w:cstheme="minorHAnsi"/>
          <w:sz w:val="22"/>
          <w:szCs w:val="22"/>
        </w:rPr>
      </w:pPr>
    </w:p>
    <w:p w14:paraId="75664A2D" w14:textId="7875EA6D" w:rsidR="00FC107E" w:rsidRPr="00C52B21" w:rsidRDefault="00FC107E" w:rsidP="00C92D1C">
      <w:pPr>
        <w:ind w:left="2880" w:hanging="2880"/>
        <w:rPr>
          <w:rFonts w:ascii="Proxima Nova" w:hAnsi="Proxima Nova" w:cstheme="minorHAnsi"/>
          <w:sz w:val="22"/>
          <w:szCs w:val="22"/>
        </w:rPr>
      </w:pPr>
      <w:r w:rsidRPr="00C52B21">
        <w:rPr>
          <w:rFonts w:ascii="Proxima Nova" w:hAnsi="Proxima Nova" w:cstheme="minorHAnsi"/>
          <w:sz w:val="22"/>
          <w:szCs w:val="22"/>
        </w:rPr>
        <w:t>STVP</w:t>
      </w:r>
      <w:r w:rsidRPr="00C52B21">
        <w:rPr>
          <w:rFonts w:ascii="Proxima Nova" w:hAnsi="Proxima Nova" w:cstheme="minorHAnsi"/>
          <w:sz w:val="22"/>
          <w:szCs w:val="22"/>
        </w:rPr>
        <w:tab/>
      </w:r>
      <w:r w:rsidR="00F13B36" w:rsidRPr="00C52B21">
        <w:rPr>
          <w:rFonts w:ascii="Proxima Nova" w:hAnsi="Proxima Nova" w:cstheme="minorHAnsi"/>
          <w:sz w:val="22"/>
          <w:szCs w:val="22"/>
        </w:rPr>
        <w:tab/>
      </w:r>
      <w:r w:rsidRPr="00C52B21">
        <w:rPr>
          <w:rFonts w:ascii="Proxima Nova" w:hAnsi="Proxima Nova" w:cstheme="minorHAnsi"/>
          <w:sz w:val="22"/>
          <w:szCs w:val="22"/>
        </w:rPr>
        <w:t>Stop the Violence Project</w:t>
      </w:r>
    </w:p>
    <w:p w14:paraId="09D496D1" w14:textId="77777777" w:rsidR="00FC107E" w:rsidRPr="00C52B21" w:rsidRDefault="00FC107E" w:rsidP="00C92D1C">
      <w:pPr>
        <w:ind w:left="2880" w:hanging="2880"/>
        <w:rPr>
          <w:rFonts w:ascii="Proxima Nova" w:hAnsi="Proxima Nova" w:cstheme="minorHAnsi"/>
          <w:sz w:val="22"/>
          <w:szCs w:val="22"/>
        </w:rPr>
      </w:pPr>
    </w:p>
    <w:p w14:paraId="580A2E32" w14:textId="5EAF4CC9" w:rsidR="001B2E31" w:rsidRPr="00C52B21" w:rsidRDefault="001B2E31" w:rsidP="00C92D1C">
      <w:pPr>
        <w:ind w:left="2880" w:hanging="2880"/>
        <w:rPr>
          <w:rFonts w:ascii="Proxima Nova" w:hAnsi="Proxima Nova" w:cstheme="minorHAnsi"/>
          <w:sz w:val="22"/>
          <w:szCs w:val="22"/>
        </w:rPr>
      </w:pPr>
      <w:r w:rsidRPr="00C52B21">
        <w:rPr>
          <w:rFonts w:ascii="Proxima Nova" w:hAnsi="Proxima Nova" w:cstheme="minorHAnsi"/>
          <w:sz w:val="22"/>
          <w:szCs w:val="22"/>
        </w:rPr>
        <w:t>UN</w:t>
      </w:r>
      <w:r w:rsidRPr="00C52B21">
        <w:rPr>
          <w:rFonts w:ascii="Proxima Nova" w:hAnsi="Proxima Nova" w:cstheme="minorHAnsi"/>
          <w:sz w:val="22"/>
          <w:szCs w:val="22"/>
        </w:rPr>
        <w:tab/>
      </w:r>
      <w:r w:rsidR="00F13B36" w:rsidRPr="00C52B21">
        <w:rPr>
          <w:rFonts w:ascii="Proxima Nova" w:hAnsi="Proxima Nova" w:cstheme="minorHAnsi"/>
          <w:sz w:val="22"/>
          <w:szCs w:val="22"/>
        </w:rPr>
        <w:tab/>
      </w:r>
      <w:r w:rsidRPr="00C52B21">
        <w:rPr>
          <w:rFonts w:ascii="Proxima Nova" w:hAnsi="Proxima Nova" w:cstheme="minorHAnsi"/>
          <w:sz w:val="22"/>
          <w:szCs w:val="22"/>
        </w:rPr>
        <w:t>United Nations</w:t>
      </w:r>
    </w:p>
    <w:p w14:paraId="7713937C" w14:textId="7576B65F" w:rsidR="00C9097C" w:rsidRPr="00C52B21" w:rsidRDefault="00C9097C" w:rsidP="00C92D1C">
      <w:pPr>
        <w:rPr>
          <w:rFonts w:ascii="Proxima Nova" w:hAnsi="Proxima Nova" w:cstheme="minorHAnsi"/>
          <w:sz w:val="22"/>
          <w:szCs w:val="22"/>
        </w:rPr>
      </w:pPr>
    </w:p>
    <w:p w14:paraId="663F41C3" w14:textId="51D707E7" w:rsidR="00AE6567" w:rsidRPr="00C52B21" w:rsidRDefault="00AE6567" w:rsidP="00C92D1C">
      <w:pPr>
        <w:ind w:left="3600" w:hanging="3600"/>
        <w:rPr>
          <w:rFonts w:ascii="Proxima Nova" w:hAnsi="Proxima Nova" w:cstheme="minorHAnsi"/>
          <w:sz w:val="22"/>
          <w:szCs w:val="22"/>
          <w:lang w:val="en-GB"/>
        </w:rPr>
      </w:pPr>
      <w:r w:rsidRPr="00C52B21">
        <w:rPr>
          <w:rFonts w:ascii="Proxima Nova" w:hAnsi="Proxima Nova" w:cstheme="minorHAnsi"/>
          <w:sz w:val="22"/>
          <w:szCs w:val="22"/>
          <w:lang w:val="en-GB"/>
        </w:rPr>
        <w:t xml:space="preserve">UN CEDAW Committee </w:t>
      </w:r>
      <w:r w:rsidR="000075E3" w:rsidRPr="00C52B21">
        <w:rPr>
          <w:rFonts w:ascii="Proxima Nova" w:hAnsi="Proxima Nova" w:cstheme="minorHAnsi"/>
          <w:sz w:val="22"/>
          <w:szCs w:val="22"/>
          <w:lang w:val="en-GB"/>
        </w:rPr>
        <w:tab/>
      </w:r>
      <w:r w:rsidRPr="00C52B21">
        <w:rPr>
          <w:rFonts w:ascii="Proxima Nova" w:hAnsi="Proxima Nova" w:cstheme="minorHAnsi"/>
          <w:sz w:val="22"/>
          <w:szCs w:val="22"/>
          <w:lang w:val="en-GB"/>
        </w:rPr>
        <w:t xml:space="preserve">United Nations Committee on </w:t>
      </w:r>
      <w:r w:rsidR="000075E3" w:rsidRPr="00C52B21">
        <w:rPr>
          <w:rFonts w:ascii="Proxima Nova" w:hAnsi="Proxima Nova" w:cstheme="minorHAnsi"/>
          <w:sz w:val="22"/>
          <w:szCs w:val="22"/>
          <w:lang w:val="en-GB"/>
        </w:rPr>
        <w:t xml:space="preserve">the </w:t>
      </w:r>
      <w:r w:rsidRPr="00C52B21">
        <w:rPr>
          <w:rFonts w:ascii="Proxima Nova" w:hAnsi="Proxima Nova" w:cstheme="minorHAnsi"/>
          <w:sz w:val="22"/>
          <w:szCs w:val="22"/>
          <w:lang w:val="en-GB"/>
        </w:rPr>
        <w:t xml:space="preserve">Elimination of Discrimination Against Women </w:t>
      </w:r>
    </w:p>
    <w:p w14:paraId="3382E3B6" w14:textId="77777777" w:rsidR="00AE6567" w:rsidRPr="00C52B21" w:rsidRDefault="00AE6567" w:rsidP="00C92D1C">
      <w:pPr>
        <w:rPr>
          <w:rFonts w:ascii="Proxima Nova" w:hAnsi="Proxima Nova" w:cstheme="minorHAnsi"/>
          <w:sz w:val="22"/>
          <w:szCs w:val="22"/>
        </w:rPr>
      </w:pPr>
    </w:p>
    <w:p w14:paraId="4C483EFC" w14:textId="146EB988" w:rsidR="00C9097C" w:rsidRPr="00C52B21" w:rsidRDefault="00C9097C" w:rsidP="00C92D1C">
      <w:pPr>
        <w:ind w:left="3600" w:hanging="3600"/>
        <w:rPr>
          <w:rFonts w:ascii="Proxima Nova" w:hAnsi="Proxima Nova" w:cstheme="minorHAnsi"/>
          <w:sz w:val="22"/>
          <w:szCs w:val="22"/>
        </w:rPr>
      </w:pPr>
      <w:r w:rsidRPr="00C52B21">
        <w:rPr>
          <w:rFonts w:ascii="Proxima Nova" w:hAnsi="Proxima Nova" w:cstheme="minorHAnsi"/>
          <w:sz w:val="22"/>
          <w:szCs w:val="22"/>
        </w:rPr>
        <w:t>UN CRPD Committee</w:t>
      </w:r>
      <w:r w:rsidRPr="00C52B21">
        <w:rPr>
          <w:rFonts w:ascii="Proxima Nova" w:hAnsi="Proxima Nova" w:cstheme="minorHAnsi"/>
          <w:sz w:val="22"/>
          <w:szCs w:val="22"/>
        </w:rPr>
        <w:tab/>
        <w:t>United Nations Committee on the Rights of Persons with Disabilities</w:t>
      </w:r>
    </w:p>
    <w:p w14:paraId="2820D6B8" w14:textId="6ED70F4E" w:rsidR="00C9097C" w:rsidRPr="00C52B21" w:rsidRDefault="00C9097C" w:rsidP="00C92D1C">
      <w:pPr>
        <w:rPr>
          <w:rFonts w:ascii="Proxima Nova" w:hAnsi="Proxima Nova" w:cstheme="minorHAnsi"/>
          <w:sz w:val="22"/>
          <w:szCs w:val="22"/>
        </w:rPr>
      </w:pPr>
    </w:p>
    <w:p w14:paraId="52149F4A" w14:textId="428D83C7" w:rsidR="00C9097C" w:rsidRPr="00C52B21" w:rsidRDefault="00C9097C" w:rsidP="00C92D1C">
      <w:pPr>
        <w:rPr>
          <w:rFonts w:ascii="Proxima Nova" w:hAnsi="Proxima Nova" w:cstheme="minorHAnsi"/>
          <w:sz w:val="22"/>
          <w:szCs w:val="22"/>
        </w:rPr>
      </w:pPr>
      <w:r w:rsidRPr="00C52B21">
        <w:rPr>
          <w:rFonts w:ascii="Proxima Nova" w:hAnsi="Proxima Nova" w:cstheme="minorHAnsi"/>
          <w:sz w:val="22"/>
          <w:szCs w:val="22"/>
        </w:rPr>
        <w:t>WWDA</w:t>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Pr="00C52B21">
        <w:rPr>
          <w:rFonts w:ascii="Proxima Nova" w:hAnsi="Proxima Nova" w:cstheme="minorHAnsi"/>
          <w:sz w:val="22"/>
          <w:szCs w:val="22"/>
        </w:rPr>
        <w:tab/>
      </w:r>
      <w:r w:rsidR="00F13B36" w:rsidRPr="00C52B21">
        <w:rPr>
          <w:rFonts w:ascii="Proxima Nova" w:hAnsi="Proxima Nova" w:cstheme="minorHAnsi"/>
          <w:sz w:val="22"/>
          <w:szCs w:val="22"/>
        </w:rPr>
        <w:tab/>
      </w:r>
      <w:r w:rsidRPr="00C52B21">
        <w:rPr>
          <w:rFonts w:ascii="Proxima Nova" w:hAnsi="Proxima Nova" w:cstheme="minorHAnsi"/>
          <w:sz w:val="22"/>
          <w:szCs w:val="22"/>
        </w:rPr>
        <w:t xml:space="preserve">Women </w:t>
      </w:r>
      <w:r w:rsidR="001E4D19" w:rsidRPr="00C52B21">
        <w:rPr>
          <w:rFonts w:ascii="Proxima Nova" w:hAnsi="Proxima Nova" w:cstheme="minorHAnsi"/>
          <w:sz w:val="22"/>
          <w:szCs w:val="22"/>
        </w:rPr>
        <w:t>W</w:t>
      </w:r>
      <w:r w:rsidRPr="00C52B21">
        <w:rPr>
          <w:rFonts w:ascii="Proxima Nova" w:hAnsi="Proxima Nova" w:cstheme="minorHAnsi"/>
          <w:sz w:val="22"/>
          <w:szCs w:val="22"/>
        </w:rPr>
        <w:t>ith Disabilities Australia</w:t>
      </w:r>
    </w:p>
    <w:p w14:paraId="29B8A907" w14:textId="5678C728" w:rsidR="00C9097C" w:rsidRPr="00C52B21" w:rsidRDefault="00C9097C" w:rsidP="00C92D1C">
      <w:pPr>
        <w:rPr>
          <w:rFonts w:ascii="Proxima Nova" w:hAnsi="Proxima Nova" w:cstheme="minorHAnsi"/>
          <w:sz w:val="22"/>
          <w:szCs w:val="22"/>
        </w:rPr>
      </w:pPr>
    </w:p>
    <w:p w14:paraId="3C4B56BF" w14:textId="316924E1" w:rsidR="009168BE" w:rsidRPr="00BD5E1A" w:rsidRDefault="009168BE" w:rsidP="00C92D1C">
      <w:pPr>
        <w:rPr>
          <w:rFonts w:ascii="Proxima Nova" w:eastAsiaTheme="minorHAnsi" w:hAnsi="Proxima Nova" w:cstheme="minorHAnsi"/>
          <w:color w:val="CC0099"/>
          <w:sz w:val="22"/>
          <w:szCs w:val="22"/>
        </w:rPr>
      </w:pPr>
      <w:r w:rsidRPr="00BD5E1A">
        <w:rPr>
          <w:rFonts w:ascii="Proxima Nova" w:hAnsi="Proxima Nova" w:cstheme="minorHAnsi"/>
          <w:sz w:val="22"/>
          <w:szCs w:val="22"/>
        </w:rPr>
        <w:br w:type="page"/>
      </w:r>
    </w:p>
    <w:p w14:paraId="31E6072D" w14:textId="777E8DDF" w:rsidR="00753263" w:rsidRPr="00C84823" w:rsidRDefault="005C76B6" w:rsidP="00C92D1C">
      <w:pPr>
        <w:pStyle w:val="Heading1"/>
        <w:rPr>
          <w:rFonts w:ascii="League Spartan" w:hAnsi="League Spartan"/>
          <w:b w:val="0"/>
          <w:color w:val="004479"/>
          <w:sz w:val="28"/>
          <w:szCs w:val="28"/>
        </w:rPr>
      </w:pPr>
      <w:bookmarkStart w:id="45" w:name="_Toc74855810"/>
      <w:r>
        <w:rPr>
          <w:rFonts w:ascii="League Spartan" w:hAnsi="League Spartan"/>
          <w:b w:val="0"/>
          <w:color w:val="004479"/>
          <w:sz w:val="28"/>
          <w:szCs w:val="28"/>
        </w:rPr>
        <w:lastRenderedPageBreak/>
        <w:t xml:space="preserve">PURPOSE AND </w:t>
      </w:r>
      <w:r w:rsidR="00C84823" w:rsidRPr="00C84823">
        <w:rPr>
          <w:rFonts w:ascii="League Spartan" w:hAnsi="League Spartan"/>
          <w:b w:val="0"/>
          <w:color w:val="004479"/>
          <w:sz w:val="28"/>
          <w:szCs w:val="28"/>
        </w:rPr>
        <w:t>STRUCTURE OF SUBMISSION</w:t>
      </w:r>
      <w:bookmarkEnd w:id="45"/>
    </w:p>
    <w:p w14:paraId="60AE1134" w14:textId="77777777" w:rsidR="00753263" w:rsidRPr="002F0C58" w:rsidRDefault="00753263" w:rsidP="002F0C58">
      <w:pPr>
        <w:spacing w:line="276" w:lineRule="auto"/>
        <w:rPr>
          <w:rFonts w:ascii="Proxima Nova" w:hAnsi="Proxima Nova" w:cstheme="minorHAnsi"/>
          <w:sz w:val="22"/>
          <w:szCs w:val="22"/>
        </w:rPr>
      </w:pPr>
    </w:p>
    <w:p w14:paraId="7A081919" w14:textId="4D53692B" w:rsidR="005C76B6" w:rsidRPr="002F0C58" w:rsidRDefault="00753263" w:rsidP="002F0C58">
      <w:pPr>
        <w:spacing w:line="276" w:lineRule="auto"/>
        <w:rPr>
          <w:rFonts w:ascii="Proxima Nova" w:hAnsi="Proxima Nova" w:cs="Calibri"/>
          <w:sz w:val="22"/>
          <w:szCs w:val="22"/>
        </w:rPr>
      </w:pPr>
      <w:r w:rsidRPr="002F0C58">
        <w:rPr>
          <w:rFonts w:ascii="Proxima Nova" w:hAnsi="Proxima Nova" w:cstheme="minorHAnsi"/>
          <w:sz w:val="22"/>
          <w:szCs w:val="22"/>
        </w:rPr>
        <w:t xml:space="preserve">This </w:t>
      </w:r>
      <w:r w:rsidR="00262C41" w:rsidRPr="002F0C58">
        <w:rPr>
          <w:rFonts w:ascii="Proxima Nova" w:hAnsi="Proxima Nova" w:cstheme="minorHAnsi"/>
          <w:sz w:val="22"/>
          <w:szCs w:val="22"/>
        </w:rPr>
        <w:t>S</w:t>
      </w:r>
      <w:r w:rsidRPr="002F0C58">
        <w:rPr>
          <w:rFonts w:ascii="Proxima Nova" w:hAnsi="Proxima Nova" w:cstheme="minorHAnsi"/>
          <w:sz w:val="22"/>
          <w:szCs w:val="22"/>
        </w:rPr>
        <w:t xml:space="preserve">ubmission </w:t>
      </w:r>
      <w:r w:rsidR="003A2D5E" w:rsidRPr="002F0C58">
        <w:rPr>
          <w:rFonts w:ascii="Proxima Nova" w:hAnsi="Proxima Nova" w:cstheme="minorHAnsi"/>
          <w:sz w:val="22"/>
          <w:szCs w:val="22"/>
        </w:rPr>
        <w:t xml:space="preserve">from Women With Disabilities Australia (WWDA) </w:t>
      </w:r>
      <w:r w:rsidR="005C76B6" w:rsidRPr="002F0C58">
        <w:rPr>
          <w:rFonts w:ascii="Proxima Nova" w:hAnsi="Proxima Nova" w:cstheme="minorHAnsi"/>
          <w:sz w:val="22"/>
          <w:szCs w:val="22"/>
        </w:rPr>
        <w:t xml:space="preserve">is </w:t>
      </w:r>
      <w:r w:rsidR="003A2D5E" w:rsidRPr="002F0C58">
        <w:rPr>
          <w:rFonts w:ascii="Proxima Nova" w:hAnsi="Proxima Nova" w:cstheme="minorHAnsi"/>
          <w:sz w:val="22"/>
          <w:szCs w:val="22"/>
        </w:rPr>
        <w:t xml:space="preserve">in </w:t>
      </w:r>
      <w:r w:rsidR="003A2D5E" w:rsidRPr="002F0C58">
        <w:rPr>
          <w:rFonts w:ascii="Proxima Nova" w:hAnsi="Proxima Nova" w:cs="Calibri"/>
          <w:sz w:val="22"/>
          <w:szCs w:val="22"/>
        </w:rPr>
        <w:t>response to the</w:t>
      </w:r>
      <w:r w:rsidR="00AE49B2" w:rsidRPr="002F0C58">
        <w:rPr>
          <w:rFonts w:ascii="Proxima Nova" w:hAnsi="Proxima Nova" w:cs="Calibri"/>
          <w:sz w:val="22"/>
          <w:szCs w:val="22"/>
        </w:rPr>
        <w:t xml:space="preserve"> </w:t>
      </w:r>
      <w:r w:rsidR="00AE49B2" w:rsidRPr="002F0C58">
        <w:rPr>
          <w:rFonts w:ascii="Proxima Nova" w:hAnsi="Proxima Nova" w:cs="Calibri"/>
          <w:i/>
          <w:iCs/>
          <w:sz w:val="22"/>
          <w:szCs w:val="22"/>
        </w:rPr>
        <w:t>‘</w:t>
      </w:r>
      <w:r w:rsidR="003A2D5E" w:rsidRPr="002F0C58">
        <w:rPr>
          <w:rFonts w:ascii="Proxima Nova" w:hAnsi="Proxima Nova" w:cs="Calibri"/>
          <w:i/>
          <w:iCs/>
          <w:sz w:val="22"/>
          <w:szCs w:val="22"/>
        </w:rPr>
        <w:t>Restrictive Practices Issues Paper</w:t>
      </w:r>
      <w:r w:rsidR="00AE49B2" w:rsidRPr="002F0C58">
        <w:rPr>
          <w:rFonts w:ascii="Proxima Nova" w:hAnsi="Proxima Nova" w:cs="Calibri"/>
          <w:i/>
          <w:iCs/>
          <w:sz w:val="22"/>
          <w:szCs w:val="22"/>
        </w:rPr>
        <w:t>’</w:t>
      </w:r>
      <w:r w:rsidR="003A2D5E" w:rsidRPr="002F0C58">
        <w:rPr>
          <w:rFonts w:ascii="Proxima Nova" w:hAnsi="Proxima Nova" w:cs="Calibri"/>
          <w:sz w:val="22"/>
          <w:szCs w:val="22"/>
        </w:rPr>
        <w:t xml:space="preserve"> of the </w:t>
      </w:r>
      <w:r w:rsidR="003A2D5E" w:rsidRPr="002F0C58">
        <w:rPr>
          <w:rFonts w:ascii="Proxima Nova" w:hAnsi="Proxima Nova" w:cs="Calibri"/>
          <w:i/>
          <w:iCs/>
          <w:sz w:val="22"/>
          <w:szCs w:val="22"/>
        </w:rPr>
        <w:t>Royal Commission into Violence, Abuse, Neglect and Exploitation of People with Disability</w:t>
      </w:r>
      <w:r w:rsidR="005C76B6" w:rsidRPr="002F0C58">
        <w:rPr>
          <w:rFonts w:ascii="Proxima Nova" w:hAnsi="Proxima Nova" w:cs="Calibri"/>
          <w:sz w:val="22"/>
          <w:szCs w:val="22"/>
        </w:rPr>
        <w:t xml:space="preserve">. </w:t>
      </w:r>
    </w:p>
    <w:p w14:paraId="13F67EA0" w14:textId="72647818" w:rsidR="005C76B6" w:rsidRPr="002F0C58" w:rsidRDefault="005C76B6" w:rsidP="000510B7">
      <w:pPr>
        <w:spacing w:line="276" w:lineRule="auto"/>
        <w:rPr>
          <w:rFonts w:ascii="Proxima Nova" w:hAnsi="Proxima Nova" w:cstheme="minorHAnsi"/>
          <w:sz w:val="22"/>
          <w:szCs w:val="22"/>
        </w:rPr>
      </w:pPr>
    </w:p>
    <w:p w14:paraId="136024DC" w14:textId="64E4D204" w:rsidR="005C76B6" w:rsidRPr="002F0C58" w:rsidRDefault="00787DEF" w:rsidP="000510B7">
      <w:pPr>
        <w:spacing w:line="276" w:lineRule="auto"/>
        <w:rPr>
          <w:rFonts w:ascii="Proxima Nova" w:hAnsi="Proxima Nova" w:cstheme="minorHAnsi"/>
          <w:sz w:val="22"/>
          <w:szCs w:val="22"/>
        </w:rPr>
      </w:pPr>
      <w:r w:rsidRPr="002F0C58">
        <w:rPr>
          <w:rFonts w:ascii="Proxima Nova" w:hAnsi="Proxima Nova"/>
          <w:sz w:val="22"/>
          <w:szCs w:val="22"/>
        </w:rPr>
        <w:t xml:space="preserve">WWDA’s core argument in this submission is that restrictive practices per se, </w:t>
      </w:r>
      <w:r w:rsidRPr="002F0C58">
        <w:rPr>
          <w:rFonts w:ascii="Proxima Nova" w:hAnsi="Proxima Nova"/>
          <w:b/>
          <w:bCs/>
          <w:sz w:val="22"/>
          <w:szCs w:val="22"/>
          <w:u w:val="single"/>
        </w:rPr>
        <w:t>whatever context, setting and reason for use</w:t>
      </w:r>
      <w:r w:rsidRPr="002F0C58">
        <w:rPr>
          <w:rFonts w:ascii="Proxima Nova" w:hAnsi="Proxima Nova"/>
          <w:sz w:val="22"/>
          <w:szCs w:val="22"/>
        </w:rPr>
        <w:t xml:space="preserve"> are violent and are in violation of human rights. Their use must be prohibited and redressed, and legal frameworks for substitute decision-making and compulsory treatment authorising restrictive practices must be abolished. This has been the position of WWDA for a number of years, and we continue to hold this position. Regulation, exceptions, minimisation, limitations, reductions etc. are not enough. Ultimately, such approaches still allow restrictive practices – and violence – to continue to be perpetrated on people with disability</w:t>
      </w:r>
      <w:r w:rsidR="005C76B6" w:rsidRPr="002F0C58">
        <w:rPr>
          <w:rFonts w:ascii="Proxima Nova" w:hAnsi="Proxima Nova" w:cstheme="minorHAnsi"/>
          <w:sz w:val="22"/>
          <w:szCs w:val="22"/>
        </w:rPr>
        <w:t xml:space="preserve">. Therefore, this submission focuses on an in-depth exploration of the violence of restrictive practices in order to demonstrate to the Royal Commission why nothing short of prohibition and redress of restrictive practices is </w:t>
      </w:r>
      <w:proofErr w:type="gramStart"/>
      <w:r w:rsidR="005C76B6" w:rsidRPr="002F0C58">
        <w:rPr>
          <w:rFonts w:ascii="Proxima Nova" w:hAnsi="Proxima Nova" w:cstheme="minorHAnsi"/>
          <w:sz w:val="22"/>
          <w:szCs w:val="22"/>
        </w:rPr>
        <w:t>absolutely necessary</w:t>
      </w:r>
      <w:proofErr w:type="gramEnd"/>
      <w:r w:rsidR="005C76B6" w:rsidRPr="002F0C58">
        <w:rPr>
          <w:rFonts w:ascii="Proxima Nova" w:hAnsi="Proxima Nova" w:cstheme="minorHAnsi"/>
          <w:sz w:val="22"/>
          <w:szCs w:val="22"/>
        </w:rPr>
        <w:t>.</w:t>
      </w:r>
    </w:p>
    <w:p w14:paraId="3959C95B" w14:textId="448E8319" w:rsidR="00F869B7" w:rsidRPr="002F0C58" w:rsidRDefault="00F869B7" w:rsidP="000510B7">
      <w:pPr>
        <w:spacing w:line="276" w:lineRule="auto"/>
        <w:rPr>
          <w:rFonts w:ascii="Proxima Nova" w:hAnsi="Proxima Nova" w:cstheme="minorHAnsi"/>
          <w:sz w:val="22"/>
          <w:szCs w:val="22"/>
        </w:rPr>
      </w:pPr>
    </w:p>
    <w:p w14:paraId="2A482429" w14:textId="45500B31" w:rsidR="00F869B7" w:rsidRPr="002F0C58" w:rsidRDefault="00F869B7" w:rsidP="000510B7">
      <w:pPr>
        <w:spacing w:line="276" w:lineRule="auto"/>
        <w:rPr>
          <w:rFonts w:ascii="Proxima Nova" w:hAnsi="Proxima Nova" w:cstheme="minorHAnsi"/>
          <w:sz w:val="22"/>
          <w:szCs w:val="22"/>
        </w:rPr>
      </w:pPr>
      <w:r w:rsidRPr="002F0C58">
        <w:rPr>
          <w:rFonts w:ascii="Proxima Nova" w:hAnsi="Proxima Nova" w:cstheme="minorHAnsi"/>
          <w:sz w:val="22"/>
          <w:szCs w:val="22"/>
        </w:rPr>
        <w:t xml:space="preserve">Please note that WWDA will be making a separate submission in relation to sexual and reproductive violence. This </w:t>
      </w:r>
      <w:r w:rsidR="009F392D" w:rsidRPr="002F0C58">
        <w:rPr>
          <w:rFonts w:ascii="Proxima Nova" w:hAnsi="Proxima Nova" w:cstheme="minorHAnsi"/>
          <w:sz w:val="22"/>
          <w:szCs w:val="22"/>
        </w:rPr>
        <w:t>provides further information about the nature, impacts and legal frameworks of sexual and reproductive-related restrictive practices on women and girls with disability.</w:t>
      </w:r>
    </w:p>
    <w:p w14:paraId="5BD3E33C" w14:textId="77777777" w:rsidR="005C76B6" w:rsidRPr="002F0C58" w:rsidRDefault="005C76B6" w:rsidP="000510B7">
      <w:pPr>
        <w:spacing w:line="276" w:lineRule="auto"/>
        <w:rPr>
          <w:rFonts w:ascii="Proxima Nova" w:hAnsi="Proxima Nova" w:cstheme="minorHAnsi"/>
          <w:sz w:val="22"/>
          <w:szCs w:val="22"/>
        </w:rPr>
      </w:pPr>
    </w:p>
    <w:p w14:paraId="10D6D927" w14:textId="1F1E6469" w:rsidR="00753263" w:rsidRPr="002F0C58" w:rsidRDefault="005C76B6" w:rsidP="000510B7">
      <w:pPr>
        <w:spacing w:line="276" w:lineRule="auto"/>
        <w:rPr>
          <w:rFonts w:ascii="Proxima Nova" w:hAnsi="Proxima Nova" w:cstheme="minorHAnsi"/>
          <w:sz w:val="22"/>
          <w:szCs w:val="22"/>
        </w:rPr>
      </w:pPr>
      <w:r w:rsidRPr="002F0C58">
        <w:rPr>
          <w:rFonts w:ascii="Proxima Nova" w:hAnsi="Proxima Nova" w:cstheme="minorHAnsi"/>
          <w:sz w:val="22"/>
          <w:szCs w:val="22"/>
        </w:rPr>
        <w:t xml:space="preserve">The submission </w:t>
      </w:r>
      <w:r w:rsidR="00753263" w:rsidRPr="002F0C58">
        <w:rPr>
          <w:rFonts w:ascii="Proxima Nova" w:hAnsi="Proxima Nova" w:cstheme="minorHAnsi"/>
          <w:sz w:val="22"/>
          <w:szCs w:val="22"/>
        </w:rPr>
        <w:t xml:space="preserve">is structured in </w:t>
      </w:r>
      <w:r w:rsidR="00262C41" w:rsidRPr="002F0C58">
        <w:rPr>
          <w:rFonts w:ascii="Proxima Nova" w:hAnsi="Proxima Nova" w:cstheme="minorHAnsi"/>
          <w:sz w:val="22"/>
          <w:szCs w:val="22"/>
        </w:rPr>
        <w:t>eight</w:t>
      </w:r>
      <w:r w:rsidR="00753263" w:rsidRPr="002F0C58">
        <w:rPr>
          <w:rFonts w:ascii="Proxima Nova" w:hAnsi="Proxima Nova" w:cstheme="minorHAnsi"/>
          <w:sz w:val="22"/>
          <w:szCs w:val="22"/>
        </w:rPr>
        <w:t xml:space="preserve"> </w:t>
      </w:r>
      <w:r w:rsidR="00262C41" w:rsidRPr="002F0C58">
        <w:rPr>
          <w:rFonts w:ascii="Proxima Nova" w:hAnsi="Proxima Nova" w:cstheme="minorHAnsi"/>
          <w:sz w:val="22"/>
          <w:szCs w:val="22"/>
        </w:rPr>
        <w:t xml:space="preserve">major </w:t>
      </w:r>
      <w:r w:rsidR="00753263" w:rsidRPr="002F0C58">
        <w:rPr>
          <w:rFonts w:ascii="Proxima Nova" w:hAnsi="Proxima Nova" w:cstheme="minorHAnsi"/>
          <w:sz w:val="22"/>
          <w:szCs w:val="22"/>
        </w:rPr>
        <w:t>sections</w:t>
      </w:r>
      <w:r w:rsidR="00262C41" w:rsidRPr="002F0C58">
        <w:rPr>
          <w:rFonts w:ascii="Proxima Nova" w:hAnsi="Proxima Nova" w:cstheme="minorHAnsi"/>
          <w:sz w:val="22"/>
          <w:szCs w:val="22"/>
        </w:rPr>
        <w:t xml:space="preserve"> and includes </w:t>
      </w:r>
      <w:r w:rsidR="00811C02" w:rsidRPr="002F0C58">
        <w:rPr>
          <w:rFonts w:ascii="Proxima Nova" w:hAnsi="Proxima Nova" w:cstheme="minorHAnsi"/>
          <w:sz w:val="22"/>
          <w:szCs w:val="22"/>
        </w:rPr>
        <w:t>two</w:t>
      </w:r>
      <w:r w:rsidR="00262C41" w:rsidRPr="002F0C58">
        <w:rPr>
          <w:rFonts w:ascii="Proxima Nova" w:hAnsi="Proxima Nova" w:cstheme="minorHAnsi"/>
          <w:sz w:val="22"/>
          <w:szCs w:val="22"/>
        </w:rPr>
        <w:t xml:space="preserve"> Appendices</w:t>
      </w:r>
      <w:r w:rsidR="00753263" w:rsidRPr="002F0C58">
        <w:rPr>
          <w:rFonts w:ascii="Proxima Nova" w:hAnsi="Proxima Nova" w:cstheme="minorHAnsi"/>
          <w:sz w:val="22"/>
          <w:szCs w:val="22"/>
        </w:rPr>
        <w:t>:</w:t>
      </w:r>
    </w:p>
    <w:p w14:paraId="42BD0440" w14:textId="77777777" w:rsidR="00411A04" w:rsidRPr="002F0C58" w:rsidRDefault="00411A04" w:rsidP="000528FA">
      <w:pPr>
        <w:spacing w:line="276" w:lineRule="auto"/>
        <w:rPr>
          <w:rFonts w:ascii="Proxima Nova" w:hAnsi="Proxima Nova" w:cstheme="minorHAnsi"/>
          <w:sz w:val="22"/>
          <w:szCs w:val="22"/>
        </w:rPr>
      </w:pPr>
    </w:p>
    <w:p w14:paraId="759200E2" w14:textId="3BCFE7F7" w:rsidR="006B3550" w:rsidRPr="002F0C58" w:rsidRDefault="006B3550" w:rsidP="000528FA">
      <w:pPr>
        <w:spacing w:line="276" w:lineRule="auto"/>
        <w:rPr>
          <w:rFonts w:ascii="Proxima Nova" w:hAnsi="Proxima Nova" w:cstheme="minorHAnsi"/>
          <w:sz w:val="22"/>
          <w:szCs w:val="22"/>
        </w:rPr>
      </w:pPr>
      <w:r w:rsidRPr="002F0C58">
        <w:rPr>
          <w:rFonts w:ascii="Proxima Nova" w:hAnsi="Proxima Nova" w:cstheme="minorHAnsi"/>
          <w:b/>
          <w:bCs/>
          <w:sz w:val="22"/>
          <w:szCs w:val="22"/>
        </w:rPr>
        <w:t>Section 1</w:t>
      </w:r>
      <w:r w:rsidR="000528FA" w:rsidRPr="002F0C58">
        <w:rPr>
          <w:rFonts w:ascii="Proxima Nova" w:hAnsi="Proxima Nova" w:cstheme="minorHAnsi"/>
          <w:b/>
          <w:bCs/>
          <w:sz w:val="22"/>
          <w:szCs w:val="22"/>
        </w:rPr>
        <w:t>:</w:t>
      </w:r>
      <w:r w:rsidR="000528FA" w:rsidRPr="002F0C58">
        <w:rPr>
          <w:rFonts w:ascii="Proxima Nova" w:hAnsi="Proxima Nova" w:cstheme="minorHAnsi"/>
          <w:sz w:val="22"/>
          <w:szCs w:val="22"/>
        </w:rPr>
        <w:tab/>
        <w:t>O</w:t>
      </w:r>
      <w:r w:rsidRPr="002F0C58">
        <w:rPr>
          <w:rFonts w:ascii="Proxima Nova" w:hAnsi="Proxima Nova" w:cstheme="minorHAnsi"/>
          <w:sz w:val="22"/>
          <w:szCs w:val="22"/>
        </w:rPr>
        <w:t xml:space="preserve">utlines </w:t>
      </w:r>
      <w:r w:rsidR="00262C41" w:rsidRPr="002F0C58">
        <w:rPr>
          <w:rFonts w:ascii="Proxima Nova" w:hAnsi="Proxima Nova" w:cstheme="minorHAnsi"/>
          <w:sz w:val="22"/>
          <w:szCs w:val="22"/>
        </w:rPr>
        <w:t>WWDA’s</w:t>
      </w:r>
      <w:r w:rsidRPr="002F0C58">
        <w:rPr>
          <w:rFonts w:ascii="Proxima Nova" w:hAnsi="Proxima Nova" w:cstheme="minorHAnsi"/>
          <w:sz w:val="22"/>
          <w:szCs w:val="22"/>
        </w:rPr>
        <w:t xml:space="preserve"> </w:t>
      </w:r>
      <w:r w:rsidR="000510B7" w:rsidRPr="002F0C58">
        <w:rPr>
          <w:rFonts w:ascii="Proxima Nova" w:hAnsi="Proxima Nova" w:cstheme="minorHAnsi"/>
          <w:b/>
          <w:bCs/>
          <w:sz w:val="22"/>
          <w:szCs w:val="22"/>
        </w:rPr>
        <w:t>3</w:t>
      </w:r>
      <w:r w:rsidR="00EB579E" w:rsidRPr="002F0C58">
        <w:rPr>
          <w:rFonts w:ascii="Proxima Nova" w:hAnsi="Proxima Nova" w:cstheme="minorHAnsi"/>
          <w:b/>
          <w:bCs/>
          <w:sz w:val="22"/>
          <w:szCs w:val="22"/>
        </w:rPr>
        <w:t>6</w:t>
      </w:r>
      <w:r w:rsidR="000510B7" w:rsidRPr="002F0C58">
        <w:rPr>
          <w:rFonts w:ascii="Proxima Nova" w:hAnsi="Proxima Nova" w:cstheme="minorHAnsi"/>
          <w:b/>
          <w:bCs/>
          <w:sz w:val="22"/>
          <w:szCs w:val="22"/>
        </w:rPr>
        <w:t xml:space="preserve"> </w:t>
      </w:r>
      <w:r w:rsidR="000510B7" w:rsidRPr="002F0C58">
        <w:rPr>
          <w:rFonts w:ascii="Proxima Nova" w:hAnsi="Proxima Nova" w:cstheme="minorHAnsi"/>
          <w:sz w:val="22"/>
          <w:szCs w:val="22"/>
        </w:rPr>
        <w:t>R</w:t>
      </w:r>
      <w:r w:rsidRPr="002F0C58">
        <w:rPr>
          <w:rFonts w:ascii="Proxima Nova" w:hAnsi="Proxima Nova" w:cstheme="minorHAnsi"/>
          <w:sz w:val="22"/>
          <w:szCs w:val="22"/>
        </w:rPr>
        <w:t xml:space="preserve">ecommendations </w:t>
      </w:r>
      <w:r w:rsidR="004D51D5" w:rsidRPr="002F0C58">
        <w:rPr>
          <w:rFonts w:ascii="Proxima Nova" w:hAnsi="Proxima Nova" w:cstheme="minorHAnsi"/>
          <w:sz w:val="22"/>
          <w:szCs w:val="22"/>
        </w:rPr>
        <w:t>in relation to</w:t>
      </w:r>
      <w:r w:rsidRPr="002F0C58">
        <w:rPr>
          <w:rFonts w:ascii="Proxima Nova" w:hAnsi="Proxima Nova" w:cstheme="minorHAnsi"/>
          <w:sz w:val="22"/>
          <w:szCs w:val="22"/>
        </w:rPr>
        <w:t xml:space="preserve"> restrictive practices</w:t>
      </w:r>
      <w:r w:rsidR="004D51D5" w:rsidRPr="002F0C58">
        <w:rPr>
          <w:rFonts w:ascii="Proxima Nova" w:hAnsi="Proxima Nova" w:cstheme="minorHAnsi"/>
          <w:sz w:val="22"/>
          <w:szCs w:val="22"/>
        </w:rPr>
        <w:t>.</w:t>
      </w:r>
    </w:p>
    <w:p w14:paraId="625916F9" w14:textId="77777777" w:rsidR="00681167" w:rsidRPr="002F0C58" w:rsidRDefault="00681167" w:rsidP="000528FA">
      <w:pPr>
        <w:spacing w:line="276" w:lineRule="auto"/>
        <w:rPr>
          <w:rFonts w:ascii="Proxima Nova" w:hAnsi="Proxima Nova" w:cstheme="minorHAnsi"/>
          <w:sz w:val="22"/>
          <w:szCs w:val="22"/>
        </w:rPr>
      </w:pPr>
    </w:p>
    <w:p w14:paraId="1D5557CE" w14:textId="4114E3FF" w:rsidR="00753263" w:rsidRPr="002F0C58" w:rsidRDefault="006B3550" w:rsidP="00CE2A9C">
      <w:pPr>
        <w:spacing w:line="276" w:lineRule="auto"/>
        <w:ind w:left="1440" w:hanging="1440"/>
        <w:rPr>
          <w:rFonts w:ascii="Proxima Nova" w:hAnsi="Proxima Nova" w:cstheme="minorHAnsi"/>
          <w:sz w:val="22"/>
          <w:szCs w:val="22"/>
        </w:rPr>
      </w:pPr>
      <w:r w:rsidRPr="002F0C58">
        <w:rPr>
          <w:rFonts w:ascii="Proxima Nova" w:hAnsi="Proxima Nova" w:cstheme="minorHAnsi"/>
          <w:b/>
          <w:bCs/>
          <w:sz w:val="22"/>
          <w:szCs w:val="22"/>
        </w:rPr>
        <w:t>Section 2</w:t>
      </w:r>
      <w:r w:rsidR="000528FA" w:rsidRPr="002F0C58">
        <w:rPr>
          <w:rFonts w:ascii="Proxima Nova" w:hAnsi="Proxima Nova" w:cstheme="minorHAnsi"/>
          <w:b/>
          <w:bCs/>
          <w:sz w:val="22"/>
          <w:szCs w:val="22"/>
        </w:rPr>
        <w:t>:</w:t>
      </w:r>
      <w:r w:rsidR="000528FA" w:rsidRPr="002F0C58">
        <w:rPr>
          <w:rFonts w:ascii="Proxima Nova" w:hAnsi="Proxima Nova" w:cstheme="minorHAnsi"/>
          <w:sz w:val="22"/>
          <w:szCs w:val="22"/>
        </w:rPr>
        <w:tab/>
        <w:t>P</w:t>
      </w:r>
      <w:r w:rsidRPr="002F0C58">
        <w:rPr>
          <w:rFonts w:ascii="Proxima Nova" w:hAnsi="Proxima Nova" w:cstheme="minorHAnsi"/>
          <w:sz w:val="22"/>
          <w:szCs w:val="22"/>
        </w:rPr>
        <w:t xml:space="preserve">rovides </w:t>
      </w:r>
      <w:r w:rsidR="00753263" w:rsidRPr="002F0C58">
        <w:rPr>
          <w:rFonts w:ascii="Proxima Nova" w:hAnsi="Proxima Nova" w:cstheme="minorHAnsi"/>
          <w:sz w:val="22"/>
          <w:szCs w:val="22"/>
        </w:rPr>
        <w:t>background to the Royal Commission in relation to</w:t>
      </w:r>
      <w:r w:rsidR="00AD3979" w:rsidRPr="002F0C58">
        <w:rPr>
          <w:rFonts w:ascii="Proxima Nova" w:hAnsi="Proxima Nova" w:cstheme="minorHAnsi"/>
          <w:sz w:val="22"/>
          <w:szCs w:val="22"/>
        </w:rPr>
        <w:t xml:space="preserve"> restrictive practices and</w:t>
      </w:r>
      <w:r w:rsidR="00753263" w:rsidRPr="002F0C58">
        <w:rPr>
          <w:rFonts w:ascii="Proxima Nova" w:hAnsi="Proxima Nova" w:cstheme="minorHAnsi"/>
          <w:sz w:val="22"/>
          <w:szCs w:val="22"/>
        </w:rPr>
        <w:t xml:space="preserve"> violence against women and girls with disability</w:t>
      </w:r>
      <w:r w:rsidR="00CE2A9C" w:rsidRPr="002F0C58">
        <w:rPr>
          <w:rFonts w:ascii="Proxima Nova" w:hAnsi="Proxima Nova" w:cstheme="minorHAnsi"/>
          <w:sz w:val="22"/>
          <w:szCs w:val="22"/>
        </w:rPr>
        <w:t>.</w:t>
      </w:r>
    </w:p>
    <w:p w14:paraId="5963F340" w14:textId="77777777" w:rsidR="00681167" w:rsidRPr="002F0C58" w:rsidRDefault="00681167" w:rsidP="000528FA">
      <w:pPr>
        <w:spacing w:line="276" w:lineRule="auto"/>
        <w:rPr>
          <w:rFonts w:ascii="Proxima Nova" w:hAnsi="Proxima Nova" w:cstheme="minorHAnsi"/>
          <w:sz w:val="22"/>
          <w:szCs w:val="22"/>
        </w:rPr>
      </w:pPr>
    </w:p>
    <w:p w14:paraId="0F19656B" w14:textId="1BEB78E0" w:rsidR="00957F0E" w:rsidRPr="002F0C58" w:rsidRDefault="00957F0E" w:rsidP="00CE2A9C">
      <w:pPr>
        <w:spacing w:line="276" w:lineRule="auto"/>
        <w:ind w:left="1440" w:hanging="1440"/>
        <w:rPr>
          <w:rFonts w:ascii="Proxima Nova" w:hAnsi="Proxima Nova" w:cstheme="minorHAnsi"/>
          <w:sz w:val="22"/>
          <w:szCs w:val="22"/>
        </w:rPr>
      </w:pPr>
      <w:r w:rsidRPr="002F0C58">
        <w:rPr>
          <w:rFonts w:ascii="Proxima Nova" w:hAnsi="Proxima Nova" w:cstheme="minorHAnsi"/>
          <w:b/>
          <w:bCs/>
          <w:sz w:val="22"/>
          <w:szCs w:val="22"/>
        </w:rPr>
        <w:t>Section 3</w:t>
      </w:r>
      <w:r w:rsidR="000528FA" w:rsidRPr="002F0C58">
        <w:rPr>
          <w:rFonts w:ascii="Proxima Nova" w:hAnsi="Proxima Nova" w:cstheme="minorHAnsi"/>
          <w:b/>
          <w:bCs/>
          <w:sz w:val="22"/>
          <w:szCs w:val="22"/>
        </w:rPr>
        <w:t>:</w:t>
      </w:r>
      <w:r w:rsidR="000528FA" w:rsidRPr="002F0C58">
        <w:rPr>
          <w:rFonts w:ascii="Proxima Nova" w:hAnsi="Proxima Nova" w:cstheme="minorHAnsi"/>
          <w:sz w:val="22"/>
          <w:szCs w:val="22"/>
        </w:rPr>
        <w:tab/>
        <w:t>I</w:t>
      </w:r>
      <w:r w:rsidRPr="002F0C58">
        <w:rPr>
          <w:rFonts w:ascii="Proxima Nova" w:hAnsi="Proxima Nova" w:cstheme="minorHAnsi"/>
          <w:sz w:val="22"/>
          <w:szCs w:val="22"/>
        </w:rPr>
        <w:t>dentifies WWDA’s key concerns with the Royal Commission’s approach to date on restrictive practices</w:t>
      </w:r>
      <w:r w:rsidR="00CE2A9C" w:rsidRPr="002F0C58">
        <w:rPr>
          <w:rFonts w:ascii="Proxima Nova" w:hAnsi="Proxima Nova" w:cstheme="minorHAnsi"/>
          <w:sz w:val="22"/>
          <w:szCs w:val="22"/>
        </w:rPr>
        <w:t>.</w:t>
      </w:r>
    </w:p>
    <w:p w14:paraId="0E4E36FD" w14:textId="77777777" w:rsidR="00681167" w:rsidRPr="002F0C58" w:rsidRDefault="00681167" w:rsidP="000528FA">
      <w:pPr>
        <w:spacing w:line="276" w:lineRule="auto"/>
        <w:rPr>
          <w:rFonts w:ascii="Proxima Nova" w:hAnsi="Proxima Nova" w:cstheme="minorHAnsi"/>
          <w:sz w:val="22"/>
          <w:szCs w:val="22"/>
        </w:rPr>
      </w:pPr>
    </w:p>
    <w:p w14:paraId="1F9E70AB" w14:textId="4A74B2DE" w:rsidR="006B3550" w:rsidRPr="002F0C58" w:rsidRDefault="00957F0E" w:rsidP="000528FA">
      <w:pPr>
        <w:spacing w:line="276" w:lineRule="auto"/>
        <w:rPr>
          <w:rFonts w:ascii="Proxima Nova" w:hAnsi="Proxima Nova" w:cstheme="minorHAnsi"/>
          <w:sz w:val="22"/>
          <w:szCs w:val="22"/>
        </w:rPr>
      </w:pPr>
      <w:r w:rsidRPr="002F0C58">
        <w:rPr>
          <w:rFonts w:ascii="Proxima Nova" w:hAnsi="Proxima Nova" w:cstheme="minorHAnsi"/>
          <w:b/>
          <w:bCs/>
          <w:sz w:val="22"/>
          <w:szCs w:val="22"/>
        </w:rPr>
        <w:t>Section 4</w:t>
      </w:r>
      <w:r w:rsidR="000528FA" w:rsidRPr="002F0C58">
        <w:rPr>
          <w:rFonts w:ascii="Proxima Nova" w:hAnsi="Proxima Nova" w:cstheme="minorHAnsi"/>
          <w:b/>
          <w:bCs/>
          <w:sz w:val="22"/>
          <w:szCs w:val="22"/>
        </w:rPr>
        <w:t>:</w:t>
      </w:r>
      <w:r w:rsidR="000528FA" w:rsidRPr="002F0C58">
        <w:rPr>
          <w:rFonts w:ascii="Proxima Nova" w:hAnsi="Proxima Nova" w:cstheme="minorHAnsi"/>
          <w:sz w:val="22"/>
          <w:szCs w:val="22"/>
        </w:rPr>
        <w:tab/>
        <w:t>D</w:t>
      </w:r>
      <w:r w:rsidR="00AD3979" w:rsidRPr="002F0C58">
        <w:rPr>
          <w:rFonts w:ascii="Proxima Nova" w:hAnsi="Proxima Nova" w:cstheme="minorHAnsi"/>
          <w:sz w:val="22"/>
          <w:szCs w:val="22"/>
        </w:rPr>
        <w:t>iscusses a gender-inclusive definition of restrictive practices</w:t>
      </w:r>
      <w:r w:rsidR="00CE2A9C" w:rsidRPr="002F0C58">
        <w:rPr>
          <w:rFonts w:ascii="Proxima Nova" w:hAnsi="Proxima Nova" w:cstheme="minorHAnsi"/>
          <w:sz w:val="22"/>
          <w:szCs w:val="22"/>
        </w:rPr>
        <w:t>.</w:t>
      </w:r>
    </w:p>
    <w:p w14:paraId="41EB03F5" w14:textId="77777777" w:rsidR="00681167" w:rsidRPr="002F0C58" w:rsidRDefault="00681167" w:rsidP="000528FA">
      <w:pPr>
        <w:spacing w:line="276" w:lineRule="auto"/>
        <w:rPr>
          <w:rFonts w:ascii="Proxima Nova" w:hAnsi="Proxima Nova" w:cstheme="minorHAnsi"/>
          <w:sz w:val="22"/>
          <w:szCs w:val="22"/>
        </w:rPr>
      </w:pPr>
    </w:p>
    <w:p w14:paraId="07AF9161" w14:textId="763E28D2" w:rsidR="00AD3979" w:rsidRPr="002F0C58" w:rsidRDefault="00C17576" w:rsidP="000528FA">
      <w:pPr>
        <w:spacing w:line="276" w:lineRule="auto"/>
        <w:rPr>
          <w:rFonts w:ascii="Proxima Nova" w:hAnsi="Proxima Nova" w:cstheme="minorHAnsi"/>
          <w:sz w:val="22"/>
          <w:szCs w:val="22"/>
        </w:rPr>
      </w:pPr>
      <w:r w:rsidRPr="002F0C58">
        <w:rPr>
          <w:rFonts w:ascii="Proxima Nova" w:hAnsi="Proxima Nova" w:cstheme="minorHAnsi"/>
          <w:b/>
          <w:bCs/>
          <w:sz w:val="22"/>
          <w:szCs w:val="22"/>
        </w:rPr>
        <w:t xml:space="preserve">Section </w:t>
      </w:r>
      <w:r w:rsidR="00957F0E" w:rsidRPr="002F0C58">
        <w:rPr>
          <w:rFonts w:ascii="Proxima Nova" w:hAnsi="Proxima Nova" w:cstheme="minorHAnsi"/>
          <w:b/>
          <w:bCs/>
          <w:sz w:val="22"/>
          <w:szCs w:val="22"/>
        </w:rPr>
        <w:t>5</w:t>
      </w:r>
      <w:r w:rsidR="000528FA" w:rsidRPr="002F0C58">
        <w:rPr>
          <w:rFonts w:ascii="Proxima Nova" w:hAnsi="Proxima Nova" w:cstheme="minorHAnsi"/>
          <w:b/>
          <w:bCs/>
          <w:sz w:val="22"/>
          <w:szCs w:val="22"/>
        </w:rPr>
        <w:t>:</w:t>
      </w:r>
      <w:r w:rsidR="000528FA" w:rsidRPr="002F0C58">
        <w:rPr>
          <w:rFonts w:ascii="Proxima Nova" w:hAnsi="Proxima Nova" w:cstheme="minorHAnsi"/>
          <w:sz w:val="22"/>
          <w:szCs w:val="22"/>
        </w:rPr>
        <w:tab/>
        <w:t>D</w:t>
      </w:r>
      <w:r w:rsidR="00AD3979" w:rsidRPr="002F0C58">
        <w:rPr>
          <w:rFonts w:ascii="Proxima Nova" w:hAnsi="Proxima Nova" w:cstheme="minorHAnsi"/>
          <w:sz w:val="22"/>
          <w:szCs w:val="22"/>
        </w:rPr>
        <w:t>iscusses the violence arising from use of restrictive practices</w:t>
      </w:r>
      <w:r w:rsidR="00CE2A9C" w:rsidRPr="002F0C58">
        <w:rPr>
          <w:rFonts w:ascii="Proxima Nova" w:hAnsi="Proxima Nova" w:cstheme="minorHAnsi"/>
          <w:sz w:val="22"/>
          <w:szCs w:val="22"/>
        </w:rPr>
        <w:t>.</w:t>
      </w:r>
      <w:r w:rsidR="00AD3979" w:rsidRPr="002F0C58">
        <w:rPr>
          <w:rFonts w:ascii="Proxima Nova" w:hAnsi="Proxima Nova" w:cstheme="minorHAnsi"/>
          <w:sz w:val="22"/>
          <w:szCs w:val="22"/>
        </w:rPr>
        <w:t xml:space="preserve"> </w:t>
      </w:r>
    </w:p>
    <w:p w14:paraId="579877A6" w14:textId="77777777" w:rsidR="00681167" w:rsidRPr="002F0C58" w:rsidRDefault="00681167" w:rsidP="000528FA">
      <w:pPr>
        <w:spacing w:line="276" w:lineRule="auto"/>
        <w:rPr>
          <w:rFonts w:ascii="Proxima Nova" w:hAnsi="Proxima Nova" w:cstheme="minorHAnsi"/>
          <w:sz w:val="22"/>
          <w:szCs w:val="22"/>
        </w:rPr>
      </w:pPr>
    </w:p>
    <w:p w14:paraId="338A5988" w14:textId="780D4D11" w:rsidR="00AD3979" w:rsidRPr="002F0C58" w:rsidRDefault="00957F0E" w:rsidP="00CE2A9C">
      <w:pPr>
        <w:spacing w:line="276" w:lineRule="auto"/>
        <w:ind w:left="1440" w:hanging="1440"/>
        <w:rPr>
          <w:rFonts w:ascii="Proxima Nova" w:hAnsi="Proxima Nova" w:cstheme="minorHAnsi"/>
          <w:sz w:val="22"/>
          <w:szCs w:val="22"/>
        </w:rPr>
      </w:pPr>
      <w:r w:rsidRPr="002F0C58">
        <w:rPr>
          <w:rFonts w:ascii="Proxima Nova" w:hAnsi="Proxima Nova" w:cstheme="minorHAnsi"/>
          <w:b/>
          <w:bCs/>
          <w:sz w:val="22"/>
          <w:szCs w:val="22"/>
        </w:rPr>
        <w:t>Section 6</w:t>
      </w:r>
      <w:r w:rsidR="000528FA" w:rsidRPr="002F0C58">
        <w:rPr>
          <w:rFonts w:ascii="Proxima Nova" w:hAnsi="Proxima Nova" w:cstheme="minorHAnsi"/>
          <w:b/>
          <w:bCs/>
          <w:sz w:val="22"/>
          <w:szCs w:val="22"/>
        </w:rPr>
        <w:t>:</w:t>
      </w:r>
      <w:r w:rsidR="000528FA" w:rsidRPr="002F0C58">
        <w:rPr>
          <w:rFonts w:ascii="Proxima Nova" w:hAnsi="Proxima Nova" w:cstheme="minorHAnsi"/>
          <w:sz w:val="22"/>
          <w:szCs w:val="22"/>
        </w:rPr>
        <w:tab/>
        <w:t>B</w:t>
      </w:r>
      <w:r w:rsidR="00AD3979" w:rsidRPr="002F0C58">
        <w:rPr>
          <w:rFonts w:ascii="Proxima Nova" w:hAnsi="Proxima Nova" w:cstheme="minorHAnsi"/>
          <w:sz w:val="22"/>
          <w:szCs w:val="22"/>
        </w:rPr>
        <w:t xml:space="preserve">uilds on Section </w:t>
      </w:r>
      <w:r w:rsidR="00727444" w:rsidRPr="002F0C58">
        <w:rPr>
          <w:rFonts w:ascii="Proxima Nova" w:hAnsi="Proxima Nova" w:cstheme="minorHAnsi"/>
          <w:sz w:val="22"/>
          <w:szCs w:val="22"/>
        </w:rPr>
        <w:t xml:space="preserve">5 </w:t>
      </w:r>
      <w:r w:rsidR="00AD3979" w:rsidRPr="002F0C58">
        <w:rPr>
          <w:rFonts w:ascii="Proxima Nova" w:hAnsi="Proxima Nova" w:cstheme="minorHAnsi"/>
          <w:sz w:val="22"/>
          <w:szCs w:val="22"/>
        </w:rPr>
        <w:t xml:space="preserve">by discussing the violence associated with the legality of restrictive </w:t>
      </w:r>
      <w:proofErr w:type="gramStart"/>
      <w:r w:rsidR="00AD3979" w:rsidRPr="002F0C58">
        <w:rPr>
          <w:rFonts w:ascii="Proxima Nova" w:hAnsi="Proxima Nova" w:cstheme="minorHAnsi"/>
          <w:sz w:val="22"/>
          <w:szCs w:val="22"/>
        </w:rPr>
        <w:t>practices, and</w:t>
      </w:r>
      <w:proofErr w:type="gramEnd"/>
      <w:r w:rsidR="00AD3979" w:rsidRPr="002F0C58">
        <w:rPr>
          <w:rFonts w:ascii="Proxima Nova" w:hAnsi="Proxima Nova" w:cstheme="minorHAnsi"/>
          <w:sz w:val="22"/>
          <w:szCs w:val="22"/>
        </w:rPr>
        <w:t xml:space="preserve"> explains how the use and legality of restrictive practices constitutes gendered ableist legal violence</w:t>
      </w:r>
      <w:r w:rsidR="00CE2A9C" w:rsidRPr="002F0C58">
        <w:rPr>
          <w:rFonts w:ascii="Proxima Nova" w:hAnsi="Proxima Nova" w:cstheme="minorHAnsi"/>
          <w:sz w:val="22"/>
          <w:szCs w:val="22"/>
        </w:rPr>
        <w:t>.</w:t>
      </w:r>
      <w:r w:rsidR="00AD3979" w:rsidRPr="002F0C58">
        <w:rPr>
          <w:rFonts w:ascii="Proxima Nova" w:hAnsi="Proxima Nova" w:cstheme="minorHAnsi"/>
          <w:sz w:val="22"/>
          <w:szCs w:val="22"/>
        </w:rPr>
        <w:t xml:space="preserve"> </w:t>
      </w:r>
    </w:p>
    <w:p w14:paraId="3177982A" w14:textId="77777777" w:rsidR="00681167" w:rsidRPr="002F0C58" w:rsidRDefault="00681167" w:rsidP="000528FA">
      <w:pPr>
        <w:spacing w:line="276" w:lineRule="auto"/>
        <w:rPr>
          <w:rFonts w:ascii="Proxima Nova" w:hAnsi="Proxima Nova" w:cstheme="minorHAnsi"/>
          <w:sz w:val="22"/>
          <w:szCs w:val="22"/>
        </w:rPr>
      </w:pPr>
    </w:p>
    <w:p w14:paraId="7B2B0EF8" w14:textId="3DBBDFB5" w:rsidR="00753263" w:rsidRPr="002F0C58" w:rsidRDefault="00FD59BE" w:rsidP="00CE2A9C">
      <w:pPr>
        <w:spacing w:line="276" w:lineRule="auto"/>
        <w:ind w:left="1440" w:hanging="1440"/>
        <w:rPr>
          <w:rFonts w:ascii="Proxima Nova" w:hAnsi="Proxima Nova" w:cstheme="minorHAnsi"/>
          <w:sz w:val="22"/>
          <w:szCs w:val="22"/>
        </w:rPr>
      </w:pPr>
      <w:r w:rsidRPr="002F0C58">
        <w:rPr>
          <w:rFonts w:ascii="Proxima Nova" w:hAnsi="Proxima Nova" w:cstheme="minorHAnsi"/>
          <w:b/>
          <w:bCs/>
          <w:sz w:val="22"/>
          <w:szCs w:val="22"/>
        </w:rPr>
        <w:t>Secti</w:t>
      </w:r>
      <w:r w:rsidR="00957F0E" w:rsidRPr="002F0C58">
        <w:rPr>
          <w:rFonts w:ascii="Proxima Nova" w:hAnsi="Proxima Nova" w:cstheme="minorHAnsi"/>
          <w:b/>
          <w:bCs/>
          <w:sz w:val="22"/>
          <w:szCs w:val="22"/>
        </w:rPr>
        <w:t>on 7</w:t>
      </w:r>
      <w:r w:rsidR="000528FA" w:rsidRPr="002F0C58">
        <w:rPr>
          <w:rFonts w:ascii="Proxima Nova" w:hAnsi="Proxima Nova" w:cstheme="minorHAnsi"/>
          <w:b/>
          <w:bCs/>
          <w:sz w:val="22"/>
          <w:szCs w:val="22"/>
        </w:rPr>
        <w:t>:</w:t>
      </w:r>
      <w:r w:rsidR="000528FA" w:rsidRPr="002F0C58">
        <w:rPr>
          <w:rFonts w:ascii="Proxima Nova" w:hAnsi="Proxima Nova" w:cstheme="minorHAnsi"/>
          <w:sz w:val="22"/>
          <w:szCs w:val="22"/>
        </w:rPr>
        <w:tab/>
        <w:t>P</w:t>
      </w:r>
      <w:r w:rsidR="00753263" w:rsidRPr="002F0C58">
        <w:rPr>
          <w:rFonts w:ascii="Proxima Nova" w:hAnsi="Proxima Nova" w:cstheme="minorHAnsi"/>
          <w:sz w:val="22"/>
          <w:szCs w:val="22"/>
        </w:rPr>
        <w:t>rovides an overview of an international human rights framework for responding to restrictive practices as violence against women and girls with disability</w:t>
      </w:r>
      <w:r w:rsidR="00CE2A9C" w:rsidRPr="002F0C58">
        <w:rPr>
          <w:rFonts w:ascii="Proxima Nova" w:hAnsi="Proxima Nova" w:cstheme="minorHAnsi"/>
          <w:sz w:val="22"/>
          <w:szCs w:val="22"/>
        </w:rPr>
        <w:t>.</w:t>
      </w:r>
    </w:p>
    <w:p w14:paraId="52E656A6" w14:textId="77777777" w:rsidR="00681167" w:rsidRPr="002F0C58" w:rsidRDefault="00681167" w:rsidP="000528FA">
      <w:pPr>
        <w:spacing w:line="276" w:lineRule="auto"/>
        <w:rPr>
          <w:rFonts w:ascii="Proxima Nova" w:hAnsi="Proxima Nova" w:cstheme="minorHAnsi"/>
          <w:sz w:val="22"/>
          <w:szCs w:val="22"/>
        </w:rPr>
      </w:pPr>
    </w:p>
    <w:p w14:paraId="0EA37FC3" w14:textId="27145F98" w:rsidR="00FD59BE" w:rsidRPr="002F0C58" w:rsidRDefault="003E5CBF" w:rsidP="00CE2A9C">
      <w:pPr>
        <w:spacing w:line="276" w:lineRule="auto"/>
        <w:ind w:left="1440" w:hanging="1440"/>
        <w:rPr>
          <w:rFonts w:ascii="Proxima Nova" w:hAnsi="Proxima Nova" w:cstheme="minorHAnsi"/>
          <w:sz w:val="22"/>
          <w:szCs w:val="22"/>
        </w:rPr>
      </w:pPr>
      <w:r w:rsidRPr="002F0C58">
        <w:rPr>
          <w:rFonts w:ascii="Proxima Nova" w:hAnsi="Proxima Nova" w:cstheme="minorHAnsi"/>
          <w:b/>
          <w:bCs/>
          <w:sz w:val="22"/>
          <w:szCs w:val="22"/>
        </w:rPr>
        <w:t xml:space="preserve">Section </w:t>
      </w:r>
      <w:r w:rsidR="00957F0E" w:rsidRPr="002F0C58">
        <w:rPr>
          <w:rFonts w:ascii="Proxima Nova" w:hAnsi="Proxima Nova" w:cstheme="minorHAnsi"/>
          <w:b/>
          <w:bCs/>
          <w:sz w:val="22"/>
          <w:szCs w:val="22"/>
        </w:rPr>
        <w:t>8</w:t>
      </w:r>
      <w:r w:rsidR="000528FA" w:rsidRPr="002F0C58">
        <w:rPr>
          <w:rFonts w:ascii="Proxima Nova" w:hAnsi="Proxima Nova" w:cstheme="minorHAnsi"/>
          <w:b/>
          <w:bCs/>
          <w:sz w:val="22"/>
          <w:szCs w:val="22"/>
        </w:rPr>
        <w:t>:</w:t>
      </w:r>
      <w:r w:rsidR="000528FA" w:rsidRPr="002F0C58">
        <w:rPr>
          <w:rFonts w:ascii="Proxima Nova" w:hAnsi="Proxima Nova" w:cstheme="minorHAnsi"/>
          <w:sz w:val="22"/>
          <w:szCs w:val="22"/>
        </w:rPr>
        <w:tab/>
        <w:t>P</w:t>
      </w:r>
      <w:r w:rsidR="00FD59BE" w:rsidRPr="002F0C58">
        <w:rPr>
          <w:rFonts w:ascii="Proxima Nova" w:hAnsi="Proxima Nova" w:cstheme="minorHAnsi"/>
          <w:sz w:val="22"/>
          <w:szCs w:val="22"/>
        </w:rPr>
        <w:t>rovides brief responses to the questions in the Royal Commission’s Restrictive Practices Issues P</w:t>
      </w:r>
      <w:r w:rsidR="004564E6" w:rsidRPr="002F0C58">
        <w:rPr>
          <w:rFonts w:ascii="Proxima Nova" w:hAnsi="Proxima Nova" w:cstheme="minorHAnsi"/>
          <w:sz w:val="22"/>
          <w:szCs w:val="22"/>
        </w:rPr>
        <w:t>aper</w:t>
      </w:r>
      <w:r w:rsidRPr="002F0C58">
        <w:rPr>
          <w:rFonts w:ascii="Proxima Nova" w:hAnsi="Proxima Nova" w:cstheme="minorHAnsi"/>
          <w:sz w:val="22"/>
          <w:szCs w:val="22"/>
        </w:rPr>
        <w:t>, drawing on the discussion in Sections 4-7</w:t>
      </w:r>
      <w:r w:rsidR="004564E6" w:rsidRPr="002F0C58">
        <w:rPr>
          <w:rFonts w:ascii="Proxima Nova" w:hAnsi="Proxima Nova" w:cstheme="minorHAnsi"/>
          <w:sz w:val="22"/>
          <w:szCs w:val="22"/>
        </w:rPr>
        <w:t>.</w:t>
      </w:r>
    </w:p>
    <w:p w14:paraId="5068ED8B" w14:textId="77777777" w:rsidR="004D51D5" w:rsidRPr="002F0C58" w:rsidRDefault="004D51D5" w:rsidP="004D51D5">
      <w:pPr>
        <w:spacing w:line="276" w:lineRule="auto"/>
        <w:rPr>
          <w:rFonts w:ascii="Proxima Nova" w:hAnsi="Proxima Nova" w:cstheme="minorHAnsi"/>
          <w:sz w:val="22"/>
          <w:szCs w:val="22"/>
        </w:rPr>
      </w:pPr>
    </w:p>
    <w:p w14:paraId="63D3DF05" w14:textId="03680776" w:rsidR="004D51D5" w:rsidRPr="002F0C58" w:rsidRDefault="004D51D5" w:rsidP="004D51D5">
      <w:pPr>
        <w:spacing w:line="276" w:lineRule="auto"/>
        <w:ind w:left="1440" w:hanging="1440"/>
        <w:rPr>
          <w:rFonts w:ascii="Proxima Nova" w:hAnsi="Proxima Nova" w:cstheme="minorHAnsi"/>
          <w:sz w:val="22"/>
          <w:szCs w:val="22"/>
        </w:rPr>
      </w:pPr>
      <w:r w:rsidRPr="002F0C58">
        <w:rPr>
          <w:rFonts w:ascii="Proxima Nova" w:hAnsi="Proxima Nova" w:cstheme="minorHAnsi"/>
          <w:b/>
          <w:bCs/>
          <w:sz w:val="22"/>
          <w:szCs w:val="22"/>
        </w:rPr>
        <w:t xml:space="preserve">Appendix </w:t>
      </w:r>
      <w:r w:rsidR="002326E1" w:rsidRPr="002F0C58">
        <w:rPr>
          <w:rFonts w:ascii="Proxima Nova" w:hAnsi="Proxima Nova" w:cstheme="minorHAnsi"/>
          <w:b/>
          <w:bCs/>
          <w:sz w:val="22"/>
          <w:szCs w:val="22"/>
        </w:rPr>
        <w:t>1</w:t>
      </w:r>
      <w:r w:rsidRPr="002F0C58">
        <w:rPr>
          <w:rFonts w:ascii="Proxima Nova" w:hAnsi="Proxima Nova" w:cstheme="minorHAnsi"/>
          <w:b/>
          <w:bCs/>
          <w:sz w:val="22"/>
          <w:szCs w:val="22"/>
        </w:rPr>
        <w:t>:</w:t>
      </w:r>
      <w:r w:rsidRPr="002F0C58">
        <w:rPr>
          <w:rFonts w:ascii="Proxima Nova" w:hAnsi="Proxima Nova" w:cstheme="minorHAnsi"/>
          <w:sz w:val="22"/>
          <w:szCs w:val="22"/>
        </w:rPr>
        <w:tab/>
      </w:r>
      <w:r w:rsidR="00D95048" w:rsidRPr="002F0C58">
        <w:rPr>
          <w:rFonts w:ascii="Proxima Nova" w:hAnsi="Proxima Nova" w:cstheme="minorHAnsi"/>
          <w:sz w:val="22"/>
          <w:szCs w:val="22"/>
        </w:rPr>
        <w:t>Provides relevant and recent Concluding Comments from UN Treaty Bodies in relation to restrictive practices</w:t>
      </w:r>
      <w:r w:rsidRPr="002F0C58">
        <w:rPr>
          <w:rFonts w:ascii="Proxima Nova" w:hAnsi="Proxima Nova" w:cstheme="minorHAnsi"/>
          <w:sz w:val="22"/>
          <w:szCs w:val="22"/>
        </w:rPr>
        <w:t>.</w:t>
      </w:r>
    </w:p>
    <w:p w14:paraId="127EB144" w14:textId="77777777" w:rsidR="00D95048" w:rsidRPr="002F0C58" w:rsidRDefault="00D95048" w:rsidP="00D95048">
      <w:pPr>
        <w:spacing w:line="276" w:lineRule="auto"/>
        <w:rPr>
          <w:rFonts w:ascii="Proxima Nova" w:hAnsi="Proxima Nova" w:cstheme="minorHAnsi"/>
          <w:sz w:val="22"/>
          <w:szCs w:val="22"/>
        </w:rPr>
      </w:pPr>
    </w:p>
    <w:p w14:paraId="2163432A" w14:textId="294BE8DE" w:rsidR="00D95048" w:rsidRPr="002F0C58" w:rsidRDefault="00D95048" w:rsidP="00D95048">
      <w:pPr>
        <w:spacing w:line="276" w:lineRule="auto"/>
        <w:ind w:left="1440" w:hanging="1440"/>
        <w:rPr>
          <w:rFonts w:ascii="Proxima Nova" w:hAnsi="Proxima Nova" w:cstheme="minorHAnsi"/>
          <w:sz w:val="22"/>
          <w:szCs w:val="22"/>
        </w:rPr>
      </w:pPr>
      <w:r w:rsidRPr="002F0C58">
        <w:rPr>
          <w:rFonts w:ascii="Proxima Nova" w:hAnsi="Proxima Nova" w:cstheme="minorHAnsi"/>
          <w:b/>
          <w:bCs/>
          <w:sz w:val="22"/>
          <w:szCs w:val="22"/>
        </w:rPr>
        <w:t xml:space="preserve">Appendix </w:t>
      </w:r>
      <w:r w:rsidR="002326E1" w:rsidRPr="002F0C58">
        <w:rPr>
          <w:rFonts w:ascii="Proxima Nova" w:hAnsi="Proxima Nova" w:cstheme="minorHAnsi"/>
          <w:b/>
          <w:bCs/>
          <w:sz w:val="22"/>
          <w:szCs w:val="22"/>
        </w:rPr>
        <w:t>2</w:t>
      </w:r>
      <w:r w:rsidRPr="002F0C58">
        <w:rPr>
          <w:rFonts w:ascii="Proxima Nova" w:hAnsi="Proxima Nova" w:cstheme="minorHAnsi"/>
          <w:b/>
          <w:bCs/>
          <w:sz w:val="22"/>
          <w:szCs w:val="22"/>
        </w:rPr>
        <w:t>:</w:t>
      </w:r>
      <w:r w:rsidRPr="002F0C58">
        <w:rPr>
          <w:rFonts w:ascii="Proxima Nova" w:hAnsi="Proxima Nova" w:cstheme="minorHAnsi"/>
          <w:sz w:val="22"/>
          <w:szCs w:val="22"/>
        </w:rPr>
        <w:tab/>
        <w:t>Provides endnotes.</w:t>
      </w:r>
    </w:p>
    <w:p w14:paraId="78146457" w14:textId="7686711C" w:rsidR="00D95048" w:rsidRPr="002F0C58" w:rsidRDefault="00D95048" w:rsidP="00D95048">
      <w:pPr>
        <w:spacing w:line="276" w:lineRule="auto"/>
        <w:rPr>
          <w:rFonts w:ascii="Proxima Nova" w:hAnsi="Proxima Nova" w:cstheme="minorHAnsi"/>
          <w:sz w:val="22"/>
          <w:szCs w:val="22"/>
        </w:rPr>
      </w:pPr>
    </w:p>
    <w:p w14:paraId="1EAE2DB2" w14:textId="77777777" w:rsidR="0093012C" w:rsidRPr="002F0C58" w:rsidRDefault="0093012C" w:rsidP="0041564F">
      <w:pPr>
        <w:spacing w:line="276" w:lineRule="auto"/>
        <w:rPr>
          <w:rFonts w:ascii="Proxima Nova" w:hAnsi="Proxima Nova" w:cstheme="minorHAnsi"/>
          <w:sz w:val="22"/>
          <w:szCs w:val="22"/>
        </w:rPr>
      </w:pPr>
    </w:p>
    <w:p w14:paraId="7A043D17" w14:textId="77777777" w:rsidR="0093012C" w:rsidRPr="002F0C58" w:rsidRDefault="0093012C" w:rsidP="0041564F">
      <w:pPr>
        <w:spacing w:line="276" w:lineRule="auto"/>
        <w:rPr>
          <w:rFonts w:ascii="Proxima Nova" w:hAnsi="Proxima Nova"/>
          <w:sz w:val="22"/>
          <w:szCs w:val="22"/>
        </w:rPr>
      </w:pPr>
      <w:r w:rsidRPr="002F0C58">
        <w:rPr>
          <w:rFonts w:ascii="Proxima Nova" w:hAnsi="Proxima Nova"/>
          <w:sz w:val="22"/>
          <w:szCs w:val="22"/>
        </w:rPr>
        <w:t>Along with the information provided in this Submission, WWDA draws the attention of the Royal Commission to the following key reports from Women With Disabilities Australia (WWDA), which we respectfully request be considered by the Commission as critical documents to support our Submission. These documents are provided as accompanying documents to our Submission, and they are:</w:t>
      </w:r>
    </w:p>
    <w:p w14:paraId="0FA8865B" w14:textId="77777777" w:rsidR="0093012C" w:rsidRPr="002F0C58" w:rsidRDefault="0093012C" w:rsidP="0041564F">
      <w:pPr>
        <w:spacing w:line="276" w:lineRule="auto"/>
        <w:rPr>
          <w:rFonts w:ascii="Proxima Nova" w:hAnsi="Proxima Nova"/>
          <w:sz w:val="22"/>
          <w:szCs w:val="22"/>
        </w:rPr>
      </w:pPr>
    </w:p>
    <w:p w14:paraId="4F371338" w14:textId="77777777" w:rsidR="0093012C" w:rsidRPr="002F0C58" w:rsidRDefault="0093012C" w:rsidP="0041564F">
      <w:pPr>
        <w:pStyle w:val="ListParagraph"/>
        <w:numPr>
          <w:ilvl w:val="0"/>
          <w:numId w:val="44"/>
        </w:numPr>
        <w:spacing w:line="276" w:lineRule="auto"/>
        <w:rPr>
          <w:rFonts w:ascii="Proxima Nova" w:hAnsi="Proxima Nova"/>
          <w:sz w:val="22"/>
          <w:szCs w:val="22"/>
        </w:rPr>
      </w:pPr>
      <w:r w:rsidRPr="002F0C58">
        <w:rPr>
          <w:rFonts w:ascii="Proxima Nova" w:hAnsi="Proxima Nova"/>
          <w:sz w:val="22"/>
          <w:szCs w:val="22"/>
        </w:rPr>
        <w:lastRenderedPageBreak/>
        <w:t xml:space="preserve">Frohmader, C. (March 2013) </w:t>
      </w:r>
      <w:hyperlink r:id="rId17" w:history="1">
        <w:r w:rsidRPr="002F0C58">
          <w:rPr>
            <w:rStyle w:val="Hyperlink"/>
            <w:rFonts w:ascii="Proxima Nova" w:hAnsi="Proxima Nova"/>
            <w:sz w:val="22"/>
            <w:szCs w:val="22"/>
          </w:rPr>
          <w:t>Dehumanised: The Forced Sterilisation of Women and Girls with Disabilities in Australia</w:t>
        </w:r>
      </w:hyperlink>
      <w:r w:rsidRPr="002F0C58">
        <w:rPr>
          <w:rFonts w:ascii="Proxima Nova" w:hAnsi="Proxima Nova"/>
          <w:sz w:val="22"/>
          <w:szCs w:val="22"/>
        </w:rPr>
        <w:t>. WWDA Submission to the Senate Inquiry into the involuntary or coerced sterilisation of people with disabilities in Australia. Women With Disabilities Australia (WWDA), Hobart, Tasmania. ISBN 978-0-9876035-0-0.</w:t>
      </w:r>
    </w:p>
    <w:p w14:paraId="0EE93419" w14:textId="77777777" w:rsidR="0093012C" w:rsidRPr="002F0C58" w:rsidRDefault="0093012C" w:rsidP="0041564F">
      <w:pPr>
        <w:spacing w:line="276" w:lineRule="auto"/>
        <w:rPr>
          <w:rFonts w:ascii="Proxima Nova" w:hAnsi="Proxima Nova"/>
          <w:sz w:val="22"/>
          <w:szCs w:val="22"/>
        </w:rPr>
      </w:pPr>
    </w:p>
    <w:p w14:paraId="23805403" w14:textId="77777777" w:rsidR="0093012C" w:rsidRPr="002F0C58" w:rsidRDefault="0093012C" w:rsidP="0041564F">
      <w:pPr>
        <w:pStyle w:val="ListParagraph"/>
        <w:numPr>
          <w:ilvl w:val="0"/>
          <w:numId w:val="44"/>
        </w:numPr>
        <w:spacing w:line="276" w:lineRule="auto"/>
        <w:rPr>
          <w:rFonts w:ascii="Proxima Nova" w:hAnsi="Proxima Nova"/>
          <w:sz w:val="22"/>
          <w:szCs w:val="22"/>
        </w:rPr>
      </w:pPr>
      <w:r w:rsidRPr="002F0C58">
        <w:rPr>
          <w:rFonts w:ascii="Proxima Nova" w:hAnsi="Proxima Nova"/>
          <w:sz w:val="22"/>
          <w:szCs w:val="22"/>
        </w:rPr>
        <w:t xml:space="preserve">Dunn, C. (2018) </w:t>
      </w:r>
      <w:hyperlink r:id="rId18" w:history="1">
        <w:r w:rsidRPr="002F0C58">
          <w:rPr>
            <w:rStyle w:val="Hyperlink"/>
            <w:rFonts w:ascii="Proxima Nova" w:hAnsi="Proxima Nova"/>
            <w:sz w:val="22"/>
            <w:szCs w:val="22"/>
          </w:rPr>
          <w:t>The Sterilisation of Girls with Disability: The State Responsibility to Protect Human Rights</w:t>
        </w:r>
      </w:hyperlink>
      <w:r w:rsidRPr="002F0C58">
        <w:rPr>
          <w:rFonts w:ascii="Proxima Nova" w:hAnsi="Proxima Nova"/>
          <w:sz w:val="22"/>
          <w:szCs w:val="22"/>
        </w:rPr>
        <w:t>. Women with Disabilities Australia (WWDA), Hobart, Tasmania.</w:t>
      </w:r>
    </w:p>
    <w:p w14:paraId="0D23C206" w14:textId="77777777" w:rsidR="0093012C" w:rsidRPr="002F0C58" w:rsidRDefault="0093012C" w:rsidP="0041564F">
      <w:pPr>
        <w:spacing w:line="276" w:lineRule="auto"/>
        <w:rPr>
          <w:rFonts w:ascii="Proxima Nova" w:hAnsi="Proxima Nova"/>
          <w:sz w:val="22"/>
          <w:szCs w:val="22"/>
        </w:rPr>
      </w:pPr>
    </w:p>
    <w:p w14:paraId="2FD705DF" w14:textId="77777777" w:rsidR="0093012C" w:rsidRPr="002F0C58" w:rsidRDefault="0093012C" w:rsidP="0041564F">
      <w:pPr>
        <w:pStyle w:val="ListParagraph"/>
        <w:numPr>
          <w:ilvl w:val="0"/>
          <w:numId w:val="44"/>
        </w:numPr>
        <w:spacing w:line="276" w:lineRule="auto"/>
        <w:rPr>
          <w:rFonts w:ascii="Proxima Nova" w:hAnsi="Proxima Nova"/>
          <w:sz w:val="22"/>
          <w:szCs w:val="22"/>
        </w:rPr>
      </w:pPr>
      <w:r w:rsidRPr="002F0C58">
        <w:rPr>
          <w:rFonts w:ascii="Proxima Nova" w:hAnsi="Proxima Nova"/>
          <w:sz w:val="22"/>
          <w:szCs w:val="22"/>
        </w:rPr>
        <w:t xml:space="preserve">Women With Disabilities Australia (WWDA) (2011) </w:t>
      </w:r>
      <w:hyperlink r:id="rId19" w:history="1">
        <w:r w:rsidRPr="002F0C58">
          <w:rPr>
            <w:rStyle w:val="Hyperlink"/>
            <w:rFonts w:ascii="Proxima Nova" w:hAnsi="Proxima Nova"/>
            <w:sz w:val="22"/>
            <w:szCs w:val="22"/>
          </w:rPr>
          <w:t>Submission to the United Nations Special Rapporteurs regarding forced sterilisation in Australia</w:t>
        </w:r>
      </w:hyperlink>
      <w:r w:rsidRPr="002F0C58">
        <w:rPr>
          <w:rFonts w:ascii="Proxima Nova" w:hAnsi="Proxima Nova"/>
          <w:sz w:val="22"/>
          <w:szCs w:val="22"/>
        </w:rPr>
        <w:t>. WWDA, Hobart, Tasmania.</w:t>
      </w:r>
    </w:p>
    <w:p w14:paraId="6708FD7F" w14:textId="77777777" w:rsidR="0093012C" w:rsidRPr="002F0C58" w:rsidRDefault="0093012C" w:rsidP="0041564F">
      <w:pPr>
        <w:spacing w:line="276" w:lineRule="auto"/>
        <w:rPr>
          <w:rFonts w:ascii="Proxima Nova" w:hAnsi="Proxima Nova"/>
          <w:sz w:val="22"/>
          <w:szCs w:val="22"/>
        </w:rPr>
      </w:pPr>
    </w:p>
    <w:p w14:paraId="5EF1E7E6" w14:textId="77777777" w:rsidR="0093012C" w:rsidRPr="002F0C58" w:rsidRDefault="0093012C" w:rsidP="0041564F">
      <w:pPr>
        <w:pStyle w:val="ListParagraph"/>
        <w:numPr>
          <w:ilvl w:val="0"/>
          <w:numId w:val="44"/>
        </w:numPr>
        <w:spacing w:line="276" w:lineRule="auto"/>
        <w:rPr>
          <w:rFonts w:ascii="Proxima Nova" w:hAnsi="Proxima Nova"/>
          <w:sz w:val="22"/>
          <w:szCs w:val="22"/>
        </w:rPr>
      </w:pPr>
      <w:r w:rsidRPr="002F0C58">
        <w:rPr>
          <w:rFonts w:ascii="Proxima Nova" w:hAnsi="Proxima Nova"/>
          <w:sz w:val="22"/>
          <w:szCs w:val="22"/>
        </w:rPr>
        <w:t xml:space="preserve">Women With Disabilities Australia (WWDA) (2011) </w:t>
      </w:r>
      <w:hyperlink r:id="rId20" w:history="1">
        <w:r w:rsidRPr="002F0C58">
          <w:rPr>
            <w:rStyle w:val="Hyperlink"/>
            <w:rFonts w:ascii="Proxima Nova" w:hAnsi="Proxima Nova"/>
            <w:sz w:val="22"/>
            <w:szCs w:val="22"/>
          </w:rPr>
          <w:t>Letter to the Australian Attorney – General Regarding the United Nations Request for a Formal Response to Allegations of Involuntary Sterilisation of Girls and Women with Disabilities</w:t>
        </w:r>
      </w:hyperlink>
      <w:r w:rsidRPr="002F0C58">
        <w:rPr>
          <w:rFonts w:ascii="Proxima Nova" w:hAnsi="Proxima Nova"/>
          <w:sz w:val="22"/>
          <w:szCs w:val="22"/>
        </w:rPr>
        <w:t>. WWDA, Hobart, Tasmania.</w:t>
      </w:r>
    </w:p>
    <w:p w14:paraId="015A3894" w14:textId="77777777" w:rsidR="0093012C" w:rsidRPr="002F0C58" w:rsidRDefault="0093012C" w:rsidP="0041564F">
      <w:pPr>
        <w:spacing w:line="276" w:lineRule="auto"/>
        <w:rPr>
          <w:rFonts w:ascii="Proxima Nova" w:hAnsi="Proxima Nova"/>
          <w:sz w:val="22"/>
          <w:szCs w:val="22"/>
        </w:rPr>
      </w:pPr>
    </w:p>
    <w:p w14:paraId="7D3926F5" w14:textId="77777777" w:rsidR="0093012C" w:rsidRPr="002F0C58" w:rsidRDefault="0093012C" w:rsidP="0041564F">
      <w:pPr>
        <w:pStyle w:val="ListParagraph"/>
        <w:numPr>
          <w:ilvl w:val="0"/>
          <w:numId w:val="44"/>
        </w:numPr>
        <w:spacing w:line="276" w:lineRule="auto"/>
        <w:rPr>
          <w:rFonts w:ascii="Proxima Nova" w:hAnsi="Proxima Nova"/>
          <w:sz w:val="22"/>
          <w:szCs w:val="22"/>
        </w:rPr>
      </w:pPr>
      <w:r w:rsidRPr="002F0C58">
        <w:rPr>
          <w:rFonts w:ascii="Proxima Nova" w:hAnsi="Proxima Nova"/>
          <w:sz w:val="22"/>
          <w:szCs w:val="22"/>
        </w:rPr>
        <w:t xml:space="preserve">Women With Disabilities Australia (WWDA) (2012) </w:t>
      </w:r>
      <w:hyperlink r:id="rId21" w:history="1">
        <w:r w:rsidRPr="002F0C58">
          <w:rPr>
            <w:rStyle w:val="Hyperlink"/>
            <w:rFonts w:ascii="Proxima Nova" w:hAnsi="Proxima Nova"/>
            <w:sz w:val="22"/>
            <w:szCs w:val="22"/>
          </w:rPr>
          <w:t>'Moving Forward and Gaining Ground: The Sterilisation of Women and Girls with Disabilities in Australia'</w:t>
        </w:r>
      </w:hyperlink>
      <w:r w:rsidRPr="002F0C58">
        <w:rPr>
          <w:rFonts w:ascii="Proxima Nova" w:hAnsi="Proxima Nova"/>
          <w:sz w:val="22"/>
          <w:szCs w:val="22"/>
        </w:rPr>
        <w:t>. WWDA, Hobart, Tasmania.</w:t>
      </w:r>
    </w:p>
    <w:p w14:paraId="149870C1" w14:textId="77777777" w:rsidR="0093012C" w:rsidRPr="002F0C58" w:rsidRDefault="0093012C" w:rsidP="0041564F">
      <w:pPr>
        <w:spacing w:line="276" w:lineRule="auto"/>
        <w:rPr>
          <w:rFonts w:ascii="Proxima Nova" w:hAnsi="Proxima Nova"/>
          <w:sz w:val="22"/>
          <w:szCs w:val="22"/>
        </w:rPr>
      </w:pPr>
    </w:p>
    <w:p w14:paraId="372A62C6" w14:textId="77777777" w:rsidR="0093012C" w:rsidRPr="002F0C58" w:rsidRDefault="0093012C" w:rsidP="0041564F">
      <w:pPr>
        <w:pStyle w:val="ListParagraph"/>
        <w:numPr>
          <w:ilvl w:val="0"/>
          <w:numId w:val="44"/>
        </w:numPr>
        <w:spacing w:line="276" w:lineRule="auto"/>
        <w:rPr>
          <w:rFonts w:ascii="Proxima Nova" w:hAnsi="Proxima Nova"/>
          <w:sz w:val="22"/>
          <w:szCs w:val="22"/>
        </w:rPr>
      </w:pPr>
      <w:r w:rsidRPr="002F0C58">
        <w:rPr>
          <w:rFonts w:ascii="Proxima Nova" w:hAnsi="Proxima Nova"/>
          <w:sz w:val="22"/>
          <w:szCs w:val="22"/>
        </w:rPr>
        <w:t xml:space="preserve">Disability Rights Now 2019: </w:t>
      </w:r>
      <w:hyperlink r:id="rId22" w:history="1">
        <w:r w:rsidRPr="002F0C58">
          <w:rPr>
            <w:rStyle w:val="Hyperlink"/>
            <w:rFonts w:ascii="Proxima Nova" w:hAnsi="Proxima Nova"/>
            <w:sz w:val="22"/>
            <w:szCs w:val="22"/>
          </w:rPr>
          <w:t>UN CRPD Review of Australia: CRPD Factsheet 6: Forced sterilisation of people with disability and people with intersex variations</w:t>
        </w:r>
      </w:hyperlink>
      <w:r w:rsidRPr="002F0C58">
        <w:rPr>
          <w:rFonts w:ascii="Proxima Nova" w:hAnsi="Proxima Nova"/>
          <w:sz w:val="22"/>
          <w:szCs w:val="22"/>
        </w:rPr>
        <w:t>. WWDA, Hobart, Tasmania.</w:t>
      </w:r>
    </w:p>
    <w:p w14:paraId="701C046B" w14:textId="77777777" w:rsidR="0093012C" w:rsidRPr="002F0C58" w:rsidRDefault="0093012C" w:rsidP="0041564F">
      <w:pPr>
        <w:spacing w:line="276" w:lineRule="auto"/>
        <w:rPr>
          <w:rFonts w:ascii="Proxima Nova" w:hAnsi="Proxima Nova"/>
          <w:sz w:val="22"/>
          <w:szCs w:val="22"/>
        </w:rPr>
      </w:pPr>
    </w:p>
    <w:p w14:paraId="7DE26970" w14:textId="6E01B93F" w:rsidR="0093012C" w:rsidRPr="002F0C58" w:rsidRDefault="0093012C" w:rsidP="0041564F">
      <w:pPr>
        <w:pStyle w:val="ListParagraph"/>
        <w:numPr>
          <w:ilvl w:val="0"/>
          <w:numId w:val="44"/>
        </w:numPr>
        <w:spacing w:line="276" w:lineRule="auto"/>
        <w:rPr>
          <w:rFonts w:ascii="Proxima Nova" w:hAnsi="Proxima Nova"/>
          <w:sz w:val="22"/>
          <w:szCs w:val="22"/>
        </w:rPr>
      </w:pPr>
      <w:r w:rsidRPr="002F0C58">
        <w:rPr>
          <w:rFonts w:ascii="Proxima Nova" w:hAnsi="Proxima Nova"/>
          <w:sz w:val="22"/>
          <w:szCs w:val="22"/>
        </w:rPr>
        <w:t xml:space="preserve">Women With Disabilities Australia (WWDA) (2001) </w:t>
      </w:r>
      <w:hyperlink r:id="rId23" w:history="1">
        <w:r w:rsidR="007E6146" w:rsidRPr="00782067">
          <w:rPr>
            <w:rStyle w:val="Hyperlink"/>
            <w:rFonts w:ascii="Proxima Nova" w:hAnsi="Proxima Nova"/>
            <w:sz w:val="22"/>
            <w:szCs w:val="22"/>
          </w:rPr>
          <w:t>‘</w:t>
        </w:r>
        <w:r w:rsidRPr="00782067">
          <w:rPr>
            <w:rStyle w:val="Hyperlink"/>
            <w:rFonts w:ascii="Proxima Nova" w:hAnsi="Proxima Nova"/>
            <w:sz w:val="22"/>
            <w:szCs w:val="22"/>
          </w:rPr>
          <w:t>Sterilisation and Reproductive Health of Women and Girls with Disabilities.</w:t>
        </w:r>
        <w:r w:rsidR="007E6146" w:rsidRPr="00782067">
          <w:rPr>
            <w:rStyle w:val="Hyperlink"/>
            <w:rFonts w:ascii="Proxima Nova" w:hAnsi="Proxima Nova"/>
            <w:sz w:val="22"/>
            <w:szCs w:val="22"/>
          </w:rPr>
          <w:t>’</w:t>
        </w:r>
      </w:hyperlink>
      <w:r w:rsidRPr="002F0C58">
        <w:rPr>
          <w:rFonts w:ascii="Proxima Nova" w:hAnsi="Proxima Nova"/>
          <w:sz w:val="22"/>
          <w:szCs w:val="22"/>
        </w:rPr>
        <w:t xml:space="preserve"> A Report on The National Project conducted by Women With Disabilities Australia (WWDA). By Leanne Dowse with Carolyn Frohmader for Women </w:t>
      </w:r>
      <w:proofErr w:type="gramStart"/>
      <w:r w:rsidRPr="002F0C58">
        <w:rPr>
          <w:rFonts w:ascii="Proxima Nova" w:hAnsi="Proxima Nova"/>
          <w:sz w:val="22"/>
          <w:szCs w:val="22"/>
        </w:rPr>
        <w:t>With</w:t>
      </w:r>
      <w:proofErr w:type="gramEnd"/>
      <w:r w:rsidRPr="002F0C58">
        <w:rPr>
          <w:rFonts w:ascii="Proxima Nova" w:hAnsi="Proxima Nova"/>
          <w:sz w:val="22"/>
          <w:szCs w:val="22"/>
        </w:rPr>
        <w:t xml:space="preserve"> Disabilities Australia (WWDA). WWDA, Hobart, Tasmania. </w:t>
      </w:r>
    </w:p>
    <w:p w14:paraId="71F3F588" w14:textId="77777777" w:rsidR="0093012C" w:rsidRPr="002F0C58" w:rsidRDefault="0093012C" w:rsidP="0041564F">
      <w:pPr>
        <w:spacing w:line="276" w:lineRule="auto"/>
        <w:rPr>
          <w:rFonts w:ascii="Proxima Nova" w:hAnsi="Proxima Nova"/>
          <w:sz w:val="22"/>
          <w:szCs w:val="22"/>
        </w:rPr>
      </w:pPr>
    </w:p>
    <w:p w14:paraId="3625ECDE" w14:textId="5AAA6C17" w:rsidR="009168BE" w:rsidRPr="00BD5E1A" w:rsidRDefault="009168BE" w:rsidP="00C92D1C">
      <w:pPr>
        <w:rPr>
          <w:rFonts w:ascii="Proxima Nova" w:eastAsiaTheme="minorHAnsi" w:hAnsi="Proxima Nova"/>
          <w:sz w:val="22"/>
          <w:szCs w:val="22"/>
        </w:rPr>
      </w:pPr>
      <w:r w:rsidRPr="00BD5E1A">
        <w:rPr>
          <w:rFonts w:ascii="Proxima Nova" w:hAnsi="Proxima Nova"/>
          <w:sz w:val="22"/>
          <w:szCs w:val="22"/>
        </w:rPr>
        <w:br w:type="page"/>
      </w:r>
    </w:p>
    <w:p w14:paraId="14FD683F" w14:textId="310D29DF" w:rsidR="00DC51A7" w:rsidRPr="00055BB7" w:rsidRDefault="00E35CF7" w:rsidP="00C92D1C">
      <w:pPr>
        <w:pStyle w:val="Heading2"/>
        <w:jc w:val="left"/>
        <w:rPr>
          <w:rFonts w:ascii="League Spartan" w:hAnsi="League Spartan" w:cs="Calibri"/>
          <w:b w:val="0"/>
          <w:bCs/>
          <w:color w:val="004479"/>
        </w:rPr>
      </w:pPr>
      <w:r>
        <w:rPr>
          <w:rFonts w:ascii="League Spartan" w:hAnsi="League Spartan" w:cs="Calibri"/>
          <w:b w:val="0"/>
          <w:bCs/>
          <w:color w:val="004479"/>
        </w:rPr>
        <w:lastRenderedPageBreak/>
        <w:t>1.</w:t>
      </w:r>
      <w:r>
        <w:rPr>
          <w:rFonts w:ascii="League Spartan" w:hAnsi="League Spartan" w:cs="Calibri"/>
          <w:b w:val="0"/>
          <w:bCs/>
          <w:color w:val="004479"/>
        </w:rPr>
        <w:tab/>
      </w:r>
      <w:r w:rsidR="00DC51A7" w:rsidRPr="004A49E0">
        <w:rPr>
          <w:rFonts w:ascii="League Spartan" w:hAnsi="League Spartan" w:cs="Calibri"/>
          <w:b w:val="0"/>
          <w:bCs/>
          <w:color w:val="004479"/>
        </w:rPr>
        <w:t>RECOMMENDATIONS</w:t>
      </w:r>
    </w:p>
    <w:p w14:paraId="61D3CA1B" w14:textId="77777777" w:rsidR="00DC51A7" w:rsidRPr="00BD5DA8" w:rsidRDefault="00DC51A7" w:rsidP="00BD5DA8">
      <w:pPr>
        <w:spacing w:line="276" w:lineRule="auto"/>
        <w:rPr>
          <w:rFonts w:ascii="Proxima Nova" w:hAnsi="Proxima Nova" w:cstheme="minorHAnsi"/>
          <w:sz w:val="22"/>
          <w:szCs w:val="22"/>
        </w:rPr>
      </w:pPr>
    </w:p>
    <w:p w14:paraId="2057754F" w14:textId="3711C4BC" w:rsidR="005A55D4" w:rsidRPr="00BD5DA8" w:rsidRDefault="00454BCB" w:rsidP="00BD5DA8">
      <w:pPr>
        <w:spacing w:line="276" w:lineRule="auto"/>
        <w:rPr>
          <w:rFonts w:ascii="Proxima Nova" w:hAnsi="Proxima Nova" w:cs="Calibri"/>
          <w:sz w:val="22"/>
          <w:szCs w:val="22"/>
        </w:rPr>
      </w:pPr>
      <w:r w:rsidRPr="00BD5DA8">
        <w:rPr>
          <w:rFonts w:ascii="Proxima Nova" w:hAnsi="Proxima Nova" w:cstheme="minorHAnsi"/>
          <w:sz w:val="22"/>
          <w:szCs w:val="22"/>
        </w:rPr>
        <w:t>Women With Disabilities Australia (‘WWDA’) submits that t</w:t>
      </w:r>
      <w:r w:rsidR="005A55D4" w:rsidRPr="00BD5DA8">
        <w:rPr>
          <w:rFonts w:ascii="Proxima Nova" w:hAnsi="Proxima Nova" w:cs="Calibri"/>
          <w:sz w:val="22"/>
          <w:szCs w:val="22"/>
        </w:rPr>
        <w:t xml:space="preserve">he </w:t>
      </w:r>
      <w:r w:rsidR="002A6F88" w:rsidRPr="00BD5DA8">
        <w:rPr>
          <w:rFonts w:ascii="Proxima Nova" w:hAnsi="Proxima Nova" w:cstheme="minorHAnsi"/>
          <w:i/>
          <w:iCs/>
          <w:sz w:val="22"/>
          <w:szCs w:val="22"/>
        </w:rPr>
        <w:t xml:space="preserve">Royal Commission into Violence, Abuse, Neglect </w:t>
      </w:r>
      <w:r w:rsidR="00177A12" w:rsidRPr="00BD5DA8">
        <w:rPr>
          <w:rFonts w:ascii="Proxima Nova" w:hAnsi="Proxima Nova" w:cstheme="minorHAnsi"/>
          <w:i/>
          <w:iCs/>
          <w:sz w:val="22"/>
          <w:szCs w:val="22"/>
        </w:rPr>
        <w:t>and Exploitation</w:t>
      </w:r>
      <w:r w:rsidR="002A6F88" w:rsidRPr="00BD5DA8">
        <w:rPr>
          <w:rFonts w:ascii="Proxima Nova" w:hAnsi="Proxima Nova" w:cstheme="minorHAnsi"/>
          <w:i/>
          <w:iCs/>
          <w:sz w:val="22"/>
          <w:szCs w:val="22"/>
        </w:rPr>
        <w:t xml:space="preserve"> of People with Disability</w:t>
      </w:r>
      <w:r w:rsidR="002A6F88" w:rsidRPr="00BD5DA8">
        <w:rPr>
          <w:rFonts w:ascii="Proxima Nova" w:hAnsi="Proxima Nova" w:cstheme="minorHAnsi"/>
          <w:sz w:val="22"/>
          <w:szCs w:val="22"/>
        </w:rPr>
        <w:t xml:space="preserve"> (‘Royal Commission’) </w:t>
      </w:r>
      <w:r w:rsidR="005A55D4" w:rsidRPr="00BD5DA8">
        <w:rPr>
          <w:rFonts w:ascii="Proxima Nova" w:hAnsi="Proxima Nova" w:cs="Calibri"/>
          <w:sz w:val="22"/>
          <w:szCs w:val="22"/>
        </w:rPr>
        <w:t xml:space="preserve">must approach the use and legality of restrictive practices as a significant aspect of the broader </w:t>
      </w:r>
      <w:r w:rsidRPr="00BD5DA8">
        <w:rPr>
          <w:rFonts w:ascii="Proxima Nova" w:hAnsi="Proxima Nova" w:cs="Calibri"/>
          <w:sz w:val="22"/>
          <w:szCs w:val="22"/>
        </w:rPr>
        <w:t>systemic problem of</w:t>
      </w:r>
      <w:r w:rsidR="005A55D4" w:rsidRPr="00BD5DA8">
        <w:rPr>
          <w:rFonts w:ascii="Proxima Nova" w:hAnsi="Proxima Nova" w:cs="Calibri"/>
          <w:sz w:val="22"/>
          <w:szCs w:val="22"/>
        </w:rPr>
        <w:t xml:space="preserve"> violence against women and girls with disability and as inextricably related to ableism and structural inequality, discrimination and segregation</w:t>
      </w:r>
      <w:r w:rsidR="00C03A89" w:rsidRPr="00BD5DA8">
        <w:rPr>
          <w:rFonts w:ascii="Proxima Nova" w:hAnsi="Proxima Nova" w:cs="Calibri"/>
          <w:sz w:val="22"/>
          <w:szCs w:val="22"/>
        </w:rPr>
        <w:t xml:space="preserve"> </w:t>
      </w:r>
      <w:r w:rsidRPr="00BD5DA8">
        <w:rPr>
          <w:rFonts w:ascii="Proxima Nova" w:hAnsi="Proxima Nova" w:cs="Calibri"/>
          <w:sz w:val="22"/>
          <w:szCs w:val="22"/>
        </w:rPr>
        <w:t xml:space="preserve">which are </w:t>
      </w:r>
      <w:r w:rsidR="00141FFB" w:rsidRPr="00BD5DA8">
        <w:rPr>
          <w:rFonts w:ascii="Proxima Nova" w:hAnsi="Proxima Nova" w:cs="Calibri"/>
          <w:sz w:val="22"/>
          <w:szCs w:val="22"/>
        </w:rPr>
        <w:t>entrenched in</w:t>
      </w:r>
      <w:r w:rsidR="00C03A89" w:rsidRPr="00BD5DA8">
        <w:rPr>
          <w:rFonts w:ascii="Proxima Nova" w:hAnsi="Proxima Nova" w:cs="Calibri"/>
          <w:sz w:val="22"/>
          <w:szCs w:val="22"/>
        </w:rPr>
        <w:t xml:space="preserve"> law and society</w:t>
      </w:r>
      <w:r w:rsidR="005A55D4" w:rsidRPr="00BD5DA8">
        <w:rPr>
          <w:rFonts w:ascii="Proxima Nova" w:hAnsi="Proxima Nova" w:cs="Calibri"/>
          <w:sz w:val="22"/>
          <w:szCs w:val="22"/>
        </w:rPr>
        <w:t xml:space="preserve">. </w:t>
      </w:r>
    </w:p>
    <w:p w14:paraId="1450C05F" w14:textId="77777777" w:rsidR="005A55D4" w:rsidRPr="00BD5DA8" w:rsidRDefault="005A55D4" w:rsidP="00BD5DA8">
      <w:pPr>
        <w:spacing w:line="276" w:lineRule="auto"/>
        <w:ind w:left="567" w:hanging="567"/>
        <w:rPr>
          <w:rFonts w:ascii="Proxima Nova" w:hAnsi="Proxima Nova" w:cs="Calibri"/>
          <w:sz w:val="22"/>
          <w:szCs w:val="22"/>
        </w:rPr>
      </w:pPr>
    </w:p>
    <w:p w14:paraId="76B18B9F" w14:textId="294769AA" w:rsidR="005A55D4" w:rsidRPr="00BD5DA8" w:rsidRDefault="003703E8" w:rsidP="00BD5DA8">
      <w:pPr>
        <w:spacing w:line="276" w:lineRule="auto"/>
        <w:rPr>
          <w:rFonts w:ascii="Proxima Nova" w:hAnsi="Proxima Nova" w:cs="Calibri"/>
          <w:sz w:val="22"/>
          <w:szCs w:val="22"/>
        </w:rPr>
      </w:pPr>
      <w:r w:rsidRPr="00BD5DA8">
        <w:rPr>
          <w:rFonts w:ascii="Proxima Nova" w:hAnsi="Proxima Nova" w:cs="Calibri"/>
          <w:sz w:val="22"/>
          <w:szCs w:val="22"/>
        </w:rPr>
        <w:t xml:space="preserve">With this in mind, this </w:t>
      </w:r>
      <w:r w:rsidR="007B304F" w:rsidRPr="00BD5DA8">
        <w:rPr>
          <w:rFonts w:ascii="Proxima Nova" w:hAnsi="Proxima Nova" w:cs="Calibri"/>
          <w:sz w:val="22"/>
          <w:szCs w:val="22"/>
        </w:rPr>
        <w:t>S</w:t>
      </w:r>
      <w:r w:rsidR="005A55D4" w:rsidRPr="00BD5DA8">
        <w:rPr>
          <w:rFonts w:ascii="Proxima Nova" w:hAnsi="Proxima Nova" w:cs="Calibri"/>
          <w:sz w:val="22"/>
          <w:szCs w:val="22"/>
        </w:rPr>
        <w:t xml:space="preserve">ubmission </w:t>
      </w:r>
      <w:r w:rsidR="00A504F3" w:rsidRPr="00BD5DA8">
        <w:rPr>
          <w:rFonts w:ascii="Proxima Nova" w:hAnsi="Proxima Nova" w:cs="Calibri"/>
          <w:sz w:val="22"/>
          <w:szCs w:val="22"/>
        </w:rPr>
        <w:t xml:space="preserve">from WWDA </w:t>
      </w:r>
      <w:r w:rsidR="005A55D4" w:rsidRPr="00BD5DA8">
        <w:rPr>
          <w:rFonts w:ascii="Proxima Nova" w:hAnsi="Proxima Nova" w:cs="Calibri"/>
          <w:sz w:val="22"/>
          <w:szCs w:val="22"/>
        </w:rPr>
        <w:t xml:space="preserve">makes a number of recommendations that encompass a range of areas and issues – including segregation and institutionalisation of people with disability; </w:t>
      </w:r>
      <w:r w:rsidR="00481343" w:rsidRPr="00BD5DA8">
        <w:rPr>
          <w:rFonts w:ascii="Proxima Nova" w:hAnsi="Proxima Nova" w:cs="Calibri"/>
          <w:sz w:val="22"/>
          <w:szCs w:val="22"/>
        </w:rPr>
        <w:t xml:space="preserve">the use and legality of restrictive practices; </w:t>
      </w:r>
      <w:r w:rsidR="005A55D4" w:rsidRPr="00BD5DA8">
        <w:rPr>
          <w:rFonts w:ascii="Proxima Nova" w:hAnsi="Proxima Nova" w:cs="Calibri"/>
          <w:sz w:val="22"/>
          <w:szCs w:val="22"/>
        </w:rPr>
        <w:t>legislative and policy frameworks; intersectionality, disability and gender; the National Disability Insurance Scheme (NDIS); safeguards</w:t>
      </w:r>
      <w:r w:rsidR="00295ED2" w:rsidRPr="00BD5DA8">
        <w:rPr>
          <w:rFonts w:ascii="Proxima Nova" w:hAnsi="Proxima Nova" w:cs="Calibri"/>
          <w:sz w:val="22"/>
          <w:szCs w:val="22"/>
        </w:rPr>
        <w:t>, accountability</w:t>
      </w:r>
      <w:r w:rsidR="005A55D4" w:rsidRPr="00BD5DA8">
        <w:rPr>
          <w:rFonts w:ascii="Proxima Nova" w:hAnsi="Proxima Nova" w:cs="Calibri"/>
          <w:sz w:val="22"/>
          <w:szCs w:val="22"/>
        </w:rPr>
        <w:t xml:space="preserve"> and redress; </w:t>
      </w:r>
      <w:proofErr w:type="gramStart"/>
      <w:r w:rsidR="005A55D4" w:rsidRPr="00BD5DA8">
        <w:rPr>
          <w:rFonts w:ascii="Proxima Nova" w:hAnsi="Proxima Nova" w:cs="Calibri"/>
          <w:sz w:val="22"/>
          <w:szCs w:val="22"/>
        </w:rPr>
        <w:t>and,</w:t>
      </w:r>
      <w:proofErr w:type="gramEnd"/>
      <w:r w:rsidR="005A55D4" w:rsidRPr="00BD5DA8">
        <w:rPr>
          <w:rFonts w:ascii="Proxima Nova" w:hAnsi="Proxima Nova" w:cs="Calibri"/>
          <w:sz w:val="22"/>
          <w:szCs w:val="22"/>
        </w:rPr>
        <w:t xml:space="preserve"> research, education and data collection.</w:t>
      </w:r>
    </w:p>
    <w:p w14:paraId="570BA13C" w14:textId="77777777" w:rsidR="005A55D4" w:rsidRPr="00BD5DA8" w:rsidRDefault="005A55D4" w:rsidP="00BD5DA8">
      <w:pPr>
        <w:spacing w:line="276" w:lineRule="auto"/>
        <w:ind w:left="567" w:hanging="567"/>
        <w:rPr>
          <w:rFonts w:ascii="Proxima Nova" w:hAnsi="Proxima Nova"/>
          <w:sz w:val="22"/>
          <w:szCs w:val="22"/>
        </w:rPr>
      </w:pPr>
    </w:p>
    <w:p w14:paraId="136C841F" w14:textId="7180FDEB" w:rsidR="00DF421D" w:rsidRPr="00BD5DA8" w:rsidRDefault="00D13CD9" w:rsidP="00BD5DA8">
      <w:pPr>
        <w:spacing w:line="276" w:lineRule="auto"/>
        <w:rPr>
          <w:rFonts w:ascii="Proxima Nova" w:hAnsi="Proxima Nova"/>
          <w:sz w:val="22"/>
          <w:szCs w:val="22"/>
        </w:rPr>
      </w:pPr>
      <w:r w:rsidRPr="00BD5DA8">
        <w:rPr>
          <w:rFonts w:ascii="Proxima Nova" w:hAnsi="Proxima Nova"/>
          <w:sz w:val="22"/>
          <w:szCs w:val="22"/>
        </w:rPr>
        <w:t>This section</w:t>
      </w:r>
      <w:r w:rsidR="00DF421D" w:rsidRPr="00BD5DA8">
        <w:rPr>
          <w:rFonts w:ascii="Proxima Nova" w:hAnsi="Proxima Nova" w:cstheme="minorHAnsi"/>
          <w:sz w:val="22"/>
          <w:szCs w:val="22"/>
        </w:rPr>
        <w:t xml:space="preserve"> </w:t>
      </w:r>
      <w:r w:rsidRPr="00BD5DA8">
        <w:rPr>
          <w:rFonts w:ascii="Proxima Nova" w:hAnsi="Proxima Nova" w:cstheme="minorHAnsi"/>
          <w:sz w:val="22"/>
          <w:szCs w:val="22"/>
        </w:rPr>
        <w:t>outlines WWDA’s</w:t>
      </w:r>
      <w:r w:rsidR="00DF421D" w:rsidRPr="00BD5DA8">
        <w:rPr>
          <w:rFonts w:ascii="Proxima Nova" w:hAnsi="Proxima Nova" w:cstheme="minorHAnsi"/>
          <w:sz w:val="22"/>
          <w:szCs w:val="22"/>
        </w:rPr>
        <w:t xml:space="preserve"> </w:t>
      </w:r>
      <w:r w:rsidR="00262C41" w:rsidRPr="00610DA7">
        <w:rPr>
          <w:rFonts w:ascii="Proxima Nova" w:hAnsi="Proxima Nova" w:cstheme="minorHAnsi"/>
          <w:b/>
          <w:bCs/>
          <w:sz w:val="22"/>
          <w:szCs w:val="22"/>
        </w:rPr>
        <w:t>3</w:t>
      </w:r>
      <w:r w:rsidR="00EB579E" w:rsidRPr="00610DA7">
        <w:rPr>
          <w:rFonts w:ascii="Proxima Nova" w:hAnsi="Proxima Nova" w:cstheme="minorHAnsi"/>
          <w:b/>
          <w:bCs/>
          <w:sz w:val="22"/>
          <w:szCs w:val="22"/>
        </w:rPr>
        <w:t>6</w:t>
      </w:r>
      <w:r w:rsidR="00262C41" w:rsidRPr="00BD5DA8">
        <w:rPr>
          <w:rFonts w:ascii="Proxima Nova" w:hAnsi="Proxima Nova" w:cstheme="minorHAnsi"/>
          <w:sz w:val="22"/>
          <w:szCs w:val="22"/>
        </w:rPr>
        <w:t xml:space="preserve"> </w:t>
      </w:r>
      <w:r w:rsidR="00DF421D" w:rsidRPr="00BD5DA8">
        <w:rPr>
          <w:rFonts w:ascii="Proxima Nova" w:hAnsi="Proxima Nova" w:cstheme="minorHAnsi"/>
          <w:sz w:val="22"/>
          <w:szCs w:val="22"/>
        </w:rPr>
        <w:t>recommendations on restrictive practices</w:t>
      </w:r>
      <w:r w:rsidR="005A55D4" w:rsidRPr="00BD5DA8">
        <w:rPr>
          <w:rFonts w:ascii="Proxima Nova" w:hAnsi="Proxima Nova" w:cstheme="minorHAnsi"/>
          <w:sz w:val="22"/>
          <w:szCs w:val="22"/>
        </w:rPr>
        <w:t xml:space="preserve"> in two stages.</w:t>
      </w:r>
      <w:r w:rsidRPr="00BD5DA8">
        <w:rPr>
          <w:rFonts w:ascii="Proxima Nova" w:hAnsi="Proxima Nova" w:cstheme="minorHAnsi"/>
          <w:sz w:val="22"/>
          <w:szCs w:val="22"/>
        </w:rPr>
        <w:t xml:space="preserve"> It first outlines recommendations to Government </w:t>
      </w:r>
      <w:r w:rsidR="007B304F" w:rsidRPr="00BD5DA8">
        <w:rPr>
          <w:rFonts w:ascii="Proxima Nova" w:hAnsi="Proxima Nova" w:cstheme="minorHAnsi"/>
          <w:sz w:val="22"/>
          <w:szCs w:val="22"/>
        </w:rPr>
        <w:t xml:space="preserve">that </w:t>
      </w:r>
      <w:r w:rsidR="00F9262F" w:rsidRPr="00BD5DA8">
        <w:rPr>
          <w:rFonts w:ascii="Proxima Nova" w:hAnsi="Proxima Nova" w:cstheme="minorHAnsi"/>
          <w:sz w:val="22"/>
          <w:szCs w:val="22"/>
        </w:rPr>
        <w:t xml:space="preserve">the </w:t>
      </w:r>
      <w:r w:rsidR="002A6F88" w:rsidRPr="00BD5DA8">
        <w:rPr>
          <w:rFonts w:ascii="Proxima Nova" w:hAnsi="Proxima Nova" w:cstheme="minorHAnsi"/>
          <w:sz w:val="22"/>
          <w:szCs w:val="22"/>
        </w:rPr>
        <w:t xml:space="preserve">Royal Commission </w:t>
      </w:r>
      <w:r w:rsidRPr="00BD5DA8">
        <w:rPr>
          <w:rFonts w:ascii="Proxima Nova" w:hAnsi="Proxima Nova" w:cstheme="minorHAnsi"/>
          <w:sz w:val="22"/>
          <w:szCs w:val="22"/>
        </w:rPr>
        <w:t xml:space="preserve">can include in its </w:t>
      </w:r>
      <w:r w:rsidR="007B304F" w:rsidRPr="00BD5DA8">
        <w:rPr>
          <w:rFonts w:ascii="Proxima Nova" w:hAnsi="Proxima Nova" w:cstheme="minorHAnsi"/>
          <w:sz w:val="22"/>
          <w:szCs w:val="22"/>
        </w:rPr>
        <w:t>F</w:t>
      </w:r>
      <w:r w:rsidRPr="00BD5DA8">
        <w:rPr>
          <w:rFonts w:ascii="Proxima Nova" w:hAnsi="Proxima Nova" w:cstheme="minorHAnsi"/>
          <w:sz w:val="22"/>
          <w:szCs w:val="22"/>
        </w:rPr>
        <w:t xml:space="preserve">inal </w:t>
      </w:r>
      <w:r w:rsidR="007B304F" w:rsidRPr="00BD5DA8">
        <w:rPr>
          <w:rFonts w:ascii="Proxima Nova" w:hAnsi="Proxima Nova" w:cstheme="minorHAnsi"/>
          <w:sz w:val="22"/>
          <w:szCs w:val="22"/>
        </w:rPr>
        <w:t>R</w:t>
      </w:r>
      <w:r w:rsidRPr="00BD5DA8">
        <w:rPr>
          <w:rFonts w:ascii="Proxima Nova" w:hAnsi="Proxima Nova" w:cstheme="minorHAnsi"/>
          <w:sz w:val="22"/>
          <w:szCs w:val="22"/>
        </w:rPr>
        <w:t xml:space="preserve">eport, and then makes a series of recommendations about the direction and focus of the Royal Commission’s work leading up to the </w:t>
      </w:r>
      <w:r w:rsidR="007B304F" w:rsidRPr="00BD5DA8">
        <w:rPr>
          <w:rFonts w:ascii="Proxima Nova" w:hAnsi="Proxima Nova" w:cstheme="minorHAnsi"/>
          <w:sz w:val="22"/>
          <w:szCs w:val="22"/>
        </w:rPr>
        <w:t>F</w:t>
      </w:r>
      <w:r w:rsidRPr="00BD5DA8">
        <w:rPr>
          <w:rFonts w:ascii="Proxima Nova" w:hAnsi="Proxima Nova" w:cstheme="minorHAnsi"/>
          <w:sz w:val="22"/>
          <w:szCs w:val="22"/>
        </w:rPr>
        <w:t xml:space="preserve">inal </w:t>
      </w:r>
      <w:r w:rsidR="007B304F" w:rsidRPr="00BD5DA8">
        <w:rPr>
          <w:rFonts w:ascii="Proxima Nova" w:hAnsi="Proxima Nova" w:cstheme="minorHAnsi"/>
          <w:sz w:val="22"/>
          <w:szCs w:val="22"/>
        </w:rPr>
        <w:t>R</w:t>
      </w:r>
      <w:r w:rsidRPr="00BD5DA8">
        <w:rPr>
          <w:rFonts w:ascii="Proxima Nova" w:hAnsi="Proxima Nova" w:cstheme="minorHAnsi"/>
          <w:sz w:val="22"/>
          <w:szCs w:val="22"/>
        </w:rPr>
        <w:t>eport</w:t>
      </w:r>
      <w:r w:rsidR="00DF421D" w:rsidRPr="00BD5DA8">
        <w:rPr>
          <w:rFonts w:ascii="Proxima Nova" w:hAnsi="Proxima Nova" w:cstheme="minorHAnsi"/>
          <w:sz w:val="22"/>
          <w:szCs w:val="22"/>
        </w:rPr>
        <w:t xml:space="preserve">. </w:t>
      </w:r>
      <w:r w:rsidR="00B508B0" w:rsidRPr="00BD5DA8">
        <w:rPr>
          <w:rFonts w:ascii="Proxima Nova" w:hAnsi="Proxima Nova" w:cstheme="minorHAnsi"/>
          <w:sz w:val="22"/>
          <w:szCs w:val="22"/>
        </w:rPr>
        <w:t>Sections 4-7</w:t>
      </w:r>
      <w:r w:rsidR="00DF421D" w:rsidRPr="00BD5DA8">
        <w:rPr>
          <w:rFonts w:ascii="Proxima Nova" w:hAnsi="Proxima Nova"/>
          <w:sz w:val="22"/>
          <w:szCs w:val="22"/>
        </w:rPr>
        <w:t xml:space="preserve"> of th</w:t>
      </w:r>
      <w:r w:rsidR="007B304F" w:rsidRPr="00BD5DA8">
        <w:rPr>
          <w:rFonts w:ascii="Proxima Nova" w:hAnsi="Proxima Nova"/>
          <w:sz w:val="22"/>
          <w:szCs w:val="22"/>
        </w:rPr>
        <w:t>is</w:t>
      </w:r>
      <w:r w:rsidR="00DF421D" w:rsidRPr="00BD5DA8">
        <w:rPr>
          <w:rFonts w:ascii="Proxima Nova" w:hAnsi="Proxima Nova"/>
          <w:sz w:val="22"/>
          <w:szCs w:val="22"/>
        </w:rPr>
        <w:t xml:space="preserve"> </w:t>
      </w:r>
      <w:r w:rsidR="007B304F" w:rsidRPr="00BD5DA8">
        <w:rPr>
          <w:rFonts w:ascii="Proxima Nova" w:hAnsi="Proxima Nova"/>
          <w:sz w:val="22"/>
          <w:szCs w:val="22"/>
        </w:rPr>
        <w:t>S</w:t>
      </w:r>
      <w:r w:rsidR="00DF421D" w:rsidRPr="00BD5DA8">
        <w:rPr>
          <w:rFonts w:ascii="Proxima Nova" w:hAnsi="Proxima Nova"/>
          <w:sz w:val="22"/>
          <w:szCs w:val="22"/>
        </w:rPr>
        <w:t>ubmission provide context to</w:t>
      </w:r>
      <w:r w:rsidR="00E85C1E" w:rsidRPr="00BD5DA8">
        <w:rPr>
          <w:rFonts w:ascii="Proxima Nova" w:hAnsi="Proxima Nova"/>
          <w:sz w:val="22"/>
          <w:szCs w:val="22"/>
        </w:rPr>
        <w:t xml:space="preserve"> and elaboration on</w:t>
      </w:r>
      <w:r w:rsidR="00DF421D" w:rsidRPr="00BD5DA8">
        <w:rPr>
          <w:rFonts w:ascii="Proxima Nova" w:hAnsi="Proxima Nova"/>
          <w:sz w:val="22"/>
          <w:szCs w:val="22"/>
        </w:rPr>
        <w:t xml:space="preserve"> these recommendations. </w:t>
      </w:r>
    </w:p>
    <w:p w14:paraId="7D5F30A8" w14:textId="77777777" w:rsidR="00134C2A" w:rsidRPr="00BD5DA8" w:rsidRDefault="00134C2A" w:rsidP="00BD5DA8">
      <w:pPr>
        <w:spacing w:line="276" w:lineRule="auto"/>
        <w:ind w:left="720" w:hanging="720"/>
        <w:rPr>
          <w:rFonts w:ascii="Proxima Nova" w:hAnsi="Proxima Nova" w:cstheme="minorHAnsi"/>
          <w:sz w:val="22"/>
          <w:szCs w:val="22"/>
        </w:rPr>
      </w:pPr>
    </w:p>
    <w:p w14:paraId="150353C3" w14:textId="16D3932E" w:rsidR="007B304F" w:rsidRPr="00A77296" w:rsidRDefault="004A49E0" w:rsidP="00C92D1C">
      <w:pPr>
        <w:ind w:left="720" w:hanging="720"/>
        <w:rPr>
          <w:rFonts w:ascii="Proxima Nova" w:hAnsi="Proxima Nova" w:cstheme="minorHAnsi"/>
          <w:color w:val="004479"/>
          <w:sz w:val="28"/>
          <w:szCs w:val="28"/>
          <w:u w:val="single"/>
        </w:rPr>
      </w:pPr>
      <w:r w:rsidRPr="00A77296">
        <w:rPr>
          <w:rFonts w:ascii="League Spartan" w:eastAsiaTheme="minorHAnsi" w:hAnsi="League Spartan" w:cs="Calibri"/>
          <w:color w:val="004479"/>
          <w:sz w:val="28"/>
          <w:szCs w:val="28"/>
          <w:u w:val="single"/>
        </w:rPr>
        <w:t>Recommendations to Government for Inclusion in Final Report</w:t>
      </w:r>
    </w:p>
    <w:p w14:paraId="0C628764" w14:textId="6F844B29" w:rsidR="003D4DE4" w:rsidRDefault="003D4DE4" w:rsidP="00C92D1C">
      <w:pPr>
        <w:ind w:left="720" w:hanging="720"/>
        <w:rPr>
          <w:rFonts w:ascii="Proxima Nova" w:hAnsi="Proxima Nova" w:cstheme="minorHAnsi"/>
          <w:sz w:val="22"/>
          <w:szCs w:val="22"/>
        </w:rPr>
      </w:pPr>
    </w:p>
    <w:p w14:paraId="4144624C" w14:textId="77777777" w:rsidR="008E7FD9" w:rsidRDefault="008E7FD9" w:rsidP="00C92D1C">
      <w:pPr>
        <w:ind w:left="720" w:hanging="720"/>
        <w:rPr>
          <w:rFonts w:ascii="Proxima Nova" w:hAnsi="Proxima Nova" w:cstheme="minorHAnsi"/>
          <w:sz w:val="22"/>
          <w:szCs w:val="22"/>
        </w:rPr>
      </w:pPr>
    </w:p>
    <w:p w14:paraId="5ED72D31" w14:textId="64024386" w:rsidR="00DF421D" w:rsidRPr="00A77296" w:rsidRDefault="00DF421D" w:rsidP="00C92D1C">
      <w:pPr>
        <w:pStyle w:val="Heading3"/>
        <w:jc w:val="left"/>
        <w:rPr>
          <w:rFonts w:ascii="Proxima Nova" w:hAnsi="Proxima Nova" w:cstheme="minorHAnsi"/>
          <w:bCs/>
          <w:color w:val="AC1F79"/>
        </w:rPr>
      </w:pPr>
      <w:r w:rsidRPr="00A77296">
        <w:rPr>
          <w:rFonts w:ascii="Proxima Nova" w:hAnsi="Proxima Nova"/>
          <w:bCs/>
          <w:color w:val="AC1F79"/>
        </w:rPr>
        <w:t xml:space="preserve">Ending </w:t>
      </w:r>
      <w:bookmarkStart w:id="46" w:name="OLE_LINK1"/>
      <w:bookmarkStart w:id="47" w:name="OLE_LINK2"/>
      <w:r w:rsidR="007C34D0" w:rsidRPr="00A77296">
        <w:rPr>
          <w:rFonts w:ascii="Proxima Nova" w:hAnsi="Proxima Nova"/>
          <w:bCs/>
          <w:color w:val="AC1F79"/>
        </w:rPr>
        <w:t>the Use and Legality of</w:t>
      </w:r>
      <w:r w:rsidRPr="00A77296">
        <w:rPr>
          <w:rFonts w:ascii="Proxima Nova" w:hAnsi="Proxima Nova"/>
          <w:bCs/>
          <w:color w:val="AC1F79"/>
        </w:rPr>
        <w:t xml:space="preserve"> Restrictive Practices</w:t>
      </w:r>
      <w:bookmarkEnd w:id="46"/>
      <w:bookmarkEnd w:id="47"/>
    </w:p>
    <w:p w14:paraId="7FED8E15" w14:textId="69AA5E93" w:rsidR="00DF421D" w:rsidRPr="00BD5DA8" w:rsidRDefault="00DF421D" w:rsidP="00134C2A">
      <w:pPr>
        <w:pStyle w:val="ListParagraph"/>
        <w:spacing w:line="276" w:lineRule="auto"/>
        <w:ind w:left="0"/>
        <w:rPr>
          <w:rFonts w:ascii="Proxima Nova" w:hAnsi="Proxima Nova" w:cstheme="minorHAnsi"/>
          <w:sz w:val="22"/>
          <w:szCs w:val="22"/>
        </w:rPr>
      </w:pPr>
    </w:p>
    <w:p w14:paraId="2EB5C728" w14:textId="77777777" w:rsidR="007F3BDA" w:rsidRPr="00BD5DA8" w:rsidRDefault="00F9262F" w:rsidP="000F1CFA">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theme="minorHAnsi"/>
          <w:sz w:val="22"/>
          <w:szCs w:val="22"/>
        </w:rPr>
        <w:t>T</w:t>
      </w:r>
      <w:r w:rsidR="00C06A40" w:rsidRPr="00BD5DA8">
        <w:rPr>
          <w:rFonts w:ascii="Proxima Nova" w:hAnsi="Proxima Nova" w:cstheme="minorHAnsi"/>
          <w:sz w:val="22"/>
          <w:szCs w:val="22"/>
        </w:rPr>
        <w:t>hat the</w:t>
      </w:r>
      <w:r w:rsidR="00DF421D" w:rsidRPr="00BD5DA8">
        <w:rPr>
          <w:rFonts w:ascii="Proxima Nova" w:hAnsi="Proxima Nova" w:cstheme="minorHAnsi"/>
          <w:sz w:val="22"/>
          <w:szCs w:val="22"/>
        </w:rPr>
        <w:t xml:space="preserve"> Royal Commission recommend the Australian Government develop and implement a national, time bound strategy and framework for: </w:t>
      </w:r>
    </w:p>
    <w:p w14:paraId="139148C0" w14:textId="77777777" w:rsidR="007F3BDA" w:rsidRPr="00BD5DA8" w:rsidRDefault="007F3BDA" w:rsidP="007F3BDA">
      <w:pPr>
        <w:spacing w:line="276" w:lineRule="auto"/>
        <w:rPr>
          <w:rFonts w:ascii="Proxima Nova" w:hAnsi="Proxima Nova" w:cstheme="minorHAnsi"/>
          <w:sz w:val="22"/>
          <w:szCs w:val="22"/>
        </w:rPr>
      </w:pPr>
    </w:p>
    <w:p w14:paraId="7B60FCB1" w14:textId="506A51C0" w:rsidR="007F3BDA" w:rsidRPr="00BD5DA8" w:rsidRDefault="00DF421D" w:rsidP="006D3D3F">
      <w:pPr>
        <w:pStyle w:val="ListParagraph"/>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(a)</w:t>
      </w:r>
      <w:r w:rsidR="006D3D3F" w:rsidRPr="00BD5DA8">
        <w:rPr>
          <w:rFonts w:ascii="Proxima Nova" w:hAnsi="Proxima Nova" w:cstheme="minorHAnsi"/>
          <w:sz w:val="22"/>
          <w:szCs w:val="22"/>
        </w:rPr>
        <w:tab/>
      </w:r>
      <w:r w:rsidRPr="00BD5DA8">
        <w:rPr>
          <w:rFonts w:ascii="Proxima Nova" w:hAnsi="Proxima Nova" w:cstheme="minorHAnsi"/>
          <w:sz w:val="22"/>
          <w:szCs w:val="22"/>
        </w:rPr>
        <w:t xml:space="preserve">prohibiting </w:t>
      </w:r>
      <w:r w:rsidR="007C34D0" w:rsidRPr="00BD5DA8">
        <w:rPr>
          <w:rFonts w:ascii="Proxima Nova" w:hAnsi="Proxima Nova" w:cstheme="minorHAnsi"/>
          <w:sz w:val="22"/>
          <w:szCs w:val="22"/>
        </w:rPr>
        <w:t xml:space="preserve">use of </w:t>
      </w:r>
      <w:r w:rsidRPr="00BD5DA8">
        <w:rPr>
          <w:rFonts w:ascii="Proxima Nova" w:hAnsi="Proxima Nova" w:cstheme="minorHAnsi"/>
          <w:sz w:val="22"/>
          <w:szCs w:val="22"/>
        </w:rPr>
        <w:t>restrictive practices and substitute decision-making in relation to people with disability in all settings</w:t>
      </w:r>
      <w:r w:rsidR="007C34D0" w:rsidRPr="00BD5DA8">
        <w:rPr>
          <w:rFonts w:ascii="Proxima Nova" w:hAnsi="Proxima Nova" w:cstheme="minorHAnsi"/>
          <w:sz w:val="22"/>
          <w:szCs w:val="22"/>
        </w:rPr>
        <w:t xml:space="preserve"> and </w:t>
      </w:r>
      <w:proofErr w:type="gramStart"/>
      <w:r w:rsidR="007C34D0" w:rsidRPr="00BD5DA8">
        <w:rPr>
          <w:rFonts w:ascii="Proxima Nova" w:hAnsi="Proxima Nova" w:cstheme="minorHAnsi"/>
          <w:sz w:val="22"/>
          <w:szCs w:val="22"/>
        </w:rPr>
        <w:t>contexts</w:t>
      </w:r>
      <w:r w:rsidRPr="00BD5DA8">
        <w:rPr>
          <w:rFonts w:ascii="Proxima Nova" w:hAnsi="Proxima Nova" w:cstheme="minorHAnsi"/>
          <w:sz w:val="22"/>
          <w:szCs w:val="22"/>
        </w:rPr>
        <w:t>;</w:t>
      </w:r>
      <w:proofErr w:type="gramEnd"/>
      <w:r w:rsidR="005D5DC7" w:rsidRPr="00BD5DA8">
        <w:rPr>
          <w:rFonts w:ascii="Proxima Nova" w:hAnsi="Proxima Nova" w:cstheme="minorHAnsi"/>
          <w:sz w:val="22"/>
          <w:szCs w:val="22"/>
        </w:rPr>
        <w:t xml:space="preserve"> </w:t>
      </w:r>
    </w:p>
    <w:p w14:paraId="52DC98AF" w14:textId="5D94060A" w:rsidR="007F3BDA" w:rsidRPr="00BD5DA8" w:rsidRDefault="005D5DC7" w:rsidP="006D3D3F">
      <w:pPr>
        <w:pStyle w:val="ListParagraph"/>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(b)</w:t>
      </w:r>
      <w:r w:rsidR="006D3D3F" w:rsidRPr="00BD5DA8">
        <w:rPr>
          <w:rFonts w:ascii="Proxima Nova" w:hAnsi="Proxima Nova" w:cstheme="minorHAnsi"/>
          <w:sz w:val="22"/>
          <w:szCs w:val="22"/>
        </w:rPr>
        <w:tab/>
      </w:r>
      <w:r w:rsidRPr="00BD5DA8">
        <w:rPr>
          <w:rFonts w:ascii="Proxima Nova" w:hAnsi="Proxima Nova" w:cstheme="minorHAnsi"/>
          <w:sz w:val="22"/>
          <w:szCs w:val="22"/>
        </w:rPr>
        <w:t xml:space="preserve">abolishing legal frameworks for use of restrictive practices and </w:t>
      </w:r>
      <w:r w:rsidR="00D74DBE" w:rsidRPr="00BD5DA8">
        <w:rPr>
          <w:rFonts w:ascii="Proxima Nova" w:hAnsi="Proxima Nova" w:cstheme="minorHAnsi"/>
          <w:sz w:val="22"/>
          <w:szCs w:val="22"/>
        </w:rPr>
        <w:t xml:space="preserve">associated laws for </w:t>
      </w:r>
      <w:r w:rsidRPr="00BD5DA8">
        <w:rPr>
          <w:rFonts w:ascii="Proxima Nova" w:hAnsi="Proxima Nova" w:cstheme="minorHAnsi"/>
          <w:sz w:val="22"/>
          <w:szCs w:val="22"/>
        </w:rPr>
        <w:t>substituted decision-making and compulsory treatment</w:t>
      </w:r>
      <w:r w:rsidR="00CC7AED" w:rsidRPr="00BD5DA8">
        <w:rPr>
          <w:rFonts w:ascii="Proxima Nova" w:hAnsi="Proxima Nova" w:cstheme="minorHAnsi"/>
          <w:sz w:val="22"/>
          <w:szCs w:val="22"/>
        </w:rPr>
        <w:t xml:space="preserve"> (including </w:t>
      </w:r>
      <w:r w:rsidR="00D74DBE" w:rsidRPr="00BD5DA8">
        <w:rPr>
          <w:rFonts w:ascii="Proxima Nova" w:hAnsi="Proxima Nova" w:cstheme="minorHAnsi"/>
          <w:sz w:val="22"/>
          <w:szCs w:val="22"/>
        </w:rPr>
        <w:t>in guardianship and mental health legislation, and common law parens patriae doctrine</w:t>
      </w:r>
      <w:proofErr w:type="gramStart"/>
      <w:r w:rsidR="00D74DBE" w:rsidRPr="00BD5DA8">
        <w:rPr>
          <w:rFonts w:ascii="Proxima Nova" w:hAnsi="Proxima Nova" w:cstheme="minorHAnsi"/>
          <w:sz w:val="22"/>
          <w:szCs w:val="22"/>
        </w:rPr>
        <w:t>)</w:t>
      </w:r>
      <w:r w:rsidRPr="00BD5DA8">
        <w:rPr>
          <w:rFonts w:ascii="Proxima Nova" w:hAnsi="Proxima Nova" w:cstheme="minorHAnsi"/>
          <w:sz w:val="22"/>
          <w:szCs w:val="22"/>
        </w:rPr>
        <w:t>;</w:t>
      </w:r>
      <w:proofErr w:type="gramEnd"/>
      <w:r w:rsidR="00DF421D" w:rsidRPr="00BD5DA8">
        <w:rPr>
          <w:rFonts w:ascii="Proxima Nova" w:hAnsi="Proxima Nova" w:cstheme="minorHAnsi"/>
          <w:sz w:val="22"/>
          <w:szCs w:val="22"/>
        </w:rPr>
        <w:t xml:space="preserve"> </w:t>
      </w:r>
    </w:p>
    <w:p w14:paraId="1724A359" w14:textId="4A968542" w:rsidR="007F3BDA" w:rsidRPr="00BD5DA8" w:rsidRDefault="00DF421D" w:rsidP="006D3D3F">
      <w:pPr>
        <w:pStyle w:val="ListParagraph"/>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w:t>
      </w:r>
      <w:r w:rsidR="005D5DC7" w:rsidRPr="00BD5DA8">
        <w:rPr>
          <w:rFonts w:ascii="Proxima Nova" w:hAnsi="Proxima Nova" w:cstheme="minorHAnsi"/>
          <w:sz w:val="22"/>
          <w:szCs w:val="22"/>
        </w:rPr>
        <w:t>c</w:t>
      </w:r>
      <w:r w:rsidRPr="00BD5DA8">
        <w:rPr>
          <w:rFonts w:ascii="Proxima Nova" w:hAnsi="Proxima Nova" w:cstheme="minorHAnsi"/>
          <w:sz w:val="22"/>
          <w:szCs w:val="22"/>
        </w:rPr>
        <w:t>)</w:t>
      </w:r>
      <w:r w:rsidR="006D3D3F" w:rsidRPr="00BD5DA8">
        <w:rPr>
          <w:rFonts w:ascii="Proxima Nova" w:hAnsi="Proxima Nova" w:cstheme="minorHAnsi"/>
          <w:sz w:val="22"/>
          <w:szCs w:val="22"/>
        </w:rPr>
        <w:tab/>
      </w:r>
      <w:r w:rsidRPr="00BD5DA8">
        <w:rPr>
          <w:rFonts w:ascii="Proxima Nova" w:hAnsi="Proxima Nova" w:cstheme="minorHAnsi"/>
          <w:sz w:val="22"/>
          <w:szCs w:val="22"/>
        </w:rPr>
        <w:t>redressing restrictive practices in ways that are accessible, efficient and inclusive for people with disability who have been subject to restrictive practices</w:t>
      </w:r>
      <w:r w:rsidR="00D84708" w:rsidRPr="00BD5DA8">
        <w:rPr>
          <w:rFonts w:ascii="Proxima Nova" w:hAnsi="Proxima Nova" w:cstheme="minorHAnsi"/>
          <w:sz w:val="22"/>
          <w:szCs w:val="22"/>
        </w:rPr>
        <w:t xml:space="preserve"> (even if the use of restrictive practices was lawful)</w:t>
      </w:r>
      <w:r w:rsidR="005D5DC7" w:rsidRPr="00BD5DA8">
        <w:rPr>
          <w:rFonts w:ascii="Proxima Nova" w:hAnsi="Proxima Nova" w:cstheme="minorHAnsi"/>
          <w:sz w:val="22"/>
          <w:szCs w:val="22"/>
        </w:rPr>
        <w:t xml:space="preserve">; and </w:t>
      </w:r>
    </w:p>
    <w:p w14:paraId="28793B32" w14:textId="40577D04" w:rsidR="007F3BDA" w:rsidRPr="00BD5DA8" w:rsidRDefault="005D5DC7" w:rsidP="006D3D3F">
      <w:pPr>
        <w:pStyle w:val="ListParagraph"/>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(d</w:t>
      </w:r>
      <w:r w:rsidR="00DF421D" w:rsidRPr="00BD5DA8">
        <w:rPr>
          <w:rFonts w:ascii="Proxima Nova" w:hAnsi="Proxima Nova" w:cstheme="minorHAnsi"/>
          <w:sz w:val="22"/>
          <w:szCs w:val="22"/>
        </w:rPr>
        <w:t>)</w:t>
      </w:r>
      <w:r w:rsidR="006D3D3F" w:rsidRPr="00BD5DA8">
        <w:rPr>
          <w:rFonts w:ascii="Proxima Nova" w:hAnsi="Proxima Nova" w:cstheme="minorHAnsi"/>
          <w:sz w:val="22"/>
          <w:szCs w:val="22"/>
        </w:rPr>
        <w:tab/>
      </w:r>
      <w:r w:rsidR="00DF421D" w:rsidRPr="00BD5DA8">
        <w:rPr>
          <w:rFonts w:ascii="Proxima Nova" w:hAnsi="Proxima Nova" w:cstheme="minorHAnsi"/>
          <w:sz w:val="22"/>
          <w:szCs w:val="22"/>
        </w:rPr>
        <w:t>providing necessary resources for people with disability to have access to housing, employment, education and recreation opportunities that will support inclusion and participation in the general community.</w:t>
      </w:r>
      <w:r w:rsidR="00D234F2" w:rsidRPr="00BD5DA8">
        <w:rPr>
          <w:rFonts w:ascii="Proxima Nova" w:hAnsi="Proxima Nova" w:cstheme="minorHAnsi"/>
          <w:sz w:val="22"/>
          <w:szCs w:val="22"/>
        </w:rPr>
        <w:t xml:space="preserve"> </w:t>
      </w:r>
    </w:p>
    <w:p w14:paraId="433F4309" w14:textId="77777777" w:rsidR="007F3BDA" w:rsidRPr="00BD5DA8" w:rsidRDefault="007F3BDA" w:rsidP="007F3BDA">
      <w:pPr>
        <w:pStyle w:val="ListParagraph"/>
        <w:spacing w:line="276" w:lineRule="auto"/>
        <w:rPr>
          <w:rFonts w:ascii="Proxima Nova" w:hAnsi="Proxima Nova" w:cstheme="minorHAnsi"/>
          <w:sz w:val="22"/>
          <w:szCs w:val="22"/>
        </w:rPr>
      </w:pPr>
    </w:p>
    <w:p w14:paraId="5770C14D" w14:textId="4DE0C701" w:rsidR="00DF421D" w:rsidRPr="00BD5DA8" w:rsidRDefault="00D234F2" w:rsidP="007F3BDA">
      <w:pPr>
        <w:pStyle w:val="ListParagraph"/>
        <w:spacing w:line="276" w:lineRule="auto"/>
        <w:rPr>
          <w:rFonts w:ascii="Proxima Nova" w:hAnsi="Proxima Nova" w:cstheme="minorHAnsi"/>
          <w:sz w:val="22"/>
          <w:szCs w:val="22"/>
        </w:rPr>
      </w:pPr>
      <w:r w:rsidRPr="00BD5DA8">
        <w:rPr>
          <w:rFonts w:ascii="Proxima Nova" w:hAnsi="Proxima Nova" w:cstheme="minorHAnsi"/>
          <w:sz w:val="22"/>
          <w:szCs w:val="22"/>
        </w:rPr>
        <w:t>Such a strategy and framework must explicitly extend to non-consensual and coercive sterilisation, menstrual suppression, contraception and abortion.</w:t>
      </w:r>
    </w:p>
    <w:p w14:paraId="5CC63583" w14:textId="08BE4672" w:rsidR="00A751D5" w:rsidRPr="00BD5DA8" w:rsidRDefault="00A751D5" w:rsidP="00134C2A">
      <w:pPr>
        <w:spacing w:line="276" w:lineRule="auto"/>
        <w:rPr>
          <w:rFonts w:ascii="Proxima Nova" w:hAnsi="Proxima Nova" w:cstheme="minorHAnsi"/>
          <w:sz w:val="22"/>
          <w:szCs w:val="22"/>
        </w:rPr>
      </w:pPr>
    </w:p>
    <w:p w14:paraId="671995F6" w14:textId="41E0CB68" w:rsidR="00B07D88" w:rsidRPr="00BD5DA8" w:rsidRDefault="00B07D88" w:rsidP="000F1CFA">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theme="minorHAnsi"/>
          <w:sz w:val="22"/>
          <w:szCs w:val="22"/>
        </w:rPr>
        <w:t xml:space="preserve">That the Royal Commission recommend the Australian Government establish a Redress Scheme that will provide redress for restrictive practices </w:t>
      </w:r>
      <w:r w:rsidR="00D234F2" w:rsidRPr="00BD5DA8">
        <w:rPr>
          <w:rFonts w:ascii="Proxima Nova" w:hAnsi="Proxima Nova" w:cstheme="minorHAnsi"/>
          <w:sz w:val="22"/>
          <w:szCs w:val="22"/>
        </w:rPr>
        <w:t xml:space="preserve">(including non-consensual and coercive sterilisation, menstrual suppression, contraception and abortion) </w:t>
      </w:r>
      <w:r w:rsidRPr="00BD5DA8">
        <w:rPr>
          <w:rFonts w:ascii="Proxima Nova" w:hAnsi="Proxima Nova" w:cstheme="minorHAnsi"/>
          <w:sz w:val="22"/>
          <w:szCs w:val="22"/>
        </w:rPr>
        <w:t xml:space="preserve">which must:  </w:t>
      </w:r>
    </w:p>
    <w:p w14:paraId="2550D8E9" w14:textId="77777777" w:rsidR="00194FB2" w:rsidRPr="00BD5DA8" w:rsidRDefault="00194FB2" w:rsidP="00194FB2">
      <w:pPr>
        <w:spacing w:line="276" w:lineRule="auto"/>
        <w:ind w:left="720"/>
        <w:rPr>
          <w:rFonts w:ascii="Proxima Nova" w:hAnsi="Proxima Nova" w:cstheme="minorHAnsi"/>
          <w:sz w:val="22"/>
          <w:szCs w:val="22"/>
        </w:rPr>
      </w:pPr>
    </w:p>
    <w:p w14:paraId="5B9AFEF1" w14:textId="299E19DE" w:rsidR="00B07D88" w:rsidRPr="00BD5DA8" w:rsidRDefault="00194FB2" w:rsidP="00194FB2">
      <w:pPr>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(a)</w:t>
      </w:r>
      <w:r w:rsidRPr="00BD5DA8">
        <w:rPr>
          <w:rFonts w:ascii="Proxima Nova" w:hAnsi="Proxima Nova" w:cstheme="minorHAnsi"/>
          <w:sz w:val="22"/>
          <w:szCs w:val="22"/>
        </w:rPr>
        <w:tab/>
      </w:r>
      <w:r w:rsidR="00B07D88" w:rsidRPr="00BD5DA8">
        <w:rPr>
          <w:rFonts w:ascii="Proxima Nova" w:hAnsi="Proxima Nova" w:cstheme="minorHAnsi"/>
          <w:sz w:val="22"/>
          <w:szCs w:val="22"/>
        </w:rPr>
        <w:t xml:space="preserve">explicitly extend to restrictive practices, including (1) non-consensual and coercive sterilisation, menstrual suppression, contraception and abortion, (2) use of restrictive practices in historical and contemporary contexts; and (3) use of restrictive practices irrespective of their legality at the </w:t>
      </w:r>
      <w:proofErr w:type="gramStart"/>
      <w:r w:rsidR="00B07D88" w:rsidRPr="00BD5DA8">
        <w:rPr>
          <w:rFonts w:ascii="Proxima Nova" w:hAnsi="Proxima Nova" w:cstheme="minorHAnsi"/>
          <w:sz w:val="22"/>
          <w:szCs w:val="22"/>
        </w:rPr>
        <w:t>time;</w:t>
      </w:r>
      <w:proofErr w:type="gramEnd"/>
    </w:p>
    <w:p w14:paraId="64335810" w14:textId="0900451B" w:rsidR="00B07D88" w:rsidRPr="00BD5DA8" w:rsidRDefault="00194FB2" w:rsidP="00194FB2">
      <w:pPr>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(b)</w:t>
      </w:r>
      <w:r w:rsidRPr="00BD5DA8">
        <w:rPr>
          <w:rFonts w:ascii="Proxima Nova" w:hAnsi="Proxima Nova" w:cstheme="minorHAnsi"/>
          <w:sz w:val="22"/>
          <w:szCs w:val="22"/>
        </w:rPr>
        <w:tab/>
      </w:r>
      <w:r w:rsidR="00B07D88" w:rsidRPr="00BD5DA8">
        <w:rPr>
          <w:rFonts w:ascii="Proxima Nova" w:hAnsi="Proxima Nova" w:cstheme="minorHAnsi"/>
          <w:sz w:val="22"/>
          <w:szCs w:val="22"/>
        </w:rPr>
        <w:t xml:space="preserve">extend beyond individual compensation and include structural redress that engages the community at large and is directed towards transformative change of legal, political and social contexts that give rise to </w:t>
      </w:r>
      <w:proofErr w:type="gramStart"/>
      <w:r w:rsidR="00B07D88" w:rsidRPr="00BD5DA8">
        <w:rPr>
          <w:rFonts w:ascii="Proxima Nova" w:hAnsi="Proxima Nova" w:cstheme="minorHAnsi"/>
          <w:sz w:val="22"/>
          <w:szCs w:val="22"/>
        </w:rPr>
        <w:t>violence;</w:t>
      </w:r>
      <w:proofErr w:type="gramEnd"/>
      <w:r w:rsidR="00B07D88" w:rsidRPr="00BD5DA8">
        <w:rPr>
          <w:rFonts w:ascii="Proxima Nova" w:hAnsi="Proxima Nova" w:cstheme="minorHAnsi"/>
          <w:sz w:val="22"/>
          <w:szCs w:val="22"/>
        </w:rPr>
        <w:t xml:space="preserve"> </w:t>
      </w:r>
    </w:p>
    <w:p w14:paraId="71E9D576" w14:textId="348F18F7" w:rsidR="00B07D88" w:rsidRPr="00BD5DA8" w:rsidRDefault="00194FB2" w:rsidP="00BD5DA8">
      <w:pPr>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(c)</w:t>
      </w:r>
      <w:r w:rsidRPr="00BD5DA8">
        <w:rPr>
          <w:rFonts w:ascii="Proxima Nova" w:hAnsi="Proxima Nova" w:cstheme="minorHAnsi"/>
          <w:sz w:val="22"/>
          <w:szCs w:val="22"/>
        </w:rPr>
        <w:tab/>
      </w:r>
      <w:r w:rsidR="00B07D88" w:rsidRPr="00BD5DA8">
        <w:rPr>
          <w:rFonts w:ascii="Proxima Nova" w:hAnsi="Proxima Nova" w:cstheme="minorHAnsi"/>
          <w:sz w:val="22"/>
          <w:szCs w:val="22"/>
        </w:rPr>
        <w:t>overcome all existing access to justice issues encountered by people with disability; and be developed through consultation with the disability community.</w:t>
      </w:r>
    </w:p>
    <w:p w14:paraId="32AF16BD" w14:textId="18165699" w:rsidR="00B07D88" w:rsidRPr="00BD5DA8" w:rsidRDefault="00B07D88" w:rsidP="00134C2A">
      <w:pPr>
        <w:spacing w:line="276" w:lineRule="auto"/>
        <w:ind w:left="720" w:hanging="720"/>
        <w:rPr>
          <w:rFonts w:ascii="Proxima Nova" w:hAnsi="Proxima Nova" w:cstheme="minorHAnsi"/>
          <w:sz w:val="22"/>
          <w:szCs w:val="22"/>
        </w:rPr>
      </w:pPr>
    </w:p>
    <w:p w14:paraId="2C04EA73" w14:textId="022C9666" w:rsidR="004A49E0" w:rsidRPr="00BD5DA8" w:rsidRDefault="004A49E0" w:rsidP="000F1CFA">
      <w:pPr>
        <w:pStyle w:val="ListParagraph"/>
        <w:numPr>
          <w:ilvl w:val="0"/>
          <w:numId w:val="12"/>
        </w:numPr>
        <w:spacing w:line="276" w:lineRule="auto"/>
        <w:ind w:hanging="720"/>
        <w:rPr>
          <w:rFonts w:ascii="Proxima Nova" w:hAnsi="Proxima Nova" w:cstheme="minorHAnsi"/>
          <w:sz w:val="22"/>
          <w:szCs w:val="22"/>
        </w:rPr>
      </w:pPr>
      <w:r w:rsidRPr="00BD5DA8">
        <w:rPr>
          <w:rFonts w:ascii="Proxima Nova" w:eastAsia="Calibri" w:hAnsi="Proxima Nova" w:cstheme="minorHAnsi"/>
          <w:sz w:val="22"/>
          <w:szCs w:val="22"/>
        </w:rPr>
        <w:t>That the Royal Commission recommend t</w:t>
      </w:r>
      <w:r w:rsidRPr="00BD5DA8">
        <w:rPr>
          <w:rFonts w:ascii="Proxima Nova" w:hAnsi="Proxima Nova" w:cstheme="minorHAnsi"/>
          <w:sz w:val="22"/>
          <w:szCs w:val="22"/>
        </w:rPr>
        <w:t>he Australian Government, as a matter of urgency, withdraw its Interpretative Declarations on CRPD Article 12 (Equal recognition before the law), Article 17 (Protecting the integrity of the person) and Article 18 (Liberty of movement and nationality).</w:t>
      </w:r>
    </w:p>
    <w:p w14:paraId="03926CAC" w14:textId="01CEE868" w:rsidR="000F697F" w:rsidRPr="00BD5DA8" w:rsidRDefault="000F697F" w:rsidP="000F697F">
      <w:pPr>
        <w:spacing w:line="276" w:lineRule="auto"/>
        <w:rPr>
          <w:rFonts w:ascii="Proxima Nova" w:hAnsi="Proxima Nova" w:cstheme="minorHAnsi"/>
          <w:sz w:val="22"/>
          <w:szCs w:val="22"/>
        </w:rPr>
      </w:pPr>
    </w:p>
    <w:p w14:paraId="037B470E" w14:textId="74BE5D2E" w:rsidR="000F697F" w:rsidRPr="00BD5DA8" w:rsidRDefault="000F697F" w:rsidP="00BD5DA8">
      <w:pPr>
        <w:pStyle w:val="ListParagraph"/>
        <w:numPr>
          <w:ilvl w:val="0"/>
          <w:numId w:val="12"/>
        </w:numPr>
        <w:spacing w:line="276" w:lineRule="auto"/>
        <w:ind w:hanging="720"/>
        <w:rPr>
          <w:rFonts w:ascii="Proxima Nova" w:hAnsi="Proxima Nova" w:cstheme="minorHAnsi"/>
          <w:color w:val="000000"/>
          <w:sz w:val="22"/>
          <w:szCs w:val="22"/>
        </w:rPr>
      </w:pPr>
      <w:r w:rsidRPr="00BD5DA8">
        <w:rPr>
          <w:rFonts w:ascii="Proxima Nova" w:hAnsi="Proxima Nova" w:cstheme="minorHAnsi"/>
          <w:sz w:val="22"/>
          <w:szCs w:val="22"/>
          <w:lang w:eastAsia="en-AU"/>
        </w:rPr>
        <w:t xml:space="preserve">That </w:t>
      </w:r>
      <w:r w:rsidRPr="00BD5DA8">
        <w:rPr>
          <w:rFonts w:ascii="Proxima Nova" w:hAnsi="Proxima Nova" w:cstheme="minorHAnsi"/>
          <w:color w:val="000000"/>
          <w:sz w:val="22"/>
          <w:szCs w:val="22"/>
        </w:rPr>
        <w:t>the Royal Commission recommend</w:t>
      </w:r>
      <w:r w:rsidRPr="00BD5DA8">
        <w:rPr>
          <w:rFonts w:ascii="Proxima Nova" w:hAnsi="Proxima Nova" w:cstheme="minorHAnsi"/>
          <w:sz w:val="22"/>
          <w:szCs w:val="22"/>
          <w:lang w:eastAsia="en-AU"/>
        </w:rPr>
        <w:t xml:space="preserve"> the Australian Government</w:t>
      </w:r>
      <w:r w:rsidRPr="00BD5DA8">
        <w:rPr>
          <w:rFonts w:ascii="Proxima Nova" w:hAnsi="Proxima Nova" w:cstheme="minorHAnsi"/>
          <w:color w:val="000000"/>
          <w:sz w:val="22"/>
          <w:szCs w:val="22"/>
        </w:rPr>
        <w:t xml:space="preserve"> commit to ensuring that Aboriginal women with disability are afforded their fundamental human right to self-determination and to have meaningful involvement in decision making, development and evaluation of supports and systems that affect them, including in relation to prohibition </w:t>
      </w:r>
      <w:r w:rsidR="00904329" w:rsidRPr="00BD5DA8">
        <w:rPr>
          <w:rFonts w:ascii="Proxima Nova" w:hAnsi="Proxima Nova" w:cstheme="minorHAnsi"/>
          <w:color w:val="000000"/>
          <w:sz w:val="22"/>
          <w:szCs w:val="22"/>
        </w:rPr>
        <w:t xml:space="preserve">and redress </w:t>
      </w:r>
      <w:r w:rsidRPr="00BD5DA8">
        <w:rPr>
          <w:rFonts w:ascii="Proxima Nova" w:hAnsi="Proxima Nova" w:cstheme="minorHAnsi"/>
          <w:color w:val="000000"/>
          <w:sz w:val="22"/>
          <w:szCs w:val="22"/>
        </w:rPr>
        <w:t>of restrictive practices and introduction of supported decision-making.</w:t>
      </w:r>
    </w:p>
    <w:p w14:paraId="79B695C0" w14:textId="77777777" w:rsidR="000F697F" w:rsidRPr="00BD5DA8" w:rsidRDefault="000F697F" w:rsidP="000F697F">
      <w:pPr>
        <w:spacing w:line="276" w:lineRule="auto"/>
        <w:rPr>
          <w:rFonts w:ascii="Proxima Nova" w:hAnsi="Proxima Nova" w:cstheme="minorHAnsi"/>
          <w:sz w:val="22"/>
          <w:szCs w:val="22"/>
        </w:rPr>
      </w:pPr>
    </w:p>
    <w:p w14:paraId="41327763" w14:textId="77777777" w:rsidR="003D4DE4" w:rsidRPr="00BD5DA8" w:rsidRDefault="003D4DE4" w:rsidP="00134C2A">
      <w:pPr>
        <w:spacing w:line="276" w:lineRule="auto"/>
        <w:rPr>
          <w:rFonts w:ascii="Proxima Nova" w:hAnsi="Proxima Nova" w:cstheme="minorHAnsi"/>
          <w:sz w:val="22"/>
          <w:szCs w:val="22"/>
        </w:rPr>
      </w:pPr>
    </w:p>
    <w:p w14:paraId="3596963F" w14:textId="00E05547" w:rsidR="004A49E0" w:rsidRPr="00A77296" w:rsidRDefault="004A49E0" w:rsidP="00134C2A">
      <w:pPr>
        <w:pStyle w:val="Heading3"/>
        <w:jc w:val="left"/>
        <w:rPr>
          <w:rFonts w:ascii="Proxima Nova" w:hAnsi="Proxima Nova" w:cstheme="minorHAnsi"/>
          <w:bCs/>
          <w:color w:val="AC1F79"/>
        </w:rPr>
      </w:pPr>
      <w:r w:rsidRPr="00A77296">
        <w:rPr>
          <w:rFonts w:ascii="Proxima Nova" w:hAnsi="Proxima Nova"/>
          <w:bCs/>
          <w:color w:val="AC1F79"/>
        </w:rPr>
        <w:t>Ending Segregation and Institutionalisation</w:t>
      </w:r>
    </w:p>
    <w:p w14:paraId="6D0EAD73" w14:textId="77777777" w:rsidR="004A49E0" w:rsidRPr="00BD5DA8" w:rsidRDefault="004A49E0" w:rsidP="00134C2A">
      <w:pPr>
        <w:pStyle w:val="ListParagraph"/>
        <w:spacing w:line="276" w:lineRule="auto"/>
        <w:ind w:left="0"/>
        <w:rPr>
          <w:rFonts w:ascii="Proxima Nova" w:hAnsi="Proxima Nova" w:cstheme="minorHAnsi"/>
          <w:sz w:val="22"/>
          <w:szCs w:val="22"/>
        </w:rPr>
      </w:pPr>
    </w:p>
    <w:p w14:paraId="54662A6C" w14:textId="77777777" w:rsidR="00A04147" w:rsidRPr="00BD5DA8" w:rsidRDefault="004A49E0" w:rsidP="000F1CFA">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theme="minorHAnsi"/>
          <w:sz w:val="22"/>
          <w:szCs w:val="22"/>
        </w:rPr>
        <w:t xml:space="preserve">That the Royal Commission recommend the Australian Government develop and implement a national, time bound strategy and framework for: </w:t>
      </w:r>
    </w:p>
    <w:p w14:paraId="4BA963E2" w14:textId="77777777" w:rsidR="00A04147" w:rsidRPr="00BD5DA8" w:rsidRDefault="00A04147" w:rsidP="00A04147">
      <w:pPr>
        <w:spacing w:line="276" w:lineRule="auto"/>
        <w:rPr>
          <w:rFonts w:ascii="Proxima Nova" w:hAnsi="Proxima Nova" w:cstheme="minorHAnsi"/>
          <w:sz w:val="22"/>
          <w:szCs w:val="22"/>
        </w:rPr>
      </w:pPr>
    </w:p>
    <w:p w14:paraId="3EF013A2" w14:textId="7EF81675" w:rsidR="00A04147" w:rsidRPr="00BD5DA8" w:rsidRDefault="004A49E0" w:rsidP="00A04147">
      <w:pPr>
        <w:pStyle w:val="ListParagraph"/>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(a)</w:t>
      </w:r>
      <w:r w:rsidR="00A04147" w:rsidRPr="00BD5DA8">
        <w:rPr>
          <w:rFonts w:ascii="Proxima Nova" w:hAnsi="Proxima Nova" w:cstheme="minorHAnsi"/>
          <w:sz w:val="22"/>
          <w:szCs w:val="22"/>
        </w:rPr>
        <w:tab/>
      </w:r>
      <w:r w:rsidRPr="00BD5DA8">
        <w:rPr>
          <w:rFonts w:ascii="Proxima Nova" w:hAnsi="Proxima Nova" w:cstheme="minorHAnsi"/>
          <w:sz w:val="22"/>
          <w:szCs w:val="22"/>
        </w:rPr>
        <w:t xml:space="preserve">the closure of all segregated and closed settings for people with disability, including those operated by non-government and private </w:t>
      </w:r>
      <w:proofErr w:type="gramStart"/>
      <w:r w:rsidRPr="00BD5DA8">
        <w:rPr>
          <w:rFonts w:ascii="Proxima Nova" w:hAnsi="Proxima Nova" w:cstheme="minorHAnsi"/>
          <w:sz w:val="22"/>
          <w:szCs w:val="22"/>
        </w:rPr>
        <w:t>sectors;</w:t>
      </w:r>
      <w:proofErr w:type="gramEnd"/>
      <w:r w:rsidRPr="00BD5DA8">
        <w:rPr>
          <w:rFonts w:ascii="Proxima Nova" w:hAnsi="Proxima Nova" w:cstheme="minorHAnsi"/>
          <w:sz w:val="22"/>
          <w:szCs w:val="22"/>
        </w:rPr>
        <w:t xml:space="preserve"> </w:t>
      </w:r>
    </w:p>
    <w:p w14:paraId="521789E2" w14:textId="3F62ABEB" w:rsidR="00A04147" w:rsidRPr="00BD5DA8" w:rsidRDefault="004A49E0" w:rsidP="00A04147">
      <w:pPr>
        <w:pStyle w:val="ListParagraph"/>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(b)</w:t>
      </w:r>
      <w:r w:rsidR="00A04147" w:rsidRPr="00BD5DA8">
        <w:rPr>
          <w:rFonts w:ascii="Proxima Nova" w:hAnsi="Proxima Nova" w:cstheme="minorHAnsi"/>
          <w:sz w:val="22"/>
          <w:szCs w:val="22"/>
        </w:rPr>
        <w:tab/>
      </w:r>
      <w:r w:rsidRPr="00BD5DA8">
        <w:rPr>
          <w:rFonts w:ascii="Proxima Nova" w:hAnsi="Proxima Nova" w:cstheme="minorHAnsi"/>
          <w:sz w:val="22"/>
          <w:szCs w:val="22"/>
        </w:rPr>
        <w:t xml:space="preserve">provide necessary resources for people with disability to have access to housing, employment, education and recreation opportunities that will support inclusion and participation in the general community; and </w:t>
      </w:r>
    </w:p>
    <w:p w14:paraId="46ED5308" w14:textId="4CCE9B8F" w:rsidR="004A49E0" w:rsidRPr="00BD5DA8" w:rsidRDefault="004A49E0" w:rsidP="00A04147">
      <w:pPr>
        <w:pStyle w:val="ListParagraph"/>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(c)</w:t>
      </w:r>
      <w:r w:rsidR="00A04147" w:rsidRPr="00BD5DA8">
        <w:rPr>
          <w:rFonts w:ascii="Proxima Nova" w:hAnsi="Proxima Nova" w:cstheme="minorHAnsi"/>
          <w:sz w:val="22"/>
          <w:szCs w:val="22"/>
        </w:rPr>
        <w:tab/>
      </w:r>
      <w:r w:rsidRPr="00BD5DA8">
        <w:rPr>
          <w:rFonts w:ascii="Proxima Nova" w:hAnsi="Proxima Nova" w:cstheme="minorHAnsi"/>
          <w:sz w:val="22"/>
          <w:szCs w:val="22"/>
        </w:rPr>
        <w:t>abolish substitute decision-making laws that enable restrictive practices to transform housing, employment, education and recreation opportunities in the general community into segregated and closed settings.</w:t>
      </w:r>
    </w:p>
    <w:p w14:paraId="560E2E15" w14:textId="777BE7EE" w:rsidR="004A49E0" w:rsidRPr="00BD5DA8" w:rsidRDefault="004A49E0" w:rsidP="00134C2A">
      <w:pPr>
        <w:spacing w:line="276" w:lineRule="auto"/>
        <w:rPr>
          <w:rFonts w:ascii="Proxima Nova" w:hAnsi="Proxima Nova" w:cstheme="minorHAnsi"/>
          <w:sz w:val="22"/>
          <w:szCs w:val="22"/>
        </w:rPr>
      </w:pPr>
    </w:p>
    <w:p w14:paraId="677D8BFF" w14:textId="77777777" w:rsidR="008E7FD9" w:rsidRPr="00BD5DA8" w:rsidRDefault="008E7FD9" w:rsidP="00134C2A">
      <w:pPr>
        <w:spacing w:line="276" w:lineRule="auto"/>
        <w:rPr>
          <w:rFonts w:ascii="Proxima Nova" w:hAnsi="Proxima Nova" w:cstheme="minorHAnsi"/>
          <w:sz w:val="22"/>
          <w:szCs w:val="22"/>
        </w:rPr>
      </w:pPr>
    </w:p>
    <w:p w14:paraId="790AACFF" w14:textId="7984BCD3" w:rsidR="004A49E0" w:rsidRPr="00A77296" w:rsidRDefault="004A49E0" w:rsidP="00134C2A">
      <w:pPr>
        <w:pStyle w:val="Heading3"/>
        <w:jc w:val="left"/>
        <w:rPr>
          <w:rFonts w:ascii="Proxima Nova" w:hAnsi="Proxima Nova" w:cstheme="minorHAnsi"/>
          <w:bCs/>
          <w:color w:val="AC1F79"/>
        </w:rPr>
      </w:pPr>
      <w:r w:rsidRPr="00A77296">
        <w:rPr>
          <w:rFonts w:ascii="Proxima Nova" w:hAnsi="Proxima Nova"/>
          <w:bCs/>
          <w:color w:val="AC1F79"/>
        </w:rPr>
        <w:t>N</w:t>
      </w:r>
      <w:r w:rsidR="00E63149">
        <w:rPr>
          <w:rFonts w:ascii="Proxima Nova" w:hAnsi="Proxima Nova"/>
          <w:bCs/>
          <w:color w:val="AC1F79"/>
        </w:rPr>
        <w:t>DIS</w:t>
      </w:r>
      <w:r w:rsidRPr="00A77296">
        <w:rPr>
          <w:rFonts w:ascii="Proxima Nova" w:hAnsi="Proxima Nova"/>
          <w:bCs/>
          <w:color w:val="AC1F79"/>
        </w:rPr>
        <w:t xml:space="preserve"> and Restrictive Practices</w:t>
      </w:r>
    </w:p>
    <w:p w14:paraId="29EB8124" w14:textId="77777777" w:rsidR="004A49E0" w:rsidRPr="00BD5DA8" w:rsidRDefault="004A49E0" w:rsidP="00BD5DA8">
      <w:pPr>
        <w:pStyle w:val="ListParagraph"/>
        <w:spacing w:line="276" w:lineRule="auto"/>
        <w:ind w:left="0"/>
        <w:rPr>
          <w:rFonts w:ascii="Proxima Nova" w:hAnsi="Proxima Nova" w:cstheme="minorHAnsi"/>
          <w:sz w:val="22"/>
          <w:szCs w:val="22"/>
        </w:rPr>
      </w:pPr>
    </w:p>
    <w:p w14:paraId="4C202290" w14:textId="2CEA72A5" w:rsidR="004A49E0" w:rsidRPr="00BD5DA8" w:rsidRDefault="004A49E0" w:rsidP="00BD5DA8">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theme="minorHAnsi"/>
          <w:sz w:val="22"/>
          <w:szCs w:val="22"/>
        </w:rPr>
        <w:t>That the Royal Commission recommend the</w:t>
      </w:r>
      <w:r w:rsidRPr="00BD5DA8">
        <w:rPr>
          <w:rFonts w:ascii="Proxima Nova" w:eastAsia="Calibri" w:hAnsi="Proxima Nova" w:cstheme="minorHAnsi"/>
          <w:sz w:val="22"/>
          <w:szCs w:val="22"/>
        </w:rPr>
        <w:t xml:space="preserve"> Australian Government</w:t>
      </w:r>
      <w:r w:rsidRPr="00BD5DA8">
        <w:rPr>
          <w:rFonts w:ascii="Proxima Nova" w:hAnsi="Proxima Nova" w:cstheme="minorHAnsi"/>
          <w:sz w:val="22"/>
          <w:szCs w:val="22"/>
        </w:rPr>
        <w:t xml:space="preserve"> legislate to </w:t>
      </w:r>
      <w:r w:rsidRPr="00BD5DA8">
        <w:rPr>
          <w:rFonts w:ascii="Proxima Nova" w:hAnsi="Proxima Nova" w:cstheme="minorHAnsi"/>
          <w:i/>
          <w:iCs/>
          <w:sz w:val="22"/>
          <w:szCs w:val="22"/>
        </w:rPr>
        <w:t>prohibit</w:t>
      </w:r>
      <w:r w:rsidRPr="00BD5DA8">
        <w:rPr>
          <w:rFonts w:ascii="Proxima Nova" w:hAnsi="Proxima Nova" w:cstheme="minorHAnsi"/>
          <w:sz w:val="22"/>
          <w:szCs w:val="22"/>
        </w:rPr>
        <w:t xml:space="preserve"> – rather than </w:t>
      </w:r>
      <w:r w:rsidRPr="00BD5DA8">
        <w:rPr>
          <w:rFonts w:ascii="Proxima Nova" w:hAnsi="Proxima Nova" w:cstheme="minorHAnsi"/>
          <w:i/>
          <w:iCs/>
          <w:sz w:val="22"/>
          <w:szCs w:val="22"/>
        </w:rPr>
        <w:t>regulate</w:t>
      </w:r>
      <w:r w:rsidRPr="00BD5DA8">
        <w:rPr>
          <w:rFonts w:ascii="Proxima Nova" w:hAnsi="Proxima Nova" w:cstheme="minorHAnsi"/>
          <w:sz w:val="22"/>
          <w:szCs w:val="22"/>
        </w:rPr>
        <w:t xml:space="preserve"> – restrictive practices in </w:t>
      </w:r>
      <w:r w:rsidR="00E63149" w:rsidRPr="00BD5DA8">
        <w:rPr>
          <w:rFonts w:ascii="Proxima Nova" w:hAnsi="Proxima Nova" w:cstheme="minorHAnsi"/>
          <w:sz w:val="22"/>
          <w:szCs w:val="22"/>
        </w:rPr>
        <w:t>NDIS</w:t>
      </w:r>
      <w:r w:rsidRPr="00BD5DA8">
        <w:rPr>
          <w:rFonts w:ascii="Proxima Nova" w:hAnsi="Proxima Nova" w:cstheme="minorHAnsi"/>
          <w:sz w:val="22"/>
          <w:szCs w:val="22"/>
        </w:rPr>
        <w:t xml:space="preserve"> funded services. To this end, the Australian Government should amend the National Disability Insurance Scheme Act 2013 (Cth), repeal the National Disability Insurance Scheme (Restrictive Practices and Behaviour Support) Rules 2018 and abolish State and Territory substituted decision-making laws which provide the regulatory framework for restrictive practices in NDIS funded services.</w:t>
      </w:r>
    </w:p>
    <w:p w14:paraId="6DAAE3F1" w14:textId="4FF795CD" w:rsidR="004A49E0" w:rsidRPr="00BD5DA8" w:rsidRDefault="004A49E0" w:rsidP="00BD5DA8">
      <w:pPr>
        <w:spacing w:line="276" w:lineRule="auto"/>
        <w:ind w:left="720" w:hanging="720"/>
        <w:rPr>
          <w:rFonts w:ascii="Proxima Nova" w:hAnsi="Proxima Nova" w:cstheme="minorHAnsi"/>
          <w:sz w:val="22"/>
          <w:szCs w:val="22"/>
        </w:rPr>
      </w:pPr>
    </w:p>
    <w:p w14:paraId="683AC00C" w14:textId="30588A5B" w:rsidR="004A49E0" w:rsidRPr="00BD5DA8" w:rsidRDefault="00C80AD4" w:rsidP="00BD5DA8">
      <w:pPr>
        <w:pStyle w:val="ListParagraph"/>
        <w:numPr>
          <w:ilvl w:val="0"/>
          <w:numId w:val="12"/>
        </w:numPr>
        <w:spacing w:line="276" w:lineRule="auto"/>
        <w:ind w:hanging="720"/>
        <w:jc w:val="both"/>
        <w:rPr>
          <w:rFonts w:ascii="Proxima Nova" w:hAnsi="Proxima Nova" w:cstheme="minorHAnsi"/>
          <w:sz w:val="22"/>
          <w:szCs w:val="22"/>
        </w:rPr>
      </w:pPr>
      <w:r w:rsidRPr="00BD5DA8">
        <w:rPr>
          <w:rFonts w:ascii="Proxima Nova" w:hAnsi="Proxima Nova" w:cstheme="minorHAnsi"/>
          <w:sz w:val="22"/>
          <w:szCs w:val="22"/>
        </w:rPr>
        <w:t xml:space="preserve">That the Royal Commission recommend, until such time that restrictive practices are prohibited, </w:t>
      </w:r>
      <w:r w:rsidRPr="00BD5DA8">
        <w:rPr>
          <w:rFonts w:ascii="Proxima Nova" w:eastAsia="Calibri" w:hAnsi="Proxima Nova" w:cstheme="minorHAnsi"/>
          <w:sz w:val="22"/>
          <w:szCs w:val="22"/>
        </w:rPr>
        <w:t xml:space="preserve">the NDIS </w:t>
      </w:r>
      <w:r w:rsidRPr="00BD5DA8">
        <w:rPr>
          <w:rFonts w:ascii="Proxima Nova" w:hAnsi="Proxima Nova" w:cstheme="minorHAnsi"/>
          <w:sz w:val="22"/>
          <w:szCs w:val="22"/>
        </w:rPr>
        <w:t xml:space="preserve">Quality and Safeguarding Commission (NDISQSC) </w:t>
      </w:r>
      <w:r w:rsidR="00864FBA" w:rsidRPr="00BD5DA8">
        <w:rPr>
          <w:rFonts w:ascii="Proxima Nova" w:hAnsi="Proxima Nova" w:cstheme="minorHAnsi"/>
          <w:sz w:val="22"/>
          <w:szCs w:val="22"/>
        </w:rPr>
        <w:t>be</w:t>
      </w:r>
      <w:r w:rsidRPr="00BD5DA8">
        <w:rPr>
          <w:rFonts w:ascii="Proxima Nova" w:hAnsi="Proxima Nova" w:cstheme="minorHAnsi"/>
          <w:sz w:val="22"/>
          <w:szCs w:val="22"/>
        </w:rPr>
        <w:t xml:space="preserve"> required to take action against all NDIS registered providers of support in relation to unauthorised restrictive practices and the National Disability Insurance Scheme Act 2013 (Cth) should be amended to provide an accessible redress scheme for individuals subjected to unauthorised restrictive practices (including non-consensual and coercive sterilisation, menstrual suppression, contraception and abortion).</w:t>
      </w:r>
    </w:p>
    <w:p w14:paraId="15BFB81A" w14:textId="77067EA1" w:rsidR="004A49E0" w:rsidRPr="00BD5DA8" w:rsidRDefault="004A49E0" w:rsidP="00BD5DA8">
      <w:pPr>
        <w:spacing w:line="276" w:lineRule="auto"/>
        <w:ind w:left="720" w:hanging="720"/>
        <w:rPr>
          <w:rFonts w:ascii="Proxima Nova" w:hAnsi="Proxima Nova" w:cstheme="minorHAnsi"/>
          <w:sz w:val="22"/>
          <w:szCs w:val="22"/>
        </w:rPr>
      </w:pPr>
    </w:p>
    <w:p w14:paraId="4F34E7BD" w14:textId="2453E1D3" w:rsidR="004A49E0" w:rsidRPr="00BD5DA8" w:rsidRDefault="00C80AD4" w:rsidP="00BD5DA8">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theme="minorHAnsi"/>
          <w:sz w:val="22"/>
          <w:szCs w:val="22"/>
        </w:rPr>
        <w:t>That the Royal Commission recommend the National Disability Insurance Agency (NDIA), in consultation with women with disability and their representative organisations, urgently develop a NDIS Gender Strategy and that this explicitly address restrictive practices, including non-consensual and coercive sterilisation, contraception, menstrual suppression and abortion.</w:t>
      </w:r>
    </w:p>
    <w:p w14:paraId="0734529D" w14:textId="7D5215E4" w:rsidR="00C80AD4" w:rsidRPr="00BD5DA8" w:rsidRDefault="00C80AD4" w:rsidP="00BD5DA8">
      <w:pPr>
        <w:spacing w:line="276" w:lineRule="auto"/>
        <w:ind w:left="720" w:hanging="720"/>
        <w:rPr>
          <w:rFonts w:ascii="Proxima Nova" w:hAnsi="Proxima Nova" w:cstheme="minorHAnsi"/>
          <w:sz w:val="22"/>
          <w:szCs w:val="22"/>
        </w:rPr>
      </w:pPr>
    </w:p>
    <w:p w14:paraId="511EC942" w14:textId="1D9A018C" w:rsidR="00C80AD4" w:rsidRPr="00BD5DA8" w:rsidRDefault="00C80AD4" w:rsidP="00BD5DA8">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theme="minorHAnsi"/>
          <w:sz w:val="22"/>
          <w:szCs w:val="22"/>
        </w:rPr>
        <w:t>That the Royal Commission recommend the Australian Government require the NDIA provide publicly accessible gender-disaggregated data across all its data collection processes and frameworks and data specifically on use of restrictive practices in relation to female NDIS participants and this include data on non-consensual and coercive sterilisation, menstrual suppression, contraception and abortion.</w:t>
      </w:r>
    </w:p>
    <w:p w14:paraId="5C6655BB" w14:textId="77777777" w:rsidR="003D4DE4" w:rsidRPr="00BD5DA8" w:rsidRDefault="003D4DE4" w:rsidP="00BD5DA8">
      <w:pPr>
        <w:spacing w:line="276" w:lineRule="auto"/>
        <w:ind w:left="720" w:hanging="720"/>
        <w:rPr>
          <w:rFonts w:ascii="Proxima Nova" w:hAnsi="Proxima Nova" w:cstheme="minorHAnsi"/>
          <w:sz w:val="22"/>
          <w:szCs w:val="22"/>
        </w:rPr>
      </w:pPr>
    </w:p>
    <w:p w14:paraId="5E2F3BA3" w14:textId="4E772EF3" w:rsidR="006A66DC" w:rsidRPr="00BD5DA8" w:rsidRDefault="006A66DC" w:rsidP="00BD5DA8">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theme="minorHAnsi"/>
          <w:sz w:val="22"/>
          <w:szCs w:val="22"/>
        </w:rPr>
        <w:lastRenderedPageBreak/>
        <w:t>That the Royal Commission recommend the NDIA, in consultation with people with disability and their representative organisations, develop a risk assessment process for identifying and responding to violence against</w:t>
      </w:r>
      <w:r w:rsidR="00251B78" w:rsidRPr="00BD5DA8">
        <w:rPr>
          <w:rFonts w:ascii="Proxima Nova" w:hAnsi="Proxima Nova" w:cstheme="minorHAnsi"/>
          <w:sz w:val="22"/>
          <w:szCs w:val="22"/>
        </w:rPr>
        <w:t xml:space="preserve"> women and girls</w:t>
      </w:r>
      <w:r w:rsidRPr="00BD5DA8">
        <w:rPr>
          <w:rFonts w:ascii="Proxima Nova" w:hAnsi="Proxima Nova" w:cstheme="minorHAnsi"/>
          <w:sz w:val="22"/>
          <w:szCs w:val="22"/>
        </w:rPr>
        <w:t xml:space="preserve"> with disability in NDIS funded services, including identifying and responding to use of restrictive practices</w:t>
      </w:r>
      <w:r w:rsidR="00D234F2" w:rsidRPr="00BD5DA8">
        <w:rPr>
          <w:rFonts w:ascii="Proxima Nova" w:hAnsi="Proxima Nova" w:cstheme="minorHAnsi"/>
          <w:sz w:val="22"/>
          <w:szCs w:val="22"/>
        </w:rPr>
        <w:t xml:space="preserve"> (</w:t>
      </w:r>
      <w:r w:rsidR="004734CE" w:rsidRPr="00BD5DA8">
        <w:rPr>
          <w:rFonts w:ascii="Proxima Nova" w:hAnsi="Proxima Nova" w:cstheme="minorHAnsi"/>
          <w:sz w:val="22"/>
          <w:szCs w:val="22"/>
        </w:rPr>
        <w:t>including</w:t>
      </w:r>
      <w:r w:rsidR="00D234F2" w:rsidRPr="00BD5DA8">
        <w:rPr>
          <w:rFonts w:ascii="Proxima Nova" w:hAnsi="Proxima Nova" w:cstheme="minorHAnsi"/>
          <w:sz w:val="22"/>
          <w:szCs w:val="22"/>
        </w:rPr>
        <w:t xml:space="preserve"> non-consensual and coercive sterilisation, menstrual suppression, contraception and abortion)</w:t>
      </w:r>
      <w:r w:rsidRPr="00BD5DA8">
        <w:rPr>
          <w:rFonts w:ascii="Proxima Nova" w:hAnsi="Proxima Nova" w:cstheme="minorHAnsi"/>
          <w:sz w:val="22"/>
          <w:szCs w:val="22"/>
        </w:rPr>
        <w:t xml:space="preserve">. </w:t>
      </w:r>
    </w:p>
    <w:p w14:paraId="1DBA2EE1" w14:textId="56709D43" w:rsidR="00F273B7" w:rsidRDefault="00F273B7" w:rsidP="00134C2A">
      <w:pPr>
        <w:spacing w:line="276" w:lineRule="auto"/>
        <w:rPr>
          <w:rFonts w:ascii="Proxima Nova" w:hAnsi="Proxima Nova" w:cstheme="minorHAnsi"/>
          <w:sz w:val="20"/>
          <w:szCs w:val="20"/>
        </w:rPr>
      </w:pPr>
    </w:p>
    <w:p w14:paraId="394DF532" w14:textId="77777777" w:rsidR="008E7FD9" w:rsidRPr="00A77445" w:rsidRDefault="008E7FD9" w:rsidP="00134C2A">
      <w:pPr>
        <w:spacing w:line="276" w:lineRule="auto"/>
        <w:rPr>
          <w:rFonts w:ascii="Proxima Nova" w:hAnsi="Proxima Nova" w:cstheme="minorHAnsi"/>
          <w:sz w:val="20"/>
          <w:szCs w:val="20"/>
        </w:rPr>
      </w:pPr>
    </w:p>
    <w:p w14:paraId="630B3861" w14:textId="68125839" w:rsidR="003D4DE4" w:rsidRPr="00A77296" w:rsidRDefault="003D4DE4" w:rsidP="00134C2A">
      <w:pPr>
        <w:pStyle w:val="Heading3"/>
        <w:jc w:val="left"/>
        <w:rPr>
          <w:rFonts w:ascii="Proxima Nova" w:hAnsi="Proxima Nova" w:cstheme="minorHAnsi"/>
          <w:bCs/>
          <w:color w:val="AC1F79"/>
        </w:rPr>
      </w:pPr>
      <w:r w:rsidRPr="00A77296">
        <w:rPr>
          <w:rFonts w:ascii="Proxima Nova" w:hAnsi="Proxima Nova"/>
          <w:bCs/>
          <w:color w:val="AC1F79"/>
        </w:rPr>
        <w:t>Residential Aged Care and Restrictive Practices</w:t>
      </w:r>
    </w:p>
    <w:p w14:paraId="407EC93D" w14:textId="77777777" w:rsidR="003D4DE4" w:rsidRPr="00BD5DA8" w:rsidRDefault="003D4DE4" w:rsidP="00BD5DA8">
      <w:pPr>
        <w:pStyle w:val="ListParagraph"/>
        <w:spacing w:line="276" w:lineRule="auto"/>
        <w:ind w:hanging="720"/>
        <w:rPr>
          <w:rFonts w:ascii="Proxima Nova" w:hAnsi="Proxima Nova" w:cstheme="minorHAnsi"/>
          <w:sz w:val="22"/>
          <w:szCs w:val="22"/>
        </w:rPr>
      </w:pPr>
    </w:p>
    <w:p w14:paraId="5E8DCEA4" w14:textId="77777777" w:rsidR="00864FBA" w:rsidRPr="00BD5DA8" w:rsidRDefault="00CD4FC6" w:rsidP="00BD5DA8">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theme="minorHAnsi"/>
          <w:sz w:val="22"/>
          <w:szCs w:val="22"/>
        </w:rPr>
        <w:t xml:space="preserve">That the Royal Commission recommend the Australian Government develop and implement a national, time bound strategy and framework for: </w:t>
      </w:r>
    </w:p>
    <w:p w14:paraId="2783C3B5" w14:textId="77777777" w:rsidR="00864FBA" w:rsidRPr="00BD5DA8" w:rsidRDefault="00864FBA" w:rsidP="00BD5DA8">
      <w:pPr>
        <w:spacing w:line="276" w:lineRule="auto"/>
        <w:rPr>
          <w:rFonts w:ascii="Proxima Nova" w:hAnsi="Proxima Nova" w:cstheme="minorHAnsi"/>
          <w:sz w:val="22"/>
          <w:szCs w:val="22"/>
        </w:rPr>
      </w:pPr>
    </w:p>
    <w:p w14:paraId="2F21B5E4" w14:textId="6E3B32AF" w:rsidR="00864FBA" w:rsidRPr="00BD5DA8" w:rsidRDefault="00CD4FC6" w:rsidP="00BD5DA8">
      <w:pPr>
        <w:pStyle w:val="ListParagraph"/>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(a)</w:t>
      </w:r>
      <w:r w:rsidR="00864FBA" w:rsidRPr="00BD5DA8">
        <w:rPr>
          <w:rFonts w:ascii="Proxima Nova" w:hAnsi="Proxima Nova" w:cstheme="minorHAnsi"/>
          <w:sz w:val="22"/>
          <w:szCs w:val="22"/>
        </w:rPr>
        <w:tab/>
      </w:r>
      <w:r w:rsidRPr="00BD5DA8">
        <w:rPr>
          <w:rFonts w:ascii="Proxima Nova" w:hAnsi="Proxima Nova" w:cstheme="minorHAnsi"/>
          <w:sz w:val="22"/>
          <w:szCs w:val="22"/>
        </w:rPr>
        <w:t>closure of residential aged care facilities (RACFs</w:t>
      </w:r>
      <w:r w:rsidR="00427738" w:rsidRPr="00BD5DA8">
        <w:rPr>
          <w:rFonts w:ascii="Proxima Nova" w:hAnsi="Proxima Nova" w:cstheme="minorHAnsi"/>
          <w:sz w:val="22"/>
          <w:szCs w:val="22"/>
        </w:rPr>
        <w:t>)</w:t>
      </w:r>
      <w:r w:rsidRPr="00BD5DA8">
        <w:rPr>
          <w:rFonts w:ascii="Proxima Nova" w:hAnsi="Proxima Nova" w:cstheme="minorHAnsi"/>
          <w:sz w:val="22"/>
          <w:szCs w:val="22"/>
        </w:rPr>
        <w:t xml:space="preserve">, including those operated by non-government and private </w:t>
      </w:r>
      <w:proofErr w:type="gramStart"/>
      <w:r w:rsidRPr="00BD5DA8">
        <w:rPr>
          <w:rFonts w:ascii="Proxima Nova" w:hAnsi="Proxima Nova" w:cstheme="minorHAnsi"/>
          <w:sz w:val="22"/>
          <w:szCs w:val="22"/>
        </w:rPr>
        <w:t>sectors;</w:t>
      </w:r>
      <w:proofErr w:type="gramEnd"/>
      <w:r w:rsidRPr="00BD5DA8">
        <w:rPr>
          <w:rFonts w:ascii="Proxima Nova" w:hAnsi="Proxima Nova" w:cstheme="minorHAnsi"/>
          <w:sz w:val="22"/>
          <w:szCs w:val="22"/>
        </w:rPr>
        <w:t xml:space="preserve"> </w:t>
      </w:r>
    </w:p>
    <w:p w14:paraId="60466844" w14:textId="7D9998F9" w:rsidR="00864FBA" w:rsidRPr="00BD5DA8" w:rsidRDefault="00CD4FC6" w:rsidP="00BD5DA8">
      <w:pPr>
        <w:pStyle w:val="ListParagraph"/>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(b)</w:t>
      </w:r>
      <w:r w:rsidR="00864FBA" w:rsidRPr="00BD5DA8">
        <w:rPr>
          <w:rFonts w:ascii="Proxima Nova" w:hAnsi="Proxima Nova" w:cstheme="minorHAnsi"/>
          <w:sz w:val="22"/>
          <w:szCs w:val="22"/>
        </w:rPr>
        <w:tab/>
      </w:r>
      <w:r w:rsidRPr="00BD5DA8">
        <w:rPr>
          <w:rFonts w:ascii="Proxima Nova" w:hAnsi="Proxima Nova" w:cstheme="minorHAnsi"/>
          <w:sz w:val="22"/>
          <w:szCs w:val="22"/>
        </w:rPr>
        <w:t>provision of necessary resources for people with disability (</w:t>
      </w:r>
      <w:r w:rsidR="00C150E9" w:rsidRPr="00BD5DA8">
        <w:rPr>
          <w:rFonts w:ascii="Proxima Nova" w:hAnsi="Proxima Nova" w:cstheme="minorHAnsi"/>
          <w:sz w:val="22"/>
          <w:szCs w:val="22"/>
        </w:rPr>
        <w:t>including older</w:t>
      </w:r>
      <w:r w:rsidRPr="00BD5DA8">
        <w:rPr>
          <w:rFonts w:ascii="Proxima Nova" w:hAnsi="Proxima Nova" w:cstheme="minorHAnsi"/>
          <w:sz w:val="22"/>
          <w:szCs w:val="22"/>
        </w:rPr>
        <w:t xml:space="preserve"> people with disability</w:t>
      </w:r>
      <w:r w:rsidR="00C150E9" w:rsidRPr="00BD5DA8">
        <w:rPr>
          <w:rFonts w:ascii="Proxima Nova" w:hAnsi="Proxima Nova" w:cstheme="minorHAnsi"/>
          <w:sz w:val="22"/>
          <w:szCs w:val="22"/>
        </w:rPr>
        <w:t>)</w:t>
      </w:r>
      <w:r w:rsidRPr="00BD5DA8">
        <w:rPr>
          <w:rFonts w:ascii="Proxima Nova" w:hAnsi="Proxima Nova" w:cstheme="minorHAnsi"/>
          <w:sz w:val="22"/>
          <w:szCs w:val="22"/>
        </w:rPr>
        <w:t xml:space="preserve"> who reside in RACFs to have access to housing, employment, education and recreation opportunities that will support inclusion and participation in the general community; and </w:t>
      </w:r>
    </w:p>
    <w:p w14:paraId="2C0A4A79" w14:textId="2E294D27" w:rsidR="003D4DE4" w:rsidRPr="00BD5DA8" w:rsidRDefault="00CD4FC6" w:rsidP="00BD5DA8">
      <w:pPr>
        <w:pStyle w:val="ListParagraph"/>
        <w:spacing w:line="276" w:lineRule="auto"/>
        <w:rPr>
          <w:rFonts w:ascii="Proxima Nova" w:hAnsi="Proxima Nova" w:cstheme="minorHAnsi"/>
          <w:sz w:val="22"/>
          <w:szCs w:val="22"/>
        </w:rPr>
      </w:pPr>
      <w:r w:rsidRPr="00BD5DA8">
        <w:rPr>
          <w:rFonts w:ascii="Proxima Nova" w:hAnsi="Proxima Nova" w:cstheme="minorHAnsi"/>
          <w:sz w:val="22"/>
          <w:szCs w:val="22"/>
        </w:rPr>
        <w:t>(c)</w:t>
      </w:r>
      <w:r w:rsidR="00864FBA" w:rsidRPr="00BD5DA8">
        <w:rPr>
          <w:rFonts w:ascii="Proxima Nova" w:hAnsi="Proxima Nova" w:cstheme="minorHAnsi"/>
          <w:sz w:val="22"/>
          <w:szCs w:val="22"/>
        </w:rPr>
        <w:tab/>
      </w:r>
      <w:r w:rsidRPr="00BD5DA8">
        <w:rPr>
          <w:rFonts w:ascii="Proxima Nova" w:hAnsi="Proxima Nova" w:cstheme="minorHAnsi"/>
          <w:sz w:val="22"/>
          <w:szCs w:val="22"/>
        </w:rPr>
        <w:t>removing the upper age limit on eligibility to access the NDIS.</w:t>
      </w:r>
    </w:p>
    <w:p w14:paraId="71564D6D" w14:textId="3A294167" w:rsidR="003D4DE4" w:rsidRPr="00BD5DA8" w:rsidRDefault="003D4DE4" w:rsidP="00BD5DA8">
      <w:pPr>
        <w:spacing w:line="276" w:lineRule="auto"/>
        <w:ind w:left="720" w:hanging="720"/>
        <w:rPr>
          <w:rFonts w:ascii="Proxima Nova" w:hAnsi="Proxima Nova" w:cstheme="minorHAnsi"/>
          <w:sz w:val="22"/>
          <w:szCs w:val="22"/>
        </w:rPr>
      </w:pPr>
    </w:p>
    <w:p w14:paraId="5BBECC7B" w14:textId="4A6D950D" w:rsidR="003D4DE4" w:rsidRPr="00BD5DA8" w:rsidRDefault="00CD4FC6" w:rsidP="00BD5DA8">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theme="minorHAnsi"/>
          <w:sz w:val="22"/>
          <w:szCs w:val="22"/>
        </w:rPr>
        <w:t xml:space="preserve">That the Royal Commission recommend the Australian Government legislate to </w:t>
      </w:r>
      <w:r w:rsidRPr="00BD5DA8">
        <w:rPr>
          <w:rFonts w:ascii="Proxima Nova" w:hAnsi="Proxima Nova" w:cstheme="minorHAnsi"/>
          <w:i/>
          <w:iCs/>
          <w:sz w:val="22"/>
          <w:szCs w:val="22"/>
        </w:rPr>
        <w:t>prohibit</w:t>
      </w:r>
      <w:r w:rsidRPr="00BD5DA8">
        <w:rPr>
          <w:rFonts w:ascii="Proxima Nova" w:hAnsi="Proxima Nova" w:cstheme="minorHAnsi"/>
          <w:sz w:val="22"/>
          <w:szCs w:val="22"/>
        </w:rPr>
        <w:t xml:space="preserve"> – rather than </w:t>
      </w:r>
      <w:r w:rsidRPr="00BD5DA8">
        <w:rPr>
          <w:rFonts w:ascii="Proxima Nova" w:hAnsi="Proxima Nova" w:cstheme="minorHAnsi"/>
          <w:i/>
          <w:iCs/>
          <w:sz w:val="22"/>
          <w:szCs w:val="22"/>
        </w:rPr>
        <w:t>regulate</w:t>
      </w:r>
      <w:r w:rsidRPr="00BD5DA8">
        <w:rPr>
          <w:rFonts w:ascii="Proxima Nova" w:hAnsi="Proxima Nova" w:cstheme="minorHAnsi"/>
          <w:sz w:val="22"/>
          <w:szCs w:val="22"/>
        </w:rPr>
        <w:t xml:space="preserve"> – restrictive practices in RACFs.</w:t>
      </w:r>
    </w:p>
    <w:p w14:paraId="2E7827E8" w14:textId="77777777" w:rsidR="00CD4FC6" w:rsidRPr="00BD5DA8" w:rsidRDefault="00CD4FC6" w:rsidP="00BD5DA8">
      <w:pPr>
        <w:spacing w:line="276" w:lineRule="auto"/>
        <w:ind w:left="720" w:hanging="720"/>
        <w:rPr>
          <w:rFonts w:ascii="Proxima Nova" w:hAnsi="Proxima Nova" w:cstheme="minorHAnsi"/>
          <w:sz w:val="22"/>
          <w:szCs w:val="22"/>
        </w:rPr>
      </w:pPr>
    </w:p>
    <w:p w14:paraId="06F171A6" w14:textId="4BAB96E6" w:rsidR="003D4DE4" w:rsidRPr="00BD5DA8" w:rsidRDefault="00CD4FC6" w:rsidP="00BD5DA8">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theme="minorHAnsi"/>
          <w:sz w:val="22"/>
          <w:szCs w:val="22"/>
        </w:rPr>
        <w:t xml:space="preserve">That the Royal Commission recommend, until such time that restrictive practices are prohibited, </w:t>
      </w:r>
      <w:r w:rsidRPr="00BD5DA8">
        <w:rPr>
          <w:rFonts w:ascii="Proxima Nova" w:eastAsia="Calibri" w:hAnsi="Proxima Nova" w:cstheme="minorHAnsi"/>
          <w:sz w:val="22"/>
          <w:szCs w:val="22"/>
        </w:rPr>
        <w:t>the Aged Care Quality and Safety Commission</w:t>
      </w:r>
      <w:r w:rsidRPr="00BD5DA8">
        <w:rPr>
          <w:rFonts w:ascii="Proxima Nova" w:hAnsi="Proxima Nova" w:cstheme="minorHAnsi"/>
          <w:sz w:val="22"/>
          <w:szCs w:val="22"/>
        </w:rPr>
        <w:t xml:space="preserve"> (ACQSC) </w:t>
      </w:r>
      <w:r w:rsidR="00177376" w:rsidRPr="00BD5DA8">
        <w:rPr>
          <w:rFonts w:ascii="Proxima Nova" w:hAnsi="Proxima Nova" w:cstheme="minorHAnsi"/>
          <w:sz w:val="22"/>
          <w:szCs w:val="22"/>
        </w:rPr>
        <w:t>be</w:t>
      </w:r>
      <w:r w:rsidRPr="00BD5DA8">
        <w:rPr>
          <w:rFonts w:ascii="Proxima Nova" w:hAnsi="Proxima Nova" w:cstheme="minorHAnsi"/>
          <w:sz w:val="22"/>
          <w:szCs w:val="22"/>
        </w:rPr>
        <w:t xml:space="preserve"> required to </w:t>
      </w:r>
      <w:proofErr w:type="gramStart"/>
      <w:r w:rsidRPr="00BD5DA8">
        <w:rPr>
          <w:rFonts w:ascii="Proxima Nova" w:hAnsi="Proxima Nova" w:cstheme="minorHAnsi"/>
          <w:sz w:val="22"/>
          <w:szCs w:val="22"/>
        </w:rPr>
        <w:t>take action</w:t>
      </w:r>
      <w:proofErr w:type="gramEnd"/>
      <w:r w:rsidRPr="00BD5DA8">
        <w:rPr>
          <w:rFonts w:ascii="Proxima Nova" w:hAnsi="Proxima Nova" w:cstheme="minorHAnsi"/>
          <w:sz w:val="22"/>
          <w:szCs w:val="22"/>
        </w:rPr>
        <w:t xml:space="preserve"> against all RACFs in relation to unauthorised restrictive practices.</w:t>
      </w:r>
    </w:p>
    <w:p w14:paraId="6298308B" w14:textId="77777777" w:rsidR="00CD4FC6" w:rsidRPr="00BD5DA8" w:rsidRDefault="00CD4FC6" w:rsidP="00BD5DA8">
      <w:pPr>
        <w:spacing w:line="276" w:lineRule="auto"/>
        <w:ind w:left="720" w:hanging="720"/>
        <w:rPr>
          <w:rFonts w:ascii="Proxima Nova" w:hAnsi="Proxima Nova" w:cstheme="minorHAnsi"/>
          <w:sz w:val="22"/>
          <w:szCs w:val="22"/>
        </w:rPr>
      </w:pPr>
    </w:p>
    <w:p w14:paraId="0181595B" w14:textId="57CBD55E" w:rsidR="003D4DE4" w:rsidRPr="00BD5DA8" w:rsidRDefault="00CD4FC6" w:rsidP="00BD5DA8">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theme="minorHAnsi"/>
          <w:sz w:val="22"/>
          <w:szCs w:val="22"/>
        </w:rPr>
        <w:t xml:space="preserve">That the Royal Commission recommend the ACQSC, in consultation with women with disability and their representative organisations, urgently develop an </w:t>
      </w:r>
      <w:r w:rsidR="00177376" w:rsidRPr="00BD5DA8">
        <w:rPr>
          <w:rFonts w:ascii="Proxima Nova" w:hAnsi="Proxima Nova" w:cstheme="minorHAnsi"/>
          <w:sz w:val="22"/>
          <w:szCs w:val="22"/>
        </w:rPr>
        <w:t>A</w:t>
      </w:r>
      <w:r w:rsidRPr="00BD5DA8">
        <w:rPr>
          <w:rFonts w:ascii="Proxima Nova" w:hAnsi="Proxima Nova" w:cstheme="minorHAnsi"/>
          <w:sz w:val="22"/>
          <w:szCs w:val="22"/>
        </w:rPr>
        <w:t xml:space="preserve">ged </w:t>
      </w:r>
      <w:r w:rsidR="00177376" w:rsidRPr="00BD5DA8">
        <w:rPr>
          <w:rFonts w:ascii="Proxima Nova" w:hAnsi="Proxima Nova" w:cstheme="minorHAnsi"/>
          <w:sz w:val="22"/>
          <w:szCs w:val="22"/>
        </w:rPr>
        <w:t>C</w:t>
      </w:r>
      <w:r w:rsidRPr="00BD5DA8">
        <w:rPr>
          <w:rFonts w:ascii="Proxima Nova" w:hAnsi="Proxima Nova" w:cstheme="minorHAnsi"/>
          <w:sz w:val="22"/>
          <w:szCs w:val="22"/>
        </w:rPr>
        <w:t>are Gender Strategy.</w:t>
      </w:r>
    </w:p>
    <w:p w14:paraId="0A007BA6" w14:textId="77777777" w:rsidR="00CD4FC6" w:rsidRPr="00BD5DA8" w:rsidRDefault="00CD4FC6" w:rsidP="00BD5DA8">
      <w:pPr>
        <w:spacing w:line="276" w:lineRule="auto"/>
        <w:ind w:left="720" w:hanging="720"/>
        <w:rPr>
          <w:rFonts w:ascii="Proxima Nova" w:hAnsi="Proxima Nova" w:cstheme="minorHAnsi"/>
          <w:sz w:val="22"/>
          <w:szCs w:val="22"/>
        </w:rPr>
      </w:pPr>
    </w:p>
    <w:p w14:paraId="729AF829" w14:textId="7356F470" w:rsidR="003D4DE4" w:rsidRPr="00BD5DA8" w:rsidRDefault="00CD4FC6" w:rsidP="00BD5DA8">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theme="minorHAnsi"/>
          <w:sz w:val="22"/>
          <w:szCs w:val="22"/>
        </w:rPr>
        <w:t>That the Royal Commission recommend the Australian Government require the ACQSC provide gender-disaggregated data and data specifically on restrictive practices across all its data collection processes and frameworks.</w:t>
      </w:r>
    </w:p>
    <w:p w14:paraId="744307A7" w14:textId="77777777" w:rsidR="00CD4FC6" w:rsidRPr="00BD5DA8" w:rsidRDefault="00CD4FC6" w:rsidP="00BD5DA8">
      <w:pPr>
        <w:spacing w:line="276" w:lineRule="auto"/>
        <w:ind w:left="720" w:hanging="720"/>
        <w:rPr>
          <w:rFonts w:ascii="Proxima Nova" w:hAnsi="Proxima Nova" w:cstheme="minorHAnsi"/>
          <w:sz w:val="22"/>
          <w:szCs w:val="22"/>
        </w:rPr>
      </w:pPr>
    </w:p>
    <w:p w14:paraId="60176D90" w14:textId="3098A390" w:rsidR="00CD4FC6" w:rsidRPr="00BD5DA8" w:rsidRDefault="00CD4FC6" w:rsidP="00BD5DA8">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theme="minorHAnsi"/>
          <w:sz w:val="22"/>
          <w:szCs w:val="22"/>
        </w:rPr>
        <w:t>That the Royal Commission recommend the ACQSC, in consultation with people with disability and their representative organisations, develop a risk assessment process for identifying and responding to violence against women with disability in RACFs, including identifying and responding to use of restrictive practices.</w:t>
      </w:r>
    </w:p>
    <w:p w14:paraId="0CC8996B" w14:textId="7EC4618B" w:rsidR="006C08D2" w:rsidRPr="00BD5DA8" w:rsidRDefault="006C08D2" w:rsidP="00BD5DA8">
      <w:pPr>
        <w:spacing w:line="276" w:lineRule="auto"/>
        <w:rPr>
          <w:rFonts w:ascii="Proxima Nova" w:hAnsi="Proxima Nova" w:cstheme="minorHAnsi"/>
          <w:sz w:val="22"/>
          <w:szCs w:val="22"/>
        </w:rPr>
      </w:pPr>
    </w:p>
    <w:p w14:paraId="4EDEFE4B" w14:textId="77777777" w:rsidR="008E7FD9" w:rsidRPr="00BD5DA8" w:rsidRDefault="008E7FD9" w:rsidP="00BD5DA8">
      <w:pPr>
        <w:spacing w:line="276" w:lineRule="auto"/>
        <w:rPr>
          <w:rFonts w:ascii="Proxima Nova" w:hAnsi="Proxima Nova" w:cstheme="minorHAnsi"/>
          <w:sz w:val="22"/>
          <w:szCs w:val="22"/>
        </w:rPr>
      </w:pPr>
    </w:p>
    <w:p w14:paraId="06B24D74" w14:textId="137374F4" w:rsidR="006C08D2" w:rsidRPr="00A77296" w:rsidRDefault="006C08D2" w:rsidP="00134C2A">
      <w:pPr>
        <w:pStyle w:val="Heading3"/>
        <w:jc w:val="left"/>
        <w:rPr>
          <w:rFonts w:ascii="Proxima Nova" w:hAnsi="Proxima Nova" w:cstheme="minorHAnsi"/>
          <w:bCs/>
          <w:color w:val="AC1F79"/>
        </w:rPr>
      </w:pPr>
      <w:r w:rsidRPr="00A77296">
        <w:rPr>
          <w:rFonts w:ascii="Proxima Nova" w:hAnsi="Proxima Nova"/>
          <w:bCs/>
          <w:color w:val="AC1F79"/>
        </w:rPr>
        <w:t>Safeguards and Accountability</w:t>
      </w:r>
    </w:p>
    <w:p w14:paraId="057B5322" w14:textId="77777777" w:rsidR="00BE1B47" w:rsidRPr="00BD5DA8" w:rsidRDefault="00BE1B47" w:rsidP="00BD5DA8">
      <w:pPr>
        <w:spacing w:line="276" w:lineRule="auto"/>
        <w:rPr>
          <w:rFonts w:ascii="Proxima Nova" w:hAnsi="Proxima Nova" w:cstheme="minorHAnsi"/>
          <w:sz w:val="22"/>
          <w:szCs w:val="22"/>
        </w:rPr>
      </w:pPr>
    </w:p>
    <w:p w14:paraId="3083DCFF" w14:textId="088E7EC6" w:rsidR="006C08D2" w:rsidRPr="00BD5DA8" w:rsidRDefault="006C08D2" w:rsidP="00BD5DA8">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theme="minorHAnsi"/>
          <w:sz w:val="22"/>
          <w:szCs w:val="22"/>
        </w:rPr>
        <w:t>That the Royal Commission recommend the Australian Government establish an independent, statutory, national protection mechanism under specific purpose legislation, and with broad functions and powers to protect, investigate and enforce findings in relation to all forms of violence, abuse, exploitation and neglect against all people with disability (including restrictive practices, notably non-consensual and coercive sterilisation, menstrual suppression, contraception and abortion), regardless of the context or setting in which it occurs and regardless of who perpetrates it. This national protection mechanism should explicitly operate within a human rights framework and include, as a minimum, the following core functions:</w:t>
      </w:r>
    </w:p>
    <w:p w14:paraId="5DA21E36" w14:textId="77777777" w:rsidR="00C150E9" w:rsidRPr="00BD5DA8" w:rsidRDefault="00C150E9" w:rsidP="00BD5DA8">
      <w:pPr>
        <w:pStyle w:val="ListParagraph"/>
        <w:spacing w:line="276" w:lineRule="auto"/>
        <w:rPr>
          <w:rFonts w:ascii="Proxima Nova" w:hAnsi="Proxima Nova" w:cstheme="minorHAnsi"/>
          <w:sz w:val="22"/>
          <w:szCs w:val="22"/>
        </w:rPr>
      </w:pPr>
    </w:p>
    <w:p w14:paraId="4DC1F8BB" w14:textId="739AC242" w:rsidR="006C08D2" w:rsidRPr="00BD5DA8" w:rsidRDefault="00CF3C0A" w:rsidP="00BD5DA8">
      <w:pPr>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(a)</w:t>
      </w:r>
      <w:r w:rsidRPr="00BD5DA8">
        <w:rPr>
          <w:rFonts w:ascii="Proxima Nova" w:hAnsi="Proxima Nova" w:cstheme="minorHAnsi"/>
          <w:sz w:val="22"/>
          <w:szCs w:val="22"/>
        </w:rPr>
        <w:tab/>
      </w:r>
      <w:r w:rsidR="006C08D2" w:rsidRPr="00BD5DA8">
        <w:rPr>
          <w:rFonts w:ascii="Proxima Nova" w:hAnsi="Proxima Nova" w:cstheme="minorHAnsi"/>
          <w:sz w:val="22"/>
          <w:szCs w:val="22"/>
        </w:rPr>
        <w:t xml:space="preserve">a ‘no wrong door’ complaint handling function – the ability to receive, investigate, determine, and make recommendations in relation to all complaints </w:t>
      </w:r>
      <w:proofErr w:type="gramStart"/>
      <w:r w:rsidR="006C08D2" w:rsidRPr="00BD5DA8">
        <w:rPr>
          <w:rFonts w:ascii="Proxima Nova" w:hAnsi="Proxima Nova" w:cstheme="minorHAnsi"/>
          <w:sz w:val="22"/>
          <w:szCs w:val="22"/>
        </w:rPr>
        <w:t>raised;</w:t>
      </w:r>
      <w:proofErr w:type="gramEnd"/>
    </w:p>
    <w:p w14:paraId="256FEC76" w14:textId="456105DA" w:rsidR="006C08D2" w:rsidRPr="00BD5DA8" w:rsidRDefault="00CF3C0A" w:rsidP="00BD5DA8">
      <w:pPr>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(b)</w:t>
      </w:r>
      <w:r w:rsidRPr="00BD5DA8">
        <w:rPr>
          <w:rFonts w:ascii="Proxima Nova" w:hAnsi="Proxima Nova" w:cstheme="minorHAnsi"/>
          <w:sz w:val="22"/>
          <w:szCs w:val="22"/>
        </w:rPr>
        <w:tab/>
      </w:r>
      <w:r w:rsidR="006C08D2" w:rsidRPr="00BD5DA8">
        <w:rPr>
          <w:rFonts w:ascii="Proxima Nova" w:hAnsi="Proxima Nova" w:cstheme="minorHAnsi"/>
          <w:sz w:val="22"/>
          <w:szCs w:val="22"/>
        </w:rPr>
        <w:t xml:space="preserve">the ability to initiate ‘own motion’ complaints and to undertake own motion enquiries into systemic </w:t>
      </w:r>
      <w:proofErr w:type="gramStart"/>
      <w:r w:rsidR="006C08D2" w:rsidRPr="00BD5DA8">
        <w:rPr>
          <w:rFonts w:ascii="Proxima Nova" w:hAnsi="Proxima Nova" w:cstheme="minorHAnsi"/>
          <w:sz w:val="22"/>
          <w:szCs w:val="22"/>
        </w:rPr>
        <w:t>issues;</w:t>
      </w:r>
      <w:proofErr w:type="gramEnd"/>
    </w:p>
    <w:p w14:paraId="51CF2C21" w14:textId="11CBC217" w:rsidR="006C08D2" w:rsidRPr="00BD5DA8" w:rsidRDefault="00CF3C0A" w:rsidP="00BD5DA8">
      <w:pPr>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lastRenderedPageBreak/>
        <w:t>(c)</w:t>
      </w:r>
      <w:r w:rsidRPr="00BD5DA8">
        <w:rPr>
          <w:rFonts w:ascii="Proxima Nova" w:hAnsi="Proxima Nova" w:cstheme="minorHAnsi"/>
          <w:sz w:val="22"/>
          <w:szCs w:val="22"/>
        </w:rPr>
        <w:tab/>
      </w:r>
      <w:r w:rsidR="006C08D2" w:rsidRPr="00BD5DA8">
        <w:rPr>
          <w:rFonts w:ascii="Proxima Nova" w:hAnsi="Proxima Nova" w:cstheme="minorHAnsi"/>
          <w:sz w:val="22"/>
          <w:szCs w:val="22"/>
        </w:rPr>
        <w:t xml:space="preserve">the power to make recommendations to relevant respondents, including Commonwealth and State and Territory Governments, for remedial </w:t>
      </w:r>
      <w:proofErr w:type="gramStart"/>
      <w:r w:rsidR="006C08D2" w:rsidRPr="00BD5DA8">
        <w:rPr>
          <w:rFonts w:ascii="Proxima Nova" w:hAnsi="Proxima Nova" w:cstheme="minorHAnsi"/>
          <w:sz w:val="22"/>
          <w:szCs w:val="22"/>
        </w:rPr>
        <w:t>action;</w:t>
      </w:r>
      <w:proofErr w:type="gramEnd"/>
    </w:p>
    <w:p w14:paraId="13DCCFD9" w14:textId="7C6F8C85" w:rsidR="006C08D2" w:rsidRPr="00BD5DA8" w:rsidRDefault="00CF3C0A" w:rsidP="00BD5DA8">
      <w:pPr>
        <w:spacing w:line="276" w:lineRule="auto"/>
        <w:ind w:left="720"/>
        <w:rPr>
          <w:rFonts w:ascii="Proxima Nova" w:hAnsi="Proxima Nova" w:cstheme="minorHAnsi"/>
          <w:sz w:val="22"/>
          <w:szCs w:val="22"/>
        </w:rPr>
      </w:pPr>
      <w:r w:rsidRPr="00BD5DA8">
        <w:rPr>
          <w:rFonts w:ascii="Proxima Nova" w:hAnsi="Proxima Nova" w:cstheme="minorHAnsi"/>
          <w:sz w:val="22"/>
          <w:szCs w:val="22"/>
        </w:rPr>
        <w:t>(d)</w:t>
      </w:r>
      <w:r w:rsidRPr="00BD5DA8">
        <w:rPr>
          <w:rFonts w:ascii="Proxima Nova" w:hAnsi="Proxima Nova" w:cstheme="minorHAnsi"/>
          <w:sz w:val="22"/>
          <w:szCs w:val="22"/>
        </w:rPr>
        <w:tab/>
      </w:r>
      <w:r w:rsidR="006C08D2" w:rsidRPr="00BD5DA8">
        <w:rPr>
          <w:rFonts w:ascii="Proxima Nova" w:hAnsi="Proxima Nova" w:cstheme="minorHAnsi"/>
          <w:sz w:val="22"/>
          <w:szCs w:val="22"/>
        </w:rPr>
        <w:t>the ability to conduct policy and programme reviews and ‘</w:t>
      </w:r>
      <w:proofErr w:type="gramStart"/>
      <w:r w:rsidR="006C08D2" w:rsidRPr="00BD5DA8">
        <w:rPr>
          <w:rFonts w:ascii="Proxima Nova" w:hAnsi="Proxima Nova" w:cstheme="minorHAnsi"/>
          <w:sz w:val="22"/>
          <w:szCs w:val="22"/>
        </w:rPr>
        <w:t>audits’;</w:t>
      </w:r>
      <w:proofErr w:type="gramEnd"/>
    </w:p>
    <w:p w14:paraId="191E73DA" w14:textId="5A061160" w:rsidR="006C08D2" w:rsidRPr="00BD5DA8" w:rsidRDefault="00CF3C0A" w:rsidP="00BD5DA8">
      <w:pPr>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(e)</w:t>
      </w:r>
      <w:r w:rsidRPr="00BD5DA8">
        <w:rPr>
          <w:rFonts w:ascii="Proxima Nova" w:hAnsi="Proxima Nova" w:cstheme="minorHAnsi"/>
          <w:sz w:val="22"/>
          <w:szCs w:val="22"/>
        </w:rPr>
        <w:tab/>
      </w:r>
      <w:r w:rsidR="006C08D2" w:rsidRPr="00BD5DA8">
        <w:rPr>
          <w:rFonts w:ascii="Proxima Nova" w:hAnsi="Proxima Nova" w:cstheme="minorHAnsi"/>
          <w:sz w:val="22"/>
          <w:szCs w:val="22"/>
        </w:rPr>
        <w:t xml:space="preserve">the ability to publicly report on outcomes of systemic enquiries and group, policy and programme reviews, or audits, including through tabling an Annual Report to </w:t>
      </w:r>
      <w:proofErr w:type="gramStart"/>
      <w:r w:rsidR="006C08D2" w:rsidRPr="00BD5DA8">
        <w:rPr>
          <w:rFonts w:ascii="Proxima Nova" w:hAnsi="Proxima Nova" w:cstheme="minorHAnsi"/>
          <w:sz w:val="22"/>
          <w:szCs w:val="22"/>
        </w:rPr>
        <w:t>Parliament;</w:t>
      </w:r>
      <w:proofErr w:type="gramEnd"/>
    </w:p>
    <w:p w14:paraId="404F38A1" w14:textId="65A48CDA" w:rsidR="006C08D2" w:rsidRPr="00BD5DA8" w:rsidRDefault="00CF3C0A" w:rsidP="00BD5DA8">
      <w:pPr>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(f)</w:t>
      </w:r>
      <w:r w:rsidRPr="00BD5DA8">
        <w:rPr>
          <w:rFonts w:ascii="Proxima Nova" w:hAnsi="Proxima Nova" w:cstheme="minorHAnsi"/>
          <w:sz w:val="22"/>
          <w:szCs w:val="22"/>
        </w:rPr>
        <w:tab/>
      </w:r>
      <w:r w:rsidR="006C08D2" w:rsidRPr="00BD5DA8">
        <w:rPr>
          <w:rFonts w:ascii="Proxima Nova" w:hAnsi="Proxima Nova" w:cstheme="minorHAnsi"/>
          <w:sz w:val="22"/>
          <w:szCs w:val="22"/>
        </w:rPr>
        <w:t xml:space="preserve">the ability to develop and publish policy recommendations, guidelines, and standards to promote service quality </w:t>
      </w:r>
      <w:proofErr w:type="gramStart"/>
      <w:r w:rsidR="006C08D2" w:rsidRPr="00BD5DA8">
        <w:rPr>
          <w:rFonts w:ascii="Proxima Nova" w:hAnsi="Proxima Nova" w:cstheme="minorHAnsi"/>
          <w:sz w:val="22"/>
          <w:szCs w:val="22"/>
        </w:rPr>
        <w:t>improvement;</w:t>
      </w:r>
      <w:proofErr w:type="gramEnd"/>
    </w:p>
    <w:p w14:paraId="3A3C4870" w14:textId="7CA68820" w:rsidR="006C08D2" w:rsidRPr="00BD5DA8" w:rsidRDefault="00CF3C0A" w:rsidP="00BD5DA8">
      <w:pPr>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(g)</w:t>
      </w:r>
      <w:r w:rsidRPr="00BD5DA8">
        <w:rPr>
          <w:rFonts w:ascii="Proxima Nova" w:hAnsi="Proxima Nova" w:cstheme="minorHAnsi"/>
          <w:sz w:val="22"/>
          <w:szCs w:val="22"/>
        </w:rPr>
        <w:tab/>
      </w:r>
      <w:r w:rsidR="006C08D2" w:rsidRPr="00BD5DA8">
        <w:rPr>
          <w:rFonts w:ascii="Proxima Nova" w:hAnsi="Proxima Nova" w:cstheme="minorHAnsi"/>
          <w:sz w:val="22"/>
          <w:szCs w:val="22"/>
        </w:rPr>
        <w:t>the ability to collect, develop and publish information, and conduct professional and public educational programs; and</w:t>
      </w:r>
    </w:p>
    <w:p w14:paraId="1D6FEB43" w14:textId="5B6A3ABB" w:rsidR="00CD4FC6" w:rsidRPr="00BD5DA8" w:rsidRDefault="00CF3C0A" w:rsidP="00BD5DA8">
      <w:pPr>
        <w:spacing w:line="276" w:lineRule="auto"/>
        <w:ind w:left="1440" w:hanging="720"/>
        <w:rPr>
          <w:rFonts w:ascii="Proxima Nova" w:hAnsi="Proxima Nova" w:cstheme="minorHAnsi"/>
          <w:sz w:val="22"/>
          <w:szCs w:val="22"/>
        </w:rPr>
      </w:pPr>
      <w:r w:rsidRPr="00BD5DA8">
        <w:rPr>
          <w:rFonts w:ascii="Proxima Nova" w:hAnsi="Proxima Nova" w:cstheme="minorHAnsi"/>
          <w:sz w:val="22"/>
          <w:szCs w:val="22"/>
        </w:rPr>
        <w:t>(h)</w:t>
      </w:r>
      <w:r w:rsidRPr="00BD5DA8">
        <w:rPr>
          <w:rFonts w:ascii="Proxima Nova" w:hAnsi="Proxima Nova" w:cstheme="minorHAnsi"/>
          <w:sz w:val="22"/>
          <w:szCs w:val="22"/>
        </w:rPr>
        <w:tab/>
      </w:r>
      <w:r w:rsidR="006C08D2" w:rsidRPr="00BD5DA8">
        <w:rPr>
          <w:rFonts w:ascii="Proxima Nova" w:hAnsi="Proxima Nova" w:cstheme="minorHAnsi"/>
          <w:sz w:val="22"/>
          <w:szCs w:val="22"/>
        </w:rPr>
        <w:t>the power to enable enforcement of its recommendations, including for redress and reparation for harms perpetrated.</w:t>
      </w:r>
    </w:p>
    <w:p w14:paraId="35444D50" w14:textId="77777777" w:rsidR="00BE1B47" w:rsidRPr="00BD5DA8" w:rsidRDefault="00BE1B47" w:rsidP="00BD5DA8">
      <w:pPr>
        <w:spacing w:line="276" w:lineRule="auto"/>
        <w:ind w:left="720" w:hanging="720"/>
        <w:rPr>
          <w:rFonts w:ascii="Proxima Nova" w:hAnsi="Proxima Nova" w:cstheme="minorHAnsi"/>
          <w:sz w:val="22"/>
          <w:szCs w:val="22"/>
        </w:rPr>
      </w:pPr>
    </w:p>
    <w:p w14:paraId="1C9BD7C1" w14:textId="44C6F84B" w:rsidR="006A66DC" w:rsidRPr="00BD5DA8" w:rsidRDefault="00BE1B47" w:rsidP="00BD5DA8">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theme="minorHAnsi"/>
          <w:sz w:val="22"/>
          <w:szCs w:val="22"/>
        </w:rPr>
        <w:t>That the Royal Commission recommend the Australian Government abolish the National Disability and Neglect Hotline</w:t>
      </w:r>
      <w:r w:rsidRPr="00BD5DA8">
        <w:rPr>
          <w:rStyle w:val="EndnoteReference"/>
          <w:rFonts w:ascii="Proxima Nova" w:hAnsi="Proxima Nova" w:cstheme="minorHAnsi"/>
          <w:sz w:val="22"/>
          <w:szCs w:val="22"/>
        </w:rPr>
        <w:endnoteReference w:id="2"/>
      </w:r>
      <w:r w:rsidRPr="00BD5DA8">
        <w:rPr>
          <w:rFonts w:ascii="Proxima Nova" w:hAnsi="Proxima Nova" w:cstheme="minorHAnsi"/>
          <w:sz w:val="22"/>
          <w:szCs w:val="22"/>
        </w:rPr>
        <w:t xml:space="preserve"> and reallocate resources to the establishment of an independent, statutory national mechanism to protect, investigate and enforce findings in relation to all forms of violence, abuse, exploitation and neglect against people with disability, including those related to restrictive practices (including non-consensual and coercive sterilisation, menstrual suppression, contraception and abortion).</w:t>
      </w:r>
    </w:p>
    <w:p w14:paraId="766F9D5D" w14:textId="77777777" w:rsidR="00BE1B47" w:rsidRPr="00BD5DA8" w:rsidRDefault="00BE1B47" w:rsidP="00BD5DA8">
      <w:pPr>
        <w:spacing w:line="276" w:lineRule="auto"/>
        <w:ind w:left="720" w:hanging="720"/>
        <w:rPr>
          <w:rFonts w:ascii="Proxima Nova" w:hAnsi="Proxima Nova" w:cstheme="minorHAnsi"/>
          <w:sz w:val="22"/>
          <w:szCs w:val="22"/>
        </w:rPr>
      </w:pPr>
    </w:p>
    <w:p w14:paraId="1503F282" w14:textId="592A0207" w:rsidR="006A66DC" w:rsidRPr="00BD5DA8" w:rsidRDefault="00BE1B47" w:rsidP="00BD5DA8">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Calibri"/>
          <w:color w:val="000000"/>
          <w:sz w:val="22"/>
          <w:szCs w:val="22"/>
        </w:rPr>
        <w:t>That the Royal Commission recommend that Australian and State and Territory independent oversight bodies under the Optional Protocol on the Convention Against Torture (OPCAT) categorise group homes, RACFs, closed mental health units, forensic disability units, and broader residential facilities for people with disability as ‘places of detention’ under the OPCAT, and be monitored accordingly.</w:t>
      </w:r>
    </w:p>
    <w:p w14:paraId="115E50D5" w14:textId="77777777" w:rsidR="00BE1B47" w:rsidRPr="00BD5DA8" w:rsidRDefault="00BE1B47" w:rsidP="00BD5DA8">
      <w:pPr>
        <w:spacing w:line="276" w:lineRule="auto"/>
        <w:ind w:left="720" w:hanging="720"/>
        <w:rPr>
          <w:rFonts w:ascii="Proxima Nova" w:hAnsi="Proxima Nova" w:cstheme="minorHAnsi"/>
          <w:sz w:val="22"/>
          <w:szCs w:val="22"/>
        </w:rPr>
      </w:pPr>
    </w:p>
    <w:p w14:paraId="51502BF8" w14:textId="05EF1CAE" w:rsidR="006A66DC" w:rsidRPr="00BD5DA8" w:rsidRDefault="00BE1B47" w:rsidP="00BD5DA8">
      <w:pPr>
        <w:pStyle w:val="ListParagraph"/>
        <w:numPr>
          <w:ilvl w:val="0"/>
          <w:numId w:val="12"/>
        </w:numPr>
        <w:spacing w:line="276" w:lineRule="auto"/>
        <w:ind w:hanging="720"/>
        <w:rPr>
          <w:rFonts w:ascii="Proxima Nova" w:hAnsi="Proxima Nova" w:cstheme="minorHAnsi"/>
          <w:sz w:val="22"/>
          <w:szCs w:val="22"/>
        </w:rPr>
      </w:pPr>
      <w:r w:rsidRPr="00BD5DA8">
        <w:rPr>
          <w:rFonts w:ascii="Proxima Nova" w:hAnsi="Proxima Nova" w:cstheme="minorHAnsi"/>
          <w:sz w:val="22"/>
          <w:szCs w:val="22"/>
        </w:rPr>
        <w:t>That the Royal Commission recommend, related to the preceding recommendation, the Commonwealth Ombudsman as co-coordinating National Preventive Mechanism (NPM) actively engage with women and girls with disability and DPOs to ensure their ‘inclusion and effective participation’ regarding the monitoring of all places where people with disability are detained.</w:t>
      </w:r>
    </w:p>
    <w:p w14:paraId="05AD7DCF" w14:textId="5BCE5331" w:rsidR="00BE1B47" w:rsidRPr="00BD5DA8" w:rsidRDefault="00BE1B47" w:rsidP="00BD5DA8">
      <w:pPr>
        <w:spacing w:line="276" w:lineRule="auto"/>
        <w:rPr>
          <w:rFonts w:ascii="Proxima Nova" w:hAnsi="Proxima Nova" w:cstheme="minorHAnsi"/>
          <w:sz w:val="22"/>
          <w:szCs w:val="22"/>
        </w:rPr>
      </w:pPr>
    </w:p>
    <w:p w14:paraId="155A77BD" w14:textId="77777777" w:rsidR="008E7FD9" w:rsidRPr="00BD5DA8" w:rsidRDefault="008E7FD9" w:rsidP="00BD5DA8">
      <w:pPr>
        <w:spacing w:line="276" w:lineRule="auto"/>
        <w:rPr>
          <w:rFonts w:ascii="Proxima Nova" w:hAnsi="Proxima Nova" w:cstheme="minorHAnsi"/>
          <w:sz w:val="22"/>
          <w:szCs w:val="22"/>
        </w:rPr>
      </w:pPr>
    </w:p>
    <w:p w14:paraId="0CE3A404" w14:textId="71E50D47" w:rsidR="00E07024" w:rsidRPr="00A77296" w:rsidRDefault="00E07024" w:rsidP="00134C2A">
      <w:pPr>
        <w:pStyle w:val="Heading3"/>
        <w:jc w:val="left"/>
        <w:rPr>
          <w:rFonts w:ascii="Proxima Nova" w:hAnsi="Proxima Nova" w:cstheme="minorHAnsi"/>
          <w:bCs/>
          <w:color w:val="AC1F79"/>
        </w:rPr>
      </w:pPr>
      <w:r w:rsidRPr="00A77296">
        <w:rPr>
          <w:rFonts w:ascii="Proxima Nova" w:hAnsi="Proxima Nova"/>
          <w:bCs/>
          <w:color w:val="AC1F79"/>
        </w:rPr>
        <w:t>Address Restrictive Practices in Initiatives on Gender-Based Violence and Discrimination</w:t>
      </w:r>
    </w:p>
    <w:p w14:paraId="1417F6BC" w14:textId="77777777" w:rsidR="00E07024" w:rsidRPr="004E4AB9" w:rsidRDefault="00E07024" w:rsidP="00134C2A">
      <w:pPr>
        <w:spacing w:line="276" w:lineRule="auto"/>
        <w:rPr>
          <w:rFonts w:ascii="Proxima Nova" w:hAnsi="Proxima Nova" w:cstheme="minorHAnsi"/>
          <w:sz w:val="22"/>
          <w:szCs w:val="22"/>
        </w:rPr>
      </w:pPr>
    </w:p>
    <w:p w14:paraId="47905C39" w14:textId="320DC68F" w:rsidR="00BE1B47" w:rsidRPr="004E4AB9" w:rsidRDefault="00E07024" w:rsidP="000F1CFA">
      <w:pPr>
        <w:pStyle w:val="ListParagraph"/>
        <w:numPr>
          <w:ilvl w:val="0"/>
          <w:numId w:val="12"/>
        </w:numPr>
        <w:spacing w:line="276" w:lineRule="auto"/>
        <w:ind w:hanging="720"/>
        <w:rPr>
          <w:rFonts w:ascii="Proxima Nova" w:hAnsi="Proxima Nova" w:cstheme="minorHAnsi"/>
          <w:sz w:val="22"/>
          <w:szCs w:val="22"/>
        </w:rPr>
      </w:pPr>
      <w:r w:rsidRPr="004E4AB9">
        <w:rPr>
          <w:rFonts w:ascii="Proxima Nova" w:hAnsi="Proxima Nova" w:cstheme="minorHAnsi"/>
          <w:sz w:val="22"/>
          <w:szCs w:val="22"/>
        </w:rPr>
        <w:t>That the Royal Commission recommend the Australian Government develop and enact national legislation on prevention of all forms of gender-based violence, and this should extend to restrictive practices (including non-consensual and coercive sterilisation, menstrual suppression, contraception and abortion).</w:t>
      </w:r>
    </w:p>
    <w:p w14:paraId="499C44E5" w14:textId="77777777" w:rsidR="00E07024" w:rsidRPr="004E4AB9" w:rsidRDefault="00E07024" w:rsidP="00134C2A">
      <w:pPr>
        <w:spacing w:line="276" w:lineRule="auto"/>
        <w:ind w:left="720" w:hanging="720"/>
        <w:rPr>
          <w:rFonts w:ascii="Proxima Nova" w:hAnsi="Proxima Nova" w:cstheme="minorHAnsi"/>
          <w:sz w:val="22"/>
          <w:szCs w:val="22"/>
        </w:rPr>
      </w:pPr>
    </w:p>
    <w:p w14:paraId="7BD2AC8C" w14:textId="221B4A1C" w:rsidR="00E07024" w:rsidRPr="004E4AB9" w:rsidRDefault="00E07024" w:rsidP="000F1CFA">
      <w:pPr>
        <w:pStyle w:val="ListParagraph"/>
        <w:numPr>
          <w:ilvl w:val="0"/>
          <w:numId w:val="12"/>
        </w:numPr>
        <w:spacing w:line="276" w:lineRule="auto"/>
        <w:ind w:hanging="720"/>
        <w:rPr>
          <w:rFonts w:ascii="Proxima Nova" w:eastAsia="Calibri" w:hAnsi="Proxima Nova" w:cstheme="minorHAnsi"/>
          <w:sz w:val="22"/>
          <w:szCs w:val="22"/>
        </w:rPr>
      </w:pPr>
      <w:r w:rsidRPr="004E4AB9">
        <w:rPr>
          <w:rFonts w:ascii="Proxima Nova" w:hAnsi="Proxima Nova" w:cstheme="minorHAnsi"/>
          <w:sz w:val="22"/>
          <w:szCs w:val="22"/>
        </w:rPr>
        <w:t>That the Royal Commission recommend the</w:t>
      </w:r>
      <w:r w:rsidRPr="004E4AB9">
        <w:rPr>
          <w:rFonts w:ascii="Proxima Nova" w:eastAsia="Calibri" w:hAnsi="Proxima Nova" w:cstheme="minorHAnsi"/>
          <w:sz w:val="22"/>
          <w:szCs w:val="22"/>
        </w:rPr>
        <w:t xml:space="preserve"> Australian Government, through the Department of Prime Minister and Cabinet, Office for Women and in consultation with civil society, develop a National Gender Equality Policy Framework, and this should explicitly address restrictive practices </w:t>
      </w:r>
      <w:r w:rsidRPr="004E4AB9">
        <w:rPr>
          <w:rFonts w:ascii="Proxima Nova" w:hAnsi="Proxima Nova" w:cstheme="minorHAnsi"/>
          <w:sz w:val="22"/>
          <w:szCs w:val="22"/>
        </w:rPr>
        <w:t>(including non-consensual and coercive sterilisation, menstrual suppression, contraception and abortion)</w:t>
      </w:r>
      <w:r w:rsidRPr="004E4AB9">
        <w:rPr>
          <w:rFonts w:ascii="Proxima Nova" w:eastAsia="Calibri" w:hAnsi="Proxima Nova" w:cstheme="minorHAnsi"/>
          <w:sz w:val="22"/>
          <w:szCs w:val="22"/>
        </w:rPr>
        <w:t xml:space="preserve">. </w:t>
      </w:r>
    </w:p>
    <w:p w14:paraId="199325A2" w14:textId="77777777" w:rsidR="00E07024" w:rsidRPr="004E4AB9" w:rsidRDefault="00E07024" w:rsidP="00134C2A">
      <w:pPr>
        <w:spacing w:line="276" w:lineRule="auto"/>
        <w:ind w:left="720" w:hanging="720"/>
        <w:rPr>
          <w:rFonts w:ascii="Proxima Nova" w:hAnsi="Proxima Nova" w:cstheme="minorHAnsi"/>
          <w:sz w:val="22"/>
          <w:szCs w:val="22"/>
        </w:rPr>
      </w:pPr>
    </w:p>
    <w:p w14:paraId="78376D85" w14:textId="49F98EFA" w:rsidR="00BE1B47" w:rsidRPr="004E4AB9" w:rsidRDefault="00E07024" w:rsidP="000F1CFA">
      <w:pPr>
        <w:pStyle w:val="ListParagraph"/>
        <w:numPr>
          <w:ilvl w:val="0"/>
          <w:numId w:val="12"/>
        </w:numPr>
        <w:spacing w:line="276" w:lineRule="auto"/>
        <w:ind w:hanging="720"/>
        <w:rPr>
          <w:rFonts w:ascii="Proxima Nova" w:hAnsi="Proxima Nova" w:cstheme="minorHAnsi"/>
          <w:sz w:val="22"/>
          <w:szCs w:val="22"/>
        </w:rPr>
      </w:pPr>
      <w:r w:rsidRPr="004E4AB9">
        <w:rPr>
          <w:rFonts w:ascii="Proxima Nova" w:hAnsi="Proxima Nova" w:cstheme="minorHAnsi"/>
          <w:sz w:val="22"/>
          <w:szCs w:val="22"/>
        </w:rPr>
        <w:t>That the Royal Commission recommend the Australian Government’s development of the new National Disability Strategy (‘NDS’) reflects Australia’s obligations under the CRPD to address discrimination against women and girls with disability, including in relation to restrictive practices (including non-consensual and coercive sterilisation, menstrual suppression, contraception and abortion).</w:t>
      </w:r>
    </w:p>
    <w:p w14:paraId="7B68CB0F" w14:textId="7E43052B" w:rsidR="00BE1B47" w:rsidRPr="004E4AB9" w:rsidRDefault="00BE1B47" w:rsidP="00134C2A">
      <w:pPr>
        <w:spacing w:line="276" w:lineRule="auto"/>
        <w:ind w:left="720" w:hanging="720"/>
        <w:rPr>
          <w:rFonts w:ascii="Proxima Nova" w:hAnsi="Proxima Nova" w:cstheme="minorHAnsi"/>
          <w:sz w:val="22"/>
          <w:szCs w:val="22"/>
        </w:rPr>
      </w:pPr>
    </w:p>
    <w:p w14:paraId="0223EFE4" w14:textId="0D5030A5" w:rsidR="00E07024" w:rsidRPr="004E4AB9" w:rsidRDefault="00E07024" w:rsidP="000F1CFA">
      <w:pPr>
        <w:pStyle w:val="ListParagraph"/>
        <w:numPr>
          <w:ilvl w:val="0"/>
          <w:numId w:val="12"/>
        </w:numPr>
        <w:spacing w:line="276" w:lineRule="auto"/>
        <w:ind w:hanging="720"/>
        <w:rPr>
          <w:rFonts w:ascii="Proxima Nova" w:hAnsi="Proxima Nova" w:cstheme="minorHAnsi"/>
          <w:sz w:val="22"/>
          <w:szCs w:val="22"/>
        </w:rPr>
      </w:pPr>
      <w:r w:rsidRPr="004E4AB9">
        <w:rPr>
          <w:rFonts w:ascii="Proxima Nova" w:hAnsi="Proxima Nova" w:cstheme="minorHAnsi"/>
          <w:sz w:val="22"/>
          <w:szCs w:val="22"/>
        </w:rPr>
        <w:t xml:space="preserve">That the Royal Commission recommend the Australian Government, along with State and Territory Governments, develop a coordinated, nationally consistent, gendered Violence Prevention and Response Strategy for People with Disability that facilitates active participation of people with disability and includes strategies for ending the use and legality </w:t>
      </w:r>
      <w:r w:rsidRPr="004E4AB9">
        <w:rPr>
          <w:rFonts w:ascii="Proxima Nova" w:hAnsi="Proxima Nova" w:cstheme="minorHAnsi"/>
          <w:sz w:val="22"/>
          <w:szCs w:val="22"/>
        </w:rPr>
        <w:lastRenderedPageBreak/>
        <w:t xml:space="preserve">of restrictive practices (including non-consensual and coercive sterilisation, menstrual suppression, contraception and abortion). </w:t>
      </w:r>
    </w:p>
    <w:p w14:paraId="6074556B" w14:textId="1EB39E12" w:rsidR="006A66DC" w:rsidRPr="004E4AB9" w:rsidRDefault="006A66DC" w:rsidP="00134C2A">
      <w:pPr>
        <w:spacing w:line="276" w:lineRule="auto"/>
        <w:ind w:left="720" w:hanging="720"/>
        <w:rPr>
          <w:rFonts w:ascii="Proxima Nova" w:hAnsi="Proxima Nova" w:cstheme="minorHAnsi"/>
          <w:sz w:val="22"/>
          <w:szCs w:val="22"/>
        </w:rPr>
      </w:pPr>
    </w:p>
    <w:p w14:paraId="6BC3E7D0" w14:textId="22AA2EBF" w:rsidR="00E07024" w:rsidRPr="004E4AB9" w:rsidRDefault="00E07024" w:rsidP="000F1CFA">
      <w:pPr>
        <w:pStyle w:val="ListParagraph"/>
        <w:numPr>
          <w:ilvl w:val="0"/>
          <w:numId w:val="12"/>
        </w:numPr>
        <w:spacing w:line="276" w:lineRule="auto"/>
        <w:ind w:hanging="720"/>
        <w:rPr>
          <w:rFonts w:ascii="Proxima Nova" w:hAnsi="Proxima Nova" w:cstheme="minorHAnsi"/>
          <w:sz w:val="22"/>
          <w:szCs w:val="22"/>
        </w:rPr>
      </w:pPr>
      <w:r w:rsidRPr="004E4AB9">
        <w:rPr>
          <w:rFonts w:ascii="Proxima Nova" w:hAnsi="Proxima Nova" w:cstheme="minorHAnsi"/>
          <w:sz w:val="22"/>
          <w:szCs w:val="22"/>
        </w:rPr>
        <w:t>That the Royal Commission recommend the</w:t>
      </w:r>
      <w:r w:rsidRPr="004E4AB9">
        <w:rPr>
          <w:rFonts w:ascii="Proxima Nova" w:eastAsia="Calibri" w:hAnsi="Proxima Nova" w:cstheme="minorHAnsi"/>
          <w:sz w:val="22"/>
          <w:szCs w:val="22"/>
        </w:rPr>
        <w:t xml:space="preserve"> Australian Government</w:t>
      </w:r>
      <w:r w:rsidRPr="004E4AB9">
        <w:rPr>
          <w:rFonts w:ascii="Proxima Nova" w:hAnsi="Proxima Nova" w:cstheme="minorHAnsi"/>
          <w:sz w:val="22"/>
          <w:szCs w:val="22"/>
        </w:rPr>
        <w:t xml:space="preserve"> and State and Territory Governments strengthen anti-discrimination laws to explicitly recognise and address intersectional discrimination </w:t>
      </w:r>
      <w:r w:rsidR="00177A12" w:rsidRPr="004E4AB9">
        <w:rPr>
          <w:rFonts w:ascii="Proxima Nova" w:hAnsi="Proxima Nova" w:cstheme="minorHAnsi"/>
          <w:sz w:val="22"/>
          <w:szCs w:val="22"/>
        </w:rPr>
        <w:t>and structural</w:t>
      </w:r>
      <w:r w:rsidRPr="004E4AB9">
        <w:rPr>
          <w:rFonts w:ascii="Proxima Nova" w:hAnsi="Proxima Nova" w:cstheme="minorHAnsi"/>
          <w:sz w:val="22"/>
          <w:szCs w:val="22"/>
        </w:rPr>
        <w:t xml:space="preserve"> discrimination, including its aggravating and compounding effects, so they can apply in the context of the use and legality of restrictive practices (including non-consensual and coercive sterilisation, menstrual suppression, contraception and abortion).</w:t>
      </w:r>
    </w:p>
    <w:p w14:paraId="414816AB" w14:textId="77777777" w:rsidR="00E07024" w:rsidRPr="004E4AB9" w:rsidRDefault="00E07024" w:rsidP="00134C2A">
      <w:pPr>
        <w:spacing w:line="276" w:lineRule="auto"/>
        <w:ind w:left="720" w:hanging="720"/>
        <w:rPr>
          <w:rFonts w:ascii="Proxima Nova" w:hAnsi="Proxima Nova" w:cstheme="minorHAnsi"/>
          <w:sz w:val="22"/>
          <w:szCs w:val="22"/>
        </w:rPr>
      </w:pPr>
    </w:p>
    <w:p w14:paraId="16F6CCBF" w14:textId="6F3AD02E" w:rsidR="00FC6E92" w:rsidRPr="004E4AB9" w:rsidRDefault="00E07024" w:rsidP="000F1CFA">
      <w:pPr>
        <w:pStyle w:val="ListParagraph"/>
        <w:numPr>
          <w:ilvl w:val="0"/>
          <w:numId w:val="12"/>
        </w:numPr>
        <w:spacing w:line="276" w:lineRule="auto"/>
        <w:ind w:hanging="720"/>
        <w:rPr>
          <w:rFonts w:ascii="Proxima Nova" w:eastAsia="Calibri" w:hAnsi="Proxima Nova" w:cstheme="minorHAnsi"/>
          <w:sz w:val="22"/>
          <w:szCs w:val="22"/>
        </w:rPr>
      </w:pPr>
      <w:r w:rsidRPr="004E4AB9">
        <w:rPr>
          <w:rFonts w:ascii="Proxima Nova" w:hAnsi="Proxima Nova" w:cstheme="minorHAnsi"/>
          <w:sz w:val="22"/>
          <w:szCs w:val="22"/>
        </w:rPr>
        <w:t xml:space="preserve">The Royal Commission must recommend the Australian Government </w:t>
      </w:r>
      <w:r w:rsidRPr="004E4AB9">
        <w:rPr>
          <w:rFonts w:ascii="Proxima Nova" w:hAnsi="Proxima Nova" w:cstheme="minorHAnsi"/>
          <w:color w:val="000000" w:themeColor="text1"/>
          <w:sz w:val="22"/>
          <w:szCs w:val="22"/>
        </w:rPr>
        <w:t xml:space="preserve">provide long-term support, including core support and resources for research, capacity building, and violence prevention, to human </w:t>
      </w:r>
      <w:proofErr w:type="gramStart"/>
      <w:r w:rsidRPr="004E4AB9">
        <w:rPr>
          <w:rFonts w:ascii="Proxima Nova" w:hAnsi="Proxima Nova" w:cstheme="minorHAnsi"/>
          <w:color w:val="000000" w:themeColor="text1"/>
          <w:sz w:val="22"/>
          <w:szCs w:val="22"/>
        </w:rPr>
        <w:t>rights-based</w:t>
      </w:r>
      <w:proofErr w:type="gramEnd"/>
      <w:r w:rsidRPr="004E4AB9">
        <w:rPr>
          <w:rFonts w:ascii="Proxima Nova" w:hAnsi="Proxima Nova" w:cstheme="minorHAnsi"/>
          <w:color w:val="000000" w:themeColor="text1"/>
          <w:sz w:val="22"/>
          <w:szCs w:val="22"/>
        </w:rPr>
        <w:t xml:space="preserve"> DPOs constituted by, of and for women and girls with disability.</w:t>
      </w:r>
    </w:p>
    <w:p w14:paraId="68439067" w14:textId="77777777" w:rsidR="00E07024" w:rsidRPr="004E4AB9" w:rsidRDefault="00E07024" w:rsidP="00134C2A">
      <w:pPr>
        <w:spacing w:line="276" w:lineRule="auto"/>
        <w:ind w:left="720" w:hanging="720"/>
        <w:rPr>
          <w:rFonts w:ascii="Proxima Nova" w:hAnsi="Proxima Nova" w:cstheme="minorHAnsi"/>
          <w:sz w:val="22"/>
          <w:szCs w:val="22"/>
        </w:rPr>
      </w:pPr>
    </w:p>
    <w:p w14:paraId="759D5BF1" w14:textId="2BC4E466" w:rsidR="00E07024" w:rsidRPr="004E4AB9" w:rsidRDefault="00E07024" w:rsidP="000F1CFA">
      <w:pPr>
        <w:pStyle w:val="ListParagraph"/>
        <w:numPr>
          <w:ilvl w:val="0"/>
          <w:numId w:val="12"/>
        </w:numPr>
        <w:spacing w:line="276" w:lineRule="auto"/>
        <w:ind w:hanging="720"/>
        <w:rPr>
          <w:rFonts w:ascii="Proxima Nova" w:eastAsia="Calibri" w:hAnsi="Proxima Nova" w:cstheme="minorHAnsi"/>
          <w:sz w:val="22"/>
          <w:szCs w:val="22"/>
        </w:rPr>
      </w:pPr>
      <w:r w:rsidRPr="004E4AB9">
        <w:rPr>
          <w:rFonts w:ascii="Proxima Nova" w:hAnsi="Proxima Nova" w:cstheme="minorHAnsi"/>
          <w:sz w:val="22"/>
          <w:szCs w:val="22"/>
        </w:rPr>
        <w:t>That the Royal Commission recommend the Australian Government and State and Territory Governments develop, as part of educational curricula, a comprehensive suite of educational programs delivered across the life span directed towards preventing violence against people with disability, including violence from the use and legality of restrictive practices (notably non-consensual and coercive sterilisation, menstrual suppression, contraception and abortion). The aims of this suite of programs should be:</w:t>
      </w:r>
    </w:p>
    <w:p w14:paraId="3B7ADED8" w14:textId="77777777" w:rsidR="00566732" w:rsidRPr="004E4AB9" w:rsidRDefault="00566732" w:rsidP="00566732">
      <w:pPr>
        <w:spacing w:line="276" w:lineRule="auto"/>
        <w:rPr>
          <w:rFonts w:ascii="Proxima Nova" w:eastAsia="Calibri" w:hAnsi="Proxima Nova" w:cstheme="minorHAnsi"/>
          <w:sz w:val="22"/>
          <w:szCs w:val="22"/>
        </w:rPr>
      </w:pPr>
    </w:p>
    <w:p w14:paraId="5D175DD4" w14:textId="6D358DA2" w:rsidR="00E07024" w:rsidRPr="004E4AB9" w:rsidRDefault="00962B4C" w:rsidP="00962B4C">
      <w:pPr>
        <w:spacing w:line="276" w:lineRule="auto"/>
        <w:ind w:left="720"/>
        <w:rPr>
          <w:rFonts w:ascii="Proxima Nova" w:hAnsi="Proxima Nova" w:cstheme="minorHAnsi"/>
          <w:color w:val="000000" w:themeColor="text1"/>
          <w:sz w:val="22"/>
          <w:szCs w:val="22"/>
        </w:rPr>
      </w:pPr>
      <w:r w:rsidRPr="004E4AB9">
        <w:rPr>
          <w:rFonts w:ascii="Proxima Nova" w:hAnsi="Proxima Nova" w:cstheme="minorHAnsi"/>
          <w:sz w:val="22"/>
          <w:szCs w:val="22"/>
        </w:rPr>
        <w:t>(a)</w:t>
      </w:r>
      <w:r w:rsidRPr="004E4AB9">
        <w:rPr>
          <w:rFonts w:ascii="Proxima Nova" w:hAnsi="Proxima Nova" w:cstheme="minorHAnsi"/>
          <w:sz w:val="22"/>
          <w:szCs w:val="22"/>
        </w:rPr>
        <w:tab/>
      </w:r>
      <w:r w:rsidR="00E07024" w:rsidRPr="004E4AB9">
        <w:rPr>
          <w:rFonts w:ascii="Proxima Nova" w:hAnsi="Proxima Nova" w:cstheme="minorHAnsi"/>
          <w:color w:val="000000" w:themeColor="text1"/>
          <w:sz w:val="22"/>
          <w:szCs w:val="22"/>
        </w:rPr>
        <w:t xml:space="preserve">fostering and valuing diversity and </w:t>
      </w:r>
      <w:proofErr w:type="gramStart"/>
      <w:r w:rsidR="00E07024" w:rsidRPr="004E4AB9">
        <w:rPr>
          <w:rFonts w:ascii="Proxima Nova" w:hAnsi="Proxima Nova" w:cstheme="minorHAnsi"/>
          <w:color w:val="000000" w:themeColor="text1"/>
          <w:sz w:val="22"/>
          <w:szCs w:val="22"/>
        </w:rPr>
        <w:t>inclusion;</w:t>
      </w:r>
      <w:proofErr w:type="gramEnd"/>
    </w:p>
    <w:p w14:paraId="64777C02" w14:textId="2BC2A2E8" w:rsidR="00E07024" w:rsidRPr="004E4AB9" w:rsidRDefault="00962B4C" w:rsidP="00962B4C">
      <w:pPr>
        <w:spacing w:line="276" w:lineRule="auto"/>
        <w:ind w:left="1440" w:hanging="720"/>
        <w:rPr>
          <w:rFonts w:ascii="Proxima Nova" w:hAnsi="Proxima Nova" w:cstheme="minorHAnsi"/>
          <w:color w:val="000000" w:themeColor="text1"/>
          <w:sz w:val="22"/>
          <w:szCs w:val="22"/>
        </w:rPr>
      </w:pPr>
      <w:r w:rsidRPr="004E4AB9">
        <w:rPr>
          <w:rFonts w:ascii="Proxima Nova" w:hAnsi="Proxima Nova" w:cstheme="minorHAnsi"/>
          <w:sz w:val="22"/>
          <w:szCs w:val="22"/>
        </w:rPr>
        <w:t>(b)</w:t>
      </w:r>
      <w:r w:rsidRPr="004E4AB9">
        <w:rPr>
          <w:rFonts w:ascii="Proxima Nova" w:hAnsi="Proxima Nova" w:cstheme="minorHAnsi"/>
          <w:sz w:val="22"/>
          <w:szCs w:val="22"/>
        </w:rPr>
        <w:tab/>
      </w:r>
      <w:r w:rsidR="00E07024" w:rsidRPr="004E4AB9">
        <w:rPr>
          <w:rFonts w:ascii="Proxima Nova" w:hAnsi="Proxima Nova" w:cstheme="minorHAnsi"/>
          <w:color w:val="000000" w:themeColor="text1"/>
          <w:sz w:val="22"/>
          <w:szCs w:val="22"/>
        </w:rPr>
        <w:t xml:space="preserve">challenging ableism and intersecting forms of inequality and discrimination, including for women and girls with </w:t>
      </w:r>
      <w:proofErr w:type="gramStart"/>
      <w:r w:rsidR="00E07024" w:rsidRPr="004E4AB9">
        <w:rPr>
          <w:rFonts w:ascii="Proxima Nova" w:hAnsi="Proxima Nova" w:cstheme="minorHAnsi"/>
          <w:color w:val="000000" w:themeColor="text1"/>
          <w:sz w:val="22"/>
          <w:szCs w:val="22"/>
        </w:rPr>
        <w:t>disability;</w:t>
      </w:r>
      <w:proofErr w:type="gramEnd"/>
    </w:p>
    <w:p w14:paraId="56DD4B71" w14:textId="77A4B5C9" w:rsidR="00E07024" w:rsidRPr="004E4AB9" w:rsidRDefault="00962B4C" w:rsidP="00962B4C">
      <w:pPr>
        <w:spacing w:line="276" w:lineRule="auto"/>
        <w:ind w:left="1440" w:hanging="720"/>
        <w:rPr>
          <w:rFonts w:ascii="Proxima Nova" w:hAnsi="Proxima Nova" w:cstheme="minorHAnsi"/>
          <w:color w:val="000000" w:themeColor="text1"/>
          <w:sz w:val="22"/>
          <w:szCs w:val="22"/>
        </w:rPr>
      </w:pPr>
      <w:r w:rsidRPr="004E4AB9">
        <w:rPr>
          <w:rFonts w:ascii="Proxima Nova" w:hAnsi="Proxima Nova" w:cstheme="minorHAnsi"/>
          <w:sz w:val="22"/>
          <w:szCs w:val="22"/>
        </w:rPr>
        <w:t>(c)</w:t>
      </w:r>
      <w:r w:rsidRPr="004E4AB9">
        <w:rPr>
          <w:rFonts w:ascii="Proxima Nova" w:hAnsi="Proxima Nova" w:cstheme="minorHAnsi"/>
          <w:sz w:val="22"/>
          <w:szCs w:val="22"/>
        </w:rPr>
        <w:tab/>
      </w:r>
      <w:r w:rsidR="00E07024" w:rsidRPr="004E4AB9">
        <w:rPr>
          <w:rFonts w:ascii="Proxima Nova" w:hAnsi="Proxima Nova" w:cstheme="minorHAnsi"/>
          <w:color w:val="000000" w:themeColor="text1"/>
          <w:sz w:val="22"/>
          <w:szCs w:val="22"/>
        </w:rPr>
        <w:t xml:space="preserve">building knowledge, skills and strengths in recognising rights to bodily integrity, and to be free from violence, abuse, neglect and </w:t>
      </w:r>
      <w:proofErr w:type="gramStart"/>
      <w:r w:rsidR="00E07024" w:rsidRPr="004E4AB9">
        <w:rPr>
          <w:rFonts w:ascii="Proxima Nova" w:hAnsi="Proxima Nova" w:cstheme="minorHAnsi"/>
          <w:color w:val="000000" w:themeColor="text1"/>
          <w:sz w:val="22"/>
          <w:szCs w:val="22"/>
        </w:rPr>
        <w:t>exploitation;</w:t>
      </w:r>
      <w:proofErr w:type="gramEnd"/>
    </w:p>
    <w:p w14:paraId="02A40B6A" w14:textId="73783175" w:rsidR="00E07024" w:rsidRPr="004E4AB9" w:rsidRDefault="00962B4C" w:rsidP="00962B4C">
      <w:pPr>
        <w:spacing w:line="276" w:lineRule="auto"/>
        <w:ind w:left="1440" w:hanging="720"/>
        <w:rPr>
          <w:rFonts w:ascii="Proxima Nova" w:hAnsi="Proxima Nova" w:cstheme="minorHAnsi"/>
          <w:color w:val="000000" w:themeColor="text1"/>
          <w:sz w:val="22"/>
          <w:szCs w:val="22"/>
        </w:rPr>
      </w:pPr>
      <w:r w:rsidRPr="004E4AB9">
        <w:rPr>
          <w:rFonts w:ascii="Proxima Nova" w:hAnsi="Proxima Nova" w:cstheme="minorHAnsi"/>
          <w:sz w:val="22"/>
          <w:szCs w:val="22"/>
        </w:rPr>
        <w:t>(d)</w:t>
      </w:r>
      <w:r w:rsidRPr="004E4AB9">
        <w:rPr>
          <w:rFonts w:ascii="Proxima Nova" w:hAnsi="Proxima Nova" w:cstheme="minorHAnsi"/>
          <w:sz w:val="22"/>
          <w:szCs w:val="22"/>
        </w:rPr>
        <w:tab/>
      </w:r>
      <w:r w:rsidR="00E07024" w:rsidRPr="004E4AB9">
        <w:rPr>
          <w:rFonts w:ascii="Proxima Nova" w:hAnsi="Proxima Nova" w:cstheme="minorHAnsi"/>
          <w:color w:val="000000" w:themeColor="text1"/>
          <w:sz w:val="22"/>
          <w:szCs w:val="22"/>
        </w:rPr>
        <w:t xml:space="preserve">recognising and remembering injustices against people with disability and resistance and survival of the disability </w:t>
      </w:r>
      <w:proofErr w:type="gramStart"/>
      <w:r w:rsidR="00E07024" w:rsidRPr="004E4AB9">
        <w:rPr>
          <w:rFonts w:ascii="Proxima Nova" w:hAnsi="Proxima Nova" w:cstheme="minorHAnsi"/>
          <w:color w:val="000000" w:themeColor="text1"/>
          <w:sz w:val="22"/>
          <w:szCs w:val="22"/>
        </w:rPr>
        <w:t>community;</w:t>
      </w:r>
      <w:proofErr w:type="gramEnd"/>
    </w:p>
    <w:p w14:paraId="6A56A16B" w14:textId="5DD44552" w:rsidR="00E07024" w:rsidRDefault="00962B4C" w:rsidP="004E4AB9">
      <w:pPr>
        <w:spacing w:line="276" w:lineRule="auto"/>
        <w:ind w:left="1440" w:hanging="720"/>
        <w:rPr>
          <w:rFonts w:ascii="Proxima Nova" w:hAnsi="Proxima Nova" w:cstheme="minorHAnsi"/>
          <w:color w:val="000000" w:themeColor="text1"/>
          <w:sz w:val="22"/>
          <w:szCs w:val="22"/>
        </w:rPr>
      </w:pPr>
      <w:r w:rsidRPr="004E4AB9">
        <w:rPr>
          <w:rFonts w:ascii="Proxima Nova" w:hAnsi="Proxima Nova" w:cstheme="minorHAnsi"/>
          <w:sz w:val="22"/>
          <w:szCs w:val="22"/>
        </w:rPr>
        <w:t>(e)</w:t>
      </w:r>
      <w:r w:rsidRPr="004E4AB9">
        <w:rPr>
          <w:rFonts w:ascii="Proxima Nova" w:hAnsi="Proxima Nova" w:cstheme="minorHAnsi"/>
          <w:sz w:val="22"/>
          <w:szCs w:val="22"/>
        </w:rPr>
        <w:tab/>
      </w:r>
      <w:r w:rsidR="00E07024" w:rsidRPr="004E4AB9">
        <w:rPr>
          <w:rFonts w:ascii="Proxima Nova" w:hAnsi="Proxima Nova" w:cstheme="minorHAnsi"/>
          <w:color w:val="000000" w:themeColor="text1"/>
          <w:sz w:val="22"/>
          <w:szCs w:val="22"/>
        </w:rPr>
        <w:t>celebrating the achievements of disability activism and the disability rights movement; and</w:t>
      </w:r>
    </w:p>
    <w:p w14:paraId="2C30C625" w14:textId="0EAE257C" w:rsidR="00E07024" w:rsidRPr="004E4AB9" w:rsidRDefault="004E4AB9" w:rsidP="004E4AB9">
      <w:pPr>
        <w:spacing w:line="276" w:lineRule="auto"/>
        <w:ind w:left="1440" w:hanging="720"/>
        <w:rPr>
          <w:rFonts w:ascii="Proxima Nova" w:hAnsi="Proxima Nova" w:cstheme="minorHAnsi"/>
          <w:color w:val="000000" w:themeColor="text1"/>
          <w:sz w:val="22"/>
          <w:szCs w:val="22"/>
        </w:rPr>
      </w:pPr>
      <w:r w:rsidRPr="004E4AB9">
        <w:rPr>
          <w:rFonts w:ascii="Proxima Nova" w:hAnsi="Proxima Nova" w:cstheme="minorHAnsi"/>
          <w:sz w:val="22"/>
          <w:szCs w:val="22"/>
        </w:rPr>
        <w:t>(</w:t>
      </w:r>
      <w:r>
        <w:rPr>
          <w:rFonts w:ascii="Proxima Nova" w:hAnsi="Proxima Nova" w:cstheme="minorHAnsi"/>
          <w:sz w:val="22"/>
          <w:szCs w:val="22"/>
        </w:rPr>
        <w:t>f</w:t>
      </w:r>
      <w:r w:rsidRPr="004E4AB9">
        <w:rPr>
          <w:rFonts w:ascii="Proxima Nova" w:hAnsi="Proxima Nova" w:cstheme="minorHAnsi"/>
          <w:sz w:val="22"/>
          <w:szCs w:val="22"/>
        </w:rPr>
        <w:t>)</w:t>
      </w:r>
      <w:r w:rsidRPr="004E4AB9">
        <w:rPr>
          <w:rFonts w:ascii="Proxima Nova" w:hAnsi="Proxima Nova" w:cstheme="minorHAnsi"/>
          <w:sz w:val="22"/>
          <w:szCs w:val="22"/>
        </w:rPr>
        <w:tab/>
      </w:r>
      <w:r w:rsidR="00E07024" w:rsidRPr="004E4AB9">
        <w:rPr>
          <w:rFonts w:ascii="Proxima Nova" w:hAnsi="Proxima Nova" w:cstheme="minorHAnsi"/>
          <w:color w:val="000000" w:themeColor="text1"/>
          <w:sz w:val="22"/>
          <w:szCs w:val="22"/>
        </w:rPr>
        <w:t>increasing opportunities and participation in decision-making and in speaking up about rights.</w:t>
      </w:r>
    </w:p>
    <w:p w14:paraId="19496DD3" w14:textId="4AB04794" w:rsidR="00E07024" w:rsidRPr="004E4AB9" w:rsidRDefault="00E07024" w:rsidP="00134C2A">
      <w:pPr>
        <w:spacing w:line="276" w:lineRule="auto"/>
        <w:ind w:left="720" w:hanging="720"/>
        <w:rPr>
          <w:rFonts w:ascii="Proxima Nova" w:eastAsia="Calibri" w:hAnsi="Proxima Nova" w:cstheme="minorHAnsi"/>
          <w:sz w:val="22"/>
          <w:szCs w:val="22"/>
        </w:rPr>
      </w:pPr>
    </w:p>
    <w:p w14:paraId="67B6E243" w14:textId="77777777" w:rsidR="008E7FD9" w:rsidRPr="004E4AB9" w:rsidRDefault="008E7FD9" w:rsidP="00134C2A">
      <w:pPr>
        <w:spacing w:line="276" w:lineRule="auto"/>
        <w:ind w:left="720" w:hanging="720"/>
        <w:rPr>
          <w:rFonts w:ascii="Proxima Nova" w:eastAsia="Calibri" w:hAnsi="Proxima Nova" w:cstheme="minorHAnsi"/>
          <w:sz w:val="22"/>
          <w:szCs w:val="22"/>
        </w:rPr>
      </w:pPr>
    </w:p>
    <w:p w14:paraId="4D711DCB" w14:textId="4BCBED70" w:rsidR="00A77445" w:rsidRPr="00A77296" w:rsidRDefault="00A77445" w:rsidP="00134C2A">
      <w:pPr>
        <w:pStyle w:val="Heading3"/>
        <w:jc w:val="left"/>
        <w:rPr>
          <w:rFonts w:ascii="Proxima Nova" w:hAnsi="Proxima Nova" w:cstheme="minorHAnsi"/>
          <w:bCs/>
          <w:color w:val="AC1F79"/>
        </w:rPr>
      </w:pPr>
      <w:r w:rsidRPr="00A77296">
        <w:rPr>
          <w:rFonts w:ascii="Proxima Nova" w:hAnsi="Proxima Nova"/>
          <w:bCs/>
          <w:color w:val="AC1F79"/>
        </w:rPr>
        <w:t>Research, Education and Data Collection</w:t>
      </w:r>
    </w:p>
    <w:p w14:paraId="0790CF90" w14:textId="77777777" w:rsidR="00A77445" w:rsidRPr="003D05FC" w:rsidRDefault="00A77445" w:rsidP="003D05FC">
      <w:pPr>
        <w:spacing w:line="276" w:lineRule="auto"/>
        <w:ind w:left="720" w:hanging="720"/>
        <w:rPr>
          <w:rFonts w:ascii="Proxima Nova" w:hAnsi="Proxima Nova" w:cstheme="minorHAnsi"/>
          <w:sz w:val="22"/>
          <w:szCs w:val="22"/>
        </w:rPr>
      </w:pPr>
    </w:p>
    <w:p w14:paraId="5AA9FF3F" w14:textId="098BDBC4" w:rsidR="00DF421D" w:rsidRPr="003D05FC" w:rsidRDefault="00984D80" w:rsidP="003D05FC">
      <w:pPr>
        <w:pStyle w:val="ListParagraph"/>
        <w:numPr>
          <w:ilvl w:val="0"/>
          <w:numId w:val="12"/>
        </w:numPr>
        <w:spacing w:line="276" w:lineRule="auto"/>
        <w:ind w:hanging="720"/>
        <w:rPr>
          <w:rFonts w:ascii="Proxima Nova" w:hAnsi="Proxima Nova" w:cstheme="minorHAnsi"/>
          <w:sz w:val="22"/>
          <w:szCs w:val="22"/>
        </w:rPr>
      </w:pPr>
      <w:r w:rsidRPr="003D05FC">
        <w:rPr>
          <w:rFonts w:ascii="Proxima Nova" w:hAnsi="Proxima Nova" w:cstheme="minorHAnsi"/>
          <w:sz w:val="22"/>
          <w:szCs w:val="22"/>
        </w:rPr>
        <w:t>That the</w:t>
      </w:r>
      <w:r w:rsidR="00DF421D" w:rsidRPr="003D05FC">
        <w:rPr>
          <w:rFonts w:ascii="Proxima Nova" w:hAnsi="Proxima Nova" w:cstheme="minorHAnsi"/>
          <w:sz w:val="22"/>
          <w:szCs w:val="22"/>
        </w:rPr>
        <w:t xml:space="preserve"> Royal Commission recommend the Australian Government commission and adequately resource a comprehensive assessment, using intersectional research methodologies, on the situation and rights of women and girls with disability in Australia</w:t>
      </w:r>
      <w:r w:rsidR="00D234F2" w:rsidRPr="003D05FC">
        <w:rPr>
          <w:rFonts w:ascii="Proxima Nova" w:hAnsi="Proxima Nova" w:cstheme="minorHAnsi"/>
          <w:sz w:val="22"/>
          <w:szCs w:val="22"/>
        </w:rPr>
        <w:t>, including specifically in relation to restrictive practices (notably non-consensual and coercive sterilisation, menstrual suppression, contraception and abortion)</w:t>
      </w:r>
      <w:r w:rsidR="00DF421D" w:rsidRPr="003D05FC">
        <w:rPr>
          <w:rFonts w:ascii="Proxima Nova" w:hAnsi="Proxima Nova" w:cstheme="minorHAnsi"/>
          <w:sz w:val="22"/>
          <w:szCs w:val="22"/>
        </w:rPr>
        <w:t>. This national intersectional research process must include specific experiences of those who are Indigenous, those from culturally and linguistically diverse backgrounds, those who are migrants, refugees or asylum seekers, and those from LGBTIQA+ communities.</w:t>
      </w:r>
    </w:p>
    <w:p w14:paraId="5057A160" w14:textId="4CD6BFB5" w:rsidR="00397B44" w:rsidRPr="003D05FC" w:rsidRDefault="00397B44" w:rsidP="003D05FC">
      <w:pPr>
        <w:spacing w:line="276" w:lineRule="auto"/>
        <w:ind w:left="720" w:hanging="720"/>
        <w:rPr>
          <w:rFonts w:ascii="Proxima Nova" w:hAnsi="Proxima Nova" w:cstheme="minorHAnsi"/>
          <w:color w:val="000000" w:themeColor="text1"/>
          <w:sz w:val="22"/>
          <w:szCs w:val="22"/>
          <w:lang w:bidi="en-US"/>
        </w:rPr>
      </w:pPr>
    </w:p>
    <w:p w14:paraId="36F63C55" w14:textId="14CFFA4E" w:rsidR="00DF421D" w:rsidRPr="003D05FC" w:rsidRDefault="00984D80" w:rsidP="003D05FC">
      <w:pPr>
        <w:pStyle w:val="ListParagraph"/>
        <w:numPr>
          <w:ilvl w:val="0"/>
          <w:numId w:val="12"/>
        </w:numPr>
        <w:spacing w:line="276" w:lineRule="auto"/>
        <w:ind w:hanging="720"/>
        <w:rPr>
          <w:rFonts w:ascii="Proxima Nova" w:hAnsi="Proxima Nova" w:cstheme="minorHAnsi"/>
          <w:color w:val="000000" w:themeColor="text1"/>
          <w:sz w:val="22"/>
          <w:szCs w:val="22"/>
          <w:lang w:bidi="en-US"/>
        </w:rPr>
      </w:pPr>
      <w:r w:rsidRPr="003D05FC">
        <w:rPr>
          <w:rFonts w:ascii="Proxima Nova" w:hAnsi="Proxima Nova" w:cstheme="minorHAnsi"/>
          <w:sz w:val="22"/>
          <w:szCs w:val="22"/>
        </w:rPr>
        <w:t>That the</w:t>
      </w:r>
      <w:r w:rsidR="00DF421D" w:rsidRPr="003D05FC">
        <w:rPr>
          <w:rFonts w:ascii="Proxima Nova" w:hAnsi="Proxima Nova" w:cstheme="minorHAnsi"/>
          <w:sz w:val="22"/>
          <w:szCs w:val="22"/>
        </w:rPr>
        <w:t xml:space="preserve"> Royal Commission recommend Australian Government and State and Territory Governments implement a nationally consistent framework to enable the collection, analysis and public reporting of disaggregated data across all jurisdictions, on all forms of gendered disability violence, abuse, neglect and exploitation experienced by women and girls with disability, including specifically in relation to restrictive practices (notably non-consensual and coercive sterilisation, menstrual suppression, contraception and abortion). </w:t>
      </w:r>
    </w:p>
    <w:p w14:paraId="1F755D1A" w14:textId="4A128FCF" w:rsidR="00DF421D" w:rsidRPr="003D05FC" w:rsidRDefault="00DF421D" w:rsidP="003D05FC">
      <w:pPr>
        <w:pStyle w:val="ListParagraph"/>
        <w:spacing w:line="276" w:lineRule="auto"/>
        <w:ind w:hanging="720"/>
        <w:contextualSpacing w:val="0"/>
        <w:rPr>
          <w:rFonts w:ascii="Proxima Nova" w:hAnsi="Proxima Nova" w:cstheme="minorHAnsi"/>
          <w:sz w:val="22"/>
          <w:szCs w:val="22"/>
        </w:rPr>
      </w:pPr>
    </w:p>
    <w:p w14:paraId="680C7B08" w14:textId="3722741C" w:rsidR="00C150E9" w:rsidRPr="003D05FC" w:rsidRDefault="00984D80" w:rsidP="003D05FC">
      <w:pPr>
        <w:pStyle w:val="ListParagraph"/>
        <w:numPr>
          <w:ilvl w:val="0"/>
          <w:numId w:val="12"/>
        </w:numPr>
        <w:spacing w:line="276" w:lineRule="auto"/>
        <w:ind w:hanging="720"/>
        <w:rPr>
          <w:rFonts w:ascii="Proxima Nova" w:hAnsi="Proxima Nova" w:cstheme="minorHAnsi"/>
          <w:sz w:val="22"/>
          <w:szCs w:val="22"/>
        </w:rPr>
      </w:pPr>
      <w:r w:rsidRPr="003D05FC">
        <w:rPr>
          <w:rFonts w:ascii="Proxima Nova" w:hAnsi="Proxima Nova" w:cstheme="minorHAnsi"/>
          <w:sz w:val="22"/>
          <w:szCs w:val="22"/>
        </w:rPr>
        <w:t xml:space="preserve">That the </w:t>
      </w:r>
      <w:r w:rsidR="00DF421D" w:rsidRPr="003D05FC">
        <w:rPr>
          <w:rFonts w:ascii="Proxima Nova" w:hAnsi="Proxima Nova" w:cstheme="minorHAnsi"/>
          <w:sz w:val="22"/>
          <w:szCs w:val="22"/>
        </w:rPr>
        <w:t>Royal C</w:t>
      </w:r>
      <w:r w:rsidRPr="003D05FC">
        <w:rPr>
          <w:rFonts w:ascii="Proxima Nova" w:hAnsi="Proxima Nova" w:cstheme="minorHAnsi"/>
          <w:sz w:val="22"/>
          <w:szCs w:val="22"/>
        </w:rPr>
        <w:t>ommission</w:t>
      </w:r>
      <w:r w:rsidR="00DF421D" w:rsidRPr="003D05FC">
        <w:rPr>
          <w:rFonts w:ascii="Proxima Nova" w:hAnsi="Proxima Nova" w:cstheme="minorHAnsi"/>
          <w:sz w:val="22"/>
          <w:szCs w:val="22"/>
        </w:rPr>
        <w:t xml:space="preserve"> recommend the Australian Government ensure data on violence against women with disability is systematically collected under the National Data Collection and Reporting Framework (for family, domestic and sexual violence),</w:t>
      </w:r>
      <w:r w:rsidR="00D234F2" w:rsidRPr="003D05FC">
        <w:rPr>
          <w:rFonts w:ascii="Proxima Nova" w:hAnsi="Proxima Nova" w:cstheme="minorHAnsi"/>
          <w:sz w:val="22"/>
          <w:szCs w:val="22"/>
        </w:rPr>
        <w:t xml:space="preserve"> including specifically in </w:t>
      </w:r>
      <w:r w:rsidR="00D234F2" w:rsidRPr="003D05FC">
        <w:rPr>
          <w:rFonts w:ascii="Proxima Nova" w:hAnsi="Proxima Nova" w:cstheme="minorHAnsi"/>
          <w:sz w:val="22"/>
          <w:szCs w:val="22"/>
        </w:rPr>
        <w:lastRenderedPageBreak/>
        <w:t>relation to restrictive practices (notably non-consensual and coercive sterilisation, menstrual suppression, contraception and abortion).</w:t>
      </w:r>
      <w:r w:rsidR="00DF421D" w:rsidRPr="003D05FC">
        <w:rPr>
          <w:rFonts w:ascii="Proxima Nova" w:hAnsi="Proxima Nova" w:cstheme="minorHAnsi"/>
          <w:sz w:val="22"/>
          <w:szCs w:val="22"/>
        </w:rPr>
        <w:t xml:space="preserve"> </w:t>
      </w:r>
    </w:p>
    <w:p w14:paraId="41D8DE36" w14:textId="77777777" w:rsidR="00C150E9" w:rsidRPr="003D05FC" w:rsidRDefault="00C150E9" w:rsidP="003D05FC">
      <w:pPr>
        <w:pStyle w:val="ListParagraph"/>
        <w:spacing w:line="276" w:lineRule="auto"/>
        <w:ind w:left="0"/>
        <w:jc w:val="both"/>
        <w:rPr>
          <w:rFonts w:ascii="Proxima Nova" w:hAnsi="Proxima Nova" w:cstheme="minorHAnsi"/>
          <w:sz w:val="22"/>
          <w:szCs w:val="22"/>
          <w:lang w:eastAsia="en-AU"/>
        </w:rPr>
      </w:pPr>
    </w:p>
    <w:p w14:paraId="19A48534" w14:textId="09CD1D5B" w:rsidR="00C150E9" w:rsidRPr="003D05FC" w:rsidRDefault="00C150E9" w:rsidP="003D05FC">
      <w:pPr>
        <w:pStyle w:val="ListParagraph"/>
        <w:numPr>
          <w:ilvl w:val="0"/>
          <w:numId w:val="12"/>
        </w:numPr>
        <w:spacing w:line="276" w:lineRule="auto"/>
        <w:ind w:hanging="720"/>
        <w:rPr>
          <w:rFonts w:ascii="Proxima Nova" w:hAnsi="Proxima Nova" w:cstheme="minorHAnsi"/>
          <w:sz w:val="22"/>
          <w:szCs w:val="22"/>
        </w:rPr>
      </w:pPr>
      <w:r w:rsidRPr="003D05FC">
        <w:rPr>
          <w:rFonts w:ascii="Proxima Nova" w:hAnsi="Proxima Nova" w:cstheme="minorHAnsi"/>
          <w:sz w:val="22"/>
          <w:szCs w:val="22"/>
          <w:lang w:eastAsia="en-AU"/>
        </w:rPr>
        <w:t xml:space="preserve">That the Royal Commission recommend that all courts and tribunals </w:t>
      </w:r>
      <w:r w:rsidR="009950EC" w:rsidRPr="003D05FC">
        <w:rPr>
          <w:rFonts w:ascii="Proxima Nova" w:hAnsi="Proxima Nova" w:cstheme="minorHAnsi"/>
          <w:sz w:val="22"/>
          <w:szCs w:val="22"/>
          <w:lang w:eastAsia="en-AU"/>
        </w:rPr>
        <w:t>regulating restrictive practices</w:t>
      </w:r>
      <w:r w:rsidRPr="003D05FC">
        <w:rPr>
          <w:rFonts w:ascii="Proxima Nova" w:hAnsi="Proxima Nova" w:cstheme="minorHAnsi"/>
          <w:sz w:val="22"/>
          <w:szCs w:val="22"/>
          <w:lang w:eastAsia="en-AU"/>
        </w:rPr>
        <w:t>, including state and territory Supreme Courts, guardianship tribunals and mental health tribunals be subject to greater levels of public transparency and accountability on their decisions on restrictive practices, including through public access to their decisions and quantitative data in relation to restrictive practices.</w:t>
      </w:r>
    </w:p>
    <w:p w14:paraId="5183BA31" w14:textId="77777777" w:rsidR="00A77445" w:rsidRPr="003D05FC" w:rsidRDefault="00A77445" w:rsidP="003D05FC">
      <w:pPr>
        <w:spacing w:line="276" w:lineRule="auto"/>
        <w:ind w:left="720" w:hanging="720"/>
        <w:rPr>
          <w:rFonts w:ascii="Proxima Nova" w:hAnsi="Proxima Nova" w:cstheme="minorHAnsi"/>
          <w:sz w:val="22"/>
          <w:szCs w:val="22"/>
        </w:rPr>
      </w:pPr>
      <w:bookmarkStart w:id="48" w:name="_Toc61349432"/>
    </w:p>
    <w:p w14:paraId="458ACF7A" w14:textId="3E5EDEE3" w:rsidR="00A77445" w:rsidRPr="00395607" w:rsidRDefault="00A77445" w:rsidP="00A77445">
      <w:pPr>
        <w:ind w:left="720" w:hanging="720"/>
        <w:rPr>
          <w:rFonts w:ascii="Proxima Nova" w:hAnsi="Proxima Nova" w:cstheme="minorHAnsi"/>
          <w:color w:val="004479"/>
          <w:sz w:val="28"/>
          <w:szCs w:val="28"/>
          <w:u w:val="single"/>
        </w:rPr>
      </w:pPr>
      <w:r w:rsidRPr="00395607">
        <w:rPr>
          <w:rFonts w:ascii="League Spartan" w:eastAsiaTheme="minorHAnsi" w:hAnsi="League Spartan" w:cs="Calibri"/>
          <w:color w:val="004479"/>
          <w:sz w:val="28"/>
          <w:szCs w:val="28"/>
          <w:u w:val="single"/>
        </w:rPr>
        <w:t>Recommendations for the Royal Commission’s Work</w:t>
      </w:r>
    </w:p>
    <w:p w14:paraId="76347BFA" w14:textId="56850CD8" w:rsidR="00A77445" w:rsidRPr="00395607" w:rsidRDefault="00A77445" w:rsidP="002F7FBC">
      <w:pPr>
        <w:spacing w:line="276" w:lineRule="auto"/>
        <w:rPr>
          <w:rFonts w:ascii="Proxima Nova" w:hAnsi="Proxima Nova" w:cstheme="minorHAnsi"/>
          <w:sz w:val="20"/>
          <w:szCs w:val="20"/>
        </w:rPr>
      </w:pPr>
    </w:p>
    <w:p w14:paraId="6653155B" w14:textId="1B6A437C" w:rsidR="00A77445" w:rsidRPr="00395607" w:rsidRDefault="00A77445" w:rsidP="002F7FBC">
      <w:pPr>
        <w:spacing w:line="276" w:lineRule="auto"/>
        <w:rPr>
          <w:rFonts w:ascii="Proxima Nova" w:hAnsi="Proxima Nova" w:cstheme="minorHAnsi"/>
        </w:rPr>
      </w:pPr>
      <w:r w:rsidRPr="00395607">
        <w:rPr>
          <w:rFonts w:ascii="Proxima Nova" w:eastAsiaTheme="minorHAnsi" w:hAnsi="Proxima Nova" w:cstheme="minorBidi"/>
          <w:b/>
          <w:bCs/>
          <w:color w:val="AC1F79"/>
        </w:rPr>
        <w:t>Approach Restrictive Practices as Violence</w:t>
      </w:r>
    </w:p>
    <w:p w14:paraId="1AA0B346" w14:textId="17E7F0AE" w:rsidR="00A77445" w:rsidRPr="00D95FF4" w:rsidRDefault="00A77445" w:rsidP="00D95FF4">
      <w:pPr>
        <w:spacing w:line="276" w:lineRule="auto"/>
        <w:rPr>
          <w:rFonts w:ascii="Proxima Nova" w:eastAsiaTheme="minorHAnsi" w:hAnsi="Proxima Nova" w:cstheme="minorBidi"/>
          <w:color w:val="CC0099"/>
          <w:sz w:val="22"/>
          <w:szCs w:val="22"/>
        </w:rPr>
      </w:pPr>
    </w:p>
    <w:bookmarkEnd w:id="48"/>
    <w:p w14:paraId="5F95ACCB" w14:textId="173EFD85" w:rsidR="00C73972" w:rsidRPr="00D95FF4" w:rsidRDefault="00C73972" w:rsidP="00D95FF4">
      <w:pPr>
        <w:pStyle w:val="ListParagraph"/>
        <w:numPr>
          <w:ilvl w:val="0"/>
          <w:numId w:val="12"/>
        </w:numPr>
        <w:spacing w:line="276" w:lineRule="auto"/>
        <w:ind w:hanging="720"/>
        <w:rPr>
          <w:rFonts w:ascii="Proxima Nova" w:hAnsi="Proxima Nova" w:cstheme="minorHAnsi"/>
          <w:sz w:val="22"/>
          <w:szCs w:val="22"/>
        </w:rPr>
      </w:pPr>
      <w:r w:rsidRPr="00D95FF4">
        <w:rPr>
          <w:rFonts w:ascii="Proxima Nova" w:hAnsi="Proxima Nova" w:cstheme="minorHAnsi"/>
          <w:color w:val="000000" w:themeColor="text1"/>
          <w:sz w:val="22"/>
          <w:szCs w:val="22"/>
          <w:lang w:bidi="en-US"/>
        </w:rPr>
        <w:t>T</w:t>
      </w:r>
      <w:r w:rsidRPr="00D95FF4">
        <w:rPr>
          <w:rFonts w:ascii="Proxima Nova" w:hAnsi="Proxima Nova" w:cstheme="minorHAnsi"/>
          <w:sz w:val="22"/>
          <w:szCs w:val="22"/>
        </w:rPr>
        <w:t xml:space="preserve">hat the Royal Commission’s exploration of restrictive practices begins from the premise that restrictive practices </w:t>
      </w:r>
      <w:r w:rsidR="00BA6C7A" w:rsidRPr="00D95FF4">
        <w:rPr>
          <w:rFonts w:ascii="Proxima Nova" w:hAnsi="Proxima Nova" w:cstheme="minorHAnsi"/>
          <w:sz w:val="22"/>
          <w:szCs w:val="22"/>
        </w:rPr>
        <w:t xml:space="preserve">(including non-consensual and coercive sterilisation, menstrual suppression, contraception and abortion) </w:t>
      </w:r>
      <w:r w:rsidRPr="00D95FF4">
        <w:rPr>
          <w:rFonts w:ascii="Proxima Nova" w:hAnsi="Proxima Nova" w:cstheme="minorHAnsi"/>
          <w:sz w:val="22"/>
          <w:szCs w:val="22"/>
        </w:rPr>
        <w:t>are a form of violence.</w:t>
      </w:r>
    </w:p>
    <w:p w14:paraId="67A98E43" w14:textId="77777777" w:rsidR="00A77445" w:rsidRPr="00D95FF4" w:rsidRDefault="00A77445" w:rsidP="00D95FF4">
      <w:pPr>
        <w:spacing w:line="276" w:lineRule="auto"/>
        <w:rPr>
          <w:rFonts w:ascii="Proxima Nova" w:hAnsi="Proxima Nova" w:cstheme="minorHAnsi"/>
          <w:sz w:val="22"/>
          <w:szCs w:val="22"/>
        </w:rPr>
      </w:pPr>
    </w:p>
    <w:p w14:paraId="6EC39440" w14:textId="190F295D" w:rsidR="00A77445" w:rsidRPr="00395607" w:rsidRDefault="00A77445" w:rsidP="002F7FBC">
      <w:pPr>
        <w:spacing w:line="276" w:lineRule="auto"/>
        <w:rPr>
          <w:rFonts w:ascii="Proxima Nova" w:hAnsi="Proxima Nova" w:cstheme="minorHAnsi"/>
        </w:rPr>
      </w:pPr>
      <w:r w:rsidRPr="00395607">
        <w:rPr>
          <w:rFonts w:ascii="Proxima Nova" w:eastAsiaTheme="minorHAnsi" w:hAnsi="Proxima Nova" w:cstheme="minorBidi"/>
          <w:b/>
          <w:bCs/>
          <w:color w:val="AC1F79"/>
        </w:rPr>
        <w:t>Take a Gender-Inclusive and Intersectional Approach to Restrictive Practices</w:t>
      </w:r>
    </w:p>
    <w:p w14:paraId="601B5B60" w14:textId="77777777" w:rsidR="00A77445" w:rsidRPr="00D95FF4" w:rsidRDefault="00A77445" w:rsidP="002F7FBC">
      <w:pPr>
        <w:spacing w:line="276" w:lineRule="auto"/>
        <w:rPr>
          <w:rFonts w:ascii="Proxima Nova" w:eastAsiaTheme="minorHAnsi" w:hAnsi="Proxima Nova" w:cstheme="minorBidi"/>
          <w:color w:val="CC0099"/>
          <w:sz w:val="22"/>
          <w:szCs w:val="22"/>
        </w:rPr>
      </w:pPr>
    </w:p>
    <w:p w14:paraId="470F5C4A" w14:textId="7744EBC8" w:rsidR="00C73972" w:rsidRPr="00D95FF4" w:rsidRDefault="00C73972" w:rsidP="000F1CFA">
      <w:pPr>
        <w:pStyle w:val="ListParagraph"/>
        <w:numPr>
          <w:ilvl w:val="0"/>
          <w:numId w:val="12"/>
        </w:numPr>
        <w:spacing w:line="276" w:lineRule="auto"/>
        <w:ind w:hanging="720"/>
        <w:rPr>
          <w:rFonts w:ascii="Proxima Nova" w:hAnsi="Proxima Nova" w:cstheme="minorHAnsi"/>
          <w:sz w:val="22"/>
          <w:szCs w:val="22"/>
        </w:rPr>
      </w:pPr>
      <w:r w:rsidRPr="00D95FF4">
        <w:rPr>
          <w:rFonts w:ascii="Proxima Nova" w:hAnsi="Proxima Nova" w:cstheme="minorHAnsi"/>
          <w:sz w:val="22"/>
          <w:szCs w:val="22"/>
        </w:rPr>
        <w:t xml:space="preserve">That the Royal Commission examine the nature, effects and impacts of restrictive practices on women and girls with disability, including seeking evidence directly from women and girls with disability. </w:t>
      </w:r>
    </w:p>
    <w:p w14:paraId="3A58747F" w14:textId="77777777" w:rsidR="00A77445" w:rsidRPr="00D95FF4" w:rsidRDefault="00A77445" w:rsidP="002F7FBC">
      <w:pPr>
        <w:spacing w:line="276" w:lineRule="auto"/>
        <w:rPr>
          <w:rFonts w:ascii="Proxima Nova" w:hAnsi="Proxima Nova" w:cstheme="minorHAnsi"/>
          <w:sz w:val="22"/>
          <w:szCs w:val="22"/>
        </w:rPr>
      </w:pPr>
    </w:p>
    <w:p w14:paraId="6E7A0021" w14:textId="5BE26818" w:rsidR="00A77445" w:rsidRPr="00395607" w:rsidRDefault="00A77445" w:rsidP="002F7FBC">
      <w:pPr>
        <w:spacing w:line="276" w:lineRule="auto"/>
        <w:rPr>
          <w:rFonts w:ascii="Proxima Nova" w:hAnsi="Proxima Nova" w:cstheme="minorHAnsi"/>
          <w:b/>
          <w:bCs/>
        </w:rPr>
      </w:pPr>
      <w:r w:rsidRPr="00395607">
        <w:rPr>
          <w:rFonts w:ascii="Proxima Nova" w:eastAsiaTheme="minorHAnsi" w:hAnsi="Proxima Nova" w:cstheme="minorBidi"/>
          <w:b/>
          <w:bCs/>
          <w:color w:val="AC1F79"/>
        </w:rPr>
        <w:t>Approach Restrictive Practices as Human Rights Violations</w:t>
      </w:r>
    </w:p>
    <w:p w14:paraId="5963E394" w14:textId="77777777" w:rsidR="00A77445" w:rsidRPr="00D95FF4" w:rsidRDefault="00A77445" w:rsidP="00D95FF4">
      <w:pPr>
        <w:spacing w:line="276" w:lineRule="auto"/>
        <w:rPr>
          <w:rFonts w:ascii="Proxima Nova" w:eastAsiaTheme="minorHAnsi" w:hAnsi="Proxima Nova" w:cstheme="minorBidi"/>
          <w:color w:val="CC0099"/>
          <w:sz w:val="22"/>
          <w:szCs w:val="22"/>
        </w:rPr>
      </w:pPr>
    </w:p>
    <w:p w14:paraId="27C0F455" w14:textId="4A3F1B85" w:rsidR="00C73972" w:rsidRPr="00D95FF4" w:rsidRDefault="00C73972" w:rsidP="00D95FF4">
      <w:pPr>
        <w:pStyle w:val="ListParagraph"/>
        <w:numPr>
          <w:ilvl w:val="0"/>
          <w:numId w:val="12"/>
        </w:numPr>
        <w:spacing w:line="276" w:lineRule="auto"/>
        <w:ind w:hanging="720"/>
        <w:rPr>
          <w:rFonts w:ascii="Proxima Nova" w:hAnsi="Proxima Nova" w:cstheme="minorHAnsi"/>
          <w:sz w:val="22"/>
          <w:szCs w:val="22"/>
        </w:rPr>
      </w:pPr>
      <w:r w:rsidRPr="00D95FF4">
        <w:rPr>
          <w:rFonts w:ascii="Proxima Nova" w:hAnsi="Proxima Nova" w:cstheme="minorHAnsi"/>
          <w:sz w:val="22"/>
          <w:szCs w:val="22"/>
        </w:rPr>
        <w:t>That the Royal Commission explicitly recognise the use and legality of restrictive practices as violating fundamental human rights, including the CRPD and other human rights treaties to which Australia is a party, and as a form of structural discrimination.</w:t>
      </w:r>
    </w:p>
    <w:p w14:paraId="306A1B40" w14:textId="7FBC5933" w:rsidR="00C73972" w:rsidRPr="00D95FF4" w:rsidRDefault="00C73972" w:rsidP="00D95FF4">
      <w:pPr>
        <w:spacing w:line="276" w:lineRule="auto"/>
        <w:rPr>
          <w:rFonts w:ascii="Proxima Nova" w:hAnsi="Proxima Nova" w:cstheme="minorHAnsi"/>
          <w:sz w:val="22"/>
          <w:szCs w:val="22"/>
        </w:rPr>
      </w:pPr>
    </w:p>
    <w:p w14:paraId="67CF1997" w14:textId="607B3D38" w:rsidR="00A77445" w:rsidRPr="00395607" w:rsidRDefault="00A77445" w:rsidP="002F7FBC">
      <w:pPr>
        <w:spacing w:line="276" w:lineRule="auto"/>
        <w:rPr>
          <w:rFonts w:ascii="Proxima Nova" w:hAnsi="Proxima Nova" w:cstheme="minorHAnsi"/>
        </w:rPr>
      </w:pPr>
      <w:r w:rsidRPr="00395607">
        <w:rPr>
          <w:rFonts w:ascii="Proxima Nova" w:eastAsiaTheme="minorHAnsi" w:hAnsi="Proxima Nova" w:cstheme="minorBidi"/>
          <w:b/>
          <w:bCs/>
          <w:color w:val="AC1F79"/>
        </w:rPr>
        <w:t>Explore Legality of Restrictive Practices</w:t>
      </w:r>
    </w:p>
    <w:p w14:paraId="79CDD0C5" w14:textId="77777777" w:rsidR="00A77445" w:rsidRPr="00D95FF4" w:rsidRDefault="00A77445" w:rsidP="00D95FF4">
      <w:pPr>
        <w:spacing w:line="276" w:lineRule="auto"/>
        <w:rPr>
          <w:rFonts w:ascii="Proxima Nova" w:hAnsi="Proxima Nova" w:cstheme="minorHAnsi"/>
          <w:sz w:val="22"/>
          <w:szCs w:val="22"/>
        </w:rPr>
      </w:pPr>
    </w:p>
    <w:p w14:paraId="7B58FCD4" w14:textId="76557AC5" w:rsidR="00C73972" w:rsidRPr="00D95FF4" w:rsidRDefault="00C73972" w:rsidP="00D95FF4">
      <w:pPr>
        <w:pStyle w:val="ListParagraph"/>
        <w:numPr>
          <w:ilvl w:val="0"/>
          <w:numId w:val="12"/>
        </w:numPr>
        <w:spacing w:line="276" w:lineRule="auto"/>
        <w:ind w:hanging="720"/>
        <w:rPr>
          <w:rFonts w:ascii="Proxima Nova" w:hAnsi="Proxima Nova" w:cstheme="minorHAnsi"/>
          <w:sz w:val="22"/>
          <w:szCs w:val="22"/>
        </w:rPr>
      </w:pPr>
      <w:r w:rsidRPr="00D95FF4">
        <w:rPr>
          <w:rFonts w:ascii="Proxima Nova" w:hAnsi="Proxima Nova" w:cstheme="minorHAnsi"/>
          <w:sz w:val="22"/>
          <w:szCs w:val="22"/>
        </w:rPr>
        <w:t>That the Royal Commission thoroughly explore the role of law (legal doctrine, legal processes, legal institutions and legal professionals) in perpetration of violence against people with disability through restrictive practices</w:t>
      </w:r>
      <w:r w:rsidR="00BA6C7A" w:rsidRPr="00D95FF4">
        <w:rPr>
          <w:rFonts w:ascii="Proxima Nova" w:hAnsi="Proxima Nova" w:cstheme="minorHAnsi"/>
          <w:sz w:val="22"/>
          <w:szCs w:val="22"/>
        </w:rPr>
        <w:t xml:space="preserve"> (including non-consensual and coercive sterilisation, menstrual suppression, contraception and abortion)</w:t>
      </w:r>
      <w:r w:rsidRPr="00D95FF4">
        <w:rPr>
          <w:rFonts w:ascii="Proxima Nova" w:hAnsi="Proxima Nova" w:cstheme="minorHAnsi"/>
          <w:sz w:val="22"/>
          <w:szCs w:val="22"/>
        </w:rPr>
        <w:t xml:space="preserve">. </w:t>
      </w:r>
    </w:p>
    <w:p w14:paraId="4349DF67" w14:textId="6D57CA90" w:rsidR="00957F0E" w:rsidRPr="00D95FF4" w:rsidRDefault="00957F0E" w:rsidP="00D95FF4">
      <w:pPr>
        <w:spacing w:line="276" w:lineRule="auto"/>
        <w:rPr>
          <w:rFonts w:ascii="Proxima Nova" w:hAnsi="Proxima Nova" w:cstheme="minorHAnsi"/>
          <w:sz w:val="22"/>
          <w:szCs w:val="22"/>
        </w:rPr>
      </w:pPr>
    </w:p>
    <w:p w14:paraId="7C1E5229" w14:textId="000072C4" w:rsidR="00A77445" w:rsidRPr="00395607" w:rsidRDefault="00A77445" w:rsidP="002F7FBC">
      <w:pPr>
        <w:spacing w:line="276" w:lineRule="auto"/>
        <w:rPr>
          <w:rFonts w:ascii="Proxima Nova" w:hAnsi="Proxima Nova" w:cstheme="minorHAnsi"/>
        </w:rPr>
      </w:pPr>
      <w:r w:rsidRPr="00395607">
        <w:rPr>
          <w:rFonts w:ascii="Proxima Nova" w:eastAsiaTheme="minorHAnsi" w:hAnsi="Proxima Nova" w:cstheme="minorBidi"/>
          <w:b/>
          <w:bCs/>
          <w:color w:val="AC1F79"/>
        </w:rPr>
        <w:t>Explore Redress for Restrictive Practices</w:t>
      </w:r>
    </w:p>
    <w:p w14:paraId="3242EEA6" w14:textId="77777777" w:rsidR="00A77445" w:rsidRPr="00D95FF4" w:rsidRDefault="00A77445" w:rsidP="00D95FF4">
      <w:pPr>
        <w:spacing w:line="276" w:lineRule="auto"/>
        <w:rPr>
          <w:rFonts w:ascii="Proxima Nova" w:eastAsiaTheme="minorHAnsi" w:hAnsi="Proxima Nova" w:cstheme="minorBidi"/>
          <w:color w:val="CC0099"/>
          <w:sz w:val="22"/>
          <w:szCs w:val="22"/>
        </w:rPr>
      </w:pPr>
    </w:p>
    <w:p w14:paraId="5BAD031B" w14:textId="4C7B4757" w:rsidR="00957F0E" w:rsidRPr="00D95FF4" w:rsidRDefault="00957F0E" w:rsidP="00D95FF4">
      <w:pPr>
        <w:pStyle w:val="ListParagraph"/>
        <w:numPr>
          <w:ilvl w:val="0"/>
          <w:numId w:val="12"/>
        </w:numPr>
        <w:spacing w:line="276" w:lineRule="auto"/>
        <w:ind w:hanging="720"/>
        <w:rPr>
          <w:rFonts w:ascii="Proxima Nova" w:hAnsi="Proxima Nova" w:cstheme="minorHAnsi"/>
          <w:sz w:val="22"/>
          <w:szCs w:val="22"/>
        </w:rPr>
      </w:pPr>
      <w:r w:rsidRPr="00D95FF4">
        <w:rPr>
          <w:rFonts w:ascii="Proxima Nova" w:hAnsi="Proxima Nova" w:cstheme="minorHAnsi"/>
          <w:sz w:val="22"/>
          <w:szCs w:val="22"/>
        </w:rPr>
        <w:t>That the Royal Commission</w:t>
      </w:r>
      <w:r w:rsidR="00E75136" w:rsidRPr="00D95FF4">
        <w:rPr>
          <w:rFonts w:ascii="Proxima Nova" w:hAnsi="Proxima Nova" w:cstheme="minorHAnsi"/>
          <w:sz w:val="22"/>
          <w:szCs w:val="22"/>
        </w:rPr>
        <w:t xml:space="preserve"> explore redress (individual and structural/collective) for violence, abuse, neglect and exploitation associated with restrictive practices (including non-consensual and coercive sterilisation, menstrual suppression, contraception and abortion).</w:t>
      </w:r>
    </w:p>
    <w:p w14:paraId="502033E0" w14:textId="77777777" w:rsidR="00C73972" w:rsidRPr="00D95FF4" w:rsidRDefault="00C73972" w:rsidP="00D95FF4">
      <w:pPr>
        <w:spacing w:line="276" w:lineRule="auto"/>
        <w:rPr>
          <w:rFonts w:ascii="Proxima Nova" w:hAnsi="Proxima Nova" w:cstheme="minorHAnsi"/>
          <w:sz w:val="22"/>
          <w:szCs w:val="22"/>
        </w:rPr>
      </w:pPr>
    </w:p>
    <w:p w14:paraId="7E73011F" w14:textId="77777777" w:rsidR="00C73972" w:rsidRPr="00395607" w:rsidRDefault="00C73972" w:rsidP="002F7FBC">
      <w:pPr>
        <w:pStyle w:val="ListParagraph"/>
        <w:spacing w:line="276" w:lineRule="auto"/>
        <w:ind w:left="0"/>
        <w:contextualSpacing w:val="0"/>
        <w:rPr>
          <w:rFonts w:ascii="Proxima Nova" w:hAnsi="Proxima Nova" w:cstheme="minorHAnsi"/>
          <w:sz w:val="20"/>
          <w:szCs w:val="20"/>
        </w:rPr>
      </w:pPr>
      <w:bookmarkStart w:id="49" w:name="_Toc61349423"/>
    </w:p>
    <w:bookmarkEnd w:id="49"/>
    <w:p w14:paraId="3C49D56F" w14:textId="77777777" w:rsidR="00565DF1" w:rsidRPr="00BD5E1A" w:rsidRDefault="00565DF1" w:rsidP="00C92D1C">
      <w:pPr>
        <w:rPr>
          <w:rFonts w:ascii="Proxima Nova" w:eastAsiaTheme="minorHAnsi" w:hAnsi="Proxima Nova" w:cstheme="minorHAnsi"/>
          <w:color w:val="CC0099"/>
          <w:sz w:val="22"/>
          <w:szCs w:val="22"/>
        </w:rPr>
      </w:pPr>
      <w:r w:rsidRPr="00BD5E1A">
        <w:rPr>
          <w:rFonts w:ascii="Proxima Nova" w:hAnsi="Proxima Nova" w:cstheme="minorHAnsi"/>
          <w:sz w:val="22"/>
          <w:szCs w:val="22"/>
        </w:rPr>
        <w:br w:type="page"/>
      </w:r>
    </w:p>
    <w:p w14:paraId="4F459CDC" w14:textId="3CAD1C33" w:rsidR="008B4EE0" w:rsidRPr="0086467F" w:rsidRDefault="0086467F" w:rsidP="00D04A09">
      <w:pPr>
        <w:ind w:left="720" w:hanging="720"/>
        <w:rPr>
          <w:rFonts w:ascii="League Spartan" w:hAnsi="League Spartan"/>
          <w:color w:val="004479"/>
          <w:sz w:val="28"/>
          <w:szCs w:val="28"/>
        </w:rPr>
      </w:pPr>
      <w:r w:rsidRPr="0086467F">
        <w:rPr>
          <w:rFonts w:ascii="League Spartan" w:hAnsi="League Spartan" w:cs="Calibri"/>
          <w:b/>
          <w:bCs/>
          <w:color w:val="004479"/>
          <w:sz w:val="28"/>
          <w:szCs w:val="28"/>
        </w:rPr>
        <w:lastRenderedPageBreak/>
        <w:t>2.</w:t>
      </w:r>
      <w:r w:rsidRPr="0086467F">
        <w:rPr>
          <w:rFonts w:ascii="League Spartan" w:hAnsi="League Spartan" w:cs="Calibri"/>
          <w:b/>
          <w:bCs/>
          <w:color w:val="004479"/>
          <w:sz w:val="28"/>
          <w:szCs w:val="28"/>
        </w:rPr>
        <w:tab/>
      </w:r>
      <w:r w:rsidRPr="0086467F">
        <w:rPr>
          <w:rFonts w:ascii="League Spartan" w:hAnsi="League Spartan"/>
          <w:color w:val="004479"/>
          <w:sz w:val="28"/>
          <w:szCs w:val="28"/>
        </w:rPr>
        <w:t>BACKGROUND</w:t>
      </w:r>
      <w:bookmarkEnd w:id="44"/>
      <w:r w:rsidRPr="0086467F">
        <w:rPr>
          <w:rFonts w:ascii="League Spartan" w:hAnsi="League Spartan"/>
          <w:color w:val="004479"/>
          <w:sz w:val="28"/>
          <w:szCs w:val="28"/>
        </w:rPr>
        <w:t xml:space="preserve"> TO THE ROYAL COMMISSION AND OUR SUBMISSION</w:t>
      </w:r>
    </w:p>
    <w:p w14:paraId="717642A8" w14:textId="77777777" w:rsidR="008B4EE0" w:rsidRPr="00610DA7" w:rsidRDefault="008B4EE0" w:rsidP="00610DA7">
      <w:pPr>
        <w:spacing w:line="276" w:lineRule="auto"/>
        <w:rPr>
          <w:rFonts w:ascii="Proxima Nova" w:hAnsi="Proxima Nova"/>
          <w:sz w:val="22"/>
          <w:szCs w:val="22"/>
        </w:rPr>
      </w:pPr>
    </w:p>
    <w:p w14:paraId="04C89621" w14:textId="05099E30" w:rsidR="008B4EE0" w:rsidRPr="00610DA7" w:rsidRDefault="003E393C" w:rsidP="00610DA7">
      <w:pPr>
        <w:pStyle w:val="ListParagraph"/>
        <w:numPr>
          <w:ilvl w:val="1"/>
          <w:numId w:val="16"/>
        </w:numPr>
        <w:spacing w:line="276" w:lineRule="auto"/>
        <w:ind w:left="720" w:hanging="720"/>
        <w:rPr>
          <w:rFonts w:ascii="Proxima Nova" w:hAnsi="Proxima Nova"/>
          <w:sz w:val="22"/>
          <w:szCs w:val="22"/>
        </w:rPr>
      </w:pPr>
      <w:r w:rsidRPr="00610DA7">
        <w:rPr>
          <w:rFonts w:ascii="Proxima Nova" w:hAnsi="Proxima Nova"/>
          <w:sz w:val="22"/>
          <w:szCs w:val="22"/>
        </w:rPr>
        <w:t xml:space="preserve">This section provides background to the </w:t>
      </w:r>
      <w:r w:rsidR="00B56A7F" w:rsidRPr="00610DA7">
        <w:rPr>
          <w:rFonts w:ascii="Proxima Nova" w:hAnsi="Proxima Nova"/>
          <w:i/>
          <w:iCs/>
          <w:sz w:val="22"/>
          <w:szCs w:val="22"/>
        </w:rPr>
        <w:t>Royal Commission into Violence, Abuse, Neglect and Exploitation of People with Disability</w:t>
      </w:r>
      <w:r w:rsidR="00B56A7F" w:rsidRPr="00610DA7">
        <w:rPr>
          <w:rFonts w:ascii="Proxima Nova" w:hAnsi="Proxima Nova"/>
          <w:sz w:val="22"/>
          <w:szCs w:val="22"/>
        </w:rPr>
        <w:t xml:space="preserve"> (the Royal Commission)</w:t>
      </w:r>
      <w:r w:rsidRPr="00610DA7">
        <w:rPr>
          <w:rFonts w:ascii="Proxima Nova" w:hAnsi="Proxima Nova"/>
          <w:sz w:val="22"/>
          <w:szCs w:val="22"/>
        </w:rPr>
        <w:t xml:space="preserve"> in relation to violence against women and girls with disability.</w:t>
      </w:r>
    </w:p>
    <w:p w14:paraId="60BE3607" w14:textId="303221E0" w:rsidR="003E393C" w:rsidRPr="00610DA7" w:rsidRDefault="003E393C" w:rsidP="00610DA7">
      <w:pPr>
        <w:spacing w:line="276" w:lineRule="auto"/>
        <w:ind w:left="720" w:hanging="720"/>
        <w:rPr>
          <w:rFonts w:ascii="Proxima Nova" w:hAnsi="Proxima Nova"/>
          <w:sz w:val="22"/>
          <w:szCs w:val="22"/>
        </w:rPr>
      </w:pPr>
    </w:p>
    <w:p w14:paraId="5844EA20" w14:textId="3CFCF8E8" w:rsidR="007271F8" w:rsidRPr="00610DA7" w:rsidRDefault="00454BCB" w:rsidP="00610DA7">
      <w:pPr>
        <w:pStyle w:val="ListParagraph"/>
        <w:numPr>
          <w:ilvl w:val="1"/>
          <w:numId w:val="16"/>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 xml:space="preserve">WWDA </w:t>
      </w:r>
      <w:r w:rsidR="003D1C3E" w:rsidRPr="00610DA7">
        <w:rPr>
          <w:rFonts w:ascii="Proxima Nova" w:hAnsi="Proxima Nova" w:cstheme="minorHAnsi"/>
          <w:sz w:val="22"/>
          <w:szCs w:val="22"/>
        </w:rPr>
        <w:t xml:space="preserve">welcomes the opportunity to make this Submission to the </w:t>
      </w:r>
      <w:r w:rsidR="00B56A7F" w:rsidRPr="00610DA7">
        <w:rPr>
          <w:rFonts w:ascii="Proxima Nova" w:hAnsi="Proxima Nova" w:cstheme="minorHAnsi"/>
          <w:sz w:val="22"/>
          <w:szCs w:val="22"/>
        </w:rPr>
        <w:t xml:space="preserve">Royal Commission </w:t>
      </w:r>
      <w:r w:rsidR="00CE4B4D" w:rsidRPr="00610DA7">
        <w:rPr>
          <w:rFonts w:ascii="Proxima Nova" w:hAnsi="Proxima Nova" w:cstheme="minorHAnsi"/>
          <w:sz w:val="22"/>
          <w:szCs w:val="22"/>
        </w:rPr>
        <w:t xml:space="preserve">in response to the </w:t>
      </w:r>
      <w:r w:rsidR="00A17A95" w:rsidRPr="00610DA7">
        <w:rPr>
          <w:rFonts w:ascii="Proxima Nova" w:hAnsi="Proxima Nova" w:cs="Calibri"/>
          <w:i/>
          <w:iCs/>
          <w:sz w:val="22"/>
          <w:szCs w:val="22"/>
        </w:rPr>
        <w:t>‘Restrictive Practices Issues Paper’</w:t>
      </w:r>
      <w:r w:rsidR="00A17A95" w:rsidRPr="00610DA7">
        <w:rPr>
          <w:rFonts w:ascii="Proxima Nova" w:hAnsi="Proxima Nova" w:cs="Calibri"/>
          <w:sz w:val="22"/>
          <w:szCs w:val="22"/>
        </w:rPr>
        <w:t xml:space="preserve"> (the </w:t>
      </w:r>
      <w:r w:rsidR="00197731" w:rsidRPr="00610DA7">
        <w:rPr>
          <w:rFonts w:ascii="Proxima Nova" w:hAnsi="Proxima Nova" w:cs="Calibri"/>
          <w:sz w:val="22"/>
          <w:szCs w:val="22"/>
        </w:rPr>
        <w:t xml:space="preserve">Restrictive Practices </w:t>
      </w:r>
      <w:r w:rsidR="003703E8" w:rsidRPr="00610DA7">
        <w:rPr>
          <w:rFonts w:ascii="Proxima Nova" w:hAnsi="Proxima Nova" w:cstheme="minorHAnsi"/>
          <w:sz w:val="22"/>
          <w:szCs w:val="22"/>
        </w:rPr>
        <w:t>Issues Paper</w:t>
      </w:r>
      <w:r w:rsidR="00A17A95" w:rsidRPr="00610DA7">
        <w:rPr>
          <w:rFonts w:ascii="Proxima Nova" w:hAnsi="Proxima Nova" w:cstheme="minorHAnsi"/>
          <w:sz w:val="22"/>
          <w:szCs w:val="22"/>
        </w:rPr>
        <w:t>)</w:t>
      </w:r>
      <w:r w:rsidR="003703E8" w:rsidRPr="00610DA7">
        <w:rPr>
          <w:rFonts w:ascii="Proxima Nova" w:hAnsi="Proxima Nova" w:cstheme="minorHAnsi"/>
          <w:sz w:val="22"/>
          <w:szCs w:val="22"/>
        </w:rPr>
        <w:t>.</w:t>
      </w:r>
      <w:r w:rsidR="00D3479A" w:rsidRPr="00610DA7">
        <w:rPr>
          <w:rStyle w:val="EndnoteReference"/>
          <w:rFonts w:ascii="Proxima Nova" w:hAnsi="Proxima Nova" w:cstheme="minorHAnsi"/>
          <w:sz w:val="22"/>
          <w:szCs w:val="22"/>
        </w:rPr>
        <w:endnoteReference w:id="3"/>
      </w:r>
      <w:r w:rsidR="007271F8" w:rsidRPr="00610DA7">
        <w:rPr>
          <w:rFonts w:ascii="Proxima Nova" w:hAnsi="Proxima Nova" w:cstheme="minorHAnsi"/>
          <w:sz w:val="22"/>
          <w:szCs w:val="22"/>
        </w:rPr>
        <w:t xml:space="preserve"> Please note, in coming months WWDA will be submitting to the Royal Commission a further submission on </w:t>
      </w:r>
      <w:r w:rsidR="00E836BA" w:rsidRPr="00610DA7">
        <w:rPr>
          <w:rFonts w:ascii="Proxima Nova" w:hAnsi="Proxima Nova" w:cstheme="minorHAnsi"/>
          <w:i/>
          <w:iCs/>
          <w:sz w:val="22"/>
          <w:szCs w:val="22"/>
        </w:rPr>
        <w:t>R</w:t>
      </w:r>
      <w:r w:rsidR="007271F8" w:rsidRPr="00610DA7">
        <w:rPr>
          <w:rFonts w:ascii="Proxima Nova" w:hAnsi="Proxima Nova" w:cstheme="minorHAnsi"/>
          <w:i/>
          <w:iCs/>
          <w:sz w:val="22"/>
          <w:szCs w:val="22"/>
        </w:rPr>
        <w:t xml:space="preserve">eproductive and </w:t>
      </w:r>
      <w:r w:rsidR="00E836BA" w:rsidRPr="00610DA7">
        <w:rPr>
          <w:rFonts w:ascii="Proxima Nova" w:hAnsi="Proxima Nova" w:cstheme="minorHAnsi"/>
          <w:i/>
          <w:iCs/>
          <w:sz w:val="22"/>
          <w:szCs w:val="22"/>
        </w:rPr>
        <w:t>S</w:t>
      </w:r>
      <w:r w:rsidR="007271F8" w:rsidRPr="00610DA7">
        <w:rPr>
          <w:rFonts w:ascii="Proxima Nova" w:hAnsi="Proxima Nova" w:cstheme="minorHAnsi"/>
          <w:i/>
          <w:iCs/>
          <w:sz w:val="22"/>
          <w:szCs w:val="22"/>
        </w:rPr>
        <w:t xml:space="preserve">exual </w:t>
      </w:r>
      <w:r w:rsidR="00E836BA" w:rsidRPr="00610DA7">
        <w:rPr>
          <w:rFonts w:ascii="Proxima Nova" w:hAnsi="Proxima Nova" w:cstheme="minorHAnsi"/>
          <w:i/>
          <w:iCs/>
          <w:sz w:val="22"/>
          <w:szCs w:val="22"/>
        </w:rPr>
        <w:t>R</w:t>
      </w:r>
      <w:r w:rsidR="007271F8" w:rsidRPr="00610DA7">
        <w:rPr>
          <w:rFonts w:ascii="Proxima Nova" w:hAnsi="Proxima Nova" w:cstheme="minorHAnsi"/>
          <w:i/>
          <w:iCs/>
          <w:sz w:val="22"/>
          <w:szCs w:val="22"/>
        </w:rPr>
        <w:t xml:space="preserve">ights for </w:t>
      </w:r>
      <w:r w:rsidR="00D86018" w:rsidRPr="00610DA7">
        <w:rPr>
          <w:rFonts w:ascii="Proxima Nova" w:hAnsi="Proxima Nova" w:cstheme="minorHAnsi"/>
          <w:i/>
          <w:iCs/>
          <w:sz w:val="22"/>
          <w:szCs w:val="22"/>
        </w:rPr>
        <w:t>W</w:t>
      </w:r>
      <w:r w:rsidR="007271F8" w:rsidRPr="00610DA7">
        <w:rPr>
          <w:rFonts w:ascii="Proxima Nova" w:hAnsi="Proxima Nova" w:cstheme="minorHAnsi"/>
          <w:i/>
          <w:iCs/>
          <w:sz w:val="22"/>
          <w:szCs w:val="22"/>
        </w:rPr>
        <w:t xml:space="preserve">omen and </w:t>
      </w:r>
      <w:r w:rsidR="00D86018" w:rsidRPr="00610DA7">
        <w:rPr>
          <w:rFonts w:ascii="Proxima Nova" w:hAnsi="Proxima Nova" w:cstheme="minorHAnsi"/>
          <w:i/>
          <w:iCs/>
          <w:sz w:val="22"/>
          <w:szCs w:val="22"/>
        </w:rPr>
        <w:t>G</w:t>
      </w:r>
      <w:r w:rsidR="007271F8" w:rsidRPr="00610DA7">
        <w:rPr>
          <w:rFonts w:ascii="Proxima Nova" w:hAnsi="Proxima Nova" w:cstheme="minorHAnsi"/>
          <w:i/>
          <w:iCs/>
          <w:sz w:val="22"/>
          <w:szCs w:val="22"/>
        </w:rPr>
        <w:t xml:space="preserve">irls with </w:t>
      </w:r>
      <w:r w:rsidR="00D86018" w:rsidRPr="00610DA7">
        <w:rPr>
          <w:rFonts w:ascii="Proxima Nova" w:hAnsi="Proxima Nova" w:cstheme="minorHAnsi"/>
          <w:i/>
          <w:iCs/>
          <w:sz w:val="22"/>
          <w:szCs w:val="22"/>
        </w:rPr>
        <w:t>D</w:t>
      </w:r>
      <w:r w:rsidR="007271F8" w:rsidRPr="00610DA7">
        <w:rPr>
          <w:rFonts w:ascii="Proxima Nova" w:hAnsi="Proxima Nova" w:cstheme="minorHAnsi"/>
          <w:i/>
          <w:iCs/>
          <w:sz w:val="22"/>
          <w:szCs w:val="22"/>
        </w:rPr>
        <w:t>isability</w:t>
      </w:r>
      <w:r w:rsidR="007271F8" w:rsidRPr="00610DA7">
        <w:rPr>
          <w:rFonts w:ascii="Proxima Nova" w:hAnsi="Proxima Nova" w:cstheme="minorHAnsi"/>
          <w:sz w:val="22"/>
          <w:szCs w:val="22"/>
        </w:rPr>
        <w:t xml:space="preserve">. This further </w:t>
      </w:r>
      <w:r w:rsidR="00D86018" w:rsidRPr="00610DA7">
        <w:rPr>
          <w:rFonts w:ascii="Proxima Nova" w:hAnsi="Proxima Nova" w:cstheme="minorHAnsi"/>
          <w:sz w:val="22"/>
          <w:szCs w:val="22"/>
        </w:rPr>
        <w:t>S</w:t>
      </w:r>
      <w:r w:rsidR="007271F8" w:rsidRPr="00610DA7">
        <w:rPr>
          <w:rFonts w:ascii="Proxima Nova" w:hAnsi="Proxima Nova" w:cstheme="minorHAnsi"/>
          <w:sz w:val="22"/>
          <w:szCs w:val="22"/>
        </w:rPr>
        <w:t xml:space="preserve">ubmission will include exploration of intersections of restrictive practices with reproductive and sexual rights. </w:t>
      </w:r>
    </w:p>
    <w:p w14:paraId="22780C30" w14:textId="77777777" w:rsidR="00BE00FD" w:rsidRPr="00610DA7" w:rsidRDefault="00BE00FD" w:rsidP="00610DA7">
      <w:pPr>
        <w:spacing w:line="276" w:lineRule="auto"/>
        <w:ind w:left="720" w:hanging="720"/>
        <w:rPr>
          <w:rFonts w:ascii="Proxima Nova" w:hAnsi="Proxima Nova" w:cstheme="minorHAnsi"/>
          <w:sz w:val="22"/>
          <w:szCs w:val="22"/>
        </w:rPr>
      </w:pPr>
    </w:p>
    <w:p w14:paraId="4BAFA093" w14:textId="1EEFF16C" w:rsidR="00A522C0" w:rsidRPr="00610DA7" w:rsidRDefault="00D578BB" w:rsidP="00610DA7">
      <w:pPr>
        <w:pStyle w:val="ListParagraph"/>
        <w:numPr>
          <w:ilvl w:val="1"/>
          <w:numId w:val="16"/>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 xml:space="preserve">This </w:t>
      </w:r>
      <w:r w:rsidR="00F85080" w:rsidRPr="00610DA7">
        <w:rPr>
          <w:rFonts w:ascii="Proxima Nova" w:hAnsi="Proxima Nova" w:cstheme="minorHAnsi"/>
          <w:sz w:val="22"/>
          <w:szCs w:val="22"/>
        </w:rPr>
        <w:t>S</w:t>
      </w:r>
      <w:r w:rsidR="003203D4" w:rsidRPr="00610DA7">
        <w:rPr>
          <w:rFonts w:ascii="Proxima Nova" w:hAnsi="Proxima Nova" w:cstheme="minorHAnsi"/>
          <w:sz w:val="22"/>
          <w:szCs w:val="22"/>
        </w:rPr>
        <w:t xml:space="preserve">ubmission </w:t>
      </w:r>
      <w:r w:rsidR="00F864E5" w:rsidRPr="00610DA7">
        <w:rPr>
          <w:rFonts w:ascii="Proxima Nova" w:hAnsi="Proxima Nova" w:cstheme="minorHAnsi"/>
          <w:sz w:val="22"/>
          <w:szCs w:val="22"/>
        </w:rPr>
        <w:t>in response to the</w:t>
      </w:r>
      <w:r w:rsidR="00197731" w:rsidRPr="00610DA7">
        <w:rPr>
          <w:rFonts w:ascii="Proxima Nova" w:hAnsi="Proxima Nova" w:cstheme="minorHAnsi"/>
          <w:sz w:val="22"/>
          <w:szCs w:val="22"/>
        </w:rPr>
        <w:t xml:space="preserve"> </w:t>
      </w:r>
      <w:r w:rsidR="003509C3" w:rsidRPr="00610DA7">
        <w:rPr>
          <w:rFonts w:ascii="Proxima Nova" w:hAnsi="Proxima Nova" w:cs="Calibri"/>
          <w:sz w:val="22"/>
          <w:szCs w:val="22"/>
        </w:rPr>
        <w:t>Restrictive Practices</w:t>
      </w:r>
      <w:r w:rsidR="00F864E5" w:rsidRPr="00610DA7">
        <w:rPr>
          <w:rFonts w:ascii="Proxima Nova" w:hAnsi="Proxima Nova" w:cstheme="minorHAnsi"/>
          <w:sz w:val="22"/>
          <w:szCs w:val="22"/>
        </w:rPr>
        <w:t xml:space="preserve"> Issues Paper, </w:t>
      </w:r>
      <w:r w:rsidR="003203D4" w:rsidRPr="00610DA7">
        <w:rPr>
          <w:rFonts w:ascii="Proxima Nova" w:hAnsi="Proxima Nova" w:cstheme="minorHAnsi"/>
          <w:sz w:val="22"/>
          <w:szCs w:val="22"/>
        </w:rPr>
        <w:t>focuses on restrictive practices in relation to women and girls with disability. W</w:t>
      </w:r>
      <w:r w:rsidR="00D81F90" w:rsidRPr="00610DA7">
        <w:rPr>
          <w:rFonts w:ascii="Proxima Nova" w:hAnsi="Proxima Nova" w:cstheme="minorHAnsi"/>
          <w:sz w:val="22"/>
          <w:szCs w:val="22"/>
        </w:rPr>
        <w:t>e use the term ‘</w:t>
      </w:r>
      <w:r w:rsidR="00D81F90" w:rsidRPr="00610DA7">
        <w:rPr>
          <w:rStyle w:val="Strong"/>
          <w:rFonts w:ascii="Proxima Nova" w:hAnsi="Proxima Nova" w:cstheme="minorHAnsi"/>
          <w:b w:val="0"/>
          <w:bCs w:val="0"/>
          <w:sz w:val="22"/>
          <w:szCs w:val="22"/>
        </w:rPr>
        <w:t>women and girls with disability’</w:t>
      </w:r>
      <w:r w:rsidR="00D81F90" w:rsidRPr="00610DA7">
        <w:rPr>
          <w:rFonts w:ascii="Proxima Nova" w:hAnsi="Proxima Nova" w:cstheme="minorHAnsi"/>
          <w:sz w:val="22"/>
          <w:szCs w:val="22"/>
        </w:rPr>
        <w:t xml:space="preserve"> on the understanding that this is inclusive of women, girls, feminine identifying and non-binary people with disability in Australia.</w:t>
      </w:r>
      <w:r w:rsidR="00FE314C" w:rsidRPr="00610DA7">
        <w:rPr>
          <w:rFonts w:ascii="Proxima Nova" w:hAnsi="Proxima Nova" w:cstheme="minorHAnsi"/>
          <w:sz w:val="22"/>
          <w:szCs w:val="22"/>
        </w:rPr>
        <w:t xml:space="preserve"> We </w:t>
      </w:r>
      <w:r w:rsidR="00395C20" w:rsidRPr="00610DA7">
        <w:rPr>
          <w:rFonts w:ascii="Proxima Nova" w:hAnsi="Proxima Nova" w:cstheme="minorHAnsi"/>
          <w:sz w:val="22"/>
          <w:szCs w:val="22"/>
        </w:rPr>
        <w:t>use the term ‘restrictive practices’ on the assumption it includes</w:t>
      </w:r>
      <w:r w:rsidR="00FE314C" w:rsidRPr="00610DA7">
        <w:rPr>
          <w:rFonts w:ascii="Proxima Nova" w:hAnsi="Proxima Nova" w:cstheme="minorHAnsi"/>
          <w:sz w:val="22"/>
          <w:szCs w:val="22"/>
        </w:rPr>
        <w:t xml:space="preserve"> </w:t>
      </w:r>
      <w:r w:rsidR="00FE314C" w:rsidRPr="00610DA7">
        <w:rPr>
          <w:rFonts w:ascii="Proxima Nova" w:hAnsi="Proxima Nova"/>
          <w:sz w:val="22"/>
          <w:szCs w:val="22"/>
        </w:rPr>
        <w:t xml:space="preserve">non-consensual and coercive sterilisation, menstrual suppression, contraception and abortion, </w:t>
      </w:r>
      <w:r w:rsidR="00FE314C" w:rsidRPr="00610DA7">
        <w:rPr>
          <w:rFonts w:ascii="Proxima Nova" w:hAnsi="Proxima Nova" w:cstheme="minorHAnsi"/>
          <w:sz w:val="22"/>
          <w:szCs w:val="22"/>
        </w:rPr>
        <w:t>forced removal of children, denial of support for sexual activity and denial of support for intimate relationships.</w:t>
      </w:r>
      <w:r w:rsidR="00395C20" w:rsidRPr="00610DA7">
        <w:rPr>
          <w:rFonts w:ascii="Proxima Nova" w:hAnsi="Proxima Nova" w:cstheme="minorHAnsi"/>
          <w:sz w:val="22"/>
          <w:szCs w:val="22"/>
        </w:rPr>
        <w:t xml:space="preserve"> We also assume it includes non-consensual and coercive use of psychotropic medication, even if </w:t>
      </w:r>
      <w:r w:rsidR="006B5F04" w:rsidRPr="00610DA7">
        <w:rPr>
          <w:rFonts w:ascii="Proxima Nova" w:hAnsi="Proxima Nova" w:cstheme="minorHAnsi"/>
          <w:sz w:val="22"/>
          <w:szCs w:val="22"/>
        </w:rPr>
        <w:t xml:space="preserve">the medication is </w:t>
      </w:r>
      <w:r w:rsidR="00395C20" w:rsidRPr="00610DA7">
        <w:rPr>
          <w:rFonts w:ascii="Proxima Nova" w:hAnsi="Proxima Nova" w:cstheme="minorHAnsi"/>
          <w:sz w:val="22"/>
          <w:szCs w:val="22"/>
        </w:rPr>
        <w:t>prescribed by a medical practitioner for a diagnosed mental health condition</w:t>
      </w:r>
      <w:r w:rsidR="006B5F04" w:rsidRPr="00610DA7">
        <w:rPr>
          <w:rFonts w:ascii="Proxima Nova" w:hAnsi="Proxima Nova" w:cstheme="minorHAnsi"/>
          <w:sz w:val="22"/>
          <w:szCs w:val="22"/>
        </w:rPr>
        <w:t xml:space="preserve">, and involuntary detention and treatment in mental health </w:t>
      </w:r>
      <w:r w:rsidR="00F85080" w:rsidRPr="00610DA7">
        <w:rPr>
          <w:rFonts w:ascii="Proxima Nova" w:hAnsi="Proxima Nova" w:cstheme="minorHAnsi"/>
          <w:sz w:val="22"/>
          <w:szCs w:val="22"/>
        </w:rPr>
        <w:t>facilities</w:t>
      </w:r>
      <w:r w:rsidR="006B5F04" w:rsidRPr="00610DA7">
        <w:rPr>
          <w:rFonts w:ascii="Proxima Nova" w:hAnsi="Proxima Nova" w:cstheme="minorHAnsi"/>
          <w:sz w:val="22"/>
          <w:szCs w:val="22"/>
        </w:rPr>
        <w:t xml:space="preserve"> and community treatment orders pursuant to mental health legislation</w:t>
      </w:r>
      <w:r w:rsidR="00395C20" w:rsidRPr="00610DA7">
        <w:rPr>
          <w:rFonts w:ascii="Proxima Nova" w:hAnsi="Proxima Nova" w:cstheme="minorHAnsi"/>
          <w:sz w:val="22"/>
          <w:szCs w:val="22"/>
        </w:rPr>
        <w:t>.</w:t>
      </w:r>
    </w:p>
    <w:p w14:paraId="6271DF55" w14:textId="77777777" w:rsidR="00A522C0" w:rsidRPr="00610DA7" w:rsidRDefault="00A522C0" w:rsidP="00610DA7">
      <w:pPr>
        <w:pStyle w:val="ListParagraph"/>
        <w:spacing w:line="276" w:lineRule="auto"/>
        <w:ind w:hanging="720"/>
        <w:rPr>
          <w:rFonts w:ascii="Proxima Nova" w:hAnsi="Proxima Nova" w:cstheme="minorHAnsi"/>
          <w:sz w:val="22"/>
          <w:szCs w:val="22"/>
        </w:rPr>
      </w:pPr>
    </w:p>
    <w:p w14:paraId="621C3056" w14:textId="0A2F5895" w:rsidR="007C6578" w:rsidRPr="00610DA7" w:rsidRDefault="003D1C3E" w:rsidP="00610DA7">
      <w:pPr>
        <w:pStyle w:val="ListParagraph"/>
        <w:numPr>
          <w:ilvl w:val="1"/>
          <w:numId w:val="16"/>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 xml:space="preserve">WWDA </w:t>
      </w:r>
      <w:r w:rsidR="00CE4B4D" w:rsidRPr="00610DA7">
        <w:rPr>
          <w:rFonts w:ascii="Proxima Nova" w:hAnsi="Proxima Nova" w:cstheme="minorHAnsi"/>
          <w:sz w:val="22"/>
          <w:szCs w:val="22"/>
        </w:rPr>
        <w:t>approaches</w:t>
      </w:r>
      <w:r w:rsidR="00760FCD" w:rsidRPr="00610DA7">
        <w:rPr>
          <w:rFonts w:ascii="Proxima Nova" w:hAnsi="Proxima Nova" w:cstheme="minorHAnsi"/>
          <w:sz w:val="22"/>
          <w:szCs w:val="22"/>
        </w:rPr>
        <w:t xml:space="preserve"> </w:t>
      </w:r>
      <w:r w:rsidR="00CE4B4D" w:rsidRPr="00610DA7">
        <w:rPr>
          <w:rFonts w:ascii="Proxima Nova" w:hAnsi="Proxima Nova" w:cstheme="minorHAnsi"/>
          <w:sz w:val="22"/>
          <w:szCs w:val="22"/>
        </w:rPr>
        <w:t xml:space="preserve">restrictive practices as a form of </w:t>
      </w:r>
      <w:r w:rsidR="008C6CD2" w:rsidRPr="00610DA7">
        <w:rPr>
          <w:rFonts w:ascii="Proxima Nova" w:hAnsi="Proxima Nova" w:cstheme="minorHAnsi"/>
          <w:sz w:val="22"/>
          <w:szCs w:val="22"/>
        </w:rPr>
        <w:t xml:space="preserve">gendered </w:t>
      </w:r>
      <w:r w:rsidR="00CE4B4D" w:rsidRPr="00610DA7">
        <w:rPr>
          <w:rFonts w:ascii="Proxima Nova" w:hAnsi="Proxima Nova" w:cstheme="minorHAnsi"/>
          <w:sz w:val="22"/>
          <w:szCs w:val="22"/>
        </w:rPr>
        <w:t xml:space="preserve">ableist </w:t>
      </w:r>
      <w:r w:rsidR="008C6CD2" w:rsidRPr="00610DA7">
        <w:rPr>
          <w:rFonts w:ascii="Proxima Nova" w:hAnsi="Proxima Nova" w:cstheme="minorHAnsi"/>
          <w:sz w:val="22"/>
          <w:szCs w:val="22"/>
        </w:rPr>
        <w:t xml:space="preserve">legal </w:t>
      </w:r>
      <w:r w:rsidR="00CE4B4D" w:rsidRPr="00610DA7">
        <w:rPr>
          <w:rFonts w:ascii="Proxima Nova" w:hAnsi="Proxima Nova" w:cstheme="minorHAnsi"/>
          <w:sz w:val="22"/>
          <w:szCs w:val="22"/>
        </w:rPr>
        <w:t xml:space="preserve">violence against women and girls with disability that must be prohibited and redressed. WWDA is deeply concerned </w:t>
      </w:r>
      <w:r w:rsidRPr="00610DA7">
        <w:rPr>
          <w:rFonts w:ascii="Proxima Nova" w:hAnsi="Proxima Nova" w:cstheme="minorHAnsi"/>
          <w:sz w:val="22"/>
          <w:szCs w:val="22"/>
        </w:rPr>
        <w:t xml:space="preserve">that restrictive practices </w:t>
      </w:r>
      <w:r w:rsidR="00CE4B4D" w:rsidRPr="00610DA7">
        <w:rPr>
          <w:rFonts w:ascii="Proxima Nova" w:hAnsi="Proxima Nova" w:cstheme="minorHAnsi"/>
          <w:sz w:val="22"/>
          <w:szCs w:val="22"/>
        </w:rPr>
        <w:t>continue to b</w:t>
      </w:r>
      <w:r w:rsidR="00760FCD" w:rsidRPr="00610DA7">
        <w:rPr>
          <w:rFonts w:ascii="Proxima Nova" w:hAnsi="Proxima Nova" w:cstheme="minorHAnsi"/>
          <w:sz w:val="22"/>
          <w:szCs w:val="22"/>
        </w:rPr>
        <w:t>e widespread in practice and</w:t>
      </w:r>
      <w:r w:rsidR="00CE4B4D" w:rsidRPr="00610DA7">
        <w:rPr>
          <w:rFonts w:ascii="Proxima Nova" w:hAnsi="Proxima Nova" w:cstheme="minorHAnsi"/>
          <w:sz w:val="22"/>
          <w:szCs w:val="22"/>
        </w:rPr>
        <w:t xml:space="preserve"> permitted by</w:t>
      </w:r>
      <w:r w:rsidRPr="00610DA7">
        <w:rPr>
          <w:rFonts w:ascii="Proxima Nova" w:hAnsi="Proxima Nova" w:cstheme="minorHAnsi"/>
          <w:sz w:val="22"/>
          <w:szCs w:val="22"/>
        </w:rPr>
        <w:t xml:space="preserve"> law. This is despite Australia ratifying </w:t>
      </w:r>
      <w:r w:rsidR="008159B8" w:rsidRPr="00610DA7">
        <w:rPr>
          <w:rFonts w:ascii="Proxima Nova" w:hAnsi="Proxima Nova" w:cstheme="minorHAnsi"/>
          <w:sz w:val="22"/>
          <w:szCs w:val="22"/>
        </w:rPr>
        <w:t>seven international human rights treaties</w:t>
      </w:r>
      <w:r w:rsidR="00EA1C6A" w:rsidRPr="00610DA7">
        <w:rPr>
          <w:rStyle w:val="EndnoteReference"/>
          <w:rFonts w:ascii="Proxima Nova" w:hAnsi="Proxima Nova" w:cstheme="minorHAnsi"/>
          <w:sz w:val="22"/>
          <w:szCs w:val="22"/>
        </w:rPr>
        <w:endnoteReference w:id="4"/>
      </w:r>
      <w:r w:rsidR="00A32AAB" w:rsidRPr="00610DA7">
        <w:rPr>
          <w:rFonts w:ascii="Proxima Nova" w:hAnsi="Proxima Nova" w:cstheme="minorHAnsi"/>
          <w:sz w:val="22"/>
          <w:szCs w:val="22"/>
        </w:rPr>
        <w:t xml:space="preserve"> </w:t>
      </w:r>
      <w:r w:rsidR="00EA1C6A" w:rsidRPr="00610DA7">
        <w:rPr>
          <w:rFonts w:ascii="Proxima Nova" w:hAnsi="Proxima Nova" w:cstheme="minorHAnsi"/>
          <w:sz w:val="22"/>
          <w:szCs w:val="22"/>
        </w:rPr>
        <w:t>(</w:t>
      </w:r>
      <w:r w:rsidR="00A32AAB" w:rsidRPr="00610DA7">
        <w:rPr>
          <w:rFonts w:ascii="Proxima Nova" w:hAnsi="Proxima Nova" w:cstheme="minorHAnsi"/>
          <w:sz w:val="22"/>
          <w:szCs w:val="22"/>
        </w:rPr>
        <w:t xml:space="preserve">all </w:t>
      </w:r>
      <w:r w:rsidR="00EA1C6A" w:rsidRPr="00610DA7">
        <w:rPr>
          <w:rFonts w:ascii="Proxima Nova" w:hAnsi="Proxima Nova" w:cstheme="minorHAnsi"/>
          <w:sz w:val="22"/>
          <w:szCs w:val="22"/>
        </w:rPr>
        <w:t>of which include obligations to persons with disability)</w:t>
      </w:r>
      <w:r w:rsidR="008159B8" w:rsidRPr="00610DA7">
        <w:rPr>
          <w:rFonts w:ascii="Proxima Nova" w:hAnsi="Proxima Nova" w:cstheme="minorHAnsi"/>
          <w:sz w:val="22"/>
          <w:szCs w:val="22"/>
        </w:rPr>
        <w:t xml:space="preserve">, (including </w:t>
      </w:r>
      <w:r w:rsidRPr="00610DA7">
        <w:rPr>
          <w:rFonts w:ascii="Proxima Nova" w:hAnsi="Proxima Nova" w:cstheme="minorHAnsi"/>
          <w:sz w:val="22"/>
          <w:szCs w:val="22"/>
        </w:rPr>
        <w:t xml:space="preserve">the </w:t>
      </w:r>
      <w:r w:rsidR="00801732" w:rsidRPr="00610DA7">
        <w:rPr>
          <w:rFonts w:ascii="Proxima Nova" w:hAnsi="Proxima Nova" w:cstheme="minorHAnsi"/>
          <w:sz w:val="22"/>
          <w:szCs w:val="22"/>
        </w:rPr>
        <w:t>United Nations</w:t>
      </w:r>
      <w:r w:rsidR="008C6CD2" w:rsidRPr="00610DA7">
        <w:rPr>
          <w:rFonts w:ascii="Proxima Nova" w:hAnsi="Proxima Nova" w:cstheme="minorHAnsi"/>
          <w:sz w:val="22"/>
          <w:szCs w:val="22"/>
        </w:rPr>
        <w:t xml:space="preserve"> </w:t>
      </w:r>
      <w:r w:rsidR="00801732" w:rsidRPr="00610DA7">
        <w:rPr>
          <w:rFonts w:ascii="Proxima Nova" w:hAnsi="Proxima Nova" w:cstheme="minorHAnsi"/>
          <w:i/>
          <w:iCs/>
          <w:sz w:val="22"/>
          <w:szCs w:val="22"/>
        </w:rPr>
        <w:t>Convention on the Rights of Persons with Disabilities</w:t>
      </w:r>
      <w:r w:rsidR="00801732" w:rsidRPr="00610DA7">
        <w:rPr>
          <w:rFonts w:ascii="Proxima Nova" w:hAnsi="Proxima Nova" w:cstheme="minorHAnsi"/>
          <w:sz w:val="22"/>
          <w:szCs w:val="22"/>
        </w:rPr>
        <w:t xml:space="preserve"> (</w:t>
      </w:r>
      <w:r w:rsidRPr="00610DA7">
        <w:rPr>
          <w:rFonts w:ascii="Proxima Nova" w:hAnsi="Proxima Nova" w:cstheme="minorHAnsi"/>
          <w:sz w:val="22"/>
          <w:szCs w:val="22"/>
        </w:rPr>
        <w:t>CRPD</w:t>
      </w:r>
      <w:r w:rsidR="00801732" w:rsidRPr="00610DA7">
        <w:rPr>
          <w:rFonts w:ascii="Proxima Nova" w:hAnsi="Proxima Nova" w:cstheme="minorHAnsi"/>
          <w:sz w:val="22"/>
          <w:szCs w:val="22"/>
        </w:rPr>
        <w:t>)</w:t>
      </w:r>
      <w:r w:rsidR="008159B8" w:rsidRPr="00610DA7">
        <w:rPr>
          <w:rFonts w:ascii="Proxima Nova" w:hAnsi="Proxima Nova" w:cstheme="minorHAnsi"/>
          <w:sz w:val="22"/>
          <w:szCs w:val="22"/>
        </w:rPr>
        <w:t>)</w:t>
      </w:r>
      <w:r w:rsidRPr="00610DA7">
        <w:rPr>
          <w:rFonts w:ascii="Proxima Nova" w:hAnsi="Proxima Nova" w:cstheme="minorHAnsi"/>
          <w:sz w:val="22"/>
          <w:szCs w:val="22"/>
        </w:rPr>
        <w:t>,</w:t>
      </w:r>
      <w:r w:rsidR="009D59F0" w:rsidRPr="00610DA7">
        <w:rPr>
          <w:rStyle w:val="EndnoteReference"/>
          <w:rFonts w:ascii="Proxima Nova" w:hAnsi="Proxima Nova" w:cstheme="minorHAnsi"/>
          <w:sz w:val="22"/>
          <w:szCs w:val="22"/>
        </w:rPr>
        <w:endnoteReference w:id="5"/>
      </w:r>
      <w:r w:rsidRPr="00610DA7">
        <w:rPr>
          <w:rFonts w:ascii="Proxima Nova" w:hAnsi="Proxima Nova" w:cstheme="minorHAnsi"/>
          <w:sz w:val="22"/>
          <w:szCs w:val="22"/>
        </w:rPr>
        <w:t xml:space="preserve"> numerous </w:t>
      </w:r>
      <w:r w:rsidR="009E7E4E" w:rsidRPr="00610DA7">
        <w:rPr>
          <w:rFonts w:ascii="Proxima Nova" w:hAnsi="Proxima Nova" w:cstheme="minorHAnsi"/>
          <w:sz w:val="22"/>
          <w:szCs w:val="22"/>
        </w:rPr>
        <w:t>G</w:t>
      </w:r>
      <w:r w:rsidRPr="00610DA7">
        <w:rPr>
          <w:rFonts w:ascii="Proxima Nova" w:hAnsi="Proxima Nova" w:cstheme="minorHAnsi"/>
          <w:sz w:val="22"/>
          <w:szCs w:val="22"/>
        </w:rPr>
        <w:t xml:space="preserve">overnment and law reform inquiries </w:t>
      </w:r>
      <w:r w:rsidR="00CE4B4D" w:rsidRPr="00610DA7">
        <w:rPr>
          <w:rFonts w:ascii="Proxima Nova" w:hAnsi="Proxima Nova" w:cstheme="minorHAnsi"/>
          <w:sz w:val="22"/>
          <w:szCs w:val="22"/>
        </w:rPr>
        <w:t>recognising systemic problems with</w:t>
      </w:r>
      <w:r w:rsidRPr="00610DA7">
        <w:rPr>
          <w:rFonts w:ascii="Proxima Nova" w:hAnsi="Proxima Nova" w:cstheme="minorHAnsi"/>
          <w:sz w:val="22"/>
          <w:szCs w:val="22"/>
        </w:rPr>
        <w:t xml:space="preserve"> restrictive practices, and</w:t>
      </w:r>
      <w:r w:rsidR="00CE4B4D" w:rsidRPr="00610DA7">
        <w:rPr>
          <w:rFonts w:ascii="Proxima Nova" w:hAnsi="Proxima Nova" w:cstheme="minorHAnsi"/>
          <w:sz w:val="22"/>
          <w:szCs w:val="22"/>
        </w:rPr>
        <w:t xml:space="preserve"> increased commitment to addressing </w:t>
      </w:r>
      <w:r w:rsidRPr="00610DA7">
        <w:rPr>
          <w:rFonts w:ascii="Proxima Nova" w:hAnsi="Proxima Nova" w:cstheme="minorHAnsi"/>
          <w:sz w:val="22"/>
          <w:szCs w:val="22"/>
        </w:rPr>
        <w:t xml:space="preserve">violence against women </w:t>
      </w:r>
      <w:r w:rsidR="00A476A7" w:rsidRPr="00610DA7">
        <w:rPr>
          <w:rFonts w:ascii="Proxima Nova" w:hAnsi="Proxima Nova" w:cstheme="minorHAnsi"/>
          <w:sz w:val="22"/>
          <w:szCs w:val="22"/>
        </w:rPr>
        <w:t xml:space="preserve">(including women with disability) </w:t>
      </w:r>
      <w:r w:rsidRPr="00610DA7">
        <w:rPr>
          <w:rFonts w:ascii="Proxima Nova" w:hAnsi="Proxima Nova" w:cstheme="minorHAnsi"/>
          <w:sz w:val="22"/>
          <w:szCs w:val="22"/>
        </w:rPr>
        <w:t>during the last decade.</w:t>
      </w:r>
    </w:p>
    <w:p w14:paraId="1E77E9CE" w14:textId="77777777" w:rsidR="007C6578" w:rsidRPr="00610DA7" w:rsidRDefault="007C6578" w:rsidP="00610DA7">
      <w:pPr>
        <w:pStyle w:val="ListParagraph"/>
        <w:spacing w:line="276" w:lineRule="auto"/>
        <w:ind w:hanging="720"/>
        <w:rPr>
          <w:rFonts w:ascii="Proxima Nova" w:hAnsi="Proxima Nova" w:cstheme="minorHAnsi"/>
          <w:sz w:val="22"/>
          <w:szCs w:val="22"/>
        </w:rPr>
      </w:pPr>
    </w:p>
    <w:p w14:paraId="5C83F500" w14:textId="3A4D14F5" w:rsidR="003D1C3E" w:rsidRPr="00610DA7" w:rsidRDefault="003D1C3E" w:rsidP="00610DA7">
      <w:pPr>
        <w:pStyle w:val="ListParagraph"/>
        <w:numPr>
          <w:ilvl w:val="1"/>
          <w:numId w:val="16"/>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 xml:space="preserve">WWDA also recognises and </w:t>
      </w:r>
      <w:r w:rsidR="006B5F04" w:rsidRPr="00610DA7">
        <w:rPr>
          <w:rFonts w:ascii="Proxima Nova" w:hAnsi="Proxima Nova" w:cstheme="minorHAnsi"/>
          <w:sz w:val="22"/>
          <w:szCs w:val="22"/>
        </w:rPr>
        <w:t>emphasis</w:t>
      </w:r>
      <w:r w:rsidRPr="00610DA7">
        <w:rPr>
          <w:rFonts w:ascii="Proxima Nova" w:hAnsi="Proxima Nova" w:cstheme="minorHAnsi"/>
          <w:sz w:val="22"/>
          <w:szCs w:val="22"/>
        </w:rPr>
        <w:t xml:space="preserve">es that ending restrictive practices in relation to women </w:t>
      </w:r>
      <w:r w:rsidR="00A644ED" w:rsidRPr="00610DA7">
        <w:rPr>
          <w:rFonts w:ascii="Proxima Nova" w:hAnsi="Proxima Nova" w:cstheme="minorHAnsi"/>
          <w:sz w:val="22"/>
          <w:szCs w:val="22"/>
        </w:rPr>
        <w:t xml:space="preserve">and girls </w:t>
      </w:r>
      <w:r w:rsidRPr="00610DA7">
        <w:rPr>
          <w:rFonts w:ascii="Proxima Nova" w:hAnsi="Proxima Nova" w:cstheme="minorHAnsi"/>
          <w:sz w:val="22"/>
          <w:szCs w:val="22"/>
        </w:rPr>
        <w:t xml:space="preserve">with disability cannot be achieved without understanding of, and targeted measures to address, underlying structural barriers that sustain </w:t>
      </w:r>
      <w:r w:rsidR="00A644ED" w:rsidRPr="00610DA7">
        <w:rPr>
          <w:rFonts w:ascii="Proxima Nova" w:hAnsi="Proxima Nova" w:cstheme="minorHAnsi"/>
          <w:sz w:val="22"/>
          <w:szCs w:val="22"/>
        </w:rPr>
        <w:t xml:space="preserve">the </w:t>
      </w:r>
      <w:r w:rsidRPr="00610DA7">
        <w:rPr>
          <w:rFonts w:ascii="Proxima Nova" w:hAnsi="Proxima Nova" w:cstheme="minorHAnsi"/>
          <w:sz w:val="22"/>
          <w:szCs w:val="22"/>
        </w:rPr>
        <w:t>us</w:t>
      </w:r>
      <w:r w:rsidR="00CE4B4D" w:rsidRPr="00610DA7">
        <w:rPr>
          <w:rFonts w:ascii="Proxima Nova" w:hAnsi="Proxima Nova" w:cstheme="minorHAnsi"/>
          <w:sz w:val="22"/>
          <w:szCs w:val="22"/>
        </w:rPr>
        <w:t xml:space="preserve">e </w:t>
      </w:r>
      <w:r w:rsidR="00A476A7" w:rsidRPr="00610DA7">
        <w:rPr>
          <w:rFonts w:ascii="Proxima Nova" w:hAnsi="Proxima Nova" w:cstheme="minorHAnsi"/>
          <w:sz w:val="22"/>
          <w:szCs w:val="22"/>
        </w:rPr>
        <w:t xml:space="preserve">and legality </w:t>
      </w:r>
      <w:r w:rsidR="00A644ED" w:rsidRPr="00610DA7">
        <w:rPr>
          <w:rFonts w:ascii="Proxima Nova" w:hAnsi="Proxima Nova" w:cstheme="minorHAnsi"/>
          <w:sz w:val="22"/>
          <w:szCs w:val="22"/>
        </w:rPr>
        <w:t xml:space="preserve">of restrictive practices. A key structural barrier is </w:t>
      </w:r>
      <w:r w:rsidRPr="00610DA7">
        <w:rPr>
          <w:rFonts w:ascii="Proxima Nova" w:hAnsi="Proxima Nova" w:cstheme="minorHAnsi"/>
          <w:sz w:val="22"/>
          <w:szCs w:val="22"/>
        </w:rPr>
        <w:t>segregation of women and girls with disability in education, housing</w:t>
      </w:r>
      <w:r w:rsidR="00A644ED" w:rsidRPr="00610DA7">
        <w:rPr>
          <w:rFonts w:ascii="Proxima Nova" w:hAnsi="Proxima Nova" w:cstheme="minorHAnsi"/>
          <w:sz w:val="22"/>
          <w:szCs w:val="22"/>
        </w:rPr>
        <w:t xml:space="preserve">, and </w:t>
      </w:r>
      <w:r w:rsidRPr="00610DA7">
        <w:rPr>
          <w:rFonts w:ascii="Proxima Nova" w:hAnsi="Proxima Nova" w:cstheme="minorHAnsi"/>
          <w:sz w:val="22"/>
          <w:szCs w:val="22"/>
        </w:rPr>
        <w:t>legal</w:t>
      </w:r>
      <w:r w:rsidR="00A644ED" w:rsidRPr="00610DA7">
        <w:rPr>
          <w:rFonts w:ascii="Proxima Nova" w:hAnsi="Proxima Nova" w:cstheme="minorHAnsi"/>
          <w:sz w:val="22"/>
          <w:szCs w:val="22"/>
        </w:rPr>
        <w:t xml:space="preserve"> and justice</w:t>
      </w:r>
      <w:r w:rsidRPr="00610DA7">
        <w:rPr>
          <w:rFonts w:ascii="Proxima Nova" w:hAnsi="Proxima Nova" w:cstheme="minorHAnsi"/>
          <w:sz w:val="22"/>
          <w:szCs w:val="22"/>
        </w:rPr>
        <w:t xml:space="preserve"> system</w:t>
      </w:r>
      <w:r w:rsidR="00A644ED" w:rsidRPr="00610DA7">
        <w:rPr>
          <w:rFonts w:ascii="Proxima Nova" w:hAnsi="Proxima Nova" w:cstheme="minorHAnsi"/>
          <w:sz w:val="22"/>
          <w:szCs w:val="22"/>
        </w:rPr>
        <w:t>s</w:t>
      </w:r>
      <w:r w:rsidRPr="00610DA7">
        <w:rPr>
          <w:rFonts w:ascii="Proxima Nova" w:hAnsi="Proxima Nova" w:cstheme="minorHAnsi"/>
          <w:sz w:val="22"/>
          <w:szCs w:val="22"/>
        </w:rPr>
        <w:t xml:space="preserve">. </w:t>
      </w:r>
      <w:r w:rsidR="00A644ED" w:rsidRPr="00610DA7">
        <w:rPr>
          <w:rFonts w:ascii="Proxima Nova" w:hAnsi="Proxima Nova" w:cstheme="minorHAnsi"/>
          <w:sz w:val="22"/>
          <w:szCs w:val="22"/>
        </w:rPr>
        <w:t>Ableism is also a key s</w:t>
      </w:r>
      <w:r w:rsidR="00CE4B4D" w:rsidRPr="00610DA7">
        <w:rPr>
          <w:rFonts w:ascii="Proxima Nova" w:hAnsi="Proxima Nova" w:cstheme="minorHAnsi"/>
          <w:sz w:val="22"/>
          <w:szCs w:val="22"/>
        </w:rPr>
        <w:t>tructural barrier</w:t>
      </w:r>
      <w:r w:rsidR="001171A1" w:rsidRPr="00610DA7">
        <w:rPr>
          <w:rFonts w:ascii="Proxima Nova" w:hAnsi="Proxima Nova" w:cstheme="minorHAnsi"/>
          <w:sz w:val="22"/>
          <w:szCs w:val="22"/>
        </w:rPr>
        <w:t xml:space="preserve"> that is deeply entrenched in law and society</w:t>
      </w:r>
      <w:r w:rsidR="00A644ED" w:rsidRPr="00610DA7">
        <w:rPr>
          <w:rFonts w:ascii="Proxima Nova" w:hAnsi="Proxima Nova" w:cstheme="minorHAnsi"/>
          <w:sz w:val="22"/>
          <w:szCs w:val="22"/>
        </w:rPr>
        <w:t xml:space="preserve">. </w:t>
      </w:r>
      <w:r w:rsidRPr="00610DA7">
        <w:rPr>
          <w:rFonts w:ascii="Proxima Nova" w:hAnsi="Proxima Nova" w:cstheme="minorHAnsi"/>
          <w:sz w:val="22"/>
          <w:szCs w:val="22"/>
        </w:rPr>
        <w:t>Women</w:t>
      </w:r>
      <w:r w:rsidR="00A644ED" w:rsidRPr="00610DA7">
        <w:rPr>
          <w:rFonts w:ascii="Proxima Nova" w:hAnsi="Proxima Nova" w:cstheme="minorHAnsi"/>
          <w:sz w:val="22"/>
          <w:szCs w:val="22"/>
        </w:rPr>
        <w:t xml:space="preserve"> and girls</w:t>
      </w:r>
      <w:r w:rsidRPr="00610DA7">
        <w:rPr>
          <w:rFonts w:ascii="Proxima Nova" w:hAnsi="Proxima Nova" w:cstheme="minorHAnsi"/>
          <w:sz w:val="22"/>
          <w:szCs w:val="22"/>
        </w:rPr>
        <w:t xml:space="preserve"> with disability need, and have a right to, implementation of specific, targeted measures to dismantle the many structural barriers that impede their right to live free from the violence of restrictive practices.</w:t>
      </w:r>
      <w:r w:rsidR="00A644ED" w:rsidRPr="00610DA7">
        <w:rPr>
          <w:rFonts w:ascii="Proxima Nova" w:hAnsi="Proxima Nova" w:cstheme="minorHAnsi"/>
          <w:sz w:val="22"/>
          <w:szCs w:val="22"/>
        </w:rPr>
        <w:t xml:space="preserve"> </w:t>
      </w:r>
    </w:p>
    <w:p w14:paraId="10B2AC72" w14:textId="77777777" w:rsidR="006B5F04" w:rsidRPr="00610DA7" w:rsidRDefault="006B5F04" w:rsidP="00610DA7">
      <w:pPr>
        <w:spacing w:line="276" w:lineRule="auto"/>
        <w:ind w:left="720" w:hanging="720"/>
        <w:rPr>
          <w:rFonts w:ascii="Proxima Nova" w:hAnsi="Proxima Nova" w:cstheme="minorHAnsi"/>
          <w:sz w:val="22"/>
          <w:szCs w:val="22"/>
        </w:rPr>
      </w:pPr>
    </w:p>
    <w:p w14:paraId="1A0F42AE" w14:textId="4BBAF1A0" w:rsidR="006B5F04" w:rsidRPr="00610DA7" w:rsidRDefault="006B5F04" w:rsidP="00610DA7">
      <w:pPr>
        <w:pStyle w:val="ListParagraph"/>
        <w:numPr>
          <w:ilvl w:val="1"/>
          <w:numId w:val="16"/>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In this section, we situate the Royal Commission in a longer history of government inquiries into restrictive practices and a broader context of the dearth of information on restrictive practices.</w:t>
      </w:r>
      <w:r w:rsidR="005B118C" w:rsidRPr="00610DA7">
        <w:rPr>
          <w:rFonts w:ascii="Proxima Nova" w:hAnsi="Proxima Nova" w:cstheme="minorHAnsi"/>
          <w:sz w:val="22"/>
          <w:szCs w:val="22"/>
        </w:rPr>
        <w:t xml:space="preserve"> </w:t>
      </w:r>
    </w:p>
    <w:p w14:paraId="67892ADE" w14:textId="1AD03AC5" w:rsidR="001171A1" w:rsidRPr="00610DA7" w:rsidRDefault="001171A1" w:rsidP="00610DA7">
      <w:pPr>
        <w:spacing w:line="276" w:lineRule="auto"/>
        <w:rPr>
          <w:rFonts w:ascii="Proxima Nova" w:hAnsi="Proxima Nova" w:cstheme="minorHAnsi"/>
          <w:sz w:val="22"/>
          <w:szCs w:val="22"/>
        </w:rPr>
      </w:pPr>
    </w:p>
    <w:p w14:paraId="5FF1103A" w14:textId="033A06E9" w:rsidR="00771F2E" w:rsidRPr="00A77296" w:rsidRDefault="00771F2E" w:rsidP="00610DA7">
      <w:pPr>
        <w:pStyle w:val="Heading3"/>
        <w:jc w:val="left"/>
        <w:rPr>
          <w:rFonts w:ascii="Proxima Nova" w:hAnsi="Proxima Nova" w:cstheme="minorHAnsi"/>
          <w:bCs/>
          <w:color w:val="AC1F79"/>
        </w:rPr>
      </w:pPr>
      <w:r w:rsidRPr="00771F2E">
        <w:rPr>
          <w:rFonts w:ascii="Proxima Nova" w:hAnsi="Proxima Nova"/>
          <w:bCs/>
          <w:color w:val="AC1F79"/>
        </w:rPr>
        <w:t>The Failures of Past Inquiries into Restrictive Practices</w:t>
      </w:r>
    </w:p>
    <w:p w14:paraId="416B5D8D" w14:textId="4EF0B6B9" w:rsidR="00771F2E" w:rsidRPr="00610DA7" w:rsidRDefault="00771F2E" w:rsidP="00610DA7">
      <w:pPr>
        <w:spacing w:line="276" w:lineRule="auto"/>
        <w:rPr>
          <w:rFonts w:ascii="Proxima Nova" w:hAnsi="Proxima Nova" w:cstheme="minorHAnsi"/>
          <w:sz w:val="22"/>
          <w:szCs w:val="22"/>
        </w:rPr>
      </w:pPr>
    </w:p>
    <w:p w14:paraId="468625AF" w14:textId="44EA3CCA" w:rsidR="004E5DD9" w:rsidRPr="00610DA7" w:rsidRDefault="004E5DD9" w:rsidP="000F1CFA">
      <w:pPr>
        <w:pStyle w:val="ListParagraph"/>
        <w:numPr>
          <w:ilvl w:val="1"/>
          <w:numId w:val="16"/>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The necessity for the Royal Commission and the high expectations WWDA hold</w:t>
      </w:r>
      <w:r w:rsidR="00612D50" w:rsidRPr="00610DA7">
        <w:rPr>
          <w:rFonts w:ascii="Proxima Nova" w:hAnsi="Proxima Nova" w:cstheme="minorHAnsi"/>
          <w:sz w:val="22"/>
          <w:szCs w:val="22"/>
        </w:rPr>
        <w:t>s</w:t>
      </w:r>
      <w:r w:rsidRPr="00610DA7">
        <w:rPr>
          <w:rFonts w:ascii="Proxima Nova" w:hAnsi="Proxima Nova" w:cstheme="minorHAnsi"/>
          <w:sz w:val="22"/>
          <w:szCs w:val="22"/>
        </w:rPr>
        <w:t xml:space="preserve"> for what it should achieve in relation to restrictive practices is underscored by failures of successive past inquiries into restrictive practices.</w:t>
      </w:r>
    </w:p>
    <w:p w14:paraId="23607CFF" w14:textId="77777777" w:rsidR="004E5DD9" w:rsidRPr="00610DA7" w:rsidRDefault="004E5DD9" w:rsidP="005208B2">
      <w:pPr>
        <w:spacing w:line="276" w:lineRule="auto"/>
        <w:ind w:left="720" w:hanging="720"/>
        <w:rPr>
          <w:rFonts w:ascii="Proxima Nova" w:hAnsi="Proxima Nova" w:cstheme="minorHAnsi"/>
          <w:sz w:val="22"/>
          <w:szCs w:val="22"/>
        </w:rPr>
      </w:pPr>
    </w:p>
    <w:p w14:paraId="47A814FC" w14:textId="762E6E3B" w:rsidR="004E5DD9" w:rsidRPr="00610DA7" w:rsidRDefault="004E5DD9" w:rsidP="000F1CFA">
      <w:pPr>
        <w:pStyle w:val="ListParagraph"/>
        <w:numPr>
          <w:ilvl w:val="1"/>
          <w:numId w:val="16"/>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lastRenderedPageBreak/>
        <w:t>In the Australian context, there have been many Government inquiries and law reform reviews into restrictive practices over the past five to 10 years.</w:t>
      </w:r>
      <w:r w:rsidRPr="00610DA7">
        <w:rPr>
          <w:rStyle w:val="EndnoteReference"/>
          <w:rFonts w:ascii="Proxima Nova" w:hAnsi="Proxima Nova" w:cstheme="minorHAnsi"/>
          <w:sz w:val="22"/>
          <w:szCs w:val="22"/>
        </w:rPr>
        <w:endnoteReference w:id="6"/>
      </w:r>
      <w:r w:rsidRPr="00610DA7">
        <w:rPr>
          <w:rFonts w:ascii="Proxima Nova" w:hAnsi="Proxima Nova" w:cstheme="minorHAnsi"/>
          <w:sz w:val="22"/>
          <w:szCs w:val="22"/>
        </w:rPr>
        <w:t xml:space="preserve"> Generally, these have recognised harms of restrictive practices and issues with decision-making and oversight of restrictive practices, including in the context of the CRPD. Yet, despite these multiple reviews and inquiries – and the significant </w:t>
      </w:r>
      <w:proofErr w:type="gramStart"/>
      <w:r w:rsidRPr="00610DA7">
        <w:rPr>
          <w:rFonts w:ascii="Proxima Nova" w:hAnsi="Proxima Nova" w:cstheme="minorHAnsi"/>
          <w:sz w:val="22"/>
          <w:szCs w:val="22"/>
        </w:rPr>
        <w:t>amount</w:t>
      </w:r>
      <w:proofErr w:type="gramEnd"/>
      <w:r w:rsidRPr="00610DA7">
        <w:rPr>
          <w:rFonts w:ascii="Proxima Nova" w:hAnsi="Proxima Nova" w:cstheme="minorHAnsi"/>
          <w:sz w:val="22"/>
          <w:szCs w:val="22"/>
        </w:rPr>
        <w:t xml:space="preserve"> of public monies expended on them – the reality is that these consistently fall short of recognising restrictive practices per se as violence and recommending prohibition and redress of restrictive practices. Instead, they have overwhelmingly recommended retaining legal frameworks enabling lawful use of restrictive practices and within these frameworks</w:t>
      </w:r>
      <w:r w:rsidR="00EA1C6A" w:rsidRPr="00610DA7">
        <w:rPr>
          <w:rFonts w:ascii="Proxima Nova" w:hAnsi="Proxima Nova" w:cstheme="minorHAnsi"/>
          <w:sz w:val="22"/>
          <w:szCs w:val="22"/>
        </w:rPr>
        <w:t>,</w:t>
      </w:r>
      <w:r w:rsidRPr="00610DA7">
        <w:rPr>
          <w:rFonts w:ascii="Proxima Nova" w:hAnsi="Proxima Nova" w:cstheme="minorHAnsi"/>
          <w:sz w:val="22"/>
          <w:szCs w:val="22"/>
        </w:rPr>
        <w:t xml:space="preserve"> reduction of use of restrictive practices via increased regulation through improved decision-making frameworks and enhanced oversight of disability and aged care service sectors using restrictive practices. These outcomes further entrench law’s complicity in the restrictive </w:t>
      </w:r>
      <w:r w:rsidR="0018098C" w:rsidRPr="00610DA7">
        <w:rPr>
          <w:rFonts w:ascii="Proxima Nova" w:hAnsi="Proxima Nova" w:cstheme="minorHAnsi"/>
          <w:sz w:val="22"/>
          <w:szCs w:val="22"/>
        </w:rPr>
        <w:t>practices</w:t>
      </w:r>
      <w:r w:rsidRPr="00610DA7">
        <w:rPr>
          <w:rFonts w:ascii="Proxima Nova" w:hAnsi="Proxima Nova" w:cstheme="minorHAnsi"/>
          <w:sz w:val="22"/>
          <w:szCs w:val="22"/>
        </w:rPr>
        <w:t>’ violence, a violence we describe as ‘gendered ableist legal violence’. Ultimately, these inquiries and their outcomes have not translated into any tangible action to prohibit and redress restrictive practices. Moreover, these reviews and inquiries (</w:t>
      </w:r>
      <w:proofErr w:type="gramStart"/>
      <w:r w:rsidRPr="00610DA7">
        <w:rPr>
          <w:rFonts w:ascii="Proxima Nova" w:hAnsi="Proxima Nova" w:cstheme="minorHAnsi"/>
          <w:sz w:val="22"/>
          <w:szCs w:val="22"/>
        </w:rPr>
        <w:t>with the exception of</w:t>
      </w:r>
      <w:proofErr w:type="gramEnd"/>
      <w:r w:rsidRPr="00610DA7">
        <w:rPr>
          <w:rFonts w:ascii="Proxima Nova" w:hAnsi="Proxima Nova" w:cstheme="minorHAnsi"/>
          <w:sz w:val="22"/>
          <w:szCs w:val="22"/>
        </w:rPr>
        <w:t xml:space="preserve"> the problematic 2013 </w:t>
      </w:r>
      <w:r w:rsidR="00EA1C6A" w:rsidRPr="00610DA7">
        <w:rPr>
          <w:rFonts w:ascii="Proxima Nova" w:hAnsi="Proxima Nova" w:cstheme="minorHAnsi"/>
          <w:sz w:val="22"/>
          <w:szCs w:val="22"/>
        </w:rPr>
        <w:t xml:space="preserve">Senate </w:t>
      </w:r>
      <w:r w:rsidR="00126E5C" w:rsidRPr="00610DA7">
        <w:rPr>
          <w:rFonts w:ascii="Proxima Nova" w:hAnsi="Proxima Nova" w:cstheme="minorHAnsi"/>
          <w:sz w:val="22"/>
          <w:szCs w:val="22"/>
        </w:rPr>
        <w:t>S</w:t>
      </w:r>
      <w:r w:rsidRPr="00610DA7">
        <w:rPr>
          <w:rFonts w:ascii="Proxima Nova" w:hAnsi="Proxima Nova" w:cstheme="minorHAnsi"/>
          <w:sz w:val="22"/>
          <w:szCs w:val="22"/>
        </w:rPr>
        <w:t xml:space="preserve">terilisation </w:t>
      </w:r>
      <w:r w:rsidR="00126E5C" w:rsidRPr="00610DA7">
        <w:rPr>
          <w:rFonts w:ascii="Proxima Nova" w:hAnsi="Proxima Nova" w:cstheme="minorHAnsi"/>
          <w:sz w:val="22"/>
          <w:szCs w:val="22"/>
        </w:rPr>
        <w:t>I</w:t>
      </w:r>
      <w:r w:rsidRPr="00610DA7">
        <w:rPr>
          <w:rFonts w:ascii="Proxima Nova" w:hAnsi="Proxima Nova" w:cstheme="minorHAnsi"/>
          <w:sz w:val="22"/>
          <w:szCs w:val="22"/>
        </w:rPr>
        <w:t>nquiry)</w:t>
      </w:r>
      <w:r w:rsidR="005D6732" w:rsidRPr="00610DA7">
        <w:rPr>
          <w:rStyle w:val="EndnoteReference"/>
          <w:rFonts w:ascii="Proxima Nova" w:hAnsi="Proxima Nova" w:cstheme="minorHAnsi"/>
          <w:sz w:val="22"/>
          <w:szCs w:val="22"/>
        </w:rPr>
        <w:endnoteReference w:id="7"/>
      </w:r>
      <w:r w:rsidRPr="00610DA7">
        <w:rPr>
          <w:rFonts w:ascii="Proxima Nova" w:hAnsi="Proxima Nova" w:cstheme="minorHAnsi"/>
          <w:sz w:val="22"/>
          <w:szCs w:val="22"/>
        </w:rPr>
        <w:t xml:space="preserve"> have generally failed to consider gendered dynamics of restrictive practices and have not explored </w:t>
      </w:r>
      <w:r w:rsidR="004E78DD" w:rsidRPr="00610DA7">
        <w:rPr>
          <w:rFonts w:ascii="Proxima Nova" w:hAnsi="Proxima Nova" w:cstheme="minorHAnsi"/>
          <w:sz w:val="22"/>
          <w:szCs w:val="22"/>
        </w:rPr>
        <w:t xml:space="preserve">the particular </w:t>
      </w:r>
      <w:r w:rsidR="00BB691E" w:rsidRPr="00610DA7">
        <w:rPr>
          <w:rFonts w:ascii="Proxima Nova" w:hAnsi="Proxima Nova" w:cstheme="minorHAnsi"/>
          <w:sz w:val="22"/>
          <w:szCs w:val="22"/>
        </w:rPr>
        <w:t>circumstances</w:t>
      </w:r>
      <w:r w:rsidR="004E78DD" w:rsidRPr="00610DA7">
        <w:rPr>
          <w:rFonts w:ascii="Proxima Nova" w:hAnsi="Proxima Nova" w:cstheme="minorHAnsi"/>
          <w:sz w:val="22"/>
          <w:szCs w:val="22"/>
        </w:rPr>
        <w:t xml:space="preserve"> of women and girls with disability, including </w:t>
      </w:r>
      <w:r w:rsidRPr="00610DA7">
        <w:rPr>
          <w:rFonts w:ascii="Proxima Nova" w:hAnsi="Proxima Nova" w:cstheme="minorHAnsi"/>
          <w:sz w:val="22"/>
          <w:szCs w:val="22"/>
        </w:rPr>
        <w:t>issues related to non-consensual and coerced sterilisation, menstrual suppression, contraception and abortion.</w:t>
      </w:r>
    </w:p>
    <w:p w14:paraId="1639D2ED" w14:textId="77777777" w:rsidR="004E5DD9" w:rsidRPr="00610DA7" w:rsidRDefault="004E5DD9" w:rsidP="005208B2">
      <w:pPr>
        <w:spacing w:line="276" w:lineRule="auto"/>
        <w:ind w:left="720" w:hanging="720"/>
        <w:rPr>
          <w:rFonts w:ascii="Proxima Nova" w:hAnsi="Proxima Nova" w:cstheme="minorHAnsi"/>
          <w:sz w:val="22"/>
          <w:szCs w:val="22"/>
        </w:rPr>
      </w:pPr>
    </w:p>
    <w:p w14:paraId="039DB5D9" w14:textId="34405D5C" w:rsidR="0062567A" w:rsidRPr="00610DA7" w:rsidRDefault="004E5DD9" w:rsidP="000F1CFA">
      <w:pPr>
        <w:pStyle w:val="ListParagraph"/>
        <w:numPr>
          <w:ilvl w:val="1"/>
          <w:numId w:val="16"/>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lang w:val="en-US" w:eastAsia="en-AU"/>
        </w:rPr>
        <w:t xml:space="preserve">In 2013, the </w:t>
      </w:r>
      <w:r w:rsidRPr="00610DA7">
        <w:rPr>
          <w:rFonts w:ascii="Proxima Nova" w:hAnsi="Proxima Nova" w:cstheme="minorHAnsi"/>
          <w:i/>
          <w:iCs/>
          <w:sz w:val="22"/>
          <w:szCs w:val="22"/>
          <w:lang w:val="en-US" w:eastAsia="en-AU"/>
        </w:rPr>
        <w:t>Senate Community Affairs References Committee</w:t>
      </w:r>
      <w:r w:rsidRPr="00610DA7">
        <w:rPr>
          <w:rFonts w:ascii="Proxima Nova" w:hAnsi="Proxima Nova" w:cstheme="minorHAnsi"/>
          <w:sz w:val="22"/>
          <w:szCs w:val="22"/>
          <w:lang w:val="en-US" w:eastAsia="en-AU"/>
        </w:rPr>
        <w:t xml:space="preserve"> reported on its inquiry into the </w:t>
      </w:r>
      <w:r w:rsidR="005D6732" w:rsidRPr="00610DA7">
        <w:rPr>
          <w:rFonts w:ascii="Proxima Nova" w:hAnsi="Proxima Nova" w:cstheme="minorHAnsi"/>
          <w:i/>
          <w:iCs/>
          <w:sz w:val="22"/>
          <w:szCs w:val="22"/>
          <w:lang w:val="en-US" w:eastAsia="en-AU"/>
        </w:rPr>
        <w:t>Involuntary or coerced sterilisation of people with disabilities in Australia</w:t>
      </w:r>
      <w:r w:rsidRPr="00610DA7">
        <w:rPr>
          <w:rFonts w:ascii="Proxima Nova" w:hAnsi="Proxima Nova" w:cstheme="minorHAnsi"/>
          <w:sz w:val="22"/>
          <w:szCs w:val="22"/>
          <w:lang w:val="en-US" w:eastAsia="en-AU"/>
        </w:rPr>
        <w:t>.</w:t>
      </w:r>
      <w:r w:rsidRPr="00610DA7">
        <w:rPr>
          <w:rStyle w:val="EndnoteReference"/>
          <w:rFonts w:ascii="Proxima Nova" w:eastAsia="Times New Roman" w:hAnsi="Proxima Nova" w:cstheme="minorHAnsi"/>
          <w:sz w:val="22"/>
          <w:szCs w:val="22"/>
          <w:lang w:val="en-US" w:eastAsia="en-AU"/>
        </w:rPr>
        <w:endnoteReference w:id="8"/>
      </w:r>
      <w:r w:rsidRPr="00610DA7">
        <w:rPr>
          <w:rFonts w:ascii="Proxima Nova" w:hAnsi="Proxima Nova" w:cstheme="minorHAnsi"/>
          <w:sz w:val="22"/>
          <w:szCs w:val="22"/>
          <w:lang w:val="en-US"/>
        </w:rPr>
        <w:t xml:space="preserve"> In its report, the Committee </w:t>
      </w:r>
      <w:r w:rsidRPr="00610DA7">
        <w:rPr>
          <w:rFonts w:ascii="Proxima Nova" w:hAnsi="Proxima Nova" w:cstheme="minorHAnsi"/>
          <w:color w:val="212121"/>
          <w:sz w:val="22"/>
          <w:szCs w:val="22"/>
          <w:lang w:val="en-US" w:eastAsia="en-AU"/>
        </w:rPr>
        <w:t xml:space="preserve">observed that sterilisation was being used to manage a broad array of care issues by reason of </w:t>
      </w:r>
      <w:r w:rsidRPr="00610DA7">
        <w:rPr>
          <w:rFonts w:ascii="Proxima Nova" w:hAnsi="Proxima Nova" w:cstheme="minorHAnsi"/>
          <w:sz w:val="22"/>
          <w:szCs w:val="22"/>
          <w:lang w:val="en-US"/>
        </w:rPr>
        <w:t>‘lack of appropriate and adequate support for both people with disabilities and their carers.’</w:t>
      </w:r>
      <w:r w:rsidRPr="00610DA7">
        <w:rPr>
          <w:rStyle w:val="EndnoteReference"/>
          <w:rFonts w:ascii="Proxima Nova" w:hAnsi="Proxima Nova" w:cstheme="minorHAnsi"/>
          <w:sz w:val="22"/>
          <w:szCs w:val="22"/>
          <w:lang w:val="en-US"/>
        </w:rPr>
        <w:endnoteReference w:id="9"/>
      </w:r>
      <w:r w:rsidRPr="00610DA7">
        <w:rPr>
          <w:rFonts w:ascii="Proxima Nova" w:hAnsi="Proxima Nova" w:cstheme="minorHAnsi"/>
          <w:sz w:val="22"/>
          <w:szCs w:val="22"/>
          <w:lang w:val="en-US"/>
        </w:rPr>
        <w:t xml:space="preserve"> </w:t>
      </w:r>
      <w:r w:rsidRPr="00610DA7">
        <w:rPr>
          <w:rFonts w:ascii="Proxima Nova" w:hAnsi="Proxima Nova" w:cstheme="minorHAnsi"/>
          <w:color w:val="212121"/>
          <w:sz w:val="22"/>
          <w:szCs w:val="22"/>
          <w:lang w:val="en-US" w:eastAsia="en-AU"/>
        </w:rPr>
        <w:t>The Committee</w:t>
      </w:r>
      <w:r w:rsidRPr="00610DA7">
        <w:rPr>
          <w:rFonts w:ascii="Proxima Nova" w:hAnsi="Proxima Nova" w:cstheme="minorHAnsi"/>
          <w:sz w:val="22"/>
          <w:szCs w:val="22"/>
          <w:lang w:val="en-US"/>
        </w:rPr>
        <w:t xml:space="preserve"> made a number of recommendations relating to access to education, training and information around sexuality and relationships for people with disabilit</w:t>
      </w:r>
      <w:r w:rsidR="007A3A34" w:rsidRPr="00610DA7">
        <w:rPr>
          <w:rFonts w:ascii="Proxima Nova" w:hAnsi="Proxima Nova" w:cstheme="minorHAnsi"/>
          <w:sz w:val="22"/>
          <w:szCs w:val="22"/>
          <w:lang w:val="en-US"/>
        </w:rPr>
        <w:t>y</w:t>
      </w:r>
      <w:r w:rsidRPr="00610DA7">
        <w:rPr>
          <w:rFonts w:ascii="Proxima Nova" w:hAnsi="Proxima Nova" w:cstheme="minorHAnsi"/>
          <w:sz w:val="22"/>
          <w:szCs w:val="22"/>
          <w:lang w:val="en-US"/>
        </w:rPr>
        <w:t xml:space="preserve"> and </w:t>
      </w:r>
      <w:r w:rsidR="007A3A34" w:rsidRPr="00610DA7">
        <w:rPr>
          <w:rFonts w:ascii="Proxima Nova" w:hAnsi="Proxima Nova" w:cstheme="minorHAnsi"/>
          <w:sz w:val="22"/>
          <w:szCs w:val="22"/>
          <w:lang w:val="en-US"/>
        </w:rPr>
        <w:t xml:space="preserve">their </w:t>
      </w:r>
      <w:r w:rsidRPr="00610DA7">
        <w:rPr>
          <w:rFonts w:ascii="Proxima Nova" w:hAnsi="Proxima Nova" w:cstheme="minorHAnsi"/>
          <w:sz w:val="22"/>
          <w:szCs w:val="22"/>
          <w:lang w:val="en-US"/>
        </w:rPr>
        <w:t xml:space="preserve">families, </w:t>
      </w:r>
      <w:r w:rsidR="007A3A34" w:rsidRPr="00610DA7">
        <w:rPr>
          <w:rFonts w:ascii="Proxima Nova" w:hAnsi="Proxima Nova" w:cstheme="minorHAnsi"/>
          <w:sz w:val="22"/>
          <w:szCs w:val="22"/>
          <w:lang w:val="en-US"/>
        </w:rPr>
        <w:t xml:space="preserve">and </w:t>
      </w:r>
      <w:r w:rsidRPr="00610DA7">
        <w:rPr>
          <w:rFonts w:ascii="Proxima Nova" w:hAnsi="Proxima Nova" w:cstheme="minorHAnsi"/>
          <w:sz w:val="22"/>
          <w:szCs w:val="22"/>
          <w:lang w:val="en-US"/>
        </w:rPr>
        <w:t>medical and disability workers. It also recommended disability support planning that addressed support for menstruation as well as ‘support for relationships and sex education.’</w:t>
      </w:r>
      <w:r w:rsidRPr="00610DA7">
        <w:rPr>
          <w:rStyle w:val="EndnoteReference"/>
          <w:rFonts w:ascii="Proxima Nova" w:hAnsi="Proxima Nova" w:cstheme="minorHAnsi"/>
          <w:sz w:val="22"/>
          <w:szCs w:val="22"/>
          <w:lang w:val="en-US"/>
        </w:rPr>
        <w:endnoteReference w:id="10"/>
      </w:r>
      <w:r w:rsidRPr="00610DA7">
        <w:rPr>
          <w:rFonts w:ascii="Proxima Nova" w:hAnsi="Proxima Nova" w:cstheme="minorHAnsi"/>
          <w:sz w:val="22"/>
          <w:szCs w:val="22"/>
          <w:lang w:val="en-US" w:eastAsia="en-AU"/>
        </w:rPr>
        <w:t xml:space="preserve"> Yet, the report ultimately fell short of recommending prohibition of non-consensual and coercive sterilisation. </w:t>
      </w:r>
      <w:r w:rsidR="00612D50" w:rsidRPr="00610DA7">
        <w:rPr>
          <w:rFonts w:ascii="Proxima Nova" w:hAnsi="Proxima Nova" w:cstheme="minorHAnsi"/>
          <w:sz w:val="22"/>
          <w:szCs w:val="22"/>
          <w:lang w:val="en-US" w:eastAsia="en-AU"/>
        </w:rPr>
        <w:t>Instead, t</w:t>
      </w:r>
      <w:r w:rsidRPr="00610DA7">
        <w:rPr>
          <w:rFonts w:ascii="Proxima Nova" w:hAnsi="Proxima Nova" w:cstheme="minorHAnsi"/>
          <w:sz w:val="22"/>
          <w:szCs w:val="22"/>
          <w:lang w:val="en-US" w:eastAsia="en-AU"/>
        </w:rPr>
        <w:t xml:space="preserve">he Committee recommended </w:t>
      </w:r>
      <w:r w:rsidRPr="00610DA7">
        <w:rPr>
          <w:rFonts w:ascii="Proxima Nova" w:hAnsi="Proxima Nova" w:cstheme="minorHAnsi"/>
          <w:sz w:val="22"/>
          <w:szCs w:val="22"/>
          <w:lang w:val="en-US"/>
        </w:rPr>
        <w:t>reforming the legal test</w:t>
      </w:r>
      <w:r w:rsidR="00612D50" w:rsidRPr="00610DA7">
        <w:rPr>
          <w:rFonts w:ascii="Proxima Nova" w:hAnsi="Proxima Nova" w:cstheme="minorHAnsi"/>
          <w:sz w:val="22"/>
          <w:szCs w:val="22"/>
          <w:lang w:val="en-US"/>
        </w:rPr>
        <w:t xml:space="preserve"> for non-consensual sterilisation</w:t>
      </w:r>
      <w:r w:rsidRPr="00610DA7">
        <w:rPr>
          <w:rFonts w:ascii="Proxima Nova" w:hAnsi="Proxima Nova" w:cstheme="minorHAnsi"/>
          <w:sz w:val="22"/>
          <w:szCs w:val="22"/>
          <w:lang w:val="en-US"/>
        </w:rPr>
        <w:t xml:space="preserve"> from ‘best interests’ to ‘best protection of rights.’</w:t>
      </w:r>
      <w:r w:rsidRPr="00610DA7">
        <w:rPr>
          <w:rStyle w:val="EndnoteReference"/>
          <w:rFonts w:ascii="Proxima Nova" w:hAnsi="Proxima Nova" w:cstheme="minorHAnsi"/>
          <w:sz w:val="22"/>
          <w:szCs w:val="22"/>
          <w:lang w:val="en-US"/>
        </w:rPr>
        <w:endnoteReference w:id="11"/>
      </w:r>
      <w:r w:rsidRPr="00610DA7">
        <w:rPr>
          <w:rFonts w:ascii="Proxima Nova" w:hAnsi="Proxima Nova" w:cstheme="minorHAnsi"/>
          <w:sz w:val="22"/>
          <w:szCs w:val="22"/>
          <w:lang w:val="en-US" w:eastAsia="en-AU"/>
        </w:rPr>
        <w:t xml:space="preserve"> </w:t>
      </w:r>
      <w:r w:rsidRPr="00610DA7">
        <w:rPr>
          <w:rFonts w:ascii="Proxima Nova" w:hAnsi="Proxima Nova" w:cstheme="minorHAnsi"/>
          <w:sz w:val="22"/>
          <w:szCs w:val="22"/>
          <w:lang w:val="en-US"/>
        </w:rPr>
        <w:t xml:space="preserve">This proposed test focuses </w:t>
      </w:r>
      <w:r w:rsidR="00EA1C6A" w:rsidRPr="00610DA7">
        <w:rPr>
          <w:rFonts w:ascii="Proxima Nova" w:hAnsi="Proxima Nova" w:cstheme="minorHAnsi"/>
          <w:sz w:val="22"/>
          <w:szCs w:val="22"/>
          <w:lang w:val="en-US"/>
        </w:rPr>
        <w:t xml:space="preserve">only </w:t>
      </w:r>
      <w:r w:rsidRPr="00610DA7">
        <w:rPr>
          <w:rFonts w:ascii="Proxima Nova" w:hAnsi="Proxima Nova" w:cstheme="minorHAnsi"/>
          <w:sz w:val="22"/>
          <w:szCs w:val="22"/>
          <w:lang w:val="en-US"/>
        </w:rPr>
        <w:t xml:space="preserve">on particular human rights, </w:t>
      </w:r>
      <w:proofErr w:type="gramStart"/>
      <w:r w:rsidRPr="00610DA7">
        <w:rPr>
          <w:rFonts w:ascii="Proxima Nova" w:hAnsi="Proxima Nova" w:cstheme="minorHAnsi"/>
          <w:sz w:val="22"/>
          <w:szCs w:val="22"/>
          <w:lang w:val="en-US"/>
        </w:rPr>
        <w:t>e.g.</w:t>
      </w:r>
      <w:proofErr w:type="gramEnd"/>
      <w:r w:rsidRPr="00610DA7">
        <w:rPr>
          <w:rFonts w:ascii="Proxima Nova" w:hAnsi="Proxima Nova" w:cstheme="minorHAnsi"/>
          <w:sz w:val="22"/>
          <w:szCs w:val="22"/>
          <w:lang w:val="en-US"/>
        </w:rPr>
        <w:t xml:space="preserve"> to health and inclusion and excludes the fundamental right of non-discrimination and equality. In its review of Australia in 2013, the </w:t>
      </w:r>
      <w:r w:rsidRPr="00610DA7">
        <w:rPr>
          <w:rFonts w:ascii="Proxima Nova" w:hAnsi="Proxima Nova" w:cstheme="minorHAnsi"/>
          <w:sz w:val="22"/>
          <w:szCs w:val="22"/>
          <w:shd w:val="clear" w:color="auto" w:fill="FFFFFF"/>
          <w:lang w:val="en-US"/>
        </w:rPr>
        <w:t>UN CRPD Committee</w:t>
      </w:r>
      <w:r w:rsidRPr="00610DA7">
        <w:rPr>
          <w:rFonts w:ascii="Proxima Nova" w:hAnsi="Proxima Nova" w:cstheme="minorHAnsi"/>
          <w:sz w:val="22"/>
          <w:szCs w:val="22"/>
          <w:lang w:val="en-US"/>
        </w:rPr>
        <w:t xml:space="preserve"> stated it was </w:t>
      </w:r>
      <w:r w:rsidRPr="00610DA7">
        <w:rPr>
          <w:rFonts w:ascii="Proxima Nova" w:hAnsi="Proxima Nova" w:cstheme="minorHAnsi"/>
          <w:i/>
          <w:iCs/>
          <w:sz w:val="22"/>
          <w:szCs w:val="22"/>
          <w:lang w:val="en-US"/>
        </w:rPr>
        <w:t>‘deeply concerned that the Senate inquiry report … puts forward recommendations that would allow this practice to continue.’</w:t>
      </w:r>
      <w:r w:rsidRPr="00610DA7">
        <w:rPr>
          <w:rStyle w:val="EndnoteReference"/>
          <w:rFonts w:ascii="Proxima Nova" w:hAnsi="Proxima Nova" w:cstheme="minorHAnsi"/>
          <w:sz w:val="22"/>
          <w:szCs w:val="22"/>
          <w:lang w:val="en-US"/>
        </w:rPr>
        <w:endnoteReference w:id="12"/>
      </w:r>
      <w:r w:rsidRPr="00610DA7">
        <w:rPr>
          <w:rFonts w:ascii="Proxima Nova" w:hAnsi="Proxima Nova" w:cstheme="minorHAnsi"/>
          <w:sz w:val="22"/>
          <w:szCs w:val="22"/>
          <w:lang w:val="en-US"/>
        </w:rPr>
        <w:t xml:space="preserve"> The Committee urged Australia to adopt </w:t>
      </w:r>
      <w:r w:rsidR="0062567A" w:rsidRPr="00610DA7">
        <w:rPr>
          <w:rFonts w:ascii="Proxima Nova" w:hAnsi="Proxima Nova" w:cstheme="minorHAnsi"/>
          <w:i/>
          <w:iCs/>
          <w:sz w:val="22"/>
          <w:szCs w:val="22"/>
          <w:lang w:val="en-US"/>
        </w:rPr>
        <w:t>‘uniform national legislation prohibiting the sterilisation of boys and girls with disabilities, and adults with disabilities, in the absence of their prior, fully informed and free consent.’</w:t>
      </w:r>
      <w:r w:rsidR="0062567A" w:rsidRPr="00610DA7">
        <w:rPr>
          <w:rStyle w:val="EndnoteReference"/>
          <w:rFonts w:ascii="Proxima Nova" w:hAnsi="Proxima Nova" w:cstheme="minorHAnsi"/>
          <w:sz w:val="22"/>
          <w:szCs w:val="22"/>
          <w:lang w:val="en-US"/>
        </w:rPr>
        <w:endnoteReference w:id="13"/>
      </w:r>
      <w:r w:rsidR="0062567A" w:rsidRPr="00610DA7">
        <w:rPr>
          <w:rFonts w:ascii="Proxima Nova" w:hAnsi="Proxima Nova" w:cstheme="minorHAnsi"/>
          <w:sz w:val="22"/>
          <w:szCs w:val="22"/>
          <w:lang w:val="en-US"/>
        </w:rPr>
        <w:t xml:space="preserve"> In its subsequent review of Australia’s compliance with the CRPD in 2019, the Committee once again reiterated these concerns and recommendations.</w:t>
      </w:r>
      <w:r w:rsidR="001542FB" w:rsidRPr="00610DA7">
        <w:rPr>
          <w:rStyle w:val="EndnoteReference"/>
          <w:rFonts w:ascii="Proxima Nova" w:hAnsi="Proxima Nova" w:cstheme="minorHAnsi"/>
          <w:sz w:val="22"/>
          <w:szCs w:val="22"/>
          <w:lang w:val="en-US"/>
        </w:rPr>
        <w:endnoteReference w:id="14"/>
      </w:r>
    </w:p>
    <w:p w14:paraId="7973C5B4" w14:textId="77777777" w:rsidR="004E5DD9" w:rsidRPr="00610DA7" w:rsidRDefault="004E5DD9" w:rsidP="005208B2">
      <w:pPr>
        <w:spacing w:line="276" w:lineRule="auto"/>
        <w:ind w:left="720" w:hanging="720"/>
        <w:rPr>
          <w:rFonts w:ascii="Proxima Nova" w:hAnsi="Proxima Nova" w:cstheme="minorHAnsi"/>
          <w:sz w:val="22"/>
          <w:szCs w:val="22"/>
        </w:rPr>
      </w:pPr>
    </w:p>
    <w:p w14:paraId="21CCF418" w14:textId="41129C9D" w:rsidR="0073576A" w:rsidRPr="00610DA7" w:rsidRDefault="004E5DD9" w:rsidP="0073576A">
      <w:pPr>
        <w:pStyle w:val="ListParagraph"/>
        <w:numPr>
          <w:ilvl w:val="1"/>
          <w:numId w:val="16"/>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 xml:space="preserve">In 2014, the Australian Law Reform Commission (ALRC) in its review </w:t>
      </w:r>
      <w:r w:rsidR="005D6732" w:rsidRPr="00610DA7">
        <w:rPr>
          <w:rFonts w:ascii="Proxima Nova" w:hAnsi="Proxima Nova" w:cstheme="minorHAnsi"/>
          <w:i/>
          <w:iCs/>
          <w:sz w:val="22"/>
          <w:szCs w:val="22"/>
        </w:rPr>
        <w:t>‘</w:t>
      </w:r>
      <w:r w:rsidRPr="00610DA7">
        <w:rPr>
          <w:rFonts w:ascii="Proxima Nova" w:hAnsi="Proxima Nova" w:cstheme="minorHAnsi"/>
          <w:i/>
          <w:iCs/>
          <w:sz w:val="22"/>
          <w:szCs w:val="22"/>
        </w:rPr>
        <w:t>Equality, Capacity and Disability in Commonwealth Laws</w:t>
      </w:r>
      <w:r w:rsidR="005D6732" w:rsidRPr="00610DA7">
        <w:rPr>
          <w:rFonts w:ascii="Proxima Nova" w:hAnsi="Proxima Nova" w:cstheme="minorHAnsi"/>
          <w:i/>
          <w:iCs/>
          <w:sz w:val="22"/>
          <w:szCs w:val="22"/>
        </w:rPr>
        <w:t>’</w:t>
      </w:r>
      <w:r w:rsidRPr="00610DA7">
        <w:rPr>
          <w:rFonts w:ascii="Proxima Nova" w:hAnsi="Proxima Nova" w:cstheme="minorHAnsi"/>
          <w:sz w:val="22"/>
          <w:szCs w:val="22"/>
        </w:rPr>
        <w:t xml:space="preserve"> recommended a shift from substituted to supported decision-making. It recommended reform of Commonwealth, State and Territory laws consistent with four ‘National Decision-Making Principles’: </w:t>
      </w:r>
    </w:p>
    <w:p w14:paraId="4EBCFC55" w14:textId="459842C6" w:rsidR="0073576A" w:rsidRPr="00610DA7" w:rsidRDefault="0073576A" w:rsidP="0073576A">
      <w:pPr>
        <w:rPr>
          <w:rFonts w:ascii="Proxima Nova" w:hAnsi="Proxima Nova" w:cstheme="minorHAnsi"/>
          <w:sz w:val="22"/>
          <w:szCs w:val="22"/>
        </w:rPr>
      </w:pPr>
    </w:p>
    <w:p w14:paraId="7D468DED" w14:textId="34C3F7FD" w:rsidR="0073576A" w:rsidRPr="00610DA7" w:rsidRDefault="0073576A" w:rsidP="0073576A">
      <w:pPr>
        <w:ind w:firstLine="720"/>
        <w:rPr>
          <w:rFonts w:ascii="Proxima Nova" w:hAnsi="Proxima Nova" w:cstheme="minorHAnsi"/>
          <w:sz w:val="22"/>
          <w:szCs w:val="22"/>
        </w:rPr>
      </w:pPr>
      <w:r w:rsidRPr="00610DA7">
        <w:rPr>
          <w:rFonts w:ascii="Proxima Nova" w:hAnsi="Proxima Nova" w:cstheme="minorHAnsi"/>
          <w:sz w:val="22"/>
          <w:szCs w:val="22"/>
        </w:rPr>
        <w:t>(a)</w:t>
      </w:r>
      <w:r w:rsidRPr="00610DA7">
        <w:rPr>
          <w:rFonts w:ascii="Proxima Nova" w:hAnsi="Proxima Nova" w:cstheme="minorHAnsi"/>
          <w:sz w:val="22"/>
          <w:szCs w:val="22"/>
        </w:rPr>
        <w:tab/>
        <w:t xml:space="preserve">equal right to make decisions and have decisions </w:t>
      </w:r>
      <w:proofErr w:type="gramStart"/>
      <w:r w:rsidRPr="00610DA7">
        <w:rPr>
          <w:rFonts w:ascii="Proxima Nova" w:hAnsi="Proxima Nova" w:cstheme="minorHAnsi"/>
          <w:sz w:val="22"/>
          <w:szCs w:val="22"/>
        </w:rPr>
        <w:t>respected;</w:t>
      </w:r>
      <w:proofErr w:type="gramEnd"/>
    </w:p>
    <w:p w14:paraId="557A7CF5" w14:textId="44100883" w:rsidR="0073576A" w:rsidRPr="00610DA7" w:rsidRDefault="0073576A" w:rsidP="0073576A">
      <w:pPr>
        <w:ind w:firstLine="720"/>
        <w:rPr>
          <w:rFonts w:ascii="Proxima Nova" w:hAnsi="Proxima Nova" w:cstheme="minorHAnsi"/>
          <w:sz w:val="22"/>
          <w:szCs w:val="22"/>
        </w:rPr>
      </w:pPr>
      <w:r w:rsidRPr="00610DA7">
        <w:rPr>
          <w:rFonts w:ascii="Proxima Nova" w:hAnsi="Proxima Nova" w:cstheme="minorHAnsi"/>
          <w:sz w:val="22"/>
          <w:szCs w:val="22"/>
        </w:rPr>
        <w:t>(b)</w:t>
      </w:r>
      <w:r w:rsidRPr="00610DA7">
        <w:rPr>
          <w:rFonts w:ascii="Proxima Nova" w:hAnsi="Proxima Nova" w:cstheme="minorHAnsi"/>
          <w:sz w:val="22"/>
          <w:szCs w:val="22"/>
        </w:rPr>
        <w:tab/>
        <w:t xml:space="preserve">provision of support persons for </w:t>
      </w:r>
      <w:proofErr w:type="gramStart"/>
      <w:r w:rsidRPr="00610DA7">
        <w:rPr>
          <w:rFonts w:ascii="Proxima Nova" w:hAnsi="Proxima Nova" w:cstheme="minorHAnsi"/>
          <w:sz w:val="22"/>
          <w:szCs w:val="22"/>
        </w:rPr>
        <w:t>decision-making;</w:t>
      </w:r>
      <w:proofErr w:type="gramEnd"/>
    </w:p>
    <w:p w14:paraId="36235FC2" w14:textId="4ED10B70" w:rsidR="0073576A" w:rsidRPr="00610DA7" w:rsidRDefault="0073576A" w:rsidP="00612D50">
      <w:pPr>
        <w:ind w:left="1440" w:hanging="720"/>
        <w:rPr>
          <w:rFonts w:ascii="Proxima Nova" w:hAnsi="Proxima Nova" w:cstheme="minorHAnsi"/>
          <w:sz w:val="22"/>
          <w:szCs w:val="22"/>
        </w:rPr>
      </w:pPr>
      <w:r w:rsidRPr="00610DA7">
        <w:rPr>
          <w:rFonts w:ascii="Proxima Nova" w:hAnsi="Proxima Nova" w:cstheme="minorHAnsi"/>
          <w:sz w:val="22"/>
          <w:szCs w:val="22"/>
        </w:rPr>
        <w:t>(c)</w:t>
      </w:r>
      <w:r w:rsidRPr="00610DA7">
        <w:rPr>
          <w:rFonts w:ascii="Proxima Nova" w:hAnsi="Proxima Nova" w:cstheme="minorHAnsi"/>
          <w:sz w:val="22"/>
          <w:szCs w:val="22"/>
        </w:rPr>
        <w:tab/>
        <w:t xml:space="preserve">supported decision-making must be directed by the will, preferences and rights of </w:t>
      </w:r>
      <w:proofErr w:type="gramStart"/>
      <w:r w:rsidRPr="00610DA7">
        <w:rPr>
          <w:rFonts w:ascii="Proxima Nova" w:hAnsi="Proxima Nova" w:cstheme="minorHAnsi"/>
          <w:sz w:val="22"/>
          <w:szCs w:val="22"/>
        </w:rPr>
        <w:t>individuals;</w:t>
      </w:r>
      <w:proofErr w:type="gramEnd"/>
    </w:p>
    <w:p w14:paraId="68546DF9" w14:textId="5FEA02E0" w:rsidR="0073576A" w:rsidRPr="00610DA7" w:rsidRDefault="0073576A" w:rsidP="0073576A">
      <w:pPr>
        <w:ind w:left="1440" w:hanging="720"/>
        <w:rPr>
          <w:rFonts w:ascii="Proxima Nova" w:hAnsi="Proxima Nova" w:cstheme="minorHAnsi"/>
          <w:sz w:val="22"/>
          <w:szCs w:val="22"/>
        </w:rPr>
      </w:pPr>
      <w:r w:rsidRPr="00610DA7">
        <w:rPr>
          <w:rFonts w:ascii="Proxima Nova" w:hAnsi="Proxima Nova" w:cstheme="minorHAnsi"/>
          <w:sz w:val="22"/>
          <w:szCs w:val="22"/>
        </w:rPr>
        <w:t>(d)</w:t>
      </w:r>
      <w:r w:rsidRPr="00610DA7">
        <w:rPr>
          <w:rFonts w:ascii="Proxima Nova" w:hAnsi="Proxima Nova" w:cstheme="minorHAnsi"/>
          <w:sz w:val="22"/>
          <w:szCs w:val="22"/>
        </w:rPr>
        <w:tab/>
        <w:t>laws and legal frameworks must contain safeguards to prevent abuse and undue influence in decision-making.</w:t>
      </w:r>
      <w:r w:rsidRPr="00610DA7">
        <w:rPr>
          <w:rStyle w:val="EndnoteReference"/>
          <w:rFonts w:ascii="Proxima Nova" w:hAnsi="Proxima Nova" w:cstheme="minorHAnsi"/>
          <w:sz w:val="22"/>
          <w:szCs w:val="22"/>
        </w:rPr>
        <w:endnoteReference w:id="15"/>
      </w:r>
    </w:p>
    <w:p w14:paraId="048E9B66" w14:textId="2CB2A809" w:rsidR="0073576A" w:rsidRPr="00610DA7" w:rsidRDefault="0073576A" w:rsidP="0073576A">
      <w:pPr>
        <w:rPr>
          <w:rFonts w:ascii="Proxima Nova" w:hAnsi="Proxima Nova" w:cstheme="minorHAnsi"/>
          <w:sz w:val="22"/>
          <w:szCs w:val="22"/>
        </w:rPr>
      </w:pPr>
    </w:p>
    <w:p w14:paraId="69748366" w14:textId="5076FFC0" w:rsidR="004E5DD9" w:rsidRPr="00610DA7" w:rsidRDefault="004E5DD9" w:rsidP="00592C29">
      <w:pPr>
        <w:spacing w:line="276" w:lineRule="auto"/>
        <w:ind w:left="720"/>
        <w:rPr>
          <w:rFonts w:ascii="Proxima Nova" w:hAnsi="Proxima Nova" w:cstheme="minorHAnsi"/>
          <w:sz w:val="22"/>
          <w:szCs w:val="22"/>
        </w:rPr>
      </w:pPr>
      <w:r w:rsidRPr="00610DA7">
        <w:rPr>
          <w:rFonts w:ascii="Proxima Nova" w:hAnsi="Proxima Nova" w:cstheme="minorHAnsi"/>
          <w:sz w:val="22"/>
          <w:szCs w:val="22"/>
        </w:rPr>
        <w:t xml:space="preserve">It also recommended introduction of the ‘Commonwealth decision-making model’ which consists of ‘supporters’ who provide support to an individual to make decisions and ‘representatives’ who are appointed (as a last resort and in limited circumstances) to make decisions for individuals based on their will and preferences because the individual desires or requires </w:t>
      </w:r>
      <w:r w:rsidR="00B42A36" w:rsidRPr="00610DA7">
        <w:rPr>
          <w:rFonts w:ascii="Proxima Nova" w:hAnsi="Proxima Nova" w:cstheme="minorHAnsi"/>
          <w:sz w:val="22"/>
          <w:szCs w:val="22"/>
        </w:rPr>
        <w:t xml:space="preserve">a </w:t>
      </w:r>
      <w:r w:rsidRPr="00610DA7">
        <w:rPr>
          <w:rFonts w:ascii="Proxima Nova" w:hAnsi="Proxima Nova" w:cstheme="minorHAnsi"/>
          <w:sz w:val="22"/>
          <w:szCs w:val="22"/>
        </w:rPr>
        <w:t>third party decision-maker.</w:t>
      </w:r>
      <w:r w:rsidRPr="00610DA7">
        <w:rPr>
          <w:rStyle w:val="EndnoteReference"/>
          <w:rFonts w:ascii="Proxima Nova" w:hAnsi="Proxima Nova" w:cstheme="minorHAnsi"/>
          <w:sz w:val="22"/>
          <w:szCs w:val="22"/>
        </w:rPr>
        <w:endnoteReference w:id="16"/>
      </w:r>
      <w:r w:rsidRPr="00610DA7">
        <w:rPr>
          <w:rFonts w:ascii="Proxima Nova" w:hAnsi="Proxima Nova" w:cstheme="minorHAnsi"/>
          <w:sz w:val="22"/>
          <w:szCs w:val="22"/>
        </w:rPr>
        <w:t xml:space="preserve"> It recommended that State and Territory </w:t>
      </w:r>
      <w:r w:rsidRPr="00610DA7">
        <w:rPr>
          <w:rFonts w:ascii="Proxima Nova" w:hAnsi="Proxima Nova" w:cstheme="minorHAnsi"/>
          <w:sz w:val="22"/>
          <w:szCs w:val="22"/>
        </w:rPr>
        <w:lastRenderedPageBreak/>
        <w:t xml:space="preserve">Governments review their </w:t>
      </w:r>
      <w:r w:rsidRPr="00610DA7">
        <w:rPr>
          <w:rFonts w:ascii="Proxima Nova" w:hAnsi="Proxima Nova" w:cstheme="minorHAnsi"/>
          <w:i/>
          <w:iCs/>
          <w:sz w:val="22"/>
          <w:szCs w:val="22"/>
        </w:rPr>
        <w:t>‘legislation that deals with decision-making to ensure laws are consistent with the National Decision-Making Principles and the Commonwealth decision-making model.</w:t>
      </w:r>
      <w:r w:rsidRPr="00610DA7">
        <w:rPr>
          <w:rFonts w:ascii="Proxima Nova" w:hAnsi="Proxima Nova" w:cstheme="minorHAnsi"/>
          <w:sz w:val="22"/>
          <w:szCs w:val="22"/>
        </w:rPr>
        <w:t>’</w:t>
      </w:r>
      <w:r w:rsidRPr="00610DA7">
        <w:rPr>
          <w:rStyle w:val="EndnoteReference"/>
          <w:rFonts w:ascii="Proxima Nova" w:hAnsi="Proxima Nova" w:cstheme="minorHAnsi"/>
          <w:sz w:val="22"/>
          <w:szCs w:val="22"/>
        </w:rPr>
        <w:endnoteReference w:id="17"/>
      </w:r>
      <w:r w:rsidRPr="00610DA7">
        <w:rPr>
          <w:rFonts w:ascii="Proxima Nova" w:hAnsi="Proxima Nova" w:cstheme="minorHAnsi"/>
          <w:sz w:val="22"/>
          <w:szCs w:val="22"/>
        </w:rPr>
        <w:t xml:space="preserve"> The ALRC recommended the Australian Government and the Council of Australian Governments (COAG)</w:t>
      </w:r>
      <w:r w:rsidR="00C01D4C" w:rsidRPr="00610DA7">
        <w:rPr>
          <w:rStyle w:val="EndnoteReference"/>
          <w:rFonts w:ascii="Proxima Nova" w:hAnsi="Proxima Nova" w:cstheme="minorHAnsi"/>
          <w:sz w:val="22"/>
          <w:szCs w:val="22"/>
        </w:rPr>
        <w:endnoteReference w:id="18"/>
      </w:r>
      <w:r w:rsidRPr="00610DA7">
        <w:rPr>
          <w:rFonts w:ascii="Proxima Nova" w:hAnsi="Proxima Nova" w:cstheme="minorHAnsi"/>
          <w:sz w:val="22"/>
          <w:szCs w:val="22"/>
        </w:rPr>
        <w:t xml:space="preserve"> take the ‘National Decision-Making Principles’ into account in the development of the national </w:t>
      </w:r>
      <w:r w:rsidR="00493BDB" w:rsidRPr="00610DA7">
        <w:rPr>
          <w:rFonts w:ascii="Proxima Nova" w:hAnsi="Proxima Nova" w:cstheme="minorHAnsi"/>
          <w:sz w:val="22"/>
          <w:szCs w:val="22"/>
        </w:rPr>
        <w:t>Q</w:t>
      </w:r>
      <w:r w:rsidRPr="00610DA7">
        <w:rPr>
          <w:rFonts w:ascii="Proxima Nova" w:hAnsi="Proxima Nova" w:cstheme="minorHAnsi"/>
          <w:sz w:val="22"/>
          <w:szCs w:val="22"/>
        </w:rPr>
        <w:t xml:space="preserve">uality and </w:t>
      </w:r>
      <w:r w:rsidR="00493BDB" w:rsidRPr="00610DA7">
        <w:rPr>
          <w:rFonts w:ascii="Proxima Nova" w:hAnsi="Proxima Nova" w:cstheme="minorHAnsi"/>
          <w:sz w:val="22"/>
          <w:szCs w:val="22"/>
        </w:rPr>
        <w:t>S</w:t>
      </w:r>
      <w:r w:rsidRPr="00610DA7">
        <w:rPr>
          <w:rFonts w:ascii="Proxima Nova" w:hAnsi="Proxima Nova" w:cstheme="minorHAnsi"/>
          <w:sz w:val="22"/>
          <w:szCs w:val="22"/>
        </w:rPr>
        <w:t>afeguards system for NDIS disability services.</w:t>
      </w:r>
      <w:r w:rsidRPr="00610DA7">
        <w:rPr>
          <w:rStyle w:val="EndnoteReference"/>
          <w:rFonts w:ascii="Proxima Nova" w:hAnsi="Proxima Nova" w:cstheme="minorHAnsi"/>
          <w:sz w:val="22"/>
          <w:szCs w:val="22"/>
        </w:rPr>
        <w:endnoteReference w:id="19"/>
      </w:r>
      <w:r w:rsidRPr="00610DA7">
        <w:rPr>
          <w:rFonts w:ascii="Proxima Nova" w:hAnsi="Proxima Nova" w:cstheme="minorHAnsi"/>
          <w:sz w:val="22"/>
          <w:szCs w:val="22"/>
        </w:rPr>
        <w:t xml:space="preserve"> It also recommended the ‘Australian Government and COAG adopt a similar, national approach to the regulation of restrictive practices in other relevant sectors such as aged care and health care’, as the </w:t>
      </w:r>
      <w:r w:rsidRPr="00610DA7">
        <w:rPr>
          <w:rFonts w:ascii="Proxima Nova" w:hAnsi="Proxima Nova" w:cstheme="minorHAnsi"/>
          <w:i/>
          <w:iCs/>
          <w:sz w:val="22"/>
          <w:szCs w:val="22"/>
        </w:rPr>
        <w:t>National Framework for Reducing and Eliminating the Use of Restrictive Practices in the Disability Service Sector</w:t>
      </w:r>
      <w:r w:rsidRPr="00610DA7">
        <w:rPr>
          <w:rFonts w:ascii="Proxima Nova" w:hAnsi="Proxima Nova" w:cstheme="minorHAnsi"/>
          <w:sz w:val="22"/>
          <w:szCs w:val="22"/>
        </w:rPr>
        <w:t xml:space="preserve"> requires States and Territories to reduce the use of restrictive practices.</w:t>
      </w:r>
      <w:r w:rsidRPr="00610DA7">
        <w:rPr>
          <w:rStyle w:val="EndnoteReference"/>
          <w:rFonts w:ascii="Proxima Nova" w:hAnsi="Proxima Nova" w:cstheme="minorHAnsi"/>
          <w:sz w:val="22"/>
          <w:szCs w:val="22"/>
        </w:rPr>
        <w:endnoteReference w:id="20"/>
      </w:r>
      <w:r w:rsidRPr="00610DA7">
        <w:rPr>
          <w:rFonts w:ascii="Proxima Nova" w:hAnsi="Proxima Nova" w:cstheme="minorHAnsi"/>
          <w:sz w:val="22"/>
          <w:szCs w:val="22"/>
        </w:rPr>
        <w:t xml:space="preserve"> While recognising submissions made by some Disabled People’s Organisations (DPOs) concerning sterilisation, the ALRC only noted these in the context of its discussion of State and Territory laws</w:t>
      </w:r>
      <w:r w:rsidRPr="00610DA7">
        <w:rPr>
          <w:rStyle w:val="EndnoteReference"/>
          <w:rFonts w:ascii="Proxima Nova" w:hAnsi="Proxima Nova" w:cstheme="minorHAnsi"/>
          <w:sz w:val="22"/>
          <w:szCs w:val="22"/>
        </w:rPr>
        <w:endnoteReference w:id="21"/>
      </w:r>
      <w:r w:rsidRPr="00610DA7">
        <w:rPr>
          <w:rFonts w:ascii="Proxima Nova" w:hAnsi="Proxima Nova" w:cstheme="minorHAnsi"/>
          <w:sz w:val="22"/>
          <w:szCs w:val="22"/>
        </w:rPr>
        <w:t xml:space="preserve"> and did not make any recommendations about reform of the Commonwealth Family Law powers to authorise third party consent to sterilisation.</w:t>
      </w:r>
    </w:p>
    <w:p w14:paraId="35E1C762" w14:textId="77777777" w:rsidR="004E5DD9" w:rsidRPr="00610DA7" w:rsidRDefault="004E5DD9" w:rsidP="00610DA7">
      <w:pPr>
        <w:spacing w:line="276" w:lineRule="auto"/>
        <w:ind w:left="720" w:hanging="720"/>
        <w:rPr>
          <w:rFonts w:ascii="Proxima Nova" w:hAnsi="Proxima Nova" w:cstheme="minorHAnsi"/>
          <w:sz w:val="22"/>
          <w:szCs w:val="22"/>
        </w:rPr>
      </w:pPr>
    </w:p>
    <w:p w14:paraId="31AAC096" w14:textId="161E6AC6" w:rsidR="004E5DD9" w:rsidRPr="00610DA7" w:rsidRDefault="004E5DD9" w:rsidP="00610DA7">
      <w:pPr>
        <w:pStyle w:val="ListParagraph"/>
        <w:numPr>
          <w:ilvl w:val="1"/>
          <w:numId w:val="16"/>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 xml:space="preserve">In its 2015 final report to its inquiry into </w:t>
      </w:r>
      <w:r w:rsidR="00031767" w:rsidRPr="00610DA7">
        <w:rPr>
          <w:rFonts w:ascii="Proxima Nova" w:hAnsi="Proxima Nova" w:cstheme="minorHAnsi"/>
          <w:i/>
          <w:iCs/>
          <w:sz w:val="22"/>
          <w:szCs w:val="22"/>
        </w:rPr>
        <w:t>V</w:t>
      </w:r>
      <w:r w:rsidRPr="00610DA7">
        <w:rPr>
          <w:rFonts w:ascii="Proxima Nova" w:hAnsi="Proxima Nova" w:cstheme="minorHAnsi"/>
          <w:i/>
          <w:iCs/>
          <w:sz w:val="22"/>
          <w:szCs w:val="22"/>
        </w:rPr>
        <w:t xml:space="preserve">iolence, </w:t>
      </w:r>
      <w:r w:rsidR="00031767" w:rsidRPr="00610DA7">
        <w:rPr>
          <w:rFonts w:ascii="Proxima Nova" w:hAnsi="Proxima Nova" w:cstheme="minorHAnsi"/>
          <w:i/>
          <w:iCs/>
          <w:sz w:val="22"/>
          <w:szCs w:val="22"/>
        </w:rPr>
        <w:t>A</w:t>
      </w:r>
      <w:r w:rsidRPr="00610DA7">
        <w:rPr>
          <w:rFonts w:ascii="Proxima Nova" w:hAnsi="Proxima Nova" w:cstheme="minorHAnsi"/>
          <w:i/>
          <w:iCs/>
          <w:sz w:val="22"/>
          <w:szCs w:val="22"/>
        </w:rPr>
        <w:t xml:space="preserve">buse and </w:t>
      </w:r>
      <w:r w:rsidR="00031767" w:rsidRPr="00610DA7">
        <w:rPr>
          <w:rFonts w:ascii="Proxima Nova" w:hAnsi="Proxima Nova" w:cstheme="minorHAnsi"/>
          <w:i/>
          <w:iCs/>
          <w:sz w:val="22"/>
          <w:szCs w:val="22"/>
        </w:rPr>
        <w:t>N</w:t>
      </w:r>
      <w:r w:rsidRPr="00610DA7">
        <w:rPr>
          <w:rFonts w:ascii="Proxima Nova" w:hAnsi="Proxima Nova" w:cstheme="minorHAnsi"/>
          <w:i/>
          <w:iCs/>
          <w:sz w:val="22"/>
          <w:szCs w:val="22"/>
        </w:rPr>
        <w:t xml:space="preserve">eglect against </w:t>
      </w:r>
      <w:r w:rsidR="00031767" w:rsidRPr="00610DA7">
        <w:rPr>
          <w:rFonts w:ascii="Proxima Nova" w:hAnsi="Proxima Nova" w:cstheme="minorHAnsi"/>
          <w:i/>
          <w:iCs/>
          <w:sz w:val="22"/>
          <w:szCs w:val="22"/>
        </w:rPr>
        <w:t>P</w:t>
      </w:r>
      <w:r w:rsidRPr="00610DA7">
        <w:rPr>
          <w:rFonts w:ascii="Proxima Nova" w:hAnsi="Proxima Nova" w:cstheme="minorHAnsi"/>
          <w:i/>
          <w:iCs/>
          <w:sz w:val="22"/>
          <w:szCs w:val="22"/>
        </w:rPr>
        <w:t xml:space="preserve">eople with </w:t>
      </w:r>
      <w:r w:rsidR="00031767" w:rsidRPr="00610DA7">
        <w:rPr>
          <w:rFonts w:ascii="Proxima Nova" w:hAnsi="Proxima Nova" w:cstheme="minorHAnsi"/>
          <w:i/>
          <w:iCs/>
          <w:sz w:val="22"/>
          <w:szCs w:val="22"/>
        </w:rPr>
        <w:t>D</w:t>
      </w:r>
      <w:r w:rsidRPr="00610DA7">
        <w:rPr>
          <w:rFonts w:ascii="Proxima Nova" w:hAnsi="Proxima Nova" w:cstheme="minorHAnsi"/>
          <w:i/>
          <w:iCs/>
          <w:sz w:val="22"/>
          <w:szCs w:val="22"/>
        </w:rPr>
        <w:t xml:space="preserve">isability in </w:t>
      </w:r>
      <w:r w:rsidR="00031767" w:rsidRPr="00610DA7">
        <w:rPr>
          <w:rFonts w:ascii="Proxima Nova" w:hAnsi="Proxima Nova" w:cstheme="minorHAnsi"/>
          <w:i/>
          <w:iCs/>
          <w:sz w:val="22"/>
          <w:szCs w:val="22"/>
        </w:rPr>
        <w:t>I</w:t>
      </w:r>
      <w:r w:rsidRPr="00610DA7">
        <w:rPr>
          <w:rFonts w:ascii="Proxima Nova" w:hAnsi="Proxima Nova" w:cstheme="minorHAnsi"/>
          <w:i/>
          <w:iCs/>
          <w:sz w:val="22"/>
          <w:szCs w:val="22"/>
        </w:rPr>
        <w:t xml:space="preserve">nstitutional and </w:t>
      </w:r>
      <w:r w:rsidR="00031767" w:rsidRPr="00610DA7">
        <w:rPr>
          <w:rFonts w:ascii="Proxima Nova" w:hAnsi="Proxima Nova" w:cstheme="minorHAnsi"/>
          <w:i/>
          <w:iCs/>
          <w:sz w:val="22"/>
          <w:szCs w:val="22"/>
        </w:rPr>
        <w:t>R</w:t>
      </w:r>
      <w:r w:rsidRPr="00610DA7">
        <w:rPr>
          <w:rFonts w:ascii="Proxima Nova" w:hAnsi="Proxima Nova" w:cstheme="minorHAnsi"/>
          <w:i/>
          <w:iCs/>
          <w:sz w:val="22"/>
          <w:szCs w:val="22"/>
        </w:rPr>
        <w:t xml:space="preserve">esidential </w:t>
      </w:r>
      <w:r w:rsidR="00031767" w:rsidRPr="00610DA7">
        <w:rPr>
          <w:rFonts w:ascii="Proxima Nova" w:hAnsi="Proxima Nova" w:cstheme="minorHAnsi"/>
          <w:i/>
          <w:iCs/>
          <w:sz w:val="22"/>
          <w:szCs w:val="22"/>
        </w:rPr>
        <w:t>S</w:t>
      </w:r>
      <w:r w:rsidRPr="00610DA7">
        <w:rPr>
          <w:rFonts w:ascii="Proxima Nova" w:hAnsi="Proxima Nova" w:cstheme="minorHAnsi"/>
          <w:i/>
          <w:iCs/>
          <w:sz w:val="22"/>
          <w:szCs w:val="22"/>
        </w:rPr>
        <w:t>ettings</w:t>
      </w:r>
      <w:r w:rsidRPr="00610DA7">
        <w:rPr>
          <w:rFonts w:ascii="Proxima Nova" w:hAnsi="Proxima Nova" w:cstheme="minorHAnsi"/>
          <w:sz w:val="22"/>
          <w:szCs w:val="22"/>
        </w:rPr>
        <w:t>, the Senate Community Affairs References Committee considered ‘disability-specific interventions’, including restrictive practices.</w:t>
      </w:r>
      <w:r w:rsidRPr="00610DA7">
        <w:rPr>
          <w:rStyle w:val="EndnoteReference"/>
          <w:rFonts w:ascii="Proxima Nova" w:hAnsi="Proxima Nova" w:cstheme="minorHAnsi"/>
          <w:sz w:val="22"/>
          <w:szCs w:val="22"/>
        </w:rPr>
        <w:endnoteReference w:id="22"/>
      </w:r>
      <w:r w:rsidRPr="00610DA7">
        <w:rPr>
          <w:rFonts w:ascii="Proxima Nova" w:hAnsi="Proxima Nova" w:cstheme="minorHAnsi"/>
          <w:sz w:val="22"/>
          <w:szCs w:val="22"/>
        </w:rPr>
        <w:t xml:space="preserve"> In relation to restrictive practices, the Committee expressed the view that </w:t>
      </w:r>
      <w:r w:rsidRPr="00610DA7">
        <w:rPr>
          <w:rFonts w:ascii="Proxima Nova" w:hAnsi="Proxima Nova" w:cstheme="minorHAnsi"/>
          <w:i/>
          <w:iCs/>
          <w:sz w:val="22"/>
          <w:szCs w:val="22"/>
        </w:rPr>
        <w:t>‘</w:t>
      </w:r>
      <w:r w:rsidRPr="00610DA7">
        <w:rPr>
          <w:rFonts w:ascii="Proxima Nova" w:hAnsi="Proxima Nova"/>
          <w:i/>
          <w:iCs/>
          <w:sz w:val="22"/>
          <w:szCs w:val="22"/>
        </w:rPr>
        <w:t>the right to liberty is a fundamental human right. The committee is concerned with the extent to which restrictive practice is used, and is deeply concerned with the system which allows service providers to arbitrarily deprive people of their liberty.’</w:t>
      </w:r>
      <w:r w:rsidRPr="00610DA7">
        <w:rPr>
          <w:rStyle w:val="EndnoteReference"/>
          <w:rFonts w:ascii="Proxima Nova" w:hAnsi="Proxima Nova"/>
          <w:sz w:val="22"/>
          <w:szCs w:val="22"/>
        </w:rPr>
        <w:endnoteReference w:id="23"/>
      </w:r>
      <w:r w:rsidRPr="00610DA7">
        <w:rPr>
          <w:rFonts w:ascii="Proxima Nova" w:hAnsi="Proxima Nova"/>
          <w:sz w:val="22"/>
          <w:szCs w:val="22"/>
        </w:rPr>
        <w:t xml:space="preserve"> It noted that </w:t>
      </w:r>
      <w:r w:rsidRPr="00610DA7">
        <w:rPr>
          <w:rFonts w:ascii="Proxima Nova" w:hAnsi="Proxima Nova"/>
          <w:i/>
          <w:iCs/>
          <w:sz w:val="22"/>
          <w:szCs w:val="22"/>
        </w:rPr>
        <w:t>‘[c]learly, in many cases what is deemed to be a necessary therapeutic or personal safety intervention is in fact, assault and unlawful deprivation of liberty.’</w:t>
      </w:r>
      <w:r w:rsidRPr="00610DA7">
        <w:rPr>
          <w:rStyle w:val="EndnoteReference"/>
          <w:rFonts w:ascii="Proxima Nova" w:hAnsi="Proxima Nova"/>
          <w:sz w:val="22"/>
          <w:szCs w:val="22"/>
        </w:rPr>
        <w:endnoteReference w:id="24"/>
      </w:r>
      <w:r w:rsidRPr="00610DA7">
        <w:rPr>
          <w:rFonts w:ascii="Proxima Nova" w:hAnsi="Proxima Nova"/>
          <w:sz w:val="22"/>
          <w:szCs w:val="22"/>
        </w:rPr>
        <w:t xml:space="preserve"> The Committee expressed concern about use of restrictive practices in prisons and lower safeguards afforded in those settings as compared to disability services. It was of the view that the principles in the </w:t>
      </w:r>
      <w:r w:rsidRPr="00610DA7">
        <w:rPr>
          <w:rFonts w:ascii="Proxima Nova" w:hAnsi="Proxima Nova"/>
          <w:i/>
          <w:iCs/>
          <w:sz w:val="22"/>
          <w:szCs w:val="22"/>
        </w:rPr>
        <w:t>National Framework for Reducing and Eliminating the Use of Restrictive Practices in the Disability Service Sector</w:t>
      </w:r>
      <w:r w:rsidRPr="00610DA7">
        <w:rPr>
          <w:rFonts w:ascii="Proxima Nova" w:hAnsi="Proxima Nova"/>
          <w:sz w:val="22"/>
          <w:szCs w:val="22"/>
        </w:rPr>
        <w:t xml:space="preserve"> </w:t>
      </w:r>
      <w:r w:rsidRPr="00610DA7">
        <w:rPr>
          <w:rFonts w:ascii="Proxima Nova" w:hAnsi="Proxima Nova"/>
          <w:i/>
          <w:iCs/>
          <w:sz w:val="22"/>
          <w:szCs w:val="22"/>
        </w:rPr>
        <w:t>‘should apply to all institutions where people with disability are accommodated, particularly prisons’</w:t>
      </w:r>
      <w:r w:rsidRPr="00610DA7">
        <w:rPr>
          <w:rStyle w:val="EndnoteReference"/>
          <w:rFonts w:ascii="Proxima Nova" w:hAnsi="Proxima Nova"/>
          <w:sz w:val="22"/>
          <w:szCs w:val="22"/>
        </w:rPr>
        <w:endnoteReference w:id="25"/>
      </w:r>
      <w:r w:rsidRPr="00610DA7">
        <w:rPr>
          <w:rFonts w:ascii="Proxima Nova" w:hAnsi="Proxima Nova"/>
          <w:sz w:val="22"/>
          <w:szCs w:val="22"/>
        </w:rPr>
        <w:t xml:space="preserve"> and expressed a similar view in relation to use of restrictive practices in schools.</w:t>
      </w:r>
      <w:r w:rsidRPr="00610DA7">
        <w:rPr>
          <w:rStyle w:val="EndnoteReference"/>
          <w:rFonts w:ascii="Proxima Nova" w:hAnsi="Proxima Nova"/>
          <w:sz w:val="22"/>
          <w:szCs w:val="22"/>
        </w:rPr>
        <w:endnoteReference w:id="26"/>
      </w:r>
      <w:r w:rsidRPr="00610DA7">
        <w:rPr>
          <w:rFonts w:ascii="Proxima Nova" w:hAnsi="Proxima Nova"/>
          <w:sz w:val="22"/>
          <w:szCs w:val="22"/>
        </w:rPr>
        <w:t xml:space="preserve"> </w:t>
      </w:r>
      <w:r w:rsidRPr="00610DA7">
        <w:rPr>
          <w:rFonts w:ascii="Proxima Nova" w:hAnsi="Proxima Nova" w:cstheme="minorHAnsi"/>
          <w:sz w:val="22"/>
          <w:szCs w:val="22"/>
        </w:rPr>
        <w:t>The Committee did not express any views specifically in relation to restrictive practices specific to women and girls with disability such as non-consensual and coercive sterilisation, menstrual suppression, contraception and abortion.</w:t>
      </w:r>
    </w:p>
    <w:p w14:paraId="7EAB06FE" w14:textId="10E05E99" w:rsidR="004E5DD9" w:rsidRPr="00610DA7" w:rsidRDefault="004E5DD9" w:rsidP="00610DA7">
      <w:pPr>
        <w:spacing w:line="276" w:lineRule="auto"/>
        <w:ind w:left="567" w:hanging="567"/>
        <w:rPr>
          <w:rFonts w:ascii="Proxima Nova" w:hAnsi="Proxima Nova" w:cstheme="minorHAnsi"/>
          <w:sz w:val="22"/>
          <w:szCs w:val="22"/>
        </w:rPr>
      </w:pPr>
    </w:p>
    <w:p w14:paraId="02382993" w14:textId="1EB66F00" w:rsidR="004E5DD9" w:rsidRPr="00610DA7" w:rsidRDefault="004E5DD9" w:rsidP="00610DA7">
      <w:pPr>
        <w:pStyle w:val="ListParagraph"/>
        <w:numPr>
          <w:ilvl w:val="1"/>
          <w:numId w:val="17"/>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In considering the role of legal capacity in the violence of restrictive practices, the Committee expressed the view that:</w:t>
      </w:r>
    </w:p>
    <w:p w14:paraId="3F9FA413" w14:textId="77777777" w:rsidR="004E5DD9" w:rsidRPr="00610DA7" w:rsidRDefault="004E5DD9" w:rsidP="00610DA7">
      <w:pPr>
        <w:pStyle w:val="ListParagraph"/>
        <w:spacing w:line="276" w:lineRule="auto"/>
        <w:ind w:hanging="720"/>
        <w:rPr>
          <w:rFonts w:ascii="Proxima Nova" w:hAnsi="Proxima Nova" w:cstheme="minorHAnsi"/>
          <w:sz w:val="22"/>
          <w:szCs w:val="22"/>
        </w:rPr>
      </w:pPr>
    </w:p>
    <w:p w14:paraId="6A66452B" w14:textId="1702140A" w:rsidR="004E5DD9" w:rsidRPr="00610DA7" w:rsidRDefault="004E5DD9" w:rsidP="00610DA7">
      <w:pPr>
        <w:pStyle w:val="ListParagraph"/>
        <w:spacing w:line="276" w:lineRule="auto"/>
        <w:ind w:left="1134"/>
        <w:contextualSpacing w:val="0"/>
        <w:rPr>
          <w:rFonts w:ascii="Proxima Nova" w:hAnsi="Proxima Nova"/>
          <w:sz w:val="22"/>
          <w:szCs w:val="22"/>
        </w:rPr>
      </w:pPr>
      <w:r w:rsidRPr="00610DA7">
        <w:rPr>
          <w:rFonts w:ascii="Proxima Nova" w:hAnsi="Proxima Nova"/>
          <w:i/>
          <w:iCs/>
          <w:sz w:val="22"/>
          <w:szCs w:val="22"/>
        </w:rPr>
        <w:t xml:space="preserve">At the heart of the issue of legal incapacity is the concept of decision-making for </w:t>
      </w:r>
      <w:proofErr w:type="gramStart"/>
      <w:r w:rsidRPr="00610DA7">
        <w:rPr>
          <w:rFonts w:ascii="Proxima Nova" w:hAnsi="Proxima Nova"/>
          <w:i/>
          <w:iCs/>
          <w:sz w:val="22"/>
          <w:szCs w:val="22"/>
        </w:rPr>
        <w:t>a number of</w:t>
      </w:r>
      <w:proofErr w:type="gramEnd"/>
      <w:r w:rsidRPr="00610DA7">
        <w:rPr>
          <w:rFonts w:ascii="Proxima Nova" w:hAnsi="Proxima Nova"/>
          <w:i/>
          <w:iCs/>
          <w:sz w:val="22"/>
          <w:szCs w:val="22"/>
        </w:rPr>
        <w:t xml:space="preserve"> reasons. First, when decision-making is removed from the hands of a person, it becomes easy for the decision-maker</w:t>
      </w:r>
      <w:r w:rsidR="00702A39" w:rsidRPr="00610DA7">
        <w:rPr>
          <w:rFonts w:ascii="Proxima Nova" w:hAnsi="Proxima Nova"/>
          <w:i/>
          <w:iCs/>
          <w:sz w:val="22"/>
          <w:szCs w:val="22"/>
        </w:rPr>
        <w:t xml:space="preserve"> - </w:t>
      </w:r>
      <w:r w:rsidRPr="00610DA7">
        <w:rPr>
          <w:rFonts w:ascii="Proxima Nova" w:hAnsi="Proxima Nova"/>
          <w:i/>
          <w:iCs/>
          <w:sz w:val="22"/>
          <w:szCs w:val="22"/>
        </w:rPr>
        <w:t>whether it be parent, carer, or departmental officer</w:t>
      </w:r>
      <w:r w:rsidR="00702A39" w:rsidRPr="00610DA7">
        <w:rPr>
          <w:rFonts w:ascii="Proxima Nova" w:hAnsi="Proxima Nova"/>
          <w:i/>
          <w:iCs/>
          <w:sz w:val="22"/>
          <w:szCs w:val="22"/>
        </w:rPr>
        <w:t xml:space="preserve"> - </w:t>
      </w:r>
      <w:r w:rsidRPr="00610DA7">
        <w:rPr>
          <w:rFonts w:ascii="Proxima Nova" w:hAnsi="Proxima Nova"/>
          <w:i/>
          <w:iCs/>
          <w:sz w:val="22"/>
          <w:szCs w:val="22"/>
        </w:rPr>
        <w:t xml:space="preserve">to then make decisions on behalf of that individual that may seem 'to be in their best interests' but may </w:t>
      </w:r>
      <w:proofErr w:type="gramStart"/>
      <w:r w:rsidRPr="00610DA7">
        <w:rPr>
          <w:rFonts w:ascii="Proxima Nova" w:hAnsi="Proxima Nova"/>
          <w:i/>
          <w:iCs/>
          <w:sz w:val="22"/>
          <w:szCs w:val="22"/>
        </w:rPr>
        <w:t>actually be</w:t>
      </w:r>
      <w:proofErr w:type="gramEnd"/>
      <w:r w:rsidRPr="00610DA7">
        <w:rPr>
          <w:rFonts w:ascii="Proxima Nova" w:hAnsi="Proxima Nova"/>
          <w:i/>
          <w:iCs/>
          <w:sz w:val="22"/>
          <w:szCs w:val="22"/>
        </w:rPr>
        <w:t xml:space="preserve"> completely counter to the wishes of that person. Second, in every situation where a person has been forced to cede their own autonomy to another, there is the opportunity for abuse of that decision-making power. Finally, when the erosion of control from people with disability is </w:t>
      </w:r>
      <w:proofErr w:type="gramStart"/>
      <w:r w:rsidRPr="00610DA7">
        <w:rPr>
          <w:rFonts w:ascii="Proxima Nova" w:hAnsi="Proxima Nova"/>
          <w:i/>
          <w:iCs/>
          <w:sz w:val="22"/>
          <w:szCs w:val="22"/>
        </w:rPr>
        <w:t>normalised</w:t>
      </w:r>
      <w:proofErr w:type="gramEnd"/>
      <w:r w:rsidRPr="00610DA7">
        <w:rPr>
          <w:rFonts w:ascii="Proxima Nova" w:hAnsi="Proxima Nova"/>
          <w:i/>
          <w:iCs/>
          <w:sz w:val="22"/>
          <w:szCs w:val="22"/>
        </w:rPr>
        <w:t xml:space="preserve"> it makes it easier for society to accept that even those people with disability not subject to a legal guardianship order can have their will subverted as happens with the use of restrictive practices or forced medical treatments.</w:t>
      </w:r>
      <w:r w:rsidRPr="00610DA7">
        <w:rPr>
          <w:rStyle w:val="EndnoteReference"/>
          <w:rFonts w:ascii="Proxima Nova" w:hAnsi="Proxima Nova"/>
          <w:sz w:val="22"/>
          <w:szCs w:val="22"/>
        </w:rPr>
        <w:endnoteReference w:id="27"/>
      </w:r>
    </w:p>
    <w:p w14:paraId="70787269" w14:textId="77777777" w:rsidR="004E5DD9" w:rsidRPr="00610DA7" w:rsidRDefault="004E5DD9" w:rsidP="00610DA7">
      <w:pPr>
        <w:spacing w:line="276" w:lineRule="auto"/>
        <w:ind w:left="720" w:hanging="720"/>
        <w:rPr>
          <w:rFonts w:ascii="Proxima Nova" w:hAnsi="Proxima Nova"/>
          <w:sz w:val="22"/>
          <w:szCs w:val="22"/>
        </w:rPr>
      </w:pPr>
    </w:p>
    <w:p w14:paraId="57CA26A5" w14:textId="77777777" w:rsidR="004E5DD9" w:rsidRPr="00610DA7" w:rsidRDefault="004E5DD9" w:rsidP="00610DA7">
      <w:pPr>
        <w:spacing w:line="276" w:lineRule="auto"/>
        <w:ind w:left="720"/>
        <w:rPr>
          <w:rFonts w:ascii="Proxima Nova" w:hAnsi="Proxima Nova" w:cstheme="minorHAnsi"/>
          <w:sz w:val="22"/>
          <w:szCs w:val="22"/>
        </w:rPr>
      </w:pPr>
      <w:r w:rsidRPr="00610DA7">
        <w:rPr>
          <w:rFonts w:ascii="Proxima Nova" w:hAnsi="Proxima Nova" w:cstheme="minorHAnsi"/>
          <w:sz w:val="22"/>
          <w:szCs w:val="22"/>
        </w:rPr>
        <w:t>The Committee acknowledged the negative impacts of guardianship and its potential for abuse:</w:t>
      </w:r>
    </w:p>
    <w:p w14:paraId="01397591" w14:textId="77777777" w:rsidR="004E5DD9" w:rsidRPr="00610DA7" w:rsidRDefault="004E5DD9" w:rsidP="00610DA7">
      <w:pPr>
        <w:spacing w:line="276" w:lineRule="auto"/>
        <w:ind w:left="720" w:hanging="720"/>
        <w:rPr>
          <w:rFonts w:ascii="Proxima Nova" w:hAnsi="Proxima Nova" w:cstheme="minorHAnsi"/>
          <w:sz w:val="22"/>
          <w:szCs w:val="22"/>
        </w:rPr>
      </w:pPr>
    </w:p>
    <w:p w14:paraId="145FE530" w14:textId="77777777" w:rsidR="004E5DD9" w:rsidRPr="00610DA7" w:rsidRDefault="004E5DD9" w:rsidP="00610DA7">
      <w:pPr>
        <w:spacing w:line="276" w:lineRule="auto"/>
        <w:ind w:left="1134"/>
        <w:rPr>
          <w:rFonts w:ascii="Proxima Nova" w:hAnsi="Proxima Nova" w:cstheme="minorHAnsi"/>
          <w:i/>
          <w:iCs/>
          <w:sz w:val="22"/>
          <w:szCs w:val="22"/>
        </w:rPr>
      </w:pPr>
      <w:r w:rsidRPr="00610DA7">
        <w:rPr>
          <w:rFonts w:ascii="Proxima Nova" w:hAnsi="Proxima Nova" w:cstheme="minorHAnsi"/>
          <w:i/>
          <w:iCs/>
          <w:sz w:val="22"/>
          <w:szCs w:val="22"/>
        </w:rPr>
        <w:t>The loss of legal capacity has multiple flow-on consequences, one of which is the appointment of guardianship. In many cases guardianship is a positive protective measure, but in too many cases the appointment of a guardian can have a severe negative impact on people's lives:</w:t>
      </w:r>
    </w:p>
    <w:p w14:paraId="3DE82E0B" w14:textId="77777777" w:rsidR="004E5DD9" w:rsidRPr="00664C44" w:rsidRDefault="004E5DD9" w:rsidP="00664C44">
      <w:pPr>
        <w:spacing w:line="276" w:lineRule="auto"/>
        <w:rPr>
          <w:rFonts w:ascii="Proxima Nova" w:hAnsi="Proxima Nova" w:cstheme="minorHAnsi"/>
          <w:sz w:val="22"/>
          <w:szCs w:val="22"/>
        </w:rPr>
      </w:pPr>
    </w:p>
    <w:p w14:paraId="0F3B258B" w14:textId="77777777" w:rsidR="004E5DD9" w:rsidRPr="00610DA7" w:rsidRDefault="004E5DD9" w:rsidP="00610DA7">
      <w:pPr>
        <w:spacing w:line="276" w:lineRule="auto"/>
        <w:ind w:left="1701"/>
        <w:rPr>
          <w:rFonts w:ascii="Proxima Nova" w:hAnsi="Proxima Nova" w:cstheme="minorHAnsi"/>
          <w:i/>
          <w:iCs/>
          <w:sz w:val="22"/>
          <w:szCs w:val="22"/>
        </w:rPr>
      </w:pPr>
      <w:r w:rsidRPr="00610DA7">
        <w:rPr>
          <w:rFonts w:ascii="Proxima Nova" w:hAnsi="Proxima Nova" w:cstheme="minorHAnsi"/>
          <w:i/>
          <w:iCs/>
          <w:sz w:val="22"/>
          <w:szCs w:val="22"/>
        </w:rPr>
        <w:lastRenderedPageBreak/>
        <w:t>The guardianship process could be considered an abuse itself, particularly because of the loss of rights it entails.</w:t>
      </w:r>
    </w:p>
    <w:p w14:paraId="6B1BF081" w14:textId="77777777" w:rsidR="004E5DD9" w:rsidRPr="00610DA7" w:rsidRDefault="004E5DD9" w:rsidP="00610DA7">
      <w:pPr>
        <w:spacing w:line="276" w:lineRule="auto"/>
        <w:ind w:left="1701"/>
        <w:rPr>
          <w:rFonts w:ascii="Proxima Nova" w:hAnsi="Proxima Nova" w:cstheme="minorHAnsi"/>
          <w:i/>
          <w:iCs/>
          <w:sz w:val="22"/>
          <w:szCs w:val="22"/>
        </w:rPr>
      </w:pPr>
    </w:p>
    <w:p w14:paraId="29E668BF" w14:textId="77777777" w:rsidR="004E5DD9" w:rsidRPr="00610DA7" w:rsidRDefault="004E5DD9" w:rsidP="00610DA7">
      <w:pPr>
        <w:spacing w:line="276" w:lineRule="auto"/>
        <w:ind w:left="1701"/>
        <w:rPr>
          <w:rFonts w:ascii="Proxima Nova" w:hAnsi="Proxima Nova" w:cstheme="minorHAnsi"/>
          <w:i/>
          <w:iCs/>
          <w:sz w:val="22"/>
          <w:szCs w:val="22"/>
        </w:rPr>
      </w:pPr>
      <w:r w:rsidRPr="00610DA7">
        <w:rPr>
          <w:rFonts w:ascii="Proxima Nova" w:hAnsi="Proxima Nova" w:cstheme="minorHAnsi"/>
          <w:i/>
          <w:iCs/>
          <w:sz w:val="22"/>
          <w:szCs w:val="22"/>
        </w:rPr>
        <w:t>In more serious cases, guardianship could be sought in order to enact abuse or neglect: Evidence has shown that even well-meaning guardians can inflict abuse or neglect through lack of understanding of their role or by being risk averse.</w:t>
      </w:r>
    </w:p>
    <w:p w14:paraId="074D1FD0" w14:textId="77777777" w:rsidR="004E5DD9" w:rsidRPr="00610DA7" w:rsidRDefault="004E5DD9" w:rsidP="00610DA7">
      <w:pPr>
        <w:spacing w:line="276" w:lineRule="auto"/>
        <w:ind w:left="1701"/>
        <w:rPr>
          <w:rFonts w:ascii="Proxima Nova" w:hAnsi="Proxima Nova" w:cstheme="minorHAnsi"/>
          <w:i/>
          <w:iCs/>
          <w:sz w:val="22"/>
          <w:szCs w:val="22"/>
        </w:rPr>
      </w:pPr>
    </w:p>
    <w:p w14:paraId="34CA196C" w14:textId="77777777" w:rsidR="004E5DD9" w:rsidRPr="00610DA7" w:rsidRDefault="004E5DD9" w:rsidP="00610DA7">
      <w:pPr>
        <w:spacing w:line="276" w:lineRule="auto"/>
        <w:ind w:left="1701"/>
        <w:rPr>
          <w:rFonts w:ascii="Proxima Nova" w:hAnsi="Proxima Nova" w:cstheme="minorHAnsi"/>
          <w:sz w:val="22"/>
          <w:szCs w:val="22"/>
        </w:rPr>
      </w:pPr>
      <w:r w:rsidRPr="00610DA7">
        <w:rPr>
          <w:rFonts w:ascii="Proxima Nova" w:hAnsi="Proxima Nova" w:cstheme="minorHAnsi"/>
          <w:i/>
          <w:iCs/>
          <w:sz w:val="22"/>
          <w:szCs w:val="22"/>
        </w:rPr>
        <w:t>The fact that a vulnerable person may be prevented through guardianship arrangements from lodging a complaint is also a form of abuse. In many cases, the prevention of reporting violence, abuse and neglect leads to the indefinite perpetuation of inappropriate actions.</w:t>
      </w:r>
      <w:r w:rsidRPr="00610DA7">
        <w:rPr>
          <w:rStyle w:val="EndnoteReference"/>
          <w:rFonts w:ascii="Proxima Nova" w:hAnsi="Proxima Nova" w:cstheme="minorHAnsi"/>
          <w:sz w:val="22"/>
          <w:szCs w:val="22"/>
        </w:rPr>
        <w:endnoteReference w:id="28"/>
      </w:r>
    </w:p>
    <w:p w14:paraId="483E1A2D" w14:textId="77777777" w:rsidR="004E5DD9" w:rsidRPr="00610DA7" w:rsidRDefault="004E5DD9" w:rsidP="00610DA7">
      <w:pPr>
        <w:spacing w:line="276" w:lineRule="auto"/>
        <w:rPr>
          <w:rFonts w:ascii="Proxima Nova" w:hAnsi="Proxima Nova" w:cstheme="minorHAnsi"/>
          <w:sz w:val="22"/>
          <w:szCs w:val="22"/>
          <w:highlight w:val="yellow"/>
        </w:rPr>
      </w:pPr>
    </w:p>
    <w:p w14:paraId="117F174D" w14:textId="45ABF7E0" w:rsidR="004E5DD9" w:rsidRPr="00610DA7" w:rsidRDefault="004E5DD9" w:rsidP="00610DA7">
      <w:pPr>
        <w:pStyle w:val="ListParagraph"/>
        <w:numPr>
          <w:ilvl w:val="1"/>
          <w:numId w:val="18"/>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The Committee expressed agreement with the ALRC’s report and its recommendations about supported decision-making.</w:t>
      </w:r>
      <w:r w:rsidRPr="00610DA7">
        <w:rPr>
          <w:rStyle w:val="EndnoteReference"/>
          <w:rFonts w:ascii="Proxima Nova" w:hAnsi="Proxima Nova" w:cstheme="minorHAnsi"/>
          <w:sz w:val="22"/>
          <w:szCs w:val="22"/>
        </w:rPr>
        <w:endnoteReference w:id="29"/>
      </w:r>
      <w:r w:rsidRPr="00610DA7">
        <w:rPr>
          <w:rFonts w:ascii="Proxima Nova" w:hAnsi="Proxima Nova" w:cstheme="minorHAnsi"/>
          <w:sz w:val="22"/>
          <w:szCs w:val="22"/>
        </w:rPr>
        <w:t xml:space="preserve"> It indicated support for the </w:t>
      </w:r>
      <w:r w:rsidRPr="00610DA7">
        <w:rPr>
          <w:rFonts w:ascii="Proxima Nova" w:hAnsi="Proxima Nova" w:cstheme="minorHAnsi"/>
          <w:i/>
          <w:iCs/>
          <w:sz w:val="22"/>
          <w:szCs w:val="22"/>
        </w:rPr>
        <w:t>‘implementation of a supported decision-making model that recognises a graduated continuum of legal capacity for people with disability’</w:t>
      </w:r>
      <w:r w:rsidRPr="00610DA7">
        <w:rPr>
          <w:rFonts w:ascii="Proxima Nova" w:hAnsi="Proxima Nova" w:cstheme="minorHAnsi"/>
          <w:sz w:val="22"/>
          <w:szCs w:val="22"/>
        </w:rPr>
        <w:t>.</w:t>
      </w:r>
      <w:r w:rsidRPr="00610DA7">
        <w:rPr>
          <w:rStyle w:val="EndnoteReference"/>
          <w:rFonts w:ascii="Proxima Nova" w:hAnsi="Proxima Nova" w:cstheme="minorHAnsi"/>
          <w:sz w:val="22"/>
          <w:szCs w:val="22"/>
        </w:rPr>
        <w:endnoteReference w:id="30"/>
      </w:r>
    </w:p>
    <w:p w14:paraId="53ADAE7A" w14:textId="77777777" w:rsidR="004E5DD9" w:rsidRPr="00610DA7" w:rsidRDefault="004E5DD9" w:rsidP="00610DA7">
      <w:pPr>
        <w:spacing w:line="276" w:lineRule="auto"/>
        <w:ind w:left="720" w:hanging="720"/>
        <w:rPr>
          <w:rFonts w:ascii="Proxima Nova" w:hAnsi="Proxima Nova" w:cstheme="minorHAnsi"/>
          <w:sz w:val="22"/>
          <w:szCs w:val="22"/>
        </w:rPr>
      </w:pPr>
    </w:p>
    <w:p w14:paraId="490B5F6D" w14:textId="513E7A4E" w:rsidR="004E5DD9" w:rsidRPr="00610DA7" w:rsidRDefault="004E5DD9" w:rsidP="00610DA7">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t xml:space="preserve">In its 2016 final report on its </w:t>
      </w:r>
      <w:r w:rsidR="007119F5" w:rsidRPr="00610DA7">
        <w:rPr>
          <w:rFonts w:ascii="Proxima Nova" w:hAnsi="Proxima Nova" w:cstheme="minorHAnsi"/>
          <w:sz w:val="22"/>
          <w:szCs w:val="22"/>
        </w:rPr>
        <w:t>I</w:t>
      </w:r>
      <w:r w:rsidRPr="00610DA7">
        <w:rPr>
          <w:rFonts w:ascii="Proxima Nova" w:hAnsi="Proxima Nova" w:cstheme="minorHAnsi"/>
          <w:sz w:val="22"/>
          <w:szCs w:val="22"/>
        </w:rPr>
        <w:t xml:space="preserve">nquiry into </w:t>
      </w:r>
      <w:r w:rsidR="007119F5" w:rsidRPr="00610DA7">
        <w:rPr>
          <w:rFonts w:ascii="Proxima Nova" w:hAnsi="Proxima Nova" w:cstheme="minorHAnsi"/>
          <w:i/>
          <w:iCs/>
          <w:sz w:val="22"/>
          <w:szCs w:val="22"/>
        </w:rPr>
        <w:t>I</w:t>
      </w:r>
      <w:r w:rsidRPr="00610DA7">
        <w:rPr>
          <w:rFonts w:ascii="Proxima Nova" w:hAnsi="Proxima Nova" w:cstheme="minorHAnsi"/>
          <w:i/>
          <w:iCs/>
          <w:sz w:val="22"/>
          <w:szCs w:val="22"/>
        </w:rPr>
        <w:t xml:space="preserve">ndefinite </w:t>
      </w:r>
      <w:r w:rsidR="007119F5" w:rsidRPr="00610DA7">
        <w:rPr>
          <w:rFonts w:ascii="Proxima Nova" w:hAnsi="Proxima Nova" w:cstheme="minorHAnsi"/>
          <w:i/>
          <w:iCs/>
          <w:sz w:val="22"/>
          <w:szCs w:val="22"/>
        </w:rPr>
        <w:t>D</w:t>
      </w:r>
      <w:r w:rsidRPr="00610DA7">
        <w:rPr>
          <w:rFonts w:ascii="Proxima Nova" w:hAnsi="Proxima Nova" w:cstheme="minorHAnsi"/>
          <w:i/>
          <w:iCs/>
          <w:sz w:val="22"/>
          <w:szCs w:val="22"/>
        </w:rPr>
        <w:t xml:space="preserve">etention </w:t>
      </w:r>
      <w:r w:rsidRPr="00610DA7">
        <w:rPr>
          <w:rFonts w:ascii="Proxima Nova" w:hAnsi="Proxima Nova"/>
          <w:i/>
          <w:iCs/>
          <w:sz w:val="22"/>
          <w:szCs w:val="22"/>
        </w:rPr>
        <w:t xml:space="preserve">of </w:t>
      </w:r>
      <w:r w:rsidR="007119F5" w:rsidRPr="00610DA7">
        <w:rPr>
          <w:rFonts w:ascii="Proxima Nova" w:hAnsi="Proxima Nova"/>
          <w:i/>
          <w:iCs/>
          <w:sz w:val="22"/>
          <w:szCs w:val="22"/>
        </w:rPr>
        <w:t>P</w:t>
      </w:r>
      <w:r w:rsidRPr="00610DA7">
        <w:rPr>
          <w:rFonts w:ascii="Proxima Nova" w:hAnsi="Proxima Nova"/>
          <w:i/>
          <w:iCs/>
          <w:sz w:val="22"/>
          <w:szCs w:val="22"/>
        </w:rPr>
        <w:t xml:space="preserve">eople with </w:t>
      </w:r>
      <w:r w:rsidR="007119F5" w:rsidRPr="00610DA7">
        <w:rPr>
          <w:rFonts w:ascii="Proxima Nova" w:hAnsi="Proxima Nova"/>
          <w:i/>
          <w:iCs/>
          <w:sz w:val="22"/>
          <w:szCs w:val="22"/>
        </w:rPr>
        <w:t>C</w:t>
      </w:r>
      <w:r w:rsidRPr="00610DA7">
        <w:rPr>
          <w:rFonts w:ascii="Proxima Nova" w:hAnsi="Proxima Nova"/>
          <w:i/>
          <w:iCs/>
          <w:sz w:val="22"/>
          <w:szCs w:val="22"/>
        </w:rPr>
        <w:t xml:space="preserve">ognitive and </w:t>
      </w:r>
      <w:r w:rsidR="007119F5" w:rsidRPr="00610DA7">
        <w:rPr>
          <w:rFonts w:ascii="Proxima Nova" w:hAnsi="Proxima Nova"/>
          <w:i/>
          <w:iCs/>
          <w:sz w:val="22"/>
          <w:szCs w:val="22"/>
        </w:rPr>
        <w:t>P</w:t>
      </w:r>
      <w:r w:rsidRPr="00610DA7">
        <w:rPr>
          <w:rFonts w:ascii="Proxima Nova" w:hAnsi="Proxima Nova"/>
          <w:i/>
          <w:iCs/>
          <w:sz w:val="22"/>
          <w:szCs w:val="22"/>
        </w:rPr>
        <w:t xml:space="preserve">sychiatric </w:t>
      </w:r>
      <w:r w:rsidR="007119F5" w:rsidRPr="00610DA7">
        <w:rPr>
          <w:rFonts w:ascii="Proxima Nova" w:hAnsi="Proxima Nova"/>
          <w:i/>
          <w:iCs/>
          <w:sz w:val="22"/>
          <w:szCs w:val="22"/>
        </w:rPr>
        <w:t>I</w:t>
      </w:r>
      <w:r w:rsidRPr="00610DA7">
        <w:rPr>
          <w:rFonts w:ascii="Proxima Nova" w:hAnsi="Proxima Nova"/>
          <w:i/>
          <w:iCs/>
          <w:sz w:val="22"/>
          <w:szCs w:val="22"/>
        </w:rPr>
        <w:t>mpairment in Australia</w:t>
      </w:r>
      <w:r w:rsidRPr="00610DA7">
        <w:rPr>
          <w:rFonts w:ascii="Proxima Nova" w:hAnsi="Proxima Nova"/>
          <w:sz w:val="22"/>
          <w:szCs w:val="22"/>
        </w:rPr>
        <w:t>, the Senate Community Affairs References Committee</w:t>
      </w:r>
      <w:r w:rsidRPr="00610DA7">
        <w:rPr>
          <w:rStyle w:val="EndnoteReference"/>
          <w:rFonts w:ascii="Proxima Nova" w:hAnsi="Proxima Nova"/>
          <w:sz w:val="22"/>
          <w:szCs w:val="22"/>
        </w:rPr>
        <w:endnoteReference w:id="31"/>
      </w:r>
      <w:r w:rsidRPr="00610DA7">
        <w:rPr>
          <w:rFonts w:ascii="Proxima Nova" w:hAnsi="Proxima Nova"/>
          <w:sz w:val="22"/>
          <w:szCs w:val="22"/>
        </w:rPr>
        <w:t xml:space="preserve"> considered restrictive practices</w:t>
      </w:r>
      <w:r w:rsidRPr="00610DA7">
        <w:rPr>
          <w:rStyle w:val="EndnoteReference"/>
          <w:rFonts w:ascii="Proxima Nova" w:hAnsi="Proxima Nova"/>
          <w:sz w:val="22"/>
          <w:szCs w:val="22"/>
        </w:rPr>
        <w:endnoteReference w:id="32"/>
      </w:r>
      <w:r w:rsidRPr="00610DA7">
        <w:rPr>
          <w:rFonts w:ascii="Proxima Nova" w:hAnsi="Proxima Nova"/>
          <w:sz w:val="22"/>
          <w:szCs w:val="22"/>
        </w:rPr>
        <w:t xml:space="preserve"> and agreed with the views of the 2015 Committee’s inquiry into violence</w:t>
      </w:r>
      <w:r w:rsidR="007119F5" w:rsidRPr="00610DA7">
        <w:rPr>
          <w:rFonts w:ascii="Proxima Nova" w:hAnsi="Proxima Nova"/>
          <w:sz w:val="22"/>
          <w:szCs w:val="22"/>
        </w:rPr>
        <w:t>, abuse and neglect against people with disability in institutional and residential settings</w:t>
      </w:r>
      <w:r w:rsidRPr="00610DA7">
        <w:rPr>
          <w:rFonts w:ascii="Proxima Nova" w:hAnsi="Proxima Nova"/>
          <w:sz w:val="22"/>
          <w:szCs w:val="22"/>
        </w:rPr>
        <w:t>.</w:t>
      </w:r>
      <w:r w:rsidRPr="00610DA7">
        <w:rPr>
          <w:rStyle w:val="EndnoteReference"/>
          <w:rFonts w:ascii="Proxima Nova" w:hAnsi="Proxima Nova"/>
          <w:sz w:val="22"/>
          <w:szCs w:val="22"/>
        </w:rPr>
        <w:endnoteReference w:id="33"/>
      </w:r>
    </w:p>
    <w:p w14:paraId="5458C205" w14:textId="77777777" w:rsidR="004E5DD9" w:rsidRPr="00610DA7" w:rsidRDefault="004E5DD9" w:rsidP="00610DA7">
      <w:pPr>
        <w:pStyle w:val="ListParagraph"/>
        <w:spacing w:line="276" w:lineRule="auto"/>
        <w:ind w:hanging="720"/>
        <w:rPr>
          <w:rFonts w:ascii="Proxima Nova" w:hAnsi="Proxima Nova" w:cstheme="minorHAnsi"/>
          <w:sz w:val="22"/>
          <w:szCs w:val="22"/>
          <w:highlight w:val="yellow"/>
        </w:rPr>
      </w:pPr>
    </w:p>
    <w:p w14:paraId="6C182975" w14:textId="77777777" w:rsidR="004E5DD9" w:rsidRPr="00610DA7" w:rsidRDefault="004E5DD9" w:rsidP="00610DA7">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t xml:space="preserve">In 2018, the Australian Human Rights Commission (AHRC) released a report on safeguarding against violence in institutional settings (including institutional settings in the context of disability, health, mental health, </w:t>
      </w:r>
      <w:r w:rsidRPr="00610DA7">
        <w:rPr>
          <w:rStyle w:val="highlight"/>
          <w:rFonts w:ascii="Proxima Nova" w:hAnsi="Proxima Nova" w:cstheme="minorHAnsi"/>
          <w:sz w:val="22"/>
          <w:szCs w:val="22"/>
        </w:rPr>
        <w:t>aged care</w:t>
      </w:r>
      <w:r w:rsidRPr="00610DA7">
        <w:rPr>
          <w:rFonts w:ascii="Proxima Nova" w:hAnsi="Proxima Nova" w:cstheme="minorHAnsi"/>
          <w:sz w:val="22"/>
          <w:szCs w:val="22"/>
        </w:rPr>
        <w:t>, justice, education, and child protection services).</w:t>
      </w:r>
      <w:r w:rsidRPr="00610DA7">
        <w:rPr>
          <w:rStyle w:val="EndnoteReference"/>
          <w:rFonts w:ascii="Proxima Nova" w:hAnsi="Proxima Nova" w:cstheme="minorHAnsi"/>
          <w:sz w:val="22"/>
          <w:szCs w:val="22"/>
        </w:rPr>
        <w:endnoteReference w:id="34"/>
      </w:r>
      <w:r w:rsidRPr="00610DA7">
        <w:rPr>
          <w:rFonts w:ascii="Proxima Nova" w:hAnsi="Proxima Nova" w:cstheme="minorHAnsi"/>
          <w:sz w:val="22"/>
          <w:szCs w:val="22"/>
        </w:rPr>
        <w:t xml:space="preserve"> It recommended quality, safeguarding and oversight mechanisms in the disability and mainstream sectors that take a human rights approach. In noting that restrictive practices violate human rights, the AHRC stated that it is </w:t>
      </w:r>
      <w:r w:rsidRPr="00610DA7">
        <w:rPr>
          <w:rFonts w:ascii="Proxima Nova" w:hAnsi="Proxima Nova" w:cstheme="minorHAnsi"/>
          <w:i/>
          <w:iCs/>
          <w:sz w:val="22"/>
          <w:szCs w:val="22"/>
        </w:rPr>
        <w:t xml:space="preserve">‘important that the use of restrictive practices be </w:t>
      </w:r>
      <w:r w:rsidRPr="00610DA7">
        <w:rPr>
          <w:rStyle w:val="highlight"/>
          <w:rFonts w:ascii="Proxima Nova" w:hAnsi="Proxima Nova" w:cstheme="minorHAnsi"/>
          <w:i/>
          <w:iCs/>
          <w:sz w:val="22"/>
          <w:szCs w:val="22"/>
        </w:rPr>
        <w:t>eliminat</w:t>
      </w:r>
      <w:r w:rsidRPr="00610DA7">
        <w:rPr>
          <w:rFonts w:ascii="Proxima Nova" w:hAnsi="Proxima Nova" w:cstheme="minorHAnsi"/>
          <w:i/>
          <w:iCs/>
          <w:sz w:val="22"/>
          <w:szCs w:val="22"/>
        </w:rPr>
        <w:t xml:space="preserve">ed wherever possible, and where they continue to be </w:t>
      </w:r>
      <w:proofErr w:type="gramStart"/>
      <w:r w:rsidRPr="00610DA7">
        <w:rPr>
          <w:rFonts w:ascii="Proxima Nova" w:hAnsi="Proxima Nova" w:cstheme="minorHAnsi"/>
          <w:i/>
          <w:iCs/>
          <w:sz w:val="22"/>
          <w:szCs w:val="22"/>
        </w:rPr>
        <w:t>used</w:t>
      </w:r>
      <w:proofErr w:type="gramEnd"/>
      <w:r w:rsidRPr="00610DA7">
        <w:rPr>
          <w:rFonts w:ascii="Proxima Nova" w:hAnsi="Proxima Nova" w:cstheme="minorHAnsi"/>
          <w:i/>
          <w:iCs/>
          <w:sz w:val="22"/>
          <w:szCs w:val="22"/>
        </w:rPr>
        <w:t xml:space="preserve"> they must be effectively regulated.’</w:t>
      </w:r>
      <w:r w:rsidRPr="00610DA7">
        <w:rPr>
          <w:rStyle w:val="EndnoteReference"/>
          <w:rFonts w:ascii="Proxima Nova" w:hAnsi="Proxima Nova" w:cstheme="minorHAnsi"/>
          <w:sz w:val="22"/>
          <w:szCs w:val="22"/>
        </w:rPr>
        <w:endnoteReference w:id="35"/>
      </w:r>
    </w:p>
    <w:p w14:paraId="75FB6011" w14:textId="77777777" w:rsidR="004E5DD9" w:rsidRPr="00610DA7" w:rsidRDefault="004E5DD9" w:rsidP="00610DA7">
      <w:pPr>
        <w:pStyle w:val="ListParagraph"/>
        <w:spacing w:line="276" w:lineRule="auto"/>
        <w:ind w:hanging="720"/>
        <w:rPr>
          <w:rFonts w:ascii="Proxima Nova" w:hAnsi="Proxima Nova" w:cstheme="minorHAnsi"/>
          <w:sz w:val="22"/>
          <w:szCs w:val="22"/>
        </w:rPr>
      </w:pPr>
    </w:p>
    <w:p w14:paraId="47A1620A" w14:textId="77777777" w:rsidR="004E5DD9" w:rsidRPr="00610DA7" w:rsidRDefault="004E5DD9" w:rsidP="00610DA7">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t>There have also been multiple reviews of State and Territory guardianship</w:t>
      </w:r>
      <w:r w:rsidRPr="00610DA7">
        <w:rPr>
          <w:rStyle w:val="EndnoteReference"/>
          <w:rFonts w:ascii="Proxima Nova" w:hAnsi="Proxima Nova" w:cstheme="minorHAnsi"/>
          <w:sz w:val="22"/>
          <w:szCs w:val="22"/>
        </w:rPr>
        <w:endnoteReference w:id="36"/>
      </w:r>
      <w:r w:rsidRPr="00610DA7">
        <w:rPr>
          <w:rFonts w:ascii="Proxima Nova" w:hAnsi="Proxima Nova" w:cstheme="minorHAnsi"/>
          <w:sz w:val="22"/>
          <w:szCs w:val="22"/>
        </w:rPr>
        <w:t xml:space="preserve"> and compulsory treatment laws</w:t>
      </w:r>
      <w:r w:rsidRPr="00610DA7">
        <w:rPr>
          <w:rStyle w:val="EndnoteReference"/>
          <w:rFonts w:ascii="Proxima Nova" w:hAnsi="Proxima Nova" w:cstheme="minorHAnsi"/>
          <w:sz w:val="22"/>
          <w:szCs w:val="22"/>
        </w:rPr>
        <w:endnoteReference w:id="37"/>
      </w:r>
      <w:r w:rsidRPr="00610DA7">
        <w:rPr>
          <w:rFonts w:ascii="Proxima Nova" w:hAnsi="Proxima Nova" w:cstheme="minorHAnsi"/>
          <w:sz w:val="22"/>
          <w:szCs w:val="22"/>
        </w:rPr>
        <w:t xml:space="preserve"> that provide legal frameworks regulating restrictive practices. While many of these reviews have considered the CRPD and have indicated support for working towards eliminating use of restrictive practices, making recommendations for greater involvement of people with disability in substitute decision-making or even partial adoption of supported or assisted decision-making, none have gone so far as to recommend the complete abolition of substituted decision-making and prohibition of restrictive practices. Nor have any of them specifically recommended abolishing non-consensual and coercive sterilisation, menstrual suppression, contraception and abortion.</w:t>
      </w:r>
    </w:p>
    <w:p w14:paraId="153AE8D6" w14:textId="77777777" w:rsidR="004E5DD9" w:rsidRPr="00610DA7" w:rsidRDefault="004E5DD9" w:rsidP="00610DA7">
      <w:pPr>
        <w:spacing w:line="276" w:lineRule="auto"/>
        <w:ind w:left="720" w:hanging="720"/>
        <w:rPr>
          <w:rFonts w:ascii="Proxima Nova" w:hAnsi="Proxima Nova"/>
          <w:sz w:val="22"/>
          <w:szCs w:val="22"/>
        </w:rPr>
      </w:pPr>
    </w:p>
    <w:p w14:paraId="10030CFF" w14:textId="484094A8" w:rsidR="004E5DD9" w:rsidRPr="00610DA7" w:rsidRDefault="004E5DD9" w:rsidP="00610DA7">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t xml:space="preserve">There have been multiple reviews specifically in the context of aged care. The Senate Community Affairs References Committee report on </w:t>
      </w:r>
      <w:r w:rsidR="00425EA6" w:rsidRPr="00610DA7">
        <w:rPr>
          <w:rFonts w:ascii="Proxima Nova" w:hAnsi="Proxima Nova" w:cstheme="minorHAnsi"/>
          <w:i/>
          <w:iCs/>
          <w:sz w:val="22"/>
          <w:szCs w:val="22"/>
        </w:rPr>
        <w:t>C</w:t>
      </w:r>
      <w:r w:rsidRPr="00610DA7">
        <w:rPr>
          <w:rFonts w:ascii="Proxima Nova" w:hAnsi="Proxima Nova" w:cstheme="minorHAnsi"/>
          <w:i/>
          <w:iCs/>
          <w:sz w:val="22"/>
          <w:szCs w:val="22"/>
        </w:rPr>
        <w:t xml:space="preserve">are and </w:t>
      </w:r>
      <w:r w:rsidR="00425EA6" w:rsidRPr="00610DA7">
        <w:rPr>
          <w:rFonts w:ascii="Proxima Nova" w:hAnsi="Proxima Nova" w:cstheme="minorHAnsi"/>
          <w:i/>
          <w:iCs/>
          <w:sz w:val="22"/>
          <w:szCs w:val="22"/>
        </w:rPr>
        <w:t>M</w:t>
      </w:r>
      <w:r w:rsidRPr="00610DA7">
        <w:rPr>
          <w:rFonts w:ascii="Proxima Nova" w:hAnsi="Proxima Nova" w:cstheme="minorHAnsi"/>
          <w:i/>
          <w:iCs/>
          <w:sz w:val="22"/>
          <w:szCs w:val="22"/>
        </w:rPr>
        <w:t xml:space="preserve">anagement of </w:t>
      </w:r>
      <w:r w:rsidR="00425EA6" w:rsidRPr="00610DA7">
        <w:rPr>
          <w:rFonts w:ascii="Proxima Nova" w:hAnsi="Proxima Nova" w:cstheme="minorHAnsi"/>
          <w:i/>
          <w:iCs/>
          <w:sz w:val="22"/>
          <w:szCs w:val="22"/>
        </w:rPr>
        <w:t>Y</w:t>
      </w:r>
      <w:r w:rsidRPr="00610DA7">
        <w:rPr>
          <w:rFonts w:ascii="Proxima Nova" w:hAnsi="Proxima Nova" w:cstheme="minorHAnsi"/>
          <w:i/>
          <w:iCs/>
          <w:sz w:val="22"/>
          <w:szCs w:val="22"/>
        </w:rPr>
        <w:t xml:space="preserve">ounger and </w:t>
      </w:r>
      <w:r w:rsidR="00425EA6" w:rsidRPr="00610DA7">
        <w:rPr>
          <w:rFonts w:ascii="Proxima Nova" w:hAnsi="Proxima Nova" w:cstheme="minorHAnsi"/>
          <w:i/>
          <w:iCs/>
          <w:sz w:val="22"/>
          <w:szCs w:val="22"/>
        </w:rPr>
        <w:t>O</w:t>
      </w:r>
      <w:r w:rsidRPr="00610DA7">
        <w:rPr>
          <w:rFonts w:ascii="Proxima Nova" w:hAnsi="Proxima Nova" w:cstheme="minorHAnsi"/>
          <w:i/>
          <w:iCs/>
          <w:sz w:val="22"/>
          <w:szCs w:val="22"/>
        </w:rPr>
        <w:t xml:space="preserve">lder Australians </w:t>
      </w:r>
      <w:r w:rsidR="00425EA6" w:rsidRPr="00610DA7">
        <w:rPr>
          <w:rFonts w:ascii="Proxima Nova" w:hAnsi="Proxima Nova" w:cstheme="minorHAnsi"/>
          <w:i/>
          <w:iCs/>
          <w:sz w:val="22"/>
          <w:szCs w:val="22"/>
        </w:rPr>
        <w:t>L</w:t>
      </w:r>
      <w:r w:rsidRPr="00610DA7">
        <w:rPr>
          <w:rFonts w:ascii="Proxima Nova" w:hAnsi="Proxima Nova" w:cstheme="minorHAnsi"/>
          <w:i/>
          <w:iCs/>
          <w:sz w:val="22"/>
          <w:szCs w:val="22"/>
        </w:rPr>
        <w:t xml:space="preserve">iving with </w:t>
      </w:r>
      <w:r w:rsidR="00425EA6" w:rsidRPr="00610DA7">
        <w:rPr>
          <w:rFonts w:ascii="Proxima Nova" w:hAnsi="Proxima Nova" w:cstheme="minorHAnsi"/>
          <w:i/>
          <w:iCs/>
          <w:sz w:val="22"/>
          <w:szCs w:val="22"/>
        </w:rPr>
        <w:t>D</w:t>
      </w:r>
      <w:r w:rsidRPr="00610DA7">
        <w:rPr>
          <w:rFonts w:ascii="Proxima Nova" w:hAnsi="Proxima Nova" w:cstheme="minorHAnsi"/>
          <w:i/>
          <w:iCs/>
          <w:sz w:val="22"/>
          <w:szCs w:val="22"/>
        </w:rPr>
        <w:t xml:space="preserve">ementia and </w:t>
      </w:r>
      <w:r w:rsidR="00425EA6" w:rsidRPr="00610DA7">
        <w:rPr>
          <w:rFonts w:ascii="Proxima Nova" w:hAnsi="Proxima Nova" w:cstheme="minorHAnsi"/>
          <w:i/>
          <w:iCs/>
          <w:sz w:val="22"/>
          <w:szCs w:val="22"/>
        </w:rPr>
        <w:t>B</w:t>
      </w:r>
      <w:r w:rsidRPr="00610DA7">
        <w:rPr>
          <w:rFonts w:ascii="Proxima Nova" w:hAnsi="Proxima Nova" w:cstheme="minorHAnsi"/>
          <w:i/>
          <w:iCs/>
          <w:sz w:val="22"/>
          <w:szCs w:val="22"/>
        </w:rPr>
        <w:t xml:space="preserve">ehavioural and </w:t>
      </w:r>
      <w:r w:rsidR="00425EA6" w:rsidRPr="00610DA7">
        <w:rPr>
          <w:rFonts w:ascii="Proxima Nova" w:hAnsi="Proxima Nova" w:cstheme="minorHAnsi"/>
          <w:i/>
          <w:iCs/>
          <w:sz w:val="22"/>
          <w:szCs w:val="22"/>
        </w:rPr>
        <w:t>P</w:t>
      </w:r>
      <w:r w:rsidRPr="00610DA7">
        <w:rPr>
          <w:rFonts w:ascii="Proxima Nova" w:hAnsi="Proxima Nova" w:cstheme="minorHAnsi"/>
          <w:i/>
          <w:iCs/>
          <w:sz w:val="22"/>
          <w:szCs w:val="22"/>
        </w:rPr>
        <w:t xml:space="preserve">sychiatric symptoms of </w:t>
      </w:r>
      <w:r w:rsidR="00425EA6" w:rsidRPr="00610DA7">
        <w:rPr>
          <w:rFonts w:ascii="Proxima Nova" w:hAnsi="Proxima Nova" w:cstheme="minorHAnsi"/>
          <w:i/>
          <w:iCs/>
          <w:sz w:val="22"/>
          <w:szCs w:val="22"/>
        </w:rPr>
        <w:t>D</w:t>
      </w:r>
      <w:r w:rsidRPr="00610DA7">
        <w:rPr>
          <w:rFonts w:ascii="Proxima Nova" w:hAnsi="Proxima Nova" w:cstheme="minorHAnsi"/>
          <w:i/>
          <w:iCs/>
          <w:sz w:val="22"/>
          <w:szCs w:val="22"/>
        </w:rPr>
        <w:t>ementia</w:t>
      </w:r>
      <w:r w:rsidRPr="00610DA7">
        <w:rPr>
          <w:rFonts w:ascii="Proxima Nova" w:hAnsi="Proxima Nova" w:cstheme="minorHAnsi"/>
          <w:sz w:val="22"/>
          <w:szCs w:val="22"/>
        </w:rPr>
        <w:t xml:space="preserve"> in 2014 observed overuse of chemical and physical restraint and noted that </w:t>
      </w:r>
      <w:r w:rsidRPr="00610DA7">
        <w:rPr>
          <w:rFonts w:ascii="Proxima Nova" w:hAnsi="Proxima Nova" w:cstheme="minorHAnsi"/>
          <w:i/>
          <w:iCs/>
          <w:sz w:val="22"/>
          <w:szCs w:val="22"/>
        </w:rPr>
        <w:t>‘[i]t is necessary to make the necessary investments in training and facilities to ensure that the rights of people with dementia are respected and they are free from unnecessary restraints’</w:t>
      </w:r>
      <w:r w:rsidRPr="00610DA7">
        <w:rPr>
          <w:rFonts w:ascii="Proxima Nova" w:hAnsi="Proxima Nova" w:cstheme="minorHAnsi"/>
          <w:sz w:val="22"/>
          <w:szCs w:val="22"/>
        </w:rPr>
        <w:t>.</w:t>
      </w:r>
      <w:r w:rsidRPr="00610DA7">
        <w:rPr>
          <w:rStyle w:val="EndnoteReference"/>
          <w:rFonts w:ascii="Proxima Nova" w:hAnsi="Proxima Nova" w:cstheme="minorHAnsi"/>
          <w:sz w:val="22"/>
          <w:szCs w:val="22"/>
        </w:rPr>
        <w:endnoteReference w:id="38"/>
      </w:r>
      <w:r w:rsidRPr="00610DA7">
        <w:rPr>
          <w:rFonts w:ascii="Proxima Nova" w:hAnsi="Proxima Nova" w:cstheme="minorHAnsi"/>
          <w:sz w:val="22"/>
          <w:szCs w:val="22"/>
        </w:rPr>
        <w:t xml:space="preserve"> The Committee made various recommendations for monitoring restraint use.</w:t>
      </w:r>
      <w:r w:rsidRPr="00610DA7">
        <w:rPr>
          <w:rStyle w:val="EndnoteReference"/>
          <w:rFonts w:ascii="Proxima Nova" w:hAnsi="Proxima Nova" w:cstheme="minorHAnsi"/>
          <w:sz w:val="22"/>
          <w:szCs w:val="22"/>
        </w:rPr>
        <w:endnoteReference w:id="39"/>
      </w:r>
      <w:r w:rsidRPr="00610DA7">
        <w:rPr>
          <w:rFonts w:ascii="Proxima Nova" w:hAnsi="Proxima Nova" w:cstheme="minorHAnsi"/>
          <w:sz w:val="22"/>
          <w:szCs w:val="22"/>
        </w:rPr>
        <w:t xml:space="preserve"> </w:t>
      </w:r>
    </w:p>
    <w:p w14:paraId="60164F67" w14:textId="6E8B54C5" w:rsidR="004E5DD9" w:rsidRPr="00610DA7" w:rsidRDefault="004E5DD9" w:rsidP="00610DA7">
      <w:pPr>
        <w:pStyle w:val="ListParagraph"/>
        <w:spacing w:line="276" w:lineRule="auto"/>
        <w:ind w:hanging="720"/>
        <w:rPr>
          <w:rFonts w:ascii="Proxima Nova" w:hAnsi="Proxima Nova" w:cstheme="minorHAnsi"/>
          <w:sz w:val="22"/>
          <w:szCs w:val="22"/>
        </w:rPr>
      </w:pPr>
    </w:p>
    <w:p w14:paraId="52F1082B" w14:textId="77777777" w:rsidR="004E5DD9" w:rsidRPr="00610DA7" w:rsidRDefault="004E5DD9" w:rsidP="00610DA7">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t>In 2017, the ALRC released its final report on its inquiry into elder abuse.</w:t>
      </w:r>
      <w:r w:rsidRPr="00610DA7">
        <w:rPr>
          <w:rStyle w:val="EndnoteReference"/>
          <w:rFonts w:ascii="Proxima Nova" w:hAnsi="Proxima Nova" w:cstheme="minorHAnsi"/>
          <w:sz w:val="22"/>
          <w:szCs w:val="22"/>
        </w:rPr>
        <w:endnoteReference w:id="40"/>
      </w:r>
      <w:r w:rsidRPr="00610DA7">
        <w:rPr>
          <w:rFonts w:ascii="Proxima Nova" w:hAnsi="Proxima Nova" w:cstheme="minorHAnsi"/>
          <w:sz w:val="22"/>
          <w:szCs w:val="22"/>
        </w:rPr>
        <w:t xml:space="preserve"> It acknowledged that </w:t>
      </w:r>
      <w:r w:rsidRPr="00610DA7">
        <w:rPr>
          <w:rFonts w:ascii="Proxima Nova" w:hAnsi="Proxima Nova" w:cstheme="minorHAnsi"/>
          <w:i/>
          <w:iCs/>
          <w:sz w:val="22"/>
          <w:szCs w:val="22"/>
        </w:rPr>
        <w:t>‘</w:t>
      </w:r>
      <w:r w:rsidRPr="00610DA7">
        <w:rPr>
          <w:rFonts w:ascii="Proxima Nova" w:hAnsi="Proxima Nova"/>
          <w:i/>
          <w:iCs/>
          <w:sz w:val="22"/>
          <w:szCs w:val="22"/>
        </w:rPr>
        <w:t>use of restrictive practices will, in some circumstances, be elder abuse. Restrictive practices can deprive people of their liberty and dignity—basic legal and human rights. The practices might also sometimes amount to assault, false imprisonment and other civil and criminal wrongs.’</w:t>
      </w:r>
      <w:r w:rsidRPr="00610DA7">
        <w:rPr>
          <w:rStyle w:val="EndnoteReference"/>
          <w:rFonts w:ascii="Proxima Nova" w:hAnsi="Proxima Nova"/>
          <w:sz w:val="22"/>
          <w:szCs w:val="22"/>
        </w:rPr>
        <w:endnoteReference w:id="41"/>
      </w:r>
      <w:r w:rsidRPr="00610DA7">
        <w:rPr>
          <w:rFonts w:ascii="Proxima Nova" w:hAnsi="Proxima Nova"/>
          <w:sz w:val="22"/>
          <w:szCs w:val="22"/>
        </w:rPr>
        <w:t xml:space="preserve"> </w:t>
      </w:r>
      <w:r w:rsidRPr="00610DA7">
        <w:rPr>
          <w:rFonts w:ascii="Proxima Nova" w:hAnsi="Proxima Nova" w:cstheme="minorHAnsi"/>
          <w:sz w:val="22"/>
          <w:szCs w:val="22"/>
        </w:rPr>
        <w:t xml:space="preserve">It recommended that </w:t>
      </w:r>
      <w:r w:rsidRPr="00610DA7">
        <w:rPr>
          <w:rFonts w:ascii="Proxima Nova" w:hAnsi="Proxima Nova" w:cstheme="minorHAnsi"/>
          <w:i/>
          <w:iCs/>
          <w:sz w:val="22"/>
          <w:szCs w:val="22"/>
        </w:rPr>
        <w:t>‘[a]ged</w:t>
      </w:r>
      <w:r w:rsidRPr="00610DA7">
        <w:rPr>
          <w:rFonts w:ascii="Proxima Nova" w:hAnsi="Proxima Nova"/>
          <w:i/>
          <w:iCs/>
          <w:sz w:val="22"/>
          <w:szCs w:val="22"/>
        </w:rPr>
        <w:t xml:space="preserve"> care legislation should regulate use of restrictive practices in residential aged care’</w:t>
      </w:r>
      <w:r w:rsidRPr="00610DA7">
        <w:rPr>
          <w:rFonts w:ascii="Proxima Nova" w:hAnsi="Proxima Nova"/>
          <w:sz w:val="22"/>
          <w:szCs w:val="22"/>
        </w:rPr>
        <w:t xml:space="preserve"> and that restrictive practices should be the least restrictive option, used only as a last resort, proportionate to the risk of harm, be </w:t>
      </w:r>
      <w:r w:rsidRPr="00610DA7">
        <w:rPr>
          <w:rFonts w:ascii="Proxima Nova" w:hAnsi="Proxima Nova"/>
          <w:sz w:val="22"/>
          <w:szCs w:val="22"/>
        </w:rPr>
        <w:lastRenderedPageBreak/>
        <w:t>approved by a person authorised to make such decisions, be pursuant to a behaviour support plan and subject to regular review.</w:t>
      </w:r>
      <w:r w:rsidRPr="00610DA7">
        <w:rPr>
          <w:rStyle w:val="EndnoteReference"/>
          <w:rFonts w:ascii="Proxima Nova" w:hAnsi="Proxima Nova"/>
          <w:sz w:val="22"/>
          <w:szCs w:val="22"/>
        </w:rPr>
        <w:endnoteReference w:id="42"/>
      </w:r>
      <w:r w:rsidRPr="00610DA7">
        <w:rPr>
          <w:rFonts w:ascii="Proxima Nova" w:hAnsi="Proxima Nova"/>
          <w:sz w:val="22"/>
          <w:szCs w:val="22"/>
        </w:rPr>
        <w:t xml:space="preserve"> It also recommended </w:t>
      </w:r>
      <w:r w:rsidRPr="00610DA7">
        <w:rPr>
          <w:rFonts w:ascii="Proxima Nova" w:hAnsi="Proxima Nova"/>
          <w:i/>
          <w:iCs/>
          <w:sz w:val="22"/>
          <w:szCs w:val="22"/>
        </w:rPr>
        <w:t>‘consistently regulating the use of restrictive practices in aged care and the National Disability Insurance Scheme’</w:t>
      </w:r>
      <w:r w:rsidRPr="00610DA7">
        <w:rPr>
          <w:rStyle w:val="EndnoteReference"/>
          <w:rFonts w:ascii="Proxima Nova" w:hAnsi="Proxima Nova"/>
          <w:sz w:val="22"/>
          <w:szCs w:val="22"/>
        </w:rPr>
        <w:endnoteReference w:id="43"/>
      </w:r>
      <w:r w:rsidRPr="00610DA7">
        <w:rPr>
          <w:rFonts w:ascii="Proxima Nova" w:hAnsi="Proxima Nova"/>
          <w:sz w:val="22"/>
          <w:szCs w:val="22"/>
        </w:rPr>
        <w:t xml:space="preserve"> and that the Australian Government consider amending aged care laws and legal frameworks consistently with the National Decision-Making Principles.</w:t>
      </w:r>
      <w:r w:rsidRPr="00610DA7">
        <w:rPr>
          <w:rStyle w:val="EndnoteReference"/>
          <w:rFonts w:ascii="Proxima Nova" w:hAnsi="Proxima Nova"/>
          <w:sz w:val="22"/>
          <w:szCs w:val="22"/>
        </w:rPr>
        <w:endnoteReference w:id="44"/>
      </w:r>
      <w:r w:rsidRPr="00610DA7">
        <w:rPr>
          <w:rFonts w:ascii="Proxima Nova" w:hAnsi="Proxima Nova"/>
          <w:sz w:val="22"/>
          <w:szCs w:val="22"/>
        </w:rPr>
        <w:t xml:space="preserve"> The ALRC stated that regulation would </w:t>
      </w:r>
      <w:r w:rsidRPr="00610DA7">
        <w:rPr>
          <w:rFonts w:ascii="Proxima Nova" w:hAnsi="Proxima Nova"/>
          <w:i/>
          <w:iCs/>
          <w:sz w:val="22"/>
          <w:szCs w:val="22"/>
        </w:rPr>
        <w:t>‘mean that restrictive practices are used less frequently and only when appropriate, reducing one type of elder abuse and serving to protect older people’s legal and human rights.’</w:t>
      </w:r>
      <w:r w:rsidRPr="00610DA7">
        <w:rPr>
          <w:rStyle w:val="EndnoteReference"/>
          <w:rFonts w:ascii="Proxima Nova" w:hAnsi="Proxima Nova"/>
          <w:sz w:val="22"/>
          <w:szCs w:val="22"/>
        </w:rPr>
        <w:endnoteReference w:id="45"/>
      </w:r>
      <w:r w:rsidRPr="00610DA7">
        <w:rPr>
          <w:rFonts w:ascii="Proxima Nova" w:hAnsi="Proxima Nova"/>
          <w:sz w:val="22"/>
          <w:szCs w:val="22"/>
        </w:rPr>
        <w:t xml:space="preserve"> </w:t>
      </w:r>
    </w:p>
    <w:p w14:paraId="03D34D17" w14:textId="77777777" w:rsidR="004E5DD9" w:rsidRPr="00610DA7" w:rsidRDefault="004E5DD9" w:rsidP="00610DA7">
      <w:pPr>
        <w:spacing w:line="276" w:lineRule="auto"/>
        <w:ind w:left="720" w:hanging="720"/>
        <w:rPr>
          <w:rFonts w:ascii="Proxima Nova" w:hAnsi="Proxima Nova" w:cstheme="minorHAnsi"/>
          <w:sz w:val="22"/>
          <w:szCs w:val="22"/>
        </w:rPr>
      </w:pPr>
    </w:p>
    <w:p w14:paraId="5C411B4F" w14:textId="75FCB677" w:rsidR="004E5DD9" w:rsidRPr="00610DA7" w:rsidRDefault="004E5DD9" w:rsidP="00610DA7">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t>Also, in relation to aged care, in 2017 and in the aftermath of the Oakden scandal,</w:t>
      </w:r>
      <w:r w:rsidR="00750E38" w:rsidRPr="00610DA7">
        <w:rPr>
          <w:rStyle w:val="EndnoteReference"/>
          <w:rFonts w:ascii="Proxima Nova" w:hAnsi="Proxima Nova" w:cstheme="minorHAnsi"/>
          <w:sz w:val="22"/>
          <w:szCs w:val="22"/>
        </w:rPr>
        <w:endnoteReference w:id="46"/>
      </w:r>
      <w:r w:rsidRPr="00610DA7">
        <w:rPr>
          <w:rFonts w:ascii="Proxima Nova" w:hAnsi="Proxima Nova" w:cstheme="minorHAnsi"/>
          <w:sz w:val="22"/>
          <w:szCs w:val="22"/>
        </w:rPr>
        <w:t xml:space="preserve"> the ‘Carnell-Paterson Review’ of aged care recommended restrictive practices only be used as a last resort and that providers be required to report on use of restrictive practices. It also recommended additional monitoring and approval of chemical restraint.</w:t>
      </w:r>
      <w:r w:rsidRPr="00610DA7">
        <w:rPr>
          <w:rStyle w:val="EndnoteReference"/>
          <w:rFonts w:ascii="Proxima Nova" w:hAnsi="Proxima Nova" w:cstheme="minorHAnsi"/>
          <w:sz w:val="22"/>
          <w:szCs w:val="22"/>
        </w:rPr>
        <w:endnoteReference w:id="47"/>
      </w:r>
      <w:r w:rsidRPr="00610DA7">
        <w:rPr>
          <w:rFonts w:ascii="Proxima Nova" w:hAnsi="Proxima Nova" w:cstheme="minorHAnsi"/>
          <w:sz w:val="22"/>
          <w:szCs w:val="22"/>
        </w:rPr>
        <w:t xml:space="preserve"> The subsequent House of Representatives Standing Committee on Health, Aged Care and Sport, </w:t>
      </w:r>
      <w:r w:rsidRPr="00610DA7">
        <w:rPr>
          <w:rFonts w:ascii="Proxima Nova" w:hAnsi="Proxima Nova" w:cstheme="minorHAnsi"/>
          <w:i/>
          <w:iCs/>
          <w:sz w:val="22"/>
          <w:szCs w:val="22"/>
        </w:rPr>
        <w:t>Report on the Inquiry into the Quality of Care in Residential Aged Care Facilities in Australia</w:t>
      </w:r>
      <w:r w:rsidRPr="00610DA7">
        <w:rPr>
          <w:rFonts w:ascii="Proxima Nova" w:hAnsi="Proxima Nova" w:cstheme="minorHAnsi"/>
          <w:sz w:val="22"/>
          <w:szCs w:val="22"/>
        </w:rPr>
        <w:t xml:space="preserve"> in 2018 recommended the Australian Government amend the Aged Care Act 1997 to provide that </w:t>
      </w:r>
      <w:r w:rsidRPr="00610DA7">
        <w:rPr>
          <w:rFonts w:ascii="Proxima Nova" w:hAnsi="Proxima Nova" w:cstheme="minorHAnsi"/>
          <w:i/>
          <w:iCs/>
          <w:sz w:val="22"/>
          <w:szCs w:val="22"/>
        </w:rPr>
        <w:t>‘the use of restrictive practices in residential aged care facilities be limited to the “least restrictive” and be a measure of last resort only’</w:t>
      </w:r>
      <w:r w:rsidRPr="00610DA7">
        <w:rPr>
          <w:rFonts w:ascii="Proxima Nova" w:hAnsi="Proxima Nova" w:cstheme="minorHAnsi"/>
          <w:sz w:val="22"/>
          <w:szCs w:val="22"/>
        </w:rPr>
        <w:t>, that data on restrictive practice use</w:t>
      </w:r>
      <w:r w:rsidR="005A2BFD" w:rsidRPr="00610DA7">
        <w:rPr>
          <w:rFonts w:ascii="Proxima Nova" w:hAnsi="Proxima Nova" w:cstheme="minorHAnsi"/>
          <w:sz w:val="22"/>
          <w:szCs w:val="22"/>
        </w:rPr>
        <w:t xml:space="preserve"> be</w:t>
      </w:r>
      <w:r w:rsidRPr="00610DA7">
        <w:rPr>
          <w:rFonts w:ascii="Proxima Nova" w:hAnsi="Proxima Nova" w:cstheme="minorHAnsi"/>
          <w:sz w:val="22"/>
          <w:szCs w:val="22"/>
        </w:rPr>
        <w:t xml:space="preserve"> collected by Department of Health, that </w:t>
      </w:r>
      <w:r w:rsidR="005A2BFD" w:rsidRPr="00610DA7">
        <w:rPr>
          <w:rFonts w:ascii="Proxima Nova" w:hAnsi="Proxima Nova" w:cstheme="minorHAnsi"/>
          <w:sz w:val="22"/>
          <w:szCs w:val="22"/>
        </w:rPr>
        <w:t xml:space="preserve">use of </w:t>
      </w:r>
      <w:r w:rsidRPr="00610DA7">
        <w:rPr>
          <w:rFonts w:ascii="Proxima Nova" w:hAnsi="Proxima Nova" w:cstheme="minorHAnsi"/>
          <w:sz w:val="22"/>
          <w:szCs w:val="22"/>
        </w:rPr>
        <w:t>restrictive practices must be on the recommendation or prescription of a medical practitioner, and that following their use the guardian or family must be advised immediately.</w:t>
      </w:r>
      <w:r w:rsidRPr="00610DA7">
        <w:rPr>
          <w:rStyle w:val="EndnoteReference"/>
          <w:rFonts w:ascii="Proxima Nova" w:hAnsi="Proxima Nova" w:cstheme="minorHAnsi"/>
          <w:sz w:val="22"/>
          <w:szCs w:val="22"/>
        </w:rPr>
        <w:endnoteReference w:id="48"/>
      </w:r>
      <w:r w:rsidRPr="00610DA7">
        <w:rPr>
          <w:rFonts w:ascii="Proxima Nova" w:hAnsi="Proxima Nova" w:cstheme="minorHAnsi"/>
          <w:sz w:val="22"/>
          <w:szCs w:val="22"/>
        </w:rPr>
        <w:t xml:space="preserve"> </w:t>
      </w:r>
    </w:p>
    <w:p w14:paraId="48C18921" w14:textId="77777777" w:rsidR="004E5DD9" w:rsidRPr="00610DA7" w:rsidRDefault="004E5DD9" w:rsidP="00610DA7">
      <w:pPr>
        <w:spacing w:line="276" w:lineRule="auto"/>
        <w:ind w:left="720" w:hanging="720"/>
        <w:rPr>
          <w:rFonts w:ascii="Proxima Nova" w:hAnsi="Proxima Nova" w:cstheme="minorHAnsi"/>
          <w:sz w:val="22"/>
          <w:szCs w:val="22"/>
        </w:rPr>
      </w:pPr>
    </w:p>
    <w:p w14:paraId="43B69240" w14:textId="4A0C4AC8" w:rsidR="004E5DD9" w:rsidRPr="00610DA7" w:rsidRDefault="004E5DD9" w:rsidP="00610DA7">
      <w:pPr>
        <w:pStyle w:val="ListParagraph"/>
        <w:numPr>
          <w:ilvl w:val="1"/>
          <w:numId w:val="18"/>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 xml:space="preserve">In 2019, the Royal Commission into Aged Care Royal Commission released its interim report, </w:t>
      </w:r>
      <w:r w:rsidRPr="00610DA7">
        <w:rPr>
          <w:rFonts w:ascii="Proxima Nova" w:hAnsi="Proxima Nova" w:cstheme="minorHAnsi"/>
          <w:i/>
          <w:iCs/>
          <w:sz w:val="22"/>
          <w:szCs w:val="22"/>
        </w:rPr>
        <w:t xml:space="preserve">Neglect </w:t>
      </w:r>
      <w:r w:rsidRPr="00610DA7">
        <w:rPr>
          <w:rFonts w:ascii="Proxima Nova" w:hAnsi="Proxima Nova" w:cstheme="minorHAnsi"/>
          <w:sz w:val="22"/>
          <w:szCs w:val="22"/>
        </w:rPr>
        <w:t>(</w:t>
      </w:r>
      <w:r w:rsidRPr="00610DA7">
        <w:rPr>
          <w:rFonts w:ascii="Proxima Nova" w:hAnsi="Proxima Nova" w:cstheme="minorHAnsi"/>
          <w:sz w:val="22"/>
          <w:szCs w:val="22"/>
          <w:lang w:val="en"/>
        </w:rPr>
        <w:t>ACRC Interim Report)</w:t>
      </w:r>
      <w:r w:rsidRPr="00610DA7">
        <w:rPr>
          <w:rFonts w:ascii="Proxima Nova" w:hAnsi="Proxima Nova" w:cstheme="minorHAnsi"/>
          <w:sz w:val="22"/>
          <w:szCs w:val="22"/>
        </w:rPr>
        <w:t xml:space="preserve">. In hearing evidence of widespread use of restrictive </w:t>
      </w:r>
      <w:r w:rsidR="00177A12" w:rsidRPr="00610DA7">
        <w:rPr>
          <w:rFonts w:ascii="Proxima Nova" w:hAnsi="Proxima Nova" w:cstheme="minorHAnsi"/>
          <w:sz w:val="22"/>
          <w:szCs w:val="22"/>
        </w:rPr>
        <w:t>practices,</w:t>
      </w:r>
      <w:r w:rsidRPr="00610DA7">
        <w:rPr>
          <w:rFonts w:ascii="Proxima Nova" w:hAnsi="Proxima Nova" w:cstheme="minorHAnsi"/>
          <w:sz w:val="22"/>
          <w:szCs w:val="22"/>
        </w:rPr>
        <w:t xml:space="preserve"> it attributed these to neglect:</w:t>
      </w:r>
    </w:p>
    <w:p w14:paraId="4E15843B" w14:textId="77777777" w:rsidR="004E5DD9" w:rsidRPr="00610DA7" w:rsidRDefault="004E5DD9" w:rsidP="00610DA7">
      <w:pPr>
        <w:pStyle w:val="ListParagraph"/>
        <w:spacing w:line="276" w:lineRule="auto"/>
        <w:ind w:hanging="720"/>
        <w:contextualSpacing w:val="0"/>
        <w:rPr>
          <w:rFonts w:ascii="Proxima Nova" w:hAnsi="Proxima Nova" w:cstheme="minorHAnsi"/>
          <w:sz w:val="22"/>
          <w:szCs w:val="22"/>
        </w:rPr>
      </w:pPr>
    </w:p>
    <w:p w14:paraId="2A7EA340" w14:textId="77777777" w:rsidR="004E5DD9" w:rsidRPr="00610DA7" w:rsidRDefault="004E5DD9" w:rsidP="00610DA7">
      <w:pPr>
        <w:pStyle w:val="ListParagraph"/>
        <w:spacing w:line="276" w:lineRule="auto"/>
        <w:ind w:left="1134"/>
        <w:contextualSpacing w:val="0"/>
        <w:rPr>
          <w:rFonts w:ascii="Proxima Nova" w:hAnsi="Proxima Nova" w:cstheme="minorHAnsi"/>
          <w:sz w:val="22"/>
          <w:szCs w:val="22"/>
        </w:rPr>
      </w:pPr>
      <w:r w:rsidRPr="00610DA7">
        <w:rPr>
          <w:rFonts w:ascii="Proxima Nova" w:hAnsi="Proxima Nova" w:cstheme="minorHAnsi"/>
          <w:i/>
          <w:iCs/>
          <w:sz w:val="22"/>
          <w:szCs w:val="22"/>
        </w:rPr>
        <w:t>Behind the use of these restrictive practices lies a history of neglect: neglect to engage adequately with older people to understand their needs and their concerns; neglect in being either time-constrained or unwilling to spend the time with older people to help them manage their changing behaviours so that the need for restraint is obviated; neglect in seeking permission for the use of restraints; and a surprisingly neglectful approach to the use and prolonged use of chemical restraint.</w:t>
      </w:r>
      <w:r w:rsidRPr="00610DA7">
        <w:rPr>
          <w:rStyle w:val="EndnoteReference"/>
          <w:rFonts w:ascii="Proxima Nova" w:hAnsi="Proxima Nova" w:cstheme="minorHAnsi"/>
          <w:sz w:val="22"/>
          <w:szCs w:val="22"/>
        </w:rPr>
        <w:endnoteReference w:id="49"/>
      </w:r>
      <w:r w:rsidRPr="00610DA7">
        <w:rPr>
          <w:rFonts w:ascii="Proxima Nova" w:hAnsi="Proxima Nova" w:cstheme="minorHAnsi"/>
          <w:sz w:val="22"/>
          <w:szCs w:val="22"/>
        </w:rPr>
        <w:t xml:space="preserve"> </w:t>
      </w:r>
    </w:p>
    <w:p w14:paraId="5749A398" w14:textId="77777777" w:rsidR="004E5DD9" w:rsidRPr="00610DA7" w:rsidRDefault="004E5DD9" w:rsidP="00610DA7">
      <w:pPr>
        <w:spacing w:line="276" w:lineRule="auto"/>
        <w:rPr>
          <w:rFonts w:ascii="Proxima Nova" w:hAnsi="Proxima Nova" w:cstheme="minorHAnsi"/>
          <w:sz w:val="22"/>
          <w:szCs w:val="22"/>
        </w:rPr>
      </w:pPr>
    </w:p>
    <w:p w14:paraId="3F15D3CA" w14:textId="3CC194C5" w:rsidR="004E5DD9" w:rsidRPr="00610DA7" w:rsidRDefault="004E5DD9" w:rsidP="00610DA7">
      <w:pPr>
        <w:spacing w:line="276" w:lineRule="auto"/>
        <w:ind w:left="720"/>
        <w:rPr>
          <w:rFonts w:ascii="Proxima Nova" w:hAnsi="Proxima Nova" w:cstheme="minorHAnsi"/>
          <w:sz w:val="22"/>
          <w:szCs w:val="22"/>
        </w:rPr>
      </w:pPr>
      <w:r w:rsidRPr="00610DA7">
        <w:rPr>
          <w:rFonts w:ascii="Proxima Nova" w:hAnsi="Proxima Nova" w:cstheme="minorHAnsi"/>
          <w:sz w:val="22"/>
          <w:szCs w:val="22"/>
        </w:rPr>
        <w:t>The Aged Care Royal Commission stated in</w:t>
      </w:r>
      <w:r w:rsidR="005A2BFD" w:rsidRPr="00610DA7">
        <w:rPr>
          <w:rFonts w:ascii="Proxima Nova" w:hAnsi="Proxima Nova" w:cstheme="minorHAnsi"/>
          <w:sz w:val="22"/>
          <w:szCs w:val="22"/>
        </w:rPr>
        <w:t xml:space="preserve"> the ACRC Interim Report that, in</w:t>
      </w:r>
      <w:r w:rsidRPr="00610DA7">
        <w:rPr>
          <w:rFonts w:ascii="Proxima Nova" w:hAnsi="Proxima Nova" w:cstheme="minorHAnsi"/>
          <w:sz w:val="22"/>
          <w:szCs w:val="22"/>
        </w:rPr>
        <w:t xml:space="preserve"> its final report</w:t>
      </w:r>
      <w:r w:rsidR="005A2BFD" w:rsidRPr="00610DA7">
        <w:rPr>
          <w:rFonts w:ascii="Proxima Nova" w:hAnsi="Proxima Nova" w:cstheme="minorHAnsi"/>
          <w:sz w:val="22"/>
          <w:szCs w:val="22"/>
        </w:rPr>
        <w:t>,</w:t>
      </w:r>
      <w:r w:rsidRPr="00610DA7">
        <w:rPr>
          <w:rFonts w:ascii="Proxima Nova" w:hAnsi="Proxima Nova" w:cstheme="minorHAnsi"/>
          <w:sz w:val="22"/>
          <w:szCs w:val="22"/>
        </w:rPr>
        <w:t xml:space="preserve"> it would </w:t>
      </w:r>
      <w:r w:rsidRPr="00610DA7">
        <w:rPr>
          <w:rFonts w:ascii="Proxima Nova" w:hAnsi="Proxima Nova" w:cstheme="minorHAnsi"/>
          <w:i/>
          <w:iCs/>
          <w:sz w:val="22"/>
          <w:szCs w:val="22"/>
        </w:rPr>
        <w:t>‘address the regulatory framework as well as other measures designed to reform this neglected area of aged care.’</w:t>
      </w:r>
      <w:r w:rsidRPr="00610DA7">
        <w:rPr>
          <w:rStyle w:val="EndnoteReference"/>
          <w:rFonts w:ascii="Proxima Nova" w:hAnsi="Proxima Nova" w:cstheme="minorHAnsi"/>
          <w:sz w:val="22"/>
          <w:szCs w:val="22"/>
        </w:rPr>
        <w:endnoteReference w:id="50"/>
      </w:r>
      <w:r w:rsidRPr="00610DA7">
        <w:rPr>
          <w:rFonts w:ascii="Proxima Nova" w:hAnsi="Proxima Nova" w:cstheme="minorHAnsi"/>
          <w:sz w:val="22"/>
          <w:szCs w:val="22"/>
        </w:rPr>
        <w:t xml:space="preserve"> </w:t>
      </w:r>
    </w:p>
    <w:p w14:paraId="436AB07E" w14:textId="77777777" w:rsidR="004E5DD9" w:rsidRPr="00610DA7" w:rsidRDefault="004E5DD9" w:rsidP="00610DA7">
      <w:pPr>
        <w:spacing w:line="276" w:lineRule="auto"/>
        <w:rPr>
          <w:rFonts w:ascii="Proxima Nova" w:hAnsi="Proxima Nova" w:cstheme="minorHAnsi"/>
          <w:sz w:val="22"/>
          <w:szCs w:val="22"/>
        </w:rPr>
      </w:pPr>
    </w:p>
    <w:p w14:paraId="6F01AFE1" w14:textId="2FB9BC48" w:rsidR="004E5DD9" w:rsidRPr="00610DA7" w:rsidRDefault="004E5DD9" w:rsidP="00610DA7">
      <w:pPr>
        <w:pStyle w:val="ListParagraph"/>
        <w:numPr>
          <w:ilvl w:val="1"/>
          <w:numId w:val="18"/>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 xml:space="preserve">In </w:t>
      </w:r>
      <w:r w:rsidR="00DA04B7" w:rsidRPr="00610DA7">
        <w:rPr>
          <w:rFonts w:ascii="Proxima Nova" w:hAnsi="Proxima Nova" w:cstheme="minorHAnsi"/>
          <w:sz w:val="22"/>
          <w:szCs w:val="22"/>
        </w:rPr>
        <w:t xml:space="preserve">the </w:t>
      </w:r>
      <w:r w:rsidR="005A2BFD" w:rsidRPr="00610DA7">
        <w:rPr>
          <w:rFonts w:ascii="Proxima Nova" w:hAnsi="Proxima Nova" w:cstheme="minorHAnsi"/>
          <w:sz w:val="22"/>
          <w:szCs w:val="22"/>
        </w:rPr>
        <w:t>Aged Care Royal Commission’s 2021 final report (</w:t>
      </w:r>
      <w:r w:rsidR="00DA04B7" w:rsidRPr="00610DA7">
        <w:rPr>
          <w:rFonts w:ascii="Proxima Nova" w:hAnsi="Proxima Nova" w:cstheme="minorHAnsi"/>
          <w:sz w:val="22"/>
          <w:szCs w:val="22"/>
        </w:rPr>
        <w:t xml:space="preserve">ACRC </w:t>
      </w:r>
      <w:r w:rsidR="005A2BFD" w:rsidRPr="00610DA7">
        <w:rPr>
          <w:rFonts w:ascii="Proxima Nova" w:hAnsi="Proxima Nova" w:cstheme="minorHAnsi"/>
          <w:sz w:val="22"/>
          <w:szCs w:val="22"/>
        </w:rPr>
        <w:t>Final</w:t>
      </w:r>
      <w:r w:rsidR="00DA04B7" w:rsidRPr="00610DA7">
        <w:rPr>
          <w:rFonts w:ascii="Proxima Nova" w:hAnsi="Proxima Nova" w:cstheme="minorHAnsi"/>
          <w:sz w:val="22"/>
          <w:szCs w:val="22"/>
        </w:rPr>
        <w:t xml:space="preserve"> R</w:t>
      </w:r>
      <w:r w:rsidRPr="00610DA7">
        <w:rPr>
          <w:rFonts w:ascii="Proxima Nova" w:hAnsi="Proxima Nova" w:cstheme="minorHAnsi"/>
          <w:sz w:val="22"/>
          <w:szCs w:val="22"/>
        </w:rPr>
        <w:t>eport</w:t>
      </w:r>
      <w:r w:rsidR="005A2BFD" w:rsidRPr="00610DA7">
        <w:rPr>
          <w:rFonts w:ascii="Proxima Nova" w:hAnsi="Proxima Nova" w:cstheme="minorHAnsi"/>
          <w:sz w:val="22"/>
          <w:szCs w:val="22"/>
        </w:rPr>
        <w:t>)</w:t>
      </w:r>
      <w:r w:rsidRPr="00610DA7">
        <w:rPr>
          <w:rFonts w:ascii="Proxima Nova" w:hAnsi="Proxima Nova" w:cstheme="minorHAnsi"/>
          <w:sz w:val="22"/>
          <w:szCs w:val="22"/>
        </w:rPr>
        <w:t xml:space="preserve">, the Aged Care Royal Commission recognised the widespread problem of ‘substandard care’ and that </w:t>
      </w:r>
      <w:r w:rsidRPr="00610DA7">
        <w:rPr>
          <w:rFonts w:ascii="Proxima Nova" w:hAnsi="Proxima Nova" w:cstheme="minorHAnsi"/>
          <w:i/>
          <w:iCs/>
          <w:sz w:val="22"/>
          <w:szCs w:val="22"/>
        </w:rPr>
        <w:t>‘[a]buse is an extreme example of substandard care and reaches into the realm of criminal behaviour’</w:t>
      </w:r>
      <w:r w:rsidRPr="00610DA7">
        <w:rPr>
          <w:rFonts w:ascii="Proxima Nova" w:hAnsi="Proxima Nova" w:cstheme="minorHAnsi"/>
          <w:sz w:val="22"/>
          <w:szCs w:val="22"/>
        </w:rPr>
        <w:t>.</w:t>
      </w:r>
      <w:r w:rsidRPr="00610DA7">
        <w:rPr>
          <w:rStyle w:val="EndnoteReference"/>
          <w:rFonts w:ascii="Proxima Nova" w:hAnsi="Proxima Nova" w:cstheme="minorHAnsi"/>
          <w:sz w:val="22"/>
          <w:szCs w:val="22"/>
        </w:rPr>
        <w:endnoteReference w:id="51"/>
      </w:r>
      <w:r w:rsidRPr="00610DA7">
        <w:rPr>
          <w:rFonts w:ascii="Proxima Nova" w:hAnsi="Proxima Nova" w:cstheme="minorHAnsi"/>
          <w:sz w:val="22"/>
          <w:szCs w:val="22"/>
        </w:rPr>
        <w:t xml:space="preserve"> It noted that </w:t>
      </w:r>
      <w:r w:rsidRPr="00610DA7">
        <w:rPr>
          <w:rFonts w:ascii="Proxima Nova" w:hAnsi="Proxima Nova" w:cstheme="minorHAnsi"/>
          <w:i/>
          <w:iCs/>
          <w:sz w:val="22"/>
          <w:szCs w:val="22"/>
        </w:rPr>
        <w:t>‘the number of people who have experienced substandard care is inexcusably high’</w:t>
      </w:r>
      <w:r w:rsidRPr="00610DA7">
        <w:rPr>
          <w:rFonts w:ascii="Proxima Nova" w:hAnsi="Proxima Nova" w:cstheme="minorHAnsi"/>
          <w:sz w:val="22"/>
          <w:szCs w:val="22"/>
        </w:rPr>
        <w:t>.</w:t>
      </w:r>
      <w:r w:rsidRPr="00610DA7">
        <w:rPr>
          <w:rStyle w:val="EndnoteReference"/>
          <w:rFonts w:ascii="Proxima Nova" w:hAnsi="Proxima Nova" w:cstheme="minorHAnsi"/>
          <w:sz w:val="22"/>
          <w:szCs w:val="22"/>
        </w:rPr>
        <w:endnoteReference w:id="52"/>
      </w:r>
      <w:r w:rsidRPr="00610DA7">
        <w:rPr>
          <w:rFonts w:ascii="Proxima Nova" w:hAnsi="Proxima Nova" w:cstheme="minorHAnsi"/>
          <w:sz w:val="22"/>
          <w:szCs w:val="22"/>
        </w:rPr>
        <w:t xml:space="preserve"> The Aged Care Royal Commission stated that restrictive practices amount to abuse where they are used </w:t>
      </w:r>
      <w:r w:rsidRPr="00610DA7">
        <w:rPr>
          <w:rFonts w:ascii="Proxima Nova" w:hAnsi="Proxima Nova" w:cstheme="minorHAnsi"/>
          <w:i/>
          <w:iCs/>
          <w:sz w:val="22"/>
          <w:szCs w:val="22"/>
        </w:rPr>
        <w:t>‘without clear justification and clinical indication’</w:t>
      </w:r>
      <w:r w:rsidRPr="00610DA7">
        <w:rPr>
          <w:rFonts w:ascii="Proxima Nova" w:hAnsi="Proxima Nova" w:cstheme="minorHAnsi"/>
          <w:sz w:val="22"/>
          <w:szCs w:val="22"/>
        </w:rPr>
        <w:t xml:space="preserve">, noting that: </w:t>
      </w:r>
      <w:r w:rsidRPr="00610DA7">
        <w:rPr>
          <w:rFonts w:ascii="Proxima Nova" w:hAnsi="Proxima Nova" w:cstheme="minorHAnsi"/>
          <w:i/>
          <w:iCs/>
          <w:sz w:val="22"/>
          <w:szCs w:val="22"/>
        </w:rPr>
        <w:t>‘Not only do restrictive practices have questionable success in minimising changed behaviours, they can result in serious physical and psychological harm, potentially increasing health complications and, in some cases, can cause death.’</w:t>
      </w:r>
      <w:r w:rsidRPr="00610DA7">
        <w:rPr>
          <w:rStyle w:val="EndnoteReference"/>
          <w:rFonts w:ascii="Proxima Nova" w:hAnsi="Proxima Nova" w:cstheme="minorHAnsi"/>
          <w:sz w:val="22"/>
          <w:szCs w:val="22"/>
        </w:rPr>
        <w:endnoteReference w:id="53"/>
      </w:r>
      <w:r w:rsidRPr="00610DA7">
        <w:rPr>
          <w:rFonts w:ascii="Proxima Nova" w:hAnsi="Proxima Nova" w:cstheme="minorHAnsi"/>
          <w:sz w:val="22"/>
          <w:szCs w:val="22"/>
        </w:rPr>
        <w:t xml:space="preserve"> It concluded that: </w:t>
      </w:r>
      <w:r w:rsidRPr="00610DA7">
        <w:rPr>
          <w:rFonts w:ascii="Proxima Nova" w:hAnsi="Proxima Nova" w:cstheme="minorHAnsi"/>
          <w:i/>
          <w:iCs/>
          <w:sz w:val="22"/>
          <w:szCs w:val="22"/>
        </w:rPr>
        <w:t>‘The inappropriate use of unsafe and inhumane restrictive practices in residential aged care has continued, despite multiple reviews and reports highlighting the problem. It must now be stopped.’</w:t>
      </w:r>
      <w:r w:rsidRPr="00610DA7">
        <w:rPr>
          <w:rStyle w:val="EndnoteReference"/>
          <w:rFonts w:ascii="Proxima Nova" w:hAnsi="Proxima Nova" w:cstheme="minorHAnsi"/>
          <w:sz w:val="22"/>
          <w:szCs w:val="22"/>
        </w:rPr>
        <w:endnoteReference w:id="54"/>
      </w:r>
      <w:r w:rsidRPr="00610DA7">
        <w:rPr>
          <w:rFonts w:ascii="Proxima Nova" w:hAnsi="Proxima Nova" w:cstheme="minorHAnsi"/>
          <w:sz w:val="22"/>
          <w:szCs w:val="22"/>
        </w:rPr>
        <w:t xml:space="preserve"> The Aged Care Royal Commission recommended reform to enhance regulation of restrictive practices, as it explained: </w:t>
      </w:r>
    </w:p>
    <w:p w14:paraId="2EC55056" w14:textId="77777777" w:rsidR="004E5DD9" w:rsidRPr="00610DA7" w:rsidRDefault="004E5DD9" w:rsidP="00610DA7">
      <w:pPr>
        <w:pStyle w:val="ListParagraph"/>
        <w:spacing w:line="276" w:lineRule="auto"/>
        <w:ind w:left="567" w:hanging="567"/>
        <w:rPr>
          <w:rFonts w:ascii="Proxima Nova" w:hAnsi="Proxima Nova" w:cstheme="minorHAnsi"/>
          <w:sz w:val="22"/>
          <w:szCs w:val="22"/>
        </w:rPr>
      </w:pPr>
    </w:p>
    <w:p w14:paraId="62A7C7FC" w14:textId="77777777" w:rsidR="004E5DD9" w:rsidRPr="00610DA7" w:rsidRDefault="004E5DD9" w:rsidP="00610DA7">
      <w:pPr>
        <w:pStyle w:val="ListParagraph"/>
        <w:spacing w:line="276" w:lineRule="auto"/>
        <w:ind w:left="1134"/>
        <w:rPr>
          <w:rFonts w:ascii="Proxima Nova" w:hAnsi="Proxima Nova" w:cstheme="minorHAnsi"/>
          <w:sz w:val="22"/>
          <w:szCs w:val="22"/>
        </w:rPr>
      </w:pPr>
      <w:r w:rsidRPr="00610DA7">
        <w:rPr>
          <w:rFonts w:ascii="Proxima Nova" w:hAnsi="Proxima Nova" w:cstheme="minorHAnsi"/>
          <w:i/>
          <w:iCs/>
          <w:sz w:val="22"/>
          <w:szCs w:val="22"/>
        </w:rPr>
        <w:t xml:space="preserve">Regulation of restrictive practices should be informed by respecting and supporting people’s rights, dignity and personal autonomy, while providing clarity about the circumstances in which care or treatment, including restrictive practices, may be authorised. We recommend that the Australian Government should amend the </w:t>
      </w:r>
      <w:proofErr w:type="gramStart"/>
      <w:r w:rsidRPr="00610DA7">
        <w:rPr>
          <w:rFonts w:ascii="Proxima Nova" w:hAnsi="Proxima Nova" w:cstheme="minorHAnsi"/>
          <w:i/>
          <w:iCs/>
          <w:sz w:val="22"/>
          <w:szCs w:val="22"/>
        </w:rPr>
        <w:t>Quality of Care</w:t>
      </w:r>
      <w:proofErr w:type="gramEnd"/>
      <w:r w:rsidRPr="00610DA7">
        <w:rPr>
          <w:rFonts w:ascii="Proxima Nova" w:hAnsi="Proxima Nova" w:cstheme="minorHAnsi"/>
          <w:i/>
          <w:iCs/>
          <w:sz w:val="22"/>
          <w:szCs w:val="22"/>
        </w:rPr>
        <w:t xml:space="preserve"> Principles 2014 (Cth) to provide that the use of restrictive practices in aged care must be based on an assessment by an independent expert. It should be subject to </w:t>
      </w:r>
      <w:r w:rsidRPr="00610DA7">
        <w:rPr>
          <w:rFonts w:ascii="Proxima Nova" w:hAnsi="Proxima Nova" w:cstheme="minorHAnsi"/>
          <w:i/>
          <w:iCs/>
          <w:sz w:val="22"/>
          <w:szCs w:val="22"/>
        </w:rPr>
        <w:lastRenderedPageBreak/>
        <w:t>ongoing monitoring and reporting, with a behaviour support plan lodged with the Quality Regulator. Restrictive practices should only be used where alternative strategies to meet the person’s needs have been tried and found unsuccessful. Any exception that applies if a restrictive practice is necessary in an emergency should only apply for a short period, for as long as needed to prevent significant harm.</w:t>
      </w:r>
      <w:r w:rsidRPr="00610DA7">
        <w:rPr>
          <w:rStyle w:val="EndnoteReference"/>
          <w:rFonts w:ascii="Proxima Nova" w:hAnsi="Proxima Nova" w:cstheme="minorHAnsi"/>
          <w:sz w:val="22"/>
          <w:szCs w:val="22"/>
        </w:rPr>
        <w:endnoteReference w:id="55"/>
      </w:r>
      <w:r w:rsidRPr="00610DA7">
        <w:rPr>
          <w:rFonts w:ascii="Proxima Nova" w:hAnsi="Proxima Nova" w:cstheme="minorHAnsi"/>
          <w:sz w:val="22"/>
          <w:szCs w:val="22"/>
        </w:rPr>
        <w:t xml:space="preserve"> </w:t>
      </w:r>
    </w:p>
    <w:p w14:paraId="59AFF918" w14:textId="77777777" w:rsidR="004E5DD9" w:rsidRPr="00610DA7" w:rsidRDefault="004E5DD9" w:rsidP="00610DA7">
      <w:pPr>
        <w:pStyle w:val="ListParagraph"/>
        <w:spacing w:line="276" w:lineRule="auto"/>
        <w:ind w:hanging="720"/>
        <w:rPr>
          <w:rFonts w:ascii="Proxima Nova" w:hAnsi="Proxima Nova" w:cstheme="minorHAnsi"/>
          <w:sz w:val="22"/>
          <w:szCs w:val="22"/>
        </w:rPr>
      </w:pPr>
    </w:p>
    <w:p w14:paraId="4EF3F2CC" w14:textId="77777777" w:rsidR="004E5DD9" w:rsidRPr="00610DA7" w:rsidRDefault="004E5DD9" w:rsidP="00610DA7">
      <w:pPr>
        <w:pStyle w:val="ListParagraph"/>
        <w:numPr>
          <w:ilvl w:val="1"/>
          <w:numId w:val="18"/>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 xml:space="preserve">Additional to improved regulation, the Aged Care Royal Commission recommended that use of restrictive practices in breach of the statutory scheme </w:t>
      </w:r>
      <w:r w:rsidRPr="00610DA7">
        <w:rPr>
          <w:rFonts w:ascii="Proxima Nova" w:hAnsi="Proxima Nova" w:cstheme="minorHAnsi"/>
          <w:i/>
          <w:iCs/>
          <w:sz w:val="22"/>
          <w:szCs w:val="22"/>
        </w:rPr>
        <w:t>‘should be reportable under the updated serious incident reporting scheme’</w:t>
      </w:r>
      <w:r w:rsidRPr="00610DA7">
        <w:rPr>
          <w:rFonts w:ascii="Proxima Nova" w:hAnsi="Proxima Nova" w:cstheme="minorHAnsi"/>
          <w:sz w:val="22"/>
          <w:szCs w:val="22"/>
        </w:rPr>
        <w:t xml:space="preserve">. Moreover, </w:t>
      </w:r>
      <w:r w:rsidRPr="00610DA7">
        <w:rPr>
          <w:rFonts w:ascii="Proxima Nova" w:hAnsi="Proxima Nova" w:cstheme="minorHAnsi"/>
          <w:i/>
          <w:iCs/>
          <w:sz w:val="22"/>
          <w:szCs w:val="22"/>
        </w:rPr>
        <w:t>‘any breach of the statutory requirements should expose the approved provider to a civil penalty at the suit of the regulator’</w:t>
      </w:r>
      <w:r w:rsidRPr="00610DA7">
        <w:rPr>
          <w:rFonts w:ascii="Proxima Nova" w:hAnsi="Proxima Nova" w:cstheme="minorHAnsi"/>
          <w:sz w:val="22"/>
          <w:szCs w:val="22"/>
        </w:rPr>
        <w:t xml:space="preserve"> and </w:t>
      </w:r>
      <w:proofErr w:type="gramStart"/>
      <w:r w:rsidRPr="00610DA7">
        <w:rPr>
          <w:rFonts w:ascii="Proxima Nova" w:hAnsi="Proxima Nova" w:cstheme="minorHAnsi"/>
          <w:sz w:val="22"/>
          <w:szCs w:val="22"/>
        </w:rPr>
        <w:t>that persons</w:t>
      </w:r>
      <w:proofErr w:type="gramEnd"/>
      <w:r w:rsidRPr="00610DA7">
        <w:rPr>
          <w:rFonts w:ascii="Proxima Nova" w:hAnsi="Proxima Nova" w:cstheme="minorHAnsi"/>
          <w:sz w:val="22"/>
          <w:szCs w:val="22"/>
        </w:rPr>
        <w:t xml:space="preserve"> directly affected by the breach and the aged care regulator should be able to seek an order for compensation for those persons directly affected.</w:t>
      </w:r>
      <w:r w:rsidRPr="00610DA7">
        <w:rPr>
          <w:rStyle w:val="EndnoteReference"/>
          <w:rFonts w:ascii="Proxima Nova" w:hAnsi="Proxima Nova" w:cstheme="minorHAnsi"/>
          <w:sz w:val="22"/>
          <w:szCs w:val="22"/>
        </w:rPr>
        <w:t xml:space="preserve"> </w:t>
      </w:r>
      <w:r w:rsidRPr="00610DA7">
        <w:rPr>
          <w:rStyle w:val="EndnoteReference"/>
          <w:rFonts w:ascii="Proxima Nova" w:hAnsi="Proxima Nova" w:cstheme="minorHAnsi"/>
          <w:sz w:val="22"/>
          <w:szCs w:val="22"/>
        </w:rPr>
        <w:endnoteReference w:id="56"/>
      </w:r>
    </w:p>
    <w:p w14:paraId="7FB65738" w14:textId="77777777" w:rsidR="004E5DD9" w:rsidRPr="00610DA7" w:rsidRDefault="004E5DD9" w:rsidP="00610DA7">
      <w:pPr>
        <w:spacing w:line="276" w:lineRule="auto"/>
        <w:ind w:left="720" w:hanging="720"/>
        <w:rPr>
          <w:rFonts w:ascii="Proxima Nova" w:hAnsi="Proxima Nova" w:cstheme="minorHAnsi"/>
          <w:sz w:val="22"/>
          <w:szCs w:val="22"/>
        </w:rPr>
      </w:pPr>
    </w:p>
    <w:p w14:paraId="661F8F2F" w14:textId="77777777" w:rsidR="00C45C22" w:rsidRPr="00610DA7" w:rsidRDefault="004E5DD9" w:rsidP="00610DA7">
      <w:pPr>
        <w:pStyle w:val="ListParagraph"/>
        <w:numPr>
          <w:ilvl w:val="1"/>
          <w:numId w:val="18"/>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It also recommended that</w:t>
      </w:r>
      <w:r w:rsidR="00C45C22" w:rsidRPr="00610DA7">
        <w:rPr>
          <w:rFonts w:ascii="Proxima Nova" w:hAnsi="Proxima Nova" w:cstheme="minorHAnsi"/>
          <w:sz w:val="22"/>
          <w:szCs w:val="22"/>
        </w:rPr>
        <w:t>:</w:t>
      </w:r>
    </w:p>
    <w:p w14:paraId="63C4DBF5" w14:textId="77777777" w:rsidR="00C45C22" w:rsidRPr="00610DA7" w:rsidRDefault="00C45C22" w:rsidP="008E0618">
      <w:pPr>
        <w:pStyle w:val="ListParagraph"/>
        <w:spacing w:line="276" w:lineRule="auto"/>
        <w:ind w:left="0"/>
        <w:rPr>
          <w:rFonts w:ascii="Proxima Nova" w:hAnsi="Proxima Nova" w:cstheme="minorHAnsi"/>
          <w:sz w:val="22"/>
          <w:szCs w:val="22"/>
        </w:rPr>
      </w:pPr>
    </w:p>
    <w:p w14:paraId="113CFAC1" w14:textId="2E48BB7F" w:rsidR="004E5DD9" w:rsidRPr="00610DA7" w:rsidRDefault="004E5DD9" w:rsidP="00610DA7">
      <w:pPr>
        <w:pStyle w:val="ListParagraph"/>
        <w:spacing w:line="276" w:lineRule="auto"/>
        <w:ind w:left="1134"/>
        <w:rPr>
          <w:rFonts w:ascii="Proxima Nova" w:hAnsi="Proxima Nova" w:cstheme="minorHAnsi"/>
          <w:sz w:val="22"/>
          <w:szCs w:val="22"/>
        </w:rPr>
      </w:pPr>
      <w:r w:rsidRPr="00610DA7">
        <w:rPr>
          <w:rFonts w:ascii="Proxima Nova" w:hAnsi="Proxima Nova" w:cstheme="minorHAnsi"/>
          <w:i/>
          <w:iCs/>
          <w:sz w:val="22"/>
          <w:szCs w:val="22"/>
        </w:rPr>
        <w:t>‘</w:t>
      </w:r>
      <w:proofErr w:type="gramStart"/>
      <w:r w:rsidRPr="00610DA7">
        <w:rPr>
          <w:rFonts w:ascii="Proxima Nova" w:hAnsi="Proxima Nova" w:cstheme="minorHAnsi"/>
          <w:i/>
          <w:iCs/>
          <w:sz w:val="22"/>
          <w:szCs w:val="22"/>
        </w:rPr>
        <w:t>the</w:t>
      </w:r>
      <w:proofErr w:type="gramEnd"/>
      <w:r w:rsidRPr="00610DA7">
        <w:rPr>
          <w:rFonts w:ascii="Proxima Nova" w:hAnsi="Proxima Nova" w:cstheme="minorHAnsi"/>
          <w:i/>
          <w:iCs/>
          <w:sz w:val="22"/>
          <w:szCs w:val="22"/>
        </w:rPr>
        <w:t xml:space="preserve"> Australian Government should consider the applicability to aged care of any findings from [the Disability Royal Commission] about restrictive practices and make further legislative amendments required to ensure that the treatment of people receiving aged care services is consistent with the treatment of other members of the community’</w:t>
      </w:r>
      <w:r w:rsidRPr="00610DA7">
        <w:rPr>
          <w:rFonts w:ascii="Proxima Nova" w:hAnsi="Proxima Nova" w:cstheme="minorHAnsi"/>
          <w:sz w:val="22"/>
          <w:szCs w:val="22"/>
        </w:rPr>
        <w:t>.</w:t>
      </w:r>
      <w:r w:rsidRPr="00610DA7">
        <w:rPr>
          <w:rStyle w:val="EndnoteReference"/>
          <w:rFonts w:ascii="Proxima Nova" w:hAnsi="Proxima Nova" w:cstheme="minorHAnsi"/>
          <w:sz w:val="22"/>
          <w:szCs w:val="22"/>
        </w:rPr>
        <w:endnoteReference w:id="57"/>
      </w:r>
      <w:r w:rsidRPr="00610DA7">
        <w:rPr>
          <w:rFonts w:ascii="Proxima Nova" w:hAnsi="Proxima Nova" w:cstheme="minorHAnsi"/>
          <w:sz w:val="22"/>
          <w:szCs w:val="22"/>
        </w:rPr>
        <w:t xml:space="preserve">  </w:t>
      </w:r>
    </w:p>
    <w:p w14:paraId="6B6C77E1" w14:textId="77777777" w:rsidR="004E5DD9" w:rsidRPr="00610DA7" w:rsidRDefault="004E5DD9" w:rsidP="00610DA7">
      <w:pPr>
        <w:pStyle w:val="ListParagraph"/>
        <w:spacing w:line="276" w:lineRule="auto"/>
        <w:ind w:hanging="720"/>
        <w:rPr>
          <w:rFonts w:ascii="Proxima Nova" w:hAnsi="Proxima Nova" w:cstheme="minorHAnsi"/>
          <w:sz w:val="22"/>
          <w:szCs w:val="22"/>
        </w:rPr>
      </w:pPr>
    </w:p>
    <w:p w14:paraId="3AA6DBDD" w14:textId="77777777" w:rsidR="0035737C" w:rsidRPr="00610DA7" w:rsidRDefault="004E5DD9" w:rsidP="00610DA7">
      <w:pPr>
        <w:pStyle w:val="ListParagraph"/>
        <w:numPr>
          <w:ilvl w:val="1"/>
          <w:numId w:val="18"/>
        </w:numPr>
        <w:spacing w:line="276" w:lineRule="auto"/>
        <w:ind w:left="720" w:hanging="720"/>
        <w:rPr>
          <w:rStyle w:val="highlight"/>
          <w:rFonts w:ascii="Proxima Nova" w:hAnsi="Proxima Nova" w:cstheme="minorHAnsi"/>
          <w:sz w:val="22"/>
          <w:szCs w:val="22"/>
        </w:rPr>
      </w:pPr>
      <w:r w:rsidRPr="00610DA7">
        <w:rPr>
          <w:rFonts w:ascii="Proxima Nova" w:hAnsi="Proxima Nova" w:cstheme="minorHAnsi"/>
          <w:sz w:val="22"/>
          <w:szCs w:val="22"/>
        </w:rPr>
        <w:t xml:space="preserve">On a broader level, the Aged Care Royal Commission recommended a new aged care Act </w:t>
      </w:r>
      <w:r w:rsidRPr="00610DA7">
        <w:rPr>
          <w:rFonts w:ascii="Proxima Nova" w:hAnsi="Proxima Nova" w:cstheme="minorHAnsi"/>
          <w:i/>
          <w:iCs/>
          <w:sz w:val="22"/>
          <w:szCs w:val="22"/>
        </w:rPr>
        <w:t>‘should specify a list of rights of people seeking and receiving aged care, and should declare that the purposes of the Act include the purpose of securing those rights and that the rights may be taken into account in interpreting the Act and any instrument made under the Act’</w:t>
      </w:r>
      <w:r w:rsidRPr="00610DA7">
        <w:rPr>
          <w:rFonts w:ascii="Proxima Nova" w:hAnsi="Proxima Nova" w:cstheme="minorHAnsi"/>
          <w:sz w:val="22"/>
          <w:szCs w:val="22"/>
        </w:rPr>
        <w:t>.</w:t>
      </w:r>
      <w:r w:rsidRPr="00610DA7">
        <w:rPr>
          <w:rStyle w:val="EndnoteReference"/>
          <w:rFonts w:ascii="Proxima Nova" w:hAnsi="Proxima Nova" w:cstheme="minorHAnsi"/>
          <w:sz w:val="22"/>
          <w:szCs w:val="22"/>
        </w:rPr>
        <w:endnoteReference w:id="58"/>
      </w:r>
      <w:r w:rsidRPr="00610DA7">
        <w:rPr>
          <w:rFonts w:ascii="Proxima Nova" w:hAnsi="Proxima Nova" w:cstheme="minorHAnsi"/>
          <w:sz w:val="22"/>
          <w:szCs w:val="22"/>
        </w:rPr>
        <w:t xml:space="preserve"> The rights include: </w:t>
      </w:r>
      <w:r w:rsidRPr="00610DA7">
        <w:rPr>
          <w:rFonts w:ascii="Proxima Nova" w:hAnsi="Proxima Nova" w:cstheme="minorHAnsi"/>
          <w:i/>
          <w:iCs/>
          <w:sz w:val="22"/>
          <w:szCs w:val="22"/>
        </w:rPr>
        <w:t xml:space="preserve">‘the right to liberty, freedom of movement, and </w:t>
      </w:r>
      <w:r w:rsidRPr="00610DA7">
        <w:rPr>
          <w:rStyle w:val="highlight"/>
          <w:rFonts w:ascii="Proxima Nova" w:hAnsi="Proxima Nova" w:cstheme="minorHAnsi"/>
          <w:i/>
          <w:iCs/>
          <w:sz w:val="22"/>
          <w:szCs w:val="22"/>
        </w:rPr>
        <w:t>freedom from restraint’</w:t>
      </w:r>
      <w:r w:rsidRPr="00610DA7">
        <w:rPr>
          <w:rStyle w:val="highlight"/>
          <w:rFonts w:ascii="Proxima Nova" w:hAnsi="Proxima Nova" w:cstheme="minorHAnsi"/>
          <w:sz w:val="22"/>
          <w:szCs w:val="22"/>
        </w:rPr>
        <w:t>.</w:t>
      </w:r>
      <w:r w:rsidRPr="00610DA7">
        <w:rPr>
          <w:rStyle w:val="EndnoteReference"/>
          <w:rFonts w:ascii="Proxima Nova" w:hAnsi="Proxima Nova" w:cstheme="minorHAnsi"/>
          <w:sz w:val="22"/>
          <w:szCs w:val="22"/>
        </w:rPr>
        <w:endnoteReference w:id="59"/>
      </w:r>
      <w:r w:rsidRPr="00610DA7">
        <w:rPr>
          <w:rStyle w:val="highlight"/>
          <w:rFonts w:ascii="Proxima Nova" w:hAnsi="Proxima Nova" w:cstheme="minorHAnsi"/>
          <w:sz w:val="22"/>
          <w:szCs w:val="22"/>
        </w:rPr>
        <w:t xml:space="preserve"> In explaining this recommend</w:t>
      </w:r>
      <w:r w:rsidR="0035737C" w:rsidRPr="00610DA7">
        <w:rPr>
          <w:rStyle w:val="highlight"/>
          <w:rFonts w:ascii="Proxima Nova" w:hAnsi="Proxima Nova" w:cstheme="minorHAnsi"/>
          <w:sz w:val="22"/>
          <w:szCs w:val="22"/>
        </w:rPr>
        <w:t>ation</w:t>
      </w:r>
      <w:r w:rsidRPr="00610DA7">
        <w:rPr>
          <w:rStyle w:val="highlight"/>
          <w:rFonts w:ascii="Proxima Nova" w:hAnsi="Proxima Nova" w:cstheme="minorHAnsi"/>
          <w:sz w:val="22"/>
          <w:szCs w:val="22"/>
        </w:rPr>
        <w:t>, the Aged Care Royal Commission states:</w:t>
      </w:r>
    </w:p>
    <w:p w14:paraId="2E4D73F2" w14:textId="77777777" w:rsidR="0035737C" w:rsidRPr="00610DA7" w:rsidRDefault="0035737C" w:rsidP="00610DA7">
      <w:pPr>
        <w:pStyle w:val="ListParagraph"/>
        <w:spacing w:line="276" w:lineRule="auto"/>
        <w:rPr>
          <w:rStyle w:val="highlight"/>
          <w:rFonts w:ascii="Proxima Nova" w:hAnsi="Proxima Nova" w:cstheme="minorHAnsi"/>
          <w:sz w:val="22"/>
          <w:szCs w:val="22"/>
        </w:rPr>
      </w:pPr>
    </w:p>
    <w:p w14:paraId="39F5EDF5" w14:textId="77777777" w:rsidR="0035737C" w:rsidRPr="00610DA7" w:rsidRDefault="004E5DD9" w:rsidP="00610DA7">
      <w:pPr>
        <w:pStyle w:val="ListParagraph"/>
        <w:spacing w:line="276" w:lineRule="auto"/>
        <w:ind w:left="1134"/>
        <w:rPr>
          <w:rFonts w:ascii="Proxima Nova" w:hAnsi="Proxima Nova" w:cstheme="minorHAnsi"/>
          <w:sz w:val="22"/>
          <w:szCs w:val="22"/>
        </w:rPr>
      </w:pPr>
      <w:r w:rsidRPr="00610DA7">
        <w:rPr>
          <w:rStyle w:val="highlight"/>
          <w:rFonts w:ascii="Proxima Nova" w:hAnsi="Proxima Nova" w:cstheme="minorHAnsi"/>
          <w:i/>
          <w:iCs/>
          <w:sz w:val="22"/>
          <w:szCs w:val="22"/>
        </w:rPr>
        <w:t>‘</w:t>
      </w:r>
      <w:r w:rsidRPr="00610DA7">
        <w:rPr>
          <w:rFonts w:ascii="Proxima Nova" w:hAnsi="Proxima Nova" w:cstheme="minorHAnsi"/>
          <w:i/>
          <w:iCs/>
          <w:sz w:val="22"/>
          <w:szCs w:val="22"/>
        </w:rPr>
        <w:t xml:space="preserve">Typically, rights are supported by a related enforceable duty. </w:t>
      </w:r>
      <w:proofErr w:type="gramStart"/>
      <w:r w:rsidRPr="00610DA7">
        <w:rPr>
          <w:rFonts w:ascii="Proxima Nova" w:hAnsi="Proxima Nova" w:cstheme="minorHAnsi"/>
          <w:i/>
          <w:iCs/>
          <w:sz w:val="22"/>
          <w:szCs w:val="22"/>
        </w:rPr>
        <w:t>With the exception of</w:t>
      </w:r>
      <w:proofErr w:type="gramEnd"/>
      <w:r w:rsidRPr="00610DA7">
        <w:rPr>
          <w:rFonts w:ascii="Proxima Nova" w:hAnsi="Proxima Nova" w:cstheme="minorHAnsi"/>
          <w:i/>
          <w:iCs/>
          <w:sz w:val="22"/>
          <w:szCs w:val="22"/>
        </w:rPr>
        <w:t xml:space="preserve"> the right to freedom from restraint, we do not propose that each of the rights we list in Recommendation 2 should be separately and directly enforceable in the courts.’</w:t>
      </w:r>
      <w:r w:rsidRPr="00610DA7">
        <w:rPr>
          <w:rStyle w:val="EndnoteReference"/>
          <w:rFonts w:ascii="Proxima Nova" w:hAnsi="Proxima Nova" w:cstheme="minorHAnsi"/>
          <w:sz w:val="22"/>
          <w:szCs w:val="22"/>
        </w:rPr>
        <w:endnoteReference w:id="60"/>
      </w:r>
      <w:r w:rsidRPr="00610DA7">
        <w:rPr>
          <w:rFonts w:ascii="Proxima Nova" w:hAnsi="Proxima Nova" w:cstheme="minorHAnsi"/>
          <w:sz w:val="22"/>
          <w:szCs w:val="22"/>
        </w:rPr>
        <w:t xml:space="preserve"> </w:t>
      </w:r>
    </w:p>
    <w:p w14:paraId="3B28E5F4" w14:textId="77777777" w:rsidR="0035737C" w:rsidRPr="00610DA7" w:rsidRDefault="0035737C" w:rsidP="00610DA7">
      <w:pPr>
        <w:pStyle w:val="ListParagraph"/>
        <w:spacing w:line="276" w:lineRule="auto"/>
        <w:rPr>
          <w:rFonts w:ascii="Proxima Nova" w:hAnsi="Proxima Nova" w:cstheme="minorHAnsi"/>
          <w:sz w:val="22"/>
          <w:szCs w:val="22"/>
        </w:rPr>
      </w:pPr>
    </w:p>
    <w:p w14:paraId="3B3FF4AA" w14:textId="2C4C76DB" w:rsidR="004E5DD9" w:rsidRPr="00610DA7" w:rsidRDefault="004E5DD9" w:rsidP="00610DA7">
      <w:pPr>
        <w:pStyle w:val="ListParagraph"/>
        <w:spacing w:line="276" w:lineRule="auto"/>
        <w:rPr>
          <w:rFonts w:ascii="Proxima Nova" w:hAnsi="Proxima Nova" w:cstheme="minorHAnsi"/>
          <w:sz w:val="22"/>
          <w:szCs w:val="22"/>
        </w:rPr>
      </w:pPr>
      <w:r w:rsidRPr="00610DA7">
        <w:rPr>
          <w:rFonts w:ascii="Proxima Nova" w:hAnsi="Proxima Nova" w:cstheme="minorHAnsi"/>
          <w:sz w:val="22"/>
          <w:szCs w:val="22"/>
        </w:rPr>
        <w:t xml:space="preserve">There is no further discussion of this enforceable right, nor its potential tension with the Aged Care Royal Commission’s recommendation to continue regulating (rather than prohibiting) restrictive practices. Thus, </w:t>
      </w:r>
      <w:r w:rsidR="00E34AA8" w:rsidRPr="00610DA7">
        <w:rPr>
          <w:rFonts w:ascii="Proxima Nova" w:hAnsi="Proxima Nova" w:cstheme="minorHAnsi"/>
          <w:sz w:val="22"/>
          <w:szCs w:val="22"/>
        </w:rPr>
        <w:t>it might be that</w:t>
      </w:r>
      <w:r w:rsidRPr="00610DA7">
        <w:rPr>
          <w:rFonts w:ascii="Proxima Nova" w:hAnsi="Proxima Nova" w:cstheme="minorHAnsi"/>
          <w:sz w:val="22"/>
          <w:szCs w:val="22"/>
        </w:rPr>
        <w:t xml:space="preserve"> this right will only apply to individuals who are subject to unlawful restraint.</w:t>
      </w:r>
    </w:p>
    <w:p w14:paraId="2F695AA6" w14:textId="77777777" w:rsidR="004E78DD" w:rsidRPr="00610DA7" w:rsidRDefault="004E78DD" w:rsidP="00610DA7">
      <w:pPr>
        <w:pStyle w:val="ListParagraph"/>
        <w:spacing w:line="276" w:lineRule="auto"/>
        <w:ind w:hanging="720"/>
        <w:rPr>
          <w:rFonts w:ascii="Proxima Nova" w:hAnsi="Proxima Nova" w:cstheme="minorHAnsi"/>
          <w:sz w:val="22"/>
          <w:szCs w:val="22"/>
        </w:rPr>
      </w:pPr>
    </w:p>
    <w:p w14:paraId="7C6D48F5" w14:textId="7278BC32" w:rsidR="004E78DD" w:rsidRPr="00610DA7" w:rsidRDefault="004E78DD" w:rsidP="00610DA7">
      <w:pPr>
        <w:pStyle w:val="ListParagraph"/>
        <w:numPr>
          <w:ilvl w:val="1"/>
          <w:numId w:val="18"/>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 xml:space="preserve">This brief survey of past government inquiries into restrictive practices highlights the enduring approach to </w:t>
      </w:r>
      <w:r w:rsidR="00E34AA8" w:rsidRPr="00610DA7">
        <w:rPr>
          <w:rFonts w:ascii="Proxima Nova" w:hAnsi="Proxima Nova" w:cstheme="minorHAnsi"/>
          <w:sz w:val="22"/>
          <w:szCs w:val="22"/>
        </w:rPr>
        <w:t xml:space="preserve">supporting use of restrictive practices on people with disability through </w:t>
      </w:r>
      <w:r w:rsidRPr="00610DA7">
        <w:rPr>
          <w:rFonts w:ascii="Proxima Nova" w:hAnsi="Proxima Nova" w:cstheme="minorHAnsi"/>
          <w:sz w:val="22"/>
          <w:szCs w:val="22"/>
        </w:rPr>
        <w:t>regulating rather than prohibiting and redressing restrictive practices</w:t>
      </w:r>
      <w:r w:rsidR="00E34AA8" w:rsidRPr="00610DA7">
        <w:rPr>
          <w:rFonts w:ascii="Proxima Nova" w:hAnsi="Proxima Nova" w:cstheme="minorHAnsi"/>
          <w:sz w:val="22"/>
          <w:szCs w:val="22"/>
        </w:rPr>
        <w:t>,</w:t>
      </w:r>
      <w:r w:rsidRPr="00610DA7">
        <w:rPr>
          <w:rFonts w:ascii="Proxima Nova" w:hAnsi="Proxima Nova" w:cstheme="minorHAnsi"/>
          <w:sz w:val="22"/>
          <w:szCs w:val="22"/>
        </w:rPr>
        <w:t xml:space="preserve"> and a persistent absence of consideration of the specific circumstances of women and girls </w:t>
      </w:r>
      <w:r w:rsidR="0035737C" w:rsidRPr="00610DA7">
        <w:rPr>
          <w:rFonts w:ascii="Proxima Nova" w:hAnsi="Proxima Nova" w:cstheme="minorHAnsi"/>
          <w:sz w:val="22"/>
          <w:szCs w:val="22"/>
        </w:rPr>
        <w:t>with</w:t>
      </w:r>
      <w:r w:rsidRPr="00610DA7">
        <w:rPr>
          <w:rFonts w:ascii="Proxima Nova" w:hAnsi="Proxima Nova" w:cstheme="minorHAnsi"/>
          <w:sz w:val="22"/>
          <w:szCs w:val="22"/>
        </w:rPr>
        <w:t xml:space="preserve"> disability.</w:t>
      </w:r>
    </w:p>
    <w:p w14:paraId="1F99F666" w14:textId="31B70513" w:rsidR="004E5DD9" w:rsidRPr="00610DA7" w:rsidRDefault="004E5DD9" w:rsidP="00610DA7">
      <w:pPr>
        <w:spacing w:line="276" w:lineRule="auto"/>
        <w:ind w:left="720" w:hanging="720"/>
        <w:rPr>
          <w:rFonts w:ascii="Proxima Nova" w:eastAsiaTheme="minorHAnsi" w:hAnsi="Proxima Nova" w:cstheme="minorBidi"/>
          <w:color w:val="CC0099"/>
          <w:sz w:val="22"/>
          <w:szCs w:val="22"/>
        </w:rPr>
      </w:pPr>
    </w:p>
    <w:p w14:paraId="78B34AFD" w14:textId="77F6C81F" w:rsidR="00B0775B" w:rsidRPr="00A77296" w:rsidRDefault="00B0775B" w:rsidP="00B0775B">
      <w:pPr>
        <w:pStyle w:val="Heading3"/>
        <w:jc w:val="left"/>
        <w:rPr>
          <w:rFonts w:ascii="Proxima Nova" w:hAnsi="Proxima Nova" w:cstheme="minorHAnsi"/>
          <w:bCs/>
          <w:color w:val="AC1F79"/>
        </w:rPr>
      </w:pPr>
      <w:r w:rsidRPr="00B0775B">
        <w:rPr>
          <w:rFonts w:ascii="Proxima Nova" w:hAnsi="Proxima Nova"/>
          <w:bCs/>
          <w:color w:val="AC1F79"/>
        </w:rPr>
        <w:t>The Royal Commission</w:t>
      </w:r>
    </w:p>
    <w:p w14:paraId="07B45230" w14:textId="77777777" w:rsidR="00B0775B" w:rsidRPr="00610DA7" w:rsidRDefault="00B0775B" w:rsidP="00B0775B">
      <w:pPr>
        <w:spacing w:line="276" w:lineRule="auto"/>
        <w:ind w:left="720" w:hanging="720"/>
        <w:rPr>
          <w:rFonts w:ascii="Proxima Nova" w:eastAsiaTheme="minorHAnsi" w:hAnsi="Proxima Nova" w:cstheme="minorBidi"/>
          <w:color w:val="CC0099"/>
          <w:sz w:val="22"/>
          <w:szCs w:val="22"/>
        </w:rPr>
      </w:pPr>
    </w:p>
    <w:p w14:paraId="6DA5244E" w14:textId="0D095116" w:rsidR="00AE316B" w:rsidRPr="00610DA7" w:rsidRDefault="00AE316B" w:rsidP="000F1CFA">
      <w:pPr>
        <w:pStyle w:val="ListParagraph"/>
        <w:numPr>
          <w:ilvl w:val="1"/>
          <w:numId w:val="18"/>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The Royal Commission</w:t>
      </w:r>
      <w:r w:rsidR="008C5DB8" w:rsidRPr="00610DA7">
        <w:rPr>
          <w:rStyle w:val="EndnoteReference"/>
          <w:rFonts w:ascii="Proxima Nova" w:hAnsi="Proxima Nova" w:cstheme="minorHAnsi"/>
          <w:sz w:val="22"/>
          <w:szCs w:val="22"/>
        </w:rPr>
        <w:endnoteReference w:id="61"/>
      </w:r>
      <w:r w:rsidRPr="00610DA7">
        <w:rPr>
          <w:rFonts w:ascii="Proxima Nova" w:hAnsi="Proxima Nova" w:cstheme="minorHAnsi"/>
          <w:sz w:val="22"/>
          <w:szCs w:val="22"/>
        </w:rPr>
        <w:t xml:space="preserve"> was established after many years of campaigning by people with disability and our representative organisations at both the domestic and international level.</w:t>
      </w:r>
      <w:r w:rsidR="00772A82" w:rsidRPr="00610DA7">
        <w:rPr>
          <w:rStyle w:val="EndnoteReference"/>
          <w:rFonts w:ascii="Proxima Nova" w:hAnsi="Proxima Nova" w:cstheme="minorHAnsi"/>
          <w:sz w:val="22"/>
          <w:szCs w:val="22"/>
        </w:rPr>
        <w:endnoteReference w:id="62"/>
      </w:r>
    </w:p>
    <w:p w14:paraId="0C6E0F34" w14:textId="77777777" w:rsidR="00753263" w:rsidRPr="00610DA7" w:rsidRDefault="00753263" w:rsidP="00B0775B">
      <w:pPr>
        <w:pStyle w:val="ListParagraph"/>
        <w:spacing w:line="276" w:lineRule="auto"/>
        <w:ind w:hanging="720"/>
        <w:rPr>
          <w:rFonts w:ascii="Proxima Nova" w:hAnsi="Proxima Nova" w:cstheme="minorHAnsi"/>
          <w:sz w:val="22"/>
          <w:szCs w:val="22"/>
        </w:rPr>
      </w:pPr>
    </w:p>
    <w:p w14:paraId="7A03E4A2" w14:textId="5008F250" w:rsidR="00AE316B" w:rsidRPr="00610DA7" w:rsidRDefault="00AE316B" w:rsidP="000F1CFA">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color w:val="000000" w:themeColor="text1"/>
          <w:sz w:val="22"/>
          <w:szCs w:val="22"/>
          <w:lang w:bidi="en-US"/>
        </w:rPr>
        <w:t>WWDA played a leading role in these advocacy efforts</w:t>
      </w:r>
      <w:r w:rsidR="00EF601E" w:rsidRPr="00610DA7">
        <w:rPr>
          <w:rFonts w:ascii="Proxima Nova" w:hAnsi="Proxima Nova" w:cstheme="minorHAnsi"/>
          <w:color w:val="000000" w:themeColor="text1"/>
          <w:sz w:val="22"/>
          <w:szCs w:val="22"/>
          <w:lang w:bidi="en-US"/>
        </w:rPr>
        <w:t xml:space="preserve"> over many years</w:t>
      </w:r>
      <w:r w:rsidRPr="00610DA7">
        <w:rPr>
          <w:rFonts w:ascii="Proxima Nova" w:hAnsi="Proxima Nova" w:cstheme="minorHAnsi"/>
          <w:color w:val="000000" w:themeColor="text1"/>
          <w:sz w:val="22"/>
          <w:szCs w:val="22"/>
          <w:lang w:bidi="en-US"/>
        </w:rPr>
        <w:t xml:space="preserve">, </w:t>
      </w:r>
      <w:proofErr w:type="gramStart"/>
      <w:r w:rsidRPr="00610DA7">
        <w:rPr>
          <w:rFonts w:ascii="Proxima Nova" w:hAnsi="Proxima Nova" w:cstheme="minorHAnsi"/>
          <w:color w:val="000000" w:themeColor="text1"/>
          <w:sz w:val="22"/>
          <w:szCs w:val="22"/>
          <w:lang w:bidi="en-US"/>
        </w:rPr>
        <w:t>and in particular, in</w:t>
      </w:r>
      <w:proofErr w:type="gramEnd"/>
      <w:r w:rsidRPr="00610DA7">
        <w:rPr>
          <w:rFonts w:ascii="Proxima Nova" w:hAnsi="Proxima Nova" w:cstheme="minorHAnsi"/>
          <w:color w:val="000000" w:themeColor="text1"/>
          <w:sz w:val="22"/>
          <w:szCs w:val="22"/>
          <w:lang w:bidi="en-US"/>
        </w:rPr>
        <w:t xml:space="preserve"> exposing the gendered nature of violence against people with disability.</w:t>
      </w:r>
    </w:p>
    <w:p w14:paraId="02672326" w14:textId="77777777" w:rsidR="00AE316B" w:rsidRPr="00610DA7" w:rsidRDefault="00AE316B" w:rsidP="00B0775B">
      <w:pPr>
        <w:pStyle w:val="ListParagraph"/>
        <w:spacing w:line="276" w:lineRule="auto"/>
        <w:ind w:hanging="720"/>
        <w:contextualSpacing w:val="0"/>
        <w:rPr>
          <w:rFonts w:ascii="Proxima Nova" w:hAnsi="Proxima Nova" w:cstheme="minorHAnsi"/>
          <w:sz w:val="22"/>
          <w:szCs w:val="22"/>
        </w:rPr>
      </w:pPr>
    </w:p>
    <w:p w14:paraId="49BC2BDE" w14:textId="5022EFEC" w:rsidR="00AE316B" w:rsidRPr="00610DA7" w:rsidRDefault="00AE316B" w:rsidP="000F1CFA">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t>In 2015, our collect</w:t>
      </w:r>
      <w:r w:rsidR="00760FCD" w:rsidRPr="00610DA7">
        <w:rPr>
          <w:rFonts w:ascii="Proxima Nova" w:hAnsi="Proxima Nova" w:cstheme="minorHAnsi"/>
          <w:sz w:val="22"/>
          <w:szCs w:val="22"/>
        </w:rPr>
        <w:t xml:space="preserve">ive campaign efforts led to </w:t>
      </w:r>
      <w:r w:rsidRPr="00610DA7">
        <w:rPr>
          <w:rFonts w:ascii="Proxima Nova" w:hAnsi="Proxima Nova" w:cstheme="minorHAnsi"/>
          <w:sz w:val="22"/>
          <w:szCs w:val="22"/>
        </w:rPr>
        <w:t xml:space="preserve">establishment of the Senate Inquiry into </w:t>
      </w:r>
      <w:r w:rsidRPr="00610DA7">
        <w:rPr>
          <w:rFonts w:ascii="Proxima Nova" w:hAnsi="Proxima Nova" w:cstheme="minorHAnsi"/>
          <w:i/>
          <w:iCs/>
          <w:sz w:val="22"/>
          <w:szCs w:val="22"/>
        </w:rPr>
        <w:t>Violence, Abuse and Neglect Against People with Disability in Institutional and Residential Settings</w:t>
      </w:r>
      <w:r w:rsidR="00C10C63" w:rsidRPr="00610DA7">
        <w:rPr>
          <w:rFonts w:ascii="Proxima Nova" w:hAnsi="Proxima Nova" w:cstheme="minorHAnsi"/>
          <w:sz w:val="22"/>
          <w:szCs w:val="22"/>
        </w:rPr>
        <w:t xml:space="preserve"> (the Senate </w:t>
      </w:r>
      <w:r w:rsidR="00153365" w:rsidRPr="00610DA7">
        <w:rPr>
          <w:rFonts w:ascii="Proxima Nova" w:hAnsi="Proxima Nova" w:cstheme="minorHAnsi"/>
          <w:sz w:val="22"/>
          <w:szCs w:val="22"/>
        </w:rPr>
        <w:t xml:space="preserve">Institutional Violence </w:t>
      </w:r>
      <w:r w:rsidR="00C10C63" w:rsidRPr="00610DA7">
        <w:rPr>
          <w:rFonts w:ascii="Proxima Nova" w:hAnsi="Proxima Nova" w:cstheme="minorHAnsi"/>
          <w:sz w:val="22"/>
          <w:szCs w:val="22"/>
        </w:rPr>
        <w:t>Inquiry)</w:t>
      </w:r>
      <w:r w:rsidRPr="00610DA7">
        <w:rPr>
          <w:rFonts w:ascii="Proxima Nova" w:hAnsi="Proxima Nova" w:cstheme="minorHAnsi"/>
          <w:sz w:val="22"/>
          <w:szCs w:val="22"/>
        </w:rPr>
        <w:t>.</w:t>
      </w:r>
      <w:r w:rsidR="006B139A" w:rsidRPr="00610DA7">
        <w:rPr>
          <w:rStyle w:val="EndnoteReference"/>
          <w:rFonts w:ascii="Proxima Nova" w:hAnsi="Proxima Nova" w:cstheme="minorHAnsi"/>
          <w:sz w:val="22"/>
          <w:szCs w:val="22"/>
        </w:rPr>
        <w:endnoteReference w:id="63"/>
      </w:r>
      <w:r w:rsidRPr="00610DA7">
        <w:rPr>
          <w:rFonts w:ascii="Proxima Nova" w:hAnsi="Proxima Nova" w:cstheme="minorHAnsi"/>
          <w:sz w:val="22"/>
          <w:szCs w:val="22"/>
        </w:rPr>
        <w:t xml:space="preserve"> Recommendation 1 from th</w:t>
      </w:r>
      <w:r w:rsidR="0029060B" w:rsidRPr="00610DA7">
        <w:rPr>
          <w:rFonts w:ascii="Proxima Nova" w:hAnsi="Proxima Nova" w:cstheme="minorHAnsi"/>
          <w:sz w:val="22"/>
          <w:szCs w:val="22"/>
        </w:rPr>
        <w:t>e</w:t>
      </w:r>
      <w:r w:rsidRPr="00610DA7">
        <w:rPr>
          <w:rFonts w:ascii="Proxima Nova" w:hAnsi="Proxima Nova" w:cstheme="minorHAnsi"/>
          <w:sz w:val="22"/>
          <w:szCs w:val="22"/>
        </w:rPr>
        <w:t xml:space="preserve"> Senate</w:t>
      </w:r>
      <w:r w:rsidR="00153365" w:rsidRPr="00610DA7">
        <w:rPr>
          <w:rFonts w:ascii="Proxima Nova" w:hAnsi="Proxima Nova" w:cstheme="minorHAnsi"/>
          <w:sz w:val="22"/>
          <w:szCs w:val="22"/>
        </w:rPr>
        <w:t xml:space="preserve"> Institutional Violence</w:t>
      </w:r>
      <w:r w:rsidRPr="00610DA7">
        <w:rPr>
          <w:rFonts w:ascii="Proxima Nova" w:hAnsi="Proxima Nova" w:cstheme="minorHAnsi"/>
          <w:sz w:val="22"/>
          <w:szCs w:val="22"/>
        </w:rPr>
        <w:t xml:space="preserve"> Inquiry was that a Royal Commission into violence against people with disability be established.</w:t>
      </w:r>
      <w:r w:rsidR="001E29E9" w:rsidRPr="00610DA7">
        <w:rPr>
          <w:rStyle w:val="EndnoteReference"/>
          <w:rFonts w:ascii="Proxima Nova" w:hAnsi="Proxima Nova" w:cstheme="minorHAnsi"/>
          <w:sz w:val="22"/>
          <w:szCs w:val="22"/>
        </w:rPr>
        <w:endnoteReference w:id="64"/>
      </w:r>
    </w:p>
    <w:p w14:paraId="52EBACEE" w14:textId="77777777" w:rsidR="00AE316B" w:rsidRPr="00610DA7" w:rsidRDefault="00AE316B" w:rsidP="00B0775B">
      <w:pPr>
        <w:pStyle w:val="ListParagraph"/>
        <w:spacing w:line="276" w:lineRule="auto"/>
        <w:ind w:hanging="720"/>
        <w:contextualSpacing w:val="0"/>
        <w:rPr>
          <w:rFonts w:ascii="Proxima Nova" w:hAnsi="Proxima Nova" w:cstheme="minorHAnsi"/>
          <w:sz w:val="22"/>
          <w:szCs w:val="22"/>
        </w:rPr>
      </w:pPr>
    </w:p>
    <w:p w14:paraId="365609AB" w14:textId="3B0D2E87" w:rsidR="00AE316B" w:rsidRPr="00610DA7" w:rsidRDefault="00AE316B" w:rsidP="000F1CFA">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lastRenderedPageBreak/>
        <w:t xml:space="preserve">However, it was not until 2019, following further concerted advocacy efforts that the Royal Commission was finally established by the Australian Government. The urgent need for a Royal Commission into all forms of violence against people with disability was a key recommendation from the 2017 review of Australia’s compliance with the </w:t>
      </w:r>
      <w:r w:rsidRPr="00610DA7">
        <w:rPr>
          <w:rFonts w:ascii="Proxima Nova" w:hAnsi="Proxima Nova" w:cstheme="minorHAnsi"/>
          <w:i/>
          <w:iCs/>
          <w:sz w:val="22"/>
          <w:szCs w:val="22"/>
        </w:rPr>
        <w:t>International Covenant on Economic, Social and Cultural Rights</w:t>
      </w:r>
      <w:r w:rsidR="00DC6996" w:rsidRPr="00610DA7">
        <w:rPr>
          <w:rFonts w:ascii="Proxima Nova" w:hAnsi="Proxima Nova" w:cstheme="minorHAnsi"/>
          <w:sz w:val="22"/>
          <w:szCs w:val="22"/>
        </w:rPr>
        <w:t xml:space="preserve">, </w:t>
      </w:r>
      <w:r w:rsidRPr="00610DA7">
        <w:rPr>
          <w:rFonts w:ascii="Proxima Nova" w:hAnsi="Proxima Nova" w:cstheme="minorHAnsi"/>
          <w:sz w:val="22"/>
          <w:szCs w:val="22"/>
        </w:rPr>
        <w:t>and was also addressed at the September 2019 review of Australia’s compliance with the CRPD.</w:t>
      </w:r>
    </w:p>
    <w:p w14:paraId="1DBDAB7B" w14:textId="77777777" w:rsidR="00AE316B" w:rsidRPr="00610DA7" w:rsidRDefault="00AE316B" w:rsidP="00B0775B">
      <w:pPr>
        <w:pStyle w:val="ListParagraph"/>
        <w:spacing w:line="276" w:lineRule="auto"/>
        <w:ind w:hanging="720"/>
        <w:contextualSpacing w:val="0"/>
        <w:rPr>
          <w:rFonts w:ascii="Proxima Nova" w:hAnsi="Proxima Nova" w:cstheme="minorHAnsi"/>
          <w:sz w:val="22"/>
          <w:szCs w:val="22"/>
        </w:rPr>
      </w:pPr>
    </w:p>
    <w:p w14:paraId="106856AB" w14:textId="03417E09" w:rsidR="00AE316B" w:rsidRPr="00610DA7" w:rsidRDefault="00AE316B" w:rsidP="000F1CFA">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t>The Terms of Reference for the Royal Commission are contained in the Commonwealth Letters Patent that were signed by the Governor General on 4 April 2019. The Terms of Reference explicitly state that:</w:t>
      </w:r>
    </w:p>
    <w:p w14:paraId="0DD18E74" w14:textId="77777777" w:rsidR="00AE316B" w:rsidRPr="00610DA7" w:rsidRDefault="00AE316B" w:rsidP="00B0775B">
      <w:pPr>
        <w:pStyle w:val="ListParagraph"/>
        <w:spacing w:line="276" w:lineRule="auto"/>
        <w:ind w:hanging="720"/>
        <w:contextualSpacing w:val="0"/>
        <w:rPr>
          <w:rFonts w:ascii="Proxima Nova" w:hAnsi="Proxima Nova" w:cstheme="minorHAnsi"/>
          <w:color w:val="000000"/>
          <w:sz w:val="22"/>
          <w:szCs w:val="22"/>
          <w:shd w:val="clear" w:color="auto" w:fill="FFFFFF"/>
        </w:rPr>
      </w:pPr>
    </w:p>
    <w:p w14:paraId="3B52B1B0" w14:textId="4DFD5726" w:rsidR="00AE316B" w:rsidRPr="00610DA7" w:rsidRDefault="00AE316B" w:rsidP="00B0775B">
      <w:pPr>
        <w:pStyle w:val="ListParagraph"/>
        <w:spacing w:line="276" w:lineRule="auto"/>
        <w:ind w:left="1134"/>
        <w:contextualSpacing w:val="0"/>
        <w:rPr>
          <w:rFonts w:ascii="Proxima Nova" w:hAnsi="Proxima Nova" w:cstheme="minorHAnsi"/>
          <w:sz w:val="22"/>
          <w:szCs w:val="22"/>
        </w:rPr>
      </w:pPr>
      <w:r w:rsidRPr="00610DA7">
        <w:rPr>
          <w:rFonts w:ascii="Proxima Nova" w:hAnsi="Proxima Nova" w:cstheme="minorHAnsi"/>
          <w:i/>
          <w:iCs/>
          <w:color w:val="000000"/>
          <w:sz w:val="22"/>
          <w:szCs w:val="22"/>
          <w:shd w:val="clear" w:color="auto" w:fill="FFFFFF"/>
        </w:rPr>
        <w:t>Australia has international obligations to take appropriate legislative, administrative and other measures to promote the human rights of people with disability, including to protect people with disability from all forms of exploitation, violence and abuse under the Convention on the Rights of Persons with Disabilities.</w:t>
      </w:r>
      <w:r w:rsidR="008D36C8" w:rsidRPr="00610DA7">
        <w:rPr>
          <w:rStyle w:val="EndnoteReference"/>
          <w:rFonts w:ascii="Proxima Nova" w:hAnsi="Proxima Nova" w:cstheme="minorHAnsi"/>
          <w:color w:val="000000"/>
          <w:sz w:val="22"/>
          <w:szCs w:val="22"/>
          <w:shd w:val="clear" w:color="auto" w:fill="FFFFFF"/>
        </w:rPr>
        <w:endnoteReference w:id="65"/>
      </w:r>
    </w:p>
    <w:p w14:paraId="6E777398" w14:textId="77777777" w:rsidR="00AE316B" w:rsidRPr="00610DA7" w:rsidRDefault="00AE316B" w:rsidP="00B0775B">
      <w:pPr>
        <w:pStyle w:val="ListParagraph"/>
        <w:snapToGrid w:val="0"/>
        <w:spacing w:line="276" w:lineRule="auto"/>
        <w:ind w:left="0"/>
        <w:contextualSpacing w:val="0"/>
        <w:rPr>
          <w:rFonts w:ascii="Proxima Nova" w:hAnsi="Proxima Nova" w:cstheme="minorHAnsi"/>
          <w:color w:val="000000"/>
          <w:sz w:val="22"/>
          <w:szCs w:val="22"/>
          <w:shd w:val="clear" w:color="auto" w:fill="FFFFFF"/>
        </w:rPr>
      </w:pPr>
    </w:p>
    <w:p w14:paraId="779A7312" w14:textId="3180536F" w:rsidR="00AE316B" w:rsidRPr="00610DA7" w:rsidRDefault="00AE316B" w:rsidP="000F1CFA">
      <w:pPr>
        <w:pStyle w:val="ListParagraph"/>
        <w:numPr>
          <w:ilvl w:val="1"/>
          <w:numId w:val="18"/>
        </w:numPr>
        <w:snapToGrid w:val="0"/>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t xml:space="preserve">The Terms of Reference reflect our campaign calls that the Royal Commission should have regard to </w:t>
      </w:r>
      <w:r w:rsidR="00932ABF" w:rsidRPr="00610DA7">
        <w:rPr>
          <w:rFonts w:ascii="Proxima Nova" w:hAnsi="Proxima Nova" w:cstheme="minorHAnsi"/>
          <w:sz w:val="22"/>
          <w:szCs w:val="22"/>
        </w:rPr>
        <w:t>‘</w:t>
      </w:r>
      <w:r w:rsidRPr="00610DA7">
        <w:rPr>
          <w:rFonts w:ascii="Proxima Nova" w:hAnsi="Proxima Nova" w:cstheme="minorHAnsi"/>
          <w:sz w:val="22"/>
          <w:szCs w:val="22"/>
        </w:rPr>
        <w:t>all forms of violence against, and abuse, neglect and exploitation of, people with disability, whatever the setting or context</w:t>
      </w:r>
      <w:r w:rsidR="008831D5" w:rsidRPr="00610DA7">
        <w:rPr>
          <w:rFonts w:ascii="Proxima Nova" w:hAnsi="Proxima Nova" w:cstheme="minorHAnsi"/>
          <w:sz w:val="22"/>
          <w:szCs w:val="22"/>
        </w:rPr>
        <w:t>.</w:t>
      </w:r>
      <w:r w:rsidR="00932ABF" w:rsidRPr="00610DA7">
        <w:rPr>
          <w:rFonts w:ascii="Proxima Nova" w:hAnsi="Proxima Nova" w:cstheme="minorHAnsi"/>
          <w:sz w:val="22"/>
          <w:szCs w:val="22"/>
        </w:rPr>
        <w:t>’</w:t>
      </w:r>
      <w:r w:rsidR="00D6173C" w:rsidRPr="00610DA7">
        <w:rPr>
          <w:rStyle w:val="EndnoteReference"/>
          <w:rFonts w:ascii="Proxima Nova" w:hAnsi="Proxima Nova" w:cstheme="minorHAnsi"/>
          <w:sz w:val="22"/>
          <w:szCs w:val="22"/>
        </w:rPr>
        <w:endnoteReference w:id="66"/>
      </w:r>
    </w:p>
    <w:p w14:paraId="7B3D6642" w14:textId="77777777" w:rsidR="00AE316B" w:rsidRPr="00610DA7" w:rsidRDefault="00AE316B" w:rsidP="00B0775B">
      <w:pPr>
        <w:snapToGrid w:val="0"/>
        <w:spacing w:line="276" w:lineRule="auto"/>
        <w:ind w:left="720" w:hanging="720"/>
        <w:rPr>
          <w:rFonts w:ascii="Proxima Nova" w:hAnsi="Proxima Nova" w:cstheme="minorHAnsi"/>
          <w:sz w:val="22"/>
          <w:szCs w:val="22"/>
        </w:rPr>
      </w:pPr>
    </w:p>
    <w:p w14:paraId="7D88E164" w14:textId="5F41367F" w:rsidR="00AE316B" w:rsidRPr="00610DA7" w:rsidRDefault="00AE316B" w:rsidP="000F1CFA">
      <w:pPr>
        <w:pStyle w:val="ListParagraph"/>
        <w:numPr>
          <w:ilvl w:val="1"/>
          <w:numId w:val="18"/>
        </w:numPr>
        <w:snapToGrid w:val="0"/>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t>The Terms of Reference also reflect our calls fo</w:t>
      </w:r>
      <w:r w:rsidR="00D43D9E" w:rsidRPr="00610DA7">
        <w:rPr>
          <w:rFonts w:ascii="Proxima Nova" w:hAnsi="Proxima Nova" w:cstheme="minorHAnsi"/>
          <w:sz w:val="22"/>
          <w:szCs w:val="22"/>
        </w:rPr>
        <w:t xml:space="preserve">r recognition of </w:t>
      </w:r>
      <w:r w:rsidRPr="00610DA7">
        <w:rPr>
          <w:rFonts w:ascii="Proxima Nova" w:hAnsi="Proxima Nova" w:cstheme="minorHAnsi"/>
          <w:sz w:val="22"/>
          <w:szCs w:val="22"/>
        </w:rPr>
        <w:t>intersectional dimensions of people with disability that make the experiences of violence, abuse, neglect and exploitation specific, unique and diverse:</w:t>
      </w:r>
    </w:p>
    <w:p w14:paraId="073BBD6E" w14:textId="77777777" w:rsidR="00AE316B" w:rsidRPr="00610DA7" w:rsidRDefault="00AE316B" w:rsidP="00B0775B">
      <w:pPr>
        <w:pStyle w:val="ListParagraph"/>
        <w:snapToGrid w:val="0"/>
        <w:spacing w:line="276" w:lineRule="auto"/>
        <w:ind w:left="0"/>
        <w:contextualSpacing w:val="0"/>
        <w:rPr>
          <w:rFonts w:ascii="Proxima Nova" w:hAnsi="Proxima Nova" w:cstheme="minorHAnsi"/>
          <w:color w:val="000000"/>
          <w:sz w:val="22"/>
          <w:szCs w:val="22"/>
          <w:shd w:val="clear" w:color="auto" w:fill="FFFFFF"/>
        </w:rPr>
      </w:pPr>
    </w:p>
    <w:p w14:paraId="19DEE16E" w14:textId="26F991F7" w:rsidR="00AE316B" w:rsidRPr="00610DA7" w:rsidRDefault="00A06C89" w:rsidP="00B0775B">
      <w:pPr>
        <w:pStyle w:val="ListParagraph"/>
        <w:snapToGrid w:val="0"/>
        <w:spacing w:line="276" w:lineRule="auto"/>
        <w:ind w:left="1134"/>
        <w:contextualSpacing w:val="0"/>
        <w:rPr>
          <w:rFonts w:ascii="Proxima Nova" w:hAnsi="Proxima Nova" w:cstheme="minorHAnsi"/>
          <w:color w:val="000000"/>
          <w:sz w:val="22"/>
          <w:szCs w:val="22"/>
          <w:shd w:val="clear" w:color="auto" w:fill="FFFFFF"/>
        </w:rPr>
      </w:pPr>
      <w:r w:rsidRPr="00610DA7">
        <w:rPr>
          <w:rFonts w:ascii="Proxima Nova" w:hAnsi="Proxima Nova" w:cstheme="minorHAnsi"/>
          <w:i/>
          <w:iCs/>
          <w:sz w:val="22"/>
          <w:szCs w:val="22"/>
        </w:rPr>
        <w:t>…</w:t>
      </w:r>
      <w:r w:rsidR="003F6AE9" w:rsidRPr="00610DA7">
        <w:rPr>
          <w:rFonts w:ascii="Proxima Nova" w:hAnsi="Proxima Nova" w:cstheme="minorHAnsi"/>
          <w:i/>
          <w:iCs/>
          <w:sz w:val="22"/>
          <w:szCs w:val="22"/>
        </w:rPr>
        <w:t xml:space="preserve"> </w:t>
      </w:r>
      <w:r w:rsidR="00AE316B" w:rsidRPr="00610DA7">
        <w:rPr>
          <w:rFonts w:ascii="Proxima Nova" w:hAnsi="Proxima Nova" w:cstheme="minorHAnsi"/>
          <w:i/>
          <w:iCs/>
          <w:sz w:val="22"/>
          <w:szCs w:val="22"/>
        </w:rPr>
        <w:t xml:space="preserve">the specific experiences of violence against, and abuse, neglect and exploitation of, people with disability are multi-layered and influenced by experiences associated with their age, sex, gender, gender identity, sexual orientation, intersex status, ethnic origin or race, including the </w:t>
      </w:r>
      <w:proofErr w:type="gramStart"/>
      <w:r w:rsidR="00AE316B" w:rsidRPr="00610DA7">
        <w:rPr>
          <w:rFonts w:ascii="Proxima Nova" w:hAnsi="Proxima Nova" w:cstheme="minorHAnsi"/>
          <w:i/>
          <w:iCs/>
          <w:sz w:val="22"/>
          <w:szCs w:val="22"/>
        </w:rPr>
        <w:t>particular situation</w:t>
      </w:r>
      <w:proofErr w:type="gramEnd"/>
      <w:r w:rsidR="00AE316B" w:rsidRPr="00610DA7">
        <w:rPr>
          <w:rFonts w:ascii="Proxima Nova" w:hAnsi="Proxima Nova" w:cstheme="minorHAnsi"/>
          <w:i/>
          <w:iCs/>
          <w:sz w:val="22"/>
          <w:szCs w:val="22"/>
        </w:rPr>
        <w:t xml:space="preserve"> of Aboriginal and Torres Strait Islander people and culturally and linguistically diverse people with disability.</w:t>
      </w:r>
      <w:r w:rsidR="00D6173C" w:rsidRPr="00610DA7">
        <w:rPr>
          <w:rStyle w:val="EndnoteReference"/>
          <w:rFonts w:ascii="Proxima Nova" w:hAnsi="Proxima Nova" w:cstheme="minorHAnsi"/>
          <w:sz w:val="22"/>
          <w:szCs w:val="22"/>
        </w:rPr>
        <w:endnoteReference w:id="67"/>
      </w:r>
    </w:p>
    <w:p w14:paraId="167B02D8" w14:textId="77777777" w:rsidR="00AE316B" w:rsidRPr="00610DA7" w:rsidRDefault="00AE316B" w:rsidP="00C92D1C">
      <w:pPr>
        <w:pStyle w:val="ListParagraph"/>
        <w:ind w:left="0"/>
        <w:contextualSpacing w:val="0"/>
        <w:rPr>
          <w:rFonts w:ascii="Proxima Nova" w:hAnsi="Proxima Nova" w:cstheme="minorHAnsi"/>
          <w:sz w:val="22"/>
          <w:szCs w:val="22"/>
        </w:rPr>
      </w:pPr>
    </w:p>
    <w:p w14:paraId="0828CFB2" w14:textId="1E2D58CE" w:rsidR="00AE316B" w:rsidRPr="00610DA7" w:rsidRDefault="00D43D9E" w:rsidP="000F1CFA">
      <w:pPr>
        <w:pStyle w:val="ListParagraph"/>
        <w:numPr>
          <w:ilvl w:val="1"/>
          <w:numId w:val="18"/>
        </w:numPr>
        <w:snapToGrid w:val="0"/>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t>An i</w:t>
      </w:r>
      <w:r w:rsidR="00AE316B" w:rsidRPr="00610DA7">
        <w:rPr>
          <w:rFonts w:ascii="Proxima Nova" w:hAnsi="Proxima Nova" w:cstheme="minorHAnsi"/>
          <w:sz w:val="22"/>
          <w:szCs w:val="22"/>
        </w:rPr>
        <w:t>ntersectional analysis required by the Terms of Reference and enshrined in the CRPD is critical to ensuring that all forms of violence in all settings experienced by people with disability, including women and girls with disability is identi</w:t>
      </w:r>
      <w:r w:rsidRPr="00610DA7">
        <w:rPr>
          <w:rFonts w:ascii="Proxima Nova" w:hAnsi="Proxima Nova" w:cstheme="minorHAnsi"/>
          <w:sz w:val="22"/>
          <w:szCs w:val="22"/>
        </w:rPr>
        <w:t xml:space="preserve">fied, understood and addressed. </w:t>
      </w:r>
    </w:p>
    <w:p w14:paraId="20B48E1F" w14:textId="77777777" w:rsidR="00AE316B" w:rsidRPr="00610DA7" w:rsidRDefault="00AE316B" w:rsidP="00B0775B">
      <w:pPr>
        <w:snapToGrid w:val="0"/>
        <w:spacing w:line="276" w:lineRule="auto"/>
        <w:ind w:left="720" w:hanging="720"/>
        <w:rPr>
          <w:rFonts w:ascii="Proxima Nova" w:hAnsi="Proxima Nova" w:cstheme="minorHAnsi"/>
          <w:color w:val="000000"/>
          <w:sz w:val="22"/>
          <w:szCs w:val="22"/>
          <w:shd w:val="clear" w:color="auto" w:fill="FFFFFF"/>
        </w:rPr>
      </w:pPr>
    </w:p>
    <w:p w14:paraId="49BD066A" w14:textId="417B1EF8" w:rsidR="00AE316B" w:rsidRPr="00610DA7" w:rsidRDefault="00AE316B" w:rsidP="000F1CFA">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t xml:space="preserve">Despite our collective calls for the Terms of Reference for the Royal Commission to include provision for a redress scheme, this was not included. In September 2019, the Committee on the Rights of Persons with Disabilities </w:t>
      </w:r>
      <w:r w:rsidR="00E6686C" w:rsidRPr="00610DA7">
        <w:rPr>
          <w:rFonts w:ascii="Proxima Nova" w:hAnsi="Proxima Nova" w:cstheme="minorHAnsi"/>
          <w:sz w:val="22"/>
          <w:szCs w:val="22"/>
        </w:rPr>
        <w:t xml:space="preserve">(the UN CRPD Committee) </w:t>
      </w:r>
      <w:r w:rsidRPr="00610DA7">
        <w:rPr>
          <w:rFonts w:ascii="Proxima Nova" w:hAnsi="Proxima Nova" w:cstheme="minorHAnsi"/>
          <w:sz w:val="22"/>
          <w:szCs w:val="22"/>
        </w:rPr>
        <w:t xml:space="preserve">adopted its Concluding Observations following its review of Australia’s compliance with the CRPD. The </w:t>
      </w:r>
      <w:r w:rsidR="0066633C" w:rsidRPr="00610DA7">
        <w:rPr>
          <w:rFonts w:ascii="Proxima Nova" w:hAnsi="Proxima Nova" w:cstheme="minorHAnsi"/>
          <w:sz w:val="22"/>
          <w:szCs w:val="22"/>
        </w:rPr>
        <w:t xml:space="preserve">UN CRPD </w:t>
      </w:r>
      <w:r w:rsidRPr="00610DA7">
        <w:rPr>
          <w:rFonts w:ascii="Proxima Nova" w:hAnsi="Proxima Nova" w:cstheme="minorHAnsi"/>
          <w:sz w:val="22"/>
          <w:szCs w:val="22"/>
        </w:rPr>
        <w:t>Committee expressly recommended t</w:t>
      </w:r>
      <w:r w:rsidR="00215BF0" w:rsidRPr="00610DA7">
        <w:rPr>
          <w:rFonts w:ascii="Proxima Nova" w:hAnsi="Proxima Nova" w:cstheme="minorHAnsi"/>
          <w:sz w:val="22"/>
          <w:szCs w:val="22"/>
        </w:rPr>
        <w:t>hat the Australian Government: ‘</w:t>
      </w:r>
      <w:r w:rsidRPr="00610DA7">
        <w:rPr>
          <w:rFonts w:ascii="Proxima Nova" w:hAnsi="Proxima Nova" w:cstheme="minorHAnsi"/>
          <w:sz w:val="22"/>
          <w:szCs w:val="22"/>
        </w:rPr>
        <w:t>ensure [adequate resources and] a redress mechanism for the Royal Commission</w:t>
      </w:r>
      <w:r w:rsidR="009D2C3C" w:rsidRPr="00610DA7">
        <w:rPr>
          <w:rFonts w:ascii="Proxima Nova" w:hAnsi="Proxima Nova" w:cstheme="minorHAnsi"/>
          <w:sz w:val="22"/>
          <w:szCs w:val="22"/>
        </w:rPr>
        <w:t>.</w:t>
      </w:r>
      <w:r w:rsidR="00215BF0" w:rsidRPr="00610DA7">
        <w:rPr>
          <w:rFonts w:ascii="Proxima Nova" w:hAnsi="Proxima Nova" w:cstheme="minorHAnsi"/>
          <w:sz w:val="22"/>
          <w:szCs w:val="22"/>
        </w:rPr>
        <w:t>’</w:t>
      </w:r>
      <w:r w:rsidR="00AD1FB3" w:rsidRPr="00610DA7">
        <w:rPr>
          <w:rStyle w:val="EndnoteReference"/>
          <w:rFonts w:ascii="Proxima Nova" w:hAnsi="Proxima Nova" w:cstheme="minorHAnsi"/>
          <w:sz w:val="22"/>
          <w:szCs w:val="22"/>
        </w:rPr>
        <w:endnoteReference w:id="68"/>
      </w:r>
      <w:r w:rsidRPr="00610DA7">
        <w:rPr>
          <w:rFonts w:ascii="Proxima Nova" w:hAnsi="Proxima Nova" w:cstheme="minorHAnsi"/>
          <w:sz w:val="22"/>
          <w:szCs w:val="22"/>
        </w:rPr>
        <w:t xml:space="preserve"> It remains unclear as to whether the Australian Government will adopt this critical recommendation. In its Group Homes hearing, the Royal Commission heard about the limited response of a </w:t>
      </w:r>
      <w:r w:rsidR="00E44898" w:rsidRPr="00610DA7">
        <w:rPr>
          <w:rFonts w:ascii="Proxima Nova" w:hAnsi="Proxima Nova" w:cstheme="minorHAnsi"/>
          <w:sz w:val="22"/>
          <w:szCs w:val="22"/>
        </w:rPr>
        <w:t>disability</w:t>
      </w:r>
      <w:r w:rsidRPr="00610DA7">
        <w:rPr>
          <w:rFonts w:ascii="Proxima Nova" w:hAnsi="Proxima Nova" w:cstheme="minorHAnsi"/>
          <w:sz w:val="22"/>
          <w:szCs w:val="22"/>
        </w:rPr>
        <w:t xml:space="preserve"> service to violence against group homes residents. The Royal Commission observed in its </w:t>
      </w:r>
      <w:r w:rsidR="00DA04B7" w:rsidRPr="00610DA7">
        <w:rPr>
          <w:rFonts w:ascii="Proxima Nova" w:hAnsi="Proxima Nova" w:cstheme="minorHAnsi"/>
          <w:sz w:val="22"/>
          <w:szCs w:val="22"/>
        </w:rPr>
        <w:t>i</w:t>
      </w:r>
      <w:r w:rsidRPr="00610DA7">
        <w:rPr>
          <w:rFonts w:ascii="Proxima Nova" w:hAnsi="Proxima Nova" w:cstheme="minorHAnsi"/>
          <w:sz w:val="22"/>
          <w:szCs w:val="22"/>
        </w:rPr>
        <w:t xml:space="preserve">nterim </w:t>
      </w:r>
      <w:r w:rsidR="00DA04B7" w:rsidRPr="00610DA7">
        <w:rPr>
          <w:rFonts w:ascii="Proxima Nova" w:hAnsi="Proxima Nova" w:cstheme="minorHAnsi"/>
          <w:sz w:val="22"/>
          <w:szCs w:val="22"/>
        </w:rPr>
        <w:t>r</w:t>
      </w:r>
      <w:r w:rsidRPr="00610DA7">
        <w:rPr>
          <w:rFonts w:ascii="Proxima Nova" w:hAnsi="Proxima Nova" w:cstheme="minorHAnsi"/>
          <w:sz w:val="22"/>
          <w:szCs w:val="22"/>
        </w:rPr>
        <w:t>eport</w:t>
      </w:r>
      <w:r w:rsidR="00DA04B7" w:rsidRPr="00610DA7">
        <w:rPr>
          <w:rFonts w:ascii="Proxima Nova" w:hAnsi="Proxima Nova" w:cstheme="minorHAnsi"/>
          <w:sz w:val="22"/>
          <w:szCs w:val="22"/>
        </w:rPr>
        <w:t xml:space="preserve"> (DRC Interim Report)</w:t>
      </w:r>
      <w:r w:rsidRPr="00610DA7">
        <w:rPr>
          <w:rFonts w:ascii="Proxima Nova" w:hAnsi="Proxima Nova" w:cstheme="minorHAnsi"/>
          <w:sz w:val="22"/>
          <w:szCs w:val="22"/>
        </w:rPr>
        <w:t>: ‘</w:t>
      </w:r>
      <w:proofErr w:type="gramStart"/>
      <w:r w:rsidRPr="00610DA7">
        <w:rPr>
          <w:rFonts w:ascii="Proxima Nova" w:hAnsi="Proxima Nova" w:cstheme="minorHAnsi"/>
          <w:i/>
          <w:sz w:val="22"/>
          <w:szCs w:val="22"/>
        </w:rPr>
        <w:t>it is clear that the</w:t>
      </w:r>
      <w:proofErr w:type="gramEnd"/>
      <w:r w:rsidRPr="00610DA7">
        <w:rPr>
          <w:rFonts w:ascii="Proxima Nova" w:hAnsi="Proxima Nova" w:cstheme="minorHAnsi"/>
          <w:i/>
          <w:sz w:val="22"/>
          <w:szCs w:val="22"/>
        </w:rPr>
        <w:t xml:space="preserve"> question of redress, including compensation for serious harm, is worthy of further investigation.</w:t>
      </w:r>
      <w:r w:rsidRPr="00610DA7">
        <w:rPr>
          <w:rFonts w:ascii="Proxima Nova" w:hAnsi="Proxima Nova" w:cstheme="minorHAnsi"/>
          <w:sz w:val="22"/>
          <w:szCs w:val="22"/>
        </w:rPr>
        <w:t>’ It went on to note that:</w:t>
      </w:r>
    </w:p>
    <w:p w14:paraId="73ABF176" w14:textId="77777777" w:rsidR="00AE316B" w:rsidRPr="00610DA7" w:rsidRDefault="00AE316B" w:rsidP="00B0775B">
      <w:pPr>
        <w:pStyle w:val="ListParagraph"/>
        <w:spacing w:line="276" w:lineRule="auto"/>
        <w:ind w:left="0"/>
        <w:rPr>
          <w:rFonts w:ascii="Proxima Nova" w:hAnsi="Proxima Nova" w:cstheme="minorHAnsi"/>
          <w:sz w:val="22"/>
          <w:szCs w:val="22"/>
        </w:rPr>
      </w:pPr>
    </w:p>
    <w:p w14:paraId="265B3DB8" w14:textId="5273B537" w:rsidR="00AE316B" w:rsidRPr="00610DA7" w:rsidRDefault="00AE316B" w:rsidP="00B0775B">
      <w:pPr>
        <w:pStyle w:val="ListParagraph"/>
        <w:spacing w:line="276" w:lineRule="auto"/>
        <w:ind w:left="1134"/>
        <w:contextualSpacing w:val="0"/>
        <w:rPr>
          <w:rFonts w:ascii="Proxima Nova" w:hAnsi="Proxima Nova" w:cstheme="minorHAnsi"/>
          <w:i/>
          <w:iCs/>
          <w:sz w:val="22"/>
          <w:szCs w:val="22"/>
        </w:rPr>
      </w:pPr>
      <w:r w:rsidRPr="00610DA7">
        <w:rPr>
          <w:rFonts w:ascii="Proxima Nova" w:hAnsi="Proxima Nova" w:cstheme="minorHAnsi"/>
          <w:i/>
          <w:iCs/>
          <w:sz w:val="22"/>
          <w:szCs w:val="22"/>
        </w:rPr>
        <w:t>The Royal Commission proposes to investigate:</w:t>
      </w:r>
    </w:p>
    <w:p w14:paraId="3BFBD0F4" w14:textId="77777777" w:rsidR="00B0775B" w:rsidRPr="00610DA7" w:rsidRDefault="00B0775B" w:rsidP="00B0775B">
      <w:pPr>
        <w:pStyle w:val="ListParagraph"/>
        <w:spacing w:line="276" w:lineRule="auto"/>
        <w:ind w:left="1134"/>
        <w:contextualSpacing w:val="0"/>
        <w:rPr>
          <w:rFonts w:ascii="Proxima Nova" w:hAnsi="Proxima Nova" w:cstheme="minorHAnsi"/>
          <w:sz w:val="22"/>
          <w:szCs w:val="22"/>
        </w:rPr>
      </w:pPr>
    </w:p>
    <w:p w14:paraId="155B8D72" w14:textId="468BEF8A" w:rsidR="00AE316B" w:rsidRPr="00610DA7" w:rsidRDefault="00AE316B" w:rsidP="000F1CFA">
      <w:pPr>
        <w:pStyle w:val="ListParagraph"/>
        <w:numPr>
          <w:ilvl w:val="0"/>
          <w:numId w:val="19"/>
        </w:numPr>
        <w:spacing w:line="276" w:lineRule="auto"/>
        <w:contextualSpacing w:val="0"/>
        <w:rPr>
          <w:rFonts w:ascii="Proxima Nova" w:hAnsi="Proxima Nova" w:cstheme="minorHAnsi"/>
          <w:i/>
          <w:iCs/>
          <w:sz w:val="22"/>
          <w:szCs w:val="22"/>
        </w:rPr>
      </w:pPr>
      <w:r w:rsidRPr="00610DA7">
        <w:rPr>
          <w:rFonts w:ascii="Proxima Nova" w:hAnsi="Proxima Nova" w:cstheme="minorHAnsi"/>
          <w:i/>
          <w:iCs/>
          <w:sz w:val="22"/>
          <w:szCs w:val="22"/>
        </w:rPr>
        <w:t xml:space="preserve">the forms of redress available to people with disability who are subjected to violence, abuse, neglect or exploitation while residing in group homes or supported </w:t>
      </w:r>
      <w:proofErr w:type="gramStart"/>
      <w:r w:rsidRPr="00610DA7">
        <w:rPr>
          <w:rFonts w:ascii="Proxima Nova" w:hAnsi="Proxima Nova" w:cstheme="minorHAnsi"/>
          <w:i/>
          <w:iCs/>
          <w:sz w:val="22"/>
          <w:szCs w:val="22"/>
        </w:rPr>
        <w:t>accommodation</w:t>
      </w:r>
      <w:r w:rsidR="002439BE" w:rsidRPr="00610DA7">
        <w:rPr>
          <w:rFonts w:ascii="Proxima Nova" w:hAnsi="Proxima Nova" w:cstheme="minorHAnsi"/>
          <w:i/>
          <w:iCs/>
          <w:sz w:val="22"/>
          <w:szCs w:val="22"/>
        </w:rPr>
        <w:t>;</w:t>
      </w:r>
      <w:proofErr w:type="gramEnd"/>
    </w:p>
    <w:p w14:paraId="744DFA78" w14:textId="0171653E" w:rsidR="00AE316B" w:rsidRPr="00610DA7" w:rsidRDefault="00AE316B" w:rsidP="000F1CFA">
      <w:pPr>
        <w:pStyle w:val="ListParagraph"/>
        <w:numPr>
          <w:ilvl w:val="0"/>
          <w:numId w:val="19"/>
        </w:numPr>
        <w:spacing w:line="276" w:lineRule="auto"/>
        <w:contextualSpacing w:val="0"/>
        <w:rPr>
          <w:rFonts w:ascii="Proxima Nova" w:hAnsi="Proxima Nova" w:cstheme="minorHAnsi"/>
          <w:i/>
          <w:iCs/>
          <w:sz w:val="22"/>
          <w:szCs w:val="22"/>
        </w:rPr>
      </w:pPr>
      <w:r w:rsidRPr="00610DA7">
        <w:rPr>
          <w:rFonts w:ascii="Proxima Nova" w:hAnsi="Proxima Nova" w:cstheme="minorHAnsi"/>
          <w:i/>
          <w:iCs/>
          <w:sz w:val="22"/>
          <w:szCs w:val="22"/>
        </w:rPr>
        <w:t>measures that should be taken to ensure that when violence, abuse, neglect or exploitation occurs, people receive independent advice and support to enable them to pursue the remedies available to them</w:t>
      </w:r>
      <w:r w:rsidR="002439BE" w:rsidRPr="00610DA7">
        <w:rPr>
          <w:rFonts w:ascii="Proxima Nova" w:hAnsi="Proxima Nova" w:cstheme="minorHAnsi"/>
          <w:i/>
          <w:iCs/>
          <w:sz w:val="22"/>
          <w:szCs w:val="22"/>
        </w:rPr>
        <w:t>; and</w:t>
      </w:r>
    </w:p>
    <w:p w14:paraId="6E8EC64D" w14:textId="7645A269" w:rsidR="00AE316B" w:rsidRPr="00610DA7" w:rsidRDefault="00AE316B" w:rsidP="000F1CFA">
      <w:pPr>
        <w:pStyle w:val="ListParagraph"/>
        <w:numPr>
          <w:ilvl w:val="0"/>
          <w:numId w:val="19"/>
        </w:numPr>
        <w:spacing w:line="276" w:lineRule="auto"/>
        <w:contextualSpacing w:val="0"/>
        <w:rPr>
          <w:rFonts w:ascii="Proxima Nova" w:hAnsi="Proxima Nova" w:cstheme="minorHAnsi"/>
          <w:sz w:val="22"/>
          <w:szCs w:val="22"/>
        </w:rPr>
      </w:pPr>
      <w:r w:rsidRPr="00610DA7">
        <w:rPr>
          <w:rFonts w:ascii="Proxima Nova" w:hAnsi="Proxima Nova" w:cstheme="minorHAnsi"/>
          <w:i/>
          <w:iCs/>
          <w:sz w:val="22"/>
          <w:szCs w:val="22"/>
        </w:rPr>
        <w:t>whether it is feasible to establish a scheme to compensate people with disability who have sustained serious harm from violence, abuse, neglect or exploitation in circumstances where no other redress is available to them</w:t>
      </w:r>
      <w:r w:rsidRPr="00610DA7">
        <w:rPr>
          <w:rFonts w:ascii="Proxima Nova" w:hAnsi="Proxima Nova" w:cstheme="minorHAnsi"/>
          <w:sz w:val="22"/>
          <w:szCs w:val="22"/>
        </w:rPr>
        <w:t>.</w:t>
      </w:r>
      <w:r w:rsidR="00C3218B" w:rsidRPr="00610DA7">
        <w:rPr>
          <w:rStyle w:val="EndnoteReference"/>
          <w:rFonts w:ascii="Proxima Nova" w:hAnsi="Proxima Nova" w:cstheme="minorHAnsi"/>
          <w:sz w:val="22"/>
          <w:szCs w:val="22"/>
        </w:rPr>
        <w:endnoteReference w:id="69"/>
      </w:r>
    </w:p>
    <w:p w14:paraId="765A69C9" w14:textId="77777777" w:rsidR="00AE316B" w:rsidRPr="00610DA7" w:rsidRDefault="00AE316B" w:rsidP="00B0775B">
      <w:pPr>
        <w:pStyle w:val="ListParagraph"/>
        <w:spacing w:line="276" w:lineRule="auto"/>
        <w:ind w:left="0"/>
        <w:rPr>
          <w:rFonts w:ascii="Proxima Nova" w:hAnsi="Proxima Nova" w:cstheme="minorHAnsi"/>
          <w:sz w:val="22"/>
          <w:szCs w:val="22"/>
        </w:rPr>
      </w:pPr>
    </w:p>
    <w:p w14:paraId="059940EE" w14:textId="2502E992" w:rsidR="00AE316B" w:rsidRPr="00610DA7" w:rsidRDefault="00AE316B" w:rsidP="00610DA7">
      <w:pPr>
        <w:pStyle w:val="ListParagraph"/>
        <w:numPr>
          <w:ilvl w:val="1"/>
          <w:numId w:val="18"/>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 xml:space="preserve">While it is encouraging that the Royal Commission </w:t>
      </w:r>
      <w:r w:rsidR="008374F8" w:rsidRPr="00610DA7">
        <w:rPr>
          <w:rFonts w:ascii="Proxima Nova" w:hAnsi="Proxima Nova" w:cstheme="minorHAnsi"/>
          <w:sz w:val="22"/>
          <w:szCs w:val="22"/>
        </w:rPr>
        <w:t>identifies redress a</w:t>
      </w:r>
      <w:r w:rsidRPr="00610DA7">
        <w:rPr>
          <w:rFonts w:ascii="Proxima Nova" w:hAnsi="Proxima Nova" w:cstheme="minorHAnsi"/>
          <w:sz w:val="22"/>
          <w:szCs w:val="22"/>
        </w:rPr>
        <w:t>s an area of future ex</w:t>
      </w:r>
      <w:r w:rsidR="008374F8" w:rsidRPr="00610DA7">
        <w:rPr>
          <w:rFonts w:ascii="Proxima Nova" w:hAnsi="Proxima Nova" w:cstheme="minorHAnsi"/>
          <w:sz w:val="22"/>
          <w:szCs w:val="22"/>
        </w:rPr>
        <w:t xml:space="preserve">ploration, </w:t>
      </w:r>
      <w:r w:rsidR="00B74DA3" w:rsidRPr="00610DA7">
        <w:rPr>
          <w:rFonts w:ascii="Proxima Nova" w:hAnsi="Proxima Nova" w:cstheme="minorHAnsi"/>
          <w:sz w:val="22"/>
          <w:szCs w:val="22"/>
        </w:rPr>
        <w:t>it is yet to articulate the exact scope and focus of this work. W</w:t>
      </w:r>
      <w:r w:rsidR="008374F8" w:rsidRPr="00610DA7">
        <w:rPr>
          <w:rFonts w:ascii="Proxima Nova" w:hAnsi="Proxima Nova" w:cstheme="minorHAnsi"/>
          <w:sz w:val="22"/>
          <w:szCs w:val="22"/>
        </w:rPr>
        <w:t>e are concerned that its exploration of redress might be l</w:t>
      </w:r>
      <w:r w:rsidR="008E4D69" w:rsidRPr="00610DA7">
        <w:rPr>
          <w:rFonts w:ascii="Proxima Nova" w:hAnsi="Proxima Nova" w:cstheme="minorHAnsi"/>
          <w:sz w:val="22"/>
          <w:szCs w:val="22"/>
        </w:rPr>
        <w:t xml:space="preserve">imited </w:t>
      </w:r>
      <w:r w:rsidRPr="00610DA7">
        <w:rPr>
          <w:rFonts w:ascii="Proxima Nova" w:hAnsi="Proxima Nova" w:cstheme="minorHAnsi"/>
          <w:sz w:val="22"/>
          <w:szCs w:val="22"/>
        </w:rPr>
        <w:t>to</w:t>
      </w:r>
      <w:r w:rsidR="008E4D69" w:rsidRPr="00610DA7">
        <w:rPr>
          <w:rFonts w:ascii="Proxima Nova" w:hAnsi="Proxima Nova" w:cstheme="minorHAnsi"/>
          <w:sz w:val="22"/>
          <w:szCs w:val="22"/>
        </w:rPr>
        <w:t xml:space="preserve"> contemporary residential </w:t>
      </w:r>
      <w:r w:rsidR="008374F8" w:rsidRPr="00610DA7">
        <w:rPr>
          <w:rFonts w:ascii="Proxima Nova" w:hAnsi="Proxima Nova" w:cstheme="minorHAnsi"/>
          <w:sz w:val="22"/>
          <w:szCs w:val="22"/>
        </w:rPr>
        <w:t xml:space="preserve">settings and thus not </w:t>
      </w:r>
      <w:r w:rsidRPr="00610DA7">
        <w:rPr>
          <w:rFonts w:ascii="Proxima Nova" w:hAnsi="Proxima Nova" w:cstheme="minorHAnsi"/>
          <w:sz w:val="22"/>
          <w:szCs w:val="22"/>
        </w:rPr>
        <w:t>cover contemporary instances of violence, abuse, neglect and exploitation in other settings and contexts</w:t>
      </w:r>
      <w:r w:rsidR="008374F8" w:rsidRPr="00610DA7">
        <w:rPr>
          <w:rFonts w:ascii="Proxima Nova" w:hAnsi="Proxima Nova" w:cstheme="minorHAnsi"/>
          <w:sz w:val="22"/>
          <w:szCs w:val="22"/>
        </w:rPr>
        <w:t xml:space="preserve">, nor would it cover </w:t>
      </w:r>
      <w:r w:rsidRPr="00610DA7">
        <w:rPr>
          <w:rFonts w:ascii="Proxima Nova" w:hAnsi="Proxima Nova" w:cstheme="minorHAnsi"/>
          <w:sz w:val="22"/>
          <w:szCs w:val="22"/>
        </w:rPr>
        <w:t xml:space="preserve">historical instances of violence, abuse, neglect and exploitation of people with disability in any setting or context. </w:t>
      </w:r>
      <w:r w:rsidR="008374F8" w:rsidRPr="00610DA7">
        <w:rPr>
          <w:rFonts w:ascii="Proxima Nova" w:hAnsi="Proxima Nova" w:cstheme="minorHAnsi"/>
          <w:sz w:val="22"/>
          <w:szCs w:val="22"/>
        </w:rPr>
        <w:t>It is unclear whether the Royal Commission’s exploration of redress will extend to restrictive practices given the group homes case study related to unlawful sexual and physical assault. Moreover, i</w:t>
      </w:r>
      <w:r w:rsidR="00D43D9E" w:rsidRPr="00610DA7">
        <w:rPr>
          <w:rFonts w:ascii="Proxima Nova" w:hAnsi="Proxima Nova" w:cstheme="minorHAnsi"/>
          <w:sz w:val="22"/>
          <w:szCs w:val="22"/>
        </w:rPr>
        <w:t>t is unclear what is meant by</w:t>
      </w:r>
      <w:r w:rsidR="008374F8" w:rsidRPr="00610DA7">
        <w:rPr>
          <w:rFonts w:ascii="Proxima Nova" w:hAnsi="Proxima Nova" w:cstheme="minorHAnsi"/>
          <w:sz w:val="22"/>
          <w:szCs w:val="22"/>
        </w:rPr>
        <w:t xml:space="preserve"> a redress scheme which would be available where</w:t>
      </w:r>
      <w:r w:rsidR="00D43D9E" w:rsidRPr="00610DA7">
        <w:rPr>
          <w:rFonts w:ascii="Proxima Nova" w:hAnsi="Proxima Nova" w:cstheme="minorHAnsi"/>
          <w:sz w:val="22"/>
          <w:szCs w:val="22"/>
        </w:rPr>
        <w:t xml:space="preserve"> ‘no othe</w:t>
      </w:r>
      <w:r w:rsidR="008374F8" w:rsidRPr="00610DA7">
        <w:rPr>
          <w:rFonts w:ascii="Proxima Nova" w:hAnsi="Proxima Nova" w:cstheme="minorHAnsi"/>
          <w:sz w:val="22"/>
          <w:szCs w:val="22"/>
        </w:rPr>
        <w:t>r redress is available to them’,</w:t>
      </w:r>
      <w:r w:rsidR="00D43D9E" w:rsidRPr="00610DA7">
        <w:rPr>
          <w:rFonts w:ascii="Proxima Nova" w:hAnsi="Proxima Nova" w:cstheme="minorHAnsi"/>
          <w:sz w:val="22"/>
          <w:szCs w:val="22"/>
        </w:rPr>
        <w:t xml:space="preserve"> such as whether this would </w:t>
      </w:r>
      <w:r w:rsidR="008374F8" w:rsidRPr="00610DA7">
        <w:rPr>
          <w:rFonts w:ascii="Proxima Nova" w:hAnsi="Proxima Nova" w:cstheme="minorHAnsi"/>
          <w:sz w:val="22"/>
          <w:szCs w:val="22"/>
        </w:rPr>
        <w:t>require an individual exhaust</w:t>
      </w:r>
      <w:r w:rsidR="00D43D9E" w:rsidRPr="00610DA7">
        <w:rPr>
          <w:rFonts w:ascii="Proxima Nova" w:hAnsi="Proxima Nova" w:cstheme="minorHAnsi"/>
          <w:sz w:val="22"/>
          <w:szCs w:val="22"/>
        </w:rPr>
        <w:t xml:space="preserve"> all court-based legal remedies (irrespective of the significant access to justice barriers experienced by people with disability)</w:t>
      </w:r>
      <w:r w:rsidR="00B9208B" w:rsidRPr="00610DA7">
        <w:rPr>
          <w:rFonts w:ascii="Proxima Nova" w:hAnsi="Proxima Nova" w:cstheme="minorHAnsi"/>
          <w:sz w:val="22"/>
          <w:szCs w:val="22"/>
        </w:rPr>
        <w:t xml:space="preserve">. It is also unclear whether the redress scheme </w:t>
      </w:r>
      <w:r w:rsidR="008374F8" w:rsidRPr="00610DA7">
        <w:rPr>
          <w:rFonts w:ascii="Proxima Nova" w:hAnsi="Proxima Nova" w:cstheme="minorHAnsi"/>
          <w:sz w:val="22"/>
          <w:szCs w:val="22"/>
        </w:rPr>
        <w:t xml:space="preserve">would cover restrictive </w:t>
      </w:r>
      <w:r w:rsidR="00942422" w:rsidRPr="00610DA7">
        <w:rPr>
          <w:rFonts w:ascii="Proxima Nova" w:hAnsi="Proxima Nova" w:cstheme="minorHAnsi"/>
          <w:sz w:val="22"/>
          <w:szCs w:val="22"/>
        </w:rPr>
        <w:t>practices</w:t>
      </w:r>
      <w:r w:rsidR="008374F8" w:rsidRPr="00610DA7">
        <w:rPr>
          <w:rFonts w:ascii="Proxima Nova" w:hAnsi="Proxima Nova" w:cstheme="minorHAnsi"/>
          <w:sz w:val="22"/>
          <w:szCs w:val="22"/>
        </w:rPr>
        <w:t xml:space="preserve"> which by reason of their lawfulness are an exemplar of violence, abuse, neglect and exploitation where ‘no other redress is available’.</w:t>
      </w:r>
      <w:r w:rsidR="00D43D9E" w:rsidRPr="00610DA7">
        <w:rPr>
          <w:rFonts w:ascii="Proxima Nova" w:hAnsi="Proxima Nova" w:cstheme="minorHAnsi"/>
          <w:sz w:val="22"/>
          <w:szCs w:val="22"/>
        </w:rPr>
        <w:t xml:space="preserve"> WWDA supports the broadest possible exploration of redress, across all forms of violence, abuse, neglect and exploitation (including restrictive practices and other forms of legal violence), across all </w:t>
      </w:r>
      <w:r w:rsidR="008374F8" w:rsidRPr="00610DA7">
        <w:rPr>
          <w:rFonts w:ascii="Proxima Nova" w:hAnsi="Proxima Nova" w:cstheme="minorHAnsi"/>
          <w:sz w:val="22"/>
          <w:szCs w:val="22"/>
        </w:rPr>
        <w:t xml:space="preserve">settings </w:t>
      </w:r>
      <w:r w:rsidR="00D43D9E" w:rsidRPr="00610DA7">
        <w:rPr>
          <w:rFonts w:ascii="Proxima Nova" w:hAnsi="Proxima Nova" w:cstheme="minorHAnsi"/>
          <w:sz w:val="22"/>
          <w:szCs w:val="22"/>
        </w:rPr>
        <w:t>contexts (not only residential settings)</w:t>
      </w:r>
      <w:r w:rsidR="008374F8" w:rsidRPr="00610DA7">
        <w:rPr>
          <w:rFonts w:ascii="Proxima Nova" w:hAnsi="Proxima Nova" w:cstheme="minorHAnsi"/>
          <w:sz w:val="22"/>
          <w:szCs w:val="22"/>
        </w:rPr>
        <w:t>, and across all time periods (contemporary and historical)</w:t>
      </w:r>
      <w:r w:rsidR="00D43D9E" w:rsidRPr="00610DA7">
        <w:rPr>
          <w:rFonts w:ascii="Proxima Nova" w:hAnsi="Proxima Nova" w:cstheme="minorHAnsi"/>
          <w:sz w:val="22"/>
          <w:szCs w:val="22"/>
        </w:rPr>
        <w:t>.</w:t>
      </w:r>
    </w:p>
    <w:p w14:paraId="739BB9AE" w14:textId="5E9F07F4" w:rsidR="00AE316B" w:rsidRPr="00610DA7" w:rsidRDefault="00AE316B" w:rsidP="00504FE1">
      <w:pPr>
        <w:pStyle w:val="ListParagraph"/>
        <w:spacing w:line="276" w:lineRule="auto"/>
        <w:ind w:left="567" w:hanging="567"/>
        <w:rPr>
          <w:rFonts w:ascii="Proxima Nova" w:hAnsi="Proxima Nova" w:cstheme="minorHAnsi"/>
          <w:sz w:val="22"/>
          <w:szCs w:val="22"/>
          <w:highlight w:val="yellow"/>
        </w:rPr>
      </w:pPr>
    </w:p>
    <w:p w14:paraId="57B0B174" w14:textId="5A955F28" w:rsidR="00504FE1" w:rsidRPr="00A77296" w:rsidRDefault="00504FE1" w:rsidP="00504FE1">
      <w:pPr>
        <w:pStyle w:val="Heading3"/>
        <w:jc w:val="left"/>
        <w:rPr>
          <w:rFonts w:ascii="Proxima Nova" w:hAnsi="Proxima Nova" w:cstheme="minorHAnsi"/>
          <w:bCs/>
          <w:color w:val="AC1F79"/>
        </w:rPr>
      </w:pPr>
      <w:r w:rsidRPr="00504FE1">
        <w:rPr>
          <w:rFonts w:ascii="Proxima Nova" w:hAnsi="Proxima Nova"/>
          <w:bCs/>
          <w:color w:val="AC1F79"/>
        </w:rPr>
        <w:t>Dearth of Empirical Data, Research and Studies on Restrictive Practices and Women and Girls with Disability</w:t>
      </w:r>
    </w:p>
    <w:p w14:paraId="1601060B" w14:textId="405184C6" w:rsidR="00504FE1" w:rsidRPr="00610DA7" w:rsidRDefault="00504FE1" w:rsidP="00610DA7">
      <w:pPr>
        <w:pStyle w:val="ListParagraph"/>
        <w:spacing w:line="276" w:lineRule="auto"/>
        <w:ind w:left="567" w:hanging="567"/>
        <w:rPr>
          <w:rFonts w:ascii="Proxima Nova" w:hAnsi="Proxima Nova" w:cstheme="minorHAnsi"/>
          <w:sz w:val="22"/>
          <w:szCs w:val="22"/>
          <w:highlight w:val="yellow"/>
        </w:rPr>
      </w:pPr>
    </w:p>
    <w:p w14:paraId="7671C121" w14:textId="1B0A9B41" w:rsidR="00DC2F2D" w:rsidRPr="00610DA7" w:rsidRDefault="0042414A" w:rsidP="00610DA7">
      <w:pPr>
        <w:pStyle w:val="ListParagraph"/>
        <w:numPr>
          <w:ilvl w:val="1"/>
          <w:numId w:val="18"/>
        </w:numPr>
        <w:spacing w:line="276" w:lineRule="auto"/>
        <w:ind w:left="720" w:hanging="720"/>
        <w:rPr>
          <w:rFonts w:ascii="Proxima Nova" w:hAnsi="Proxima Nova" w:cstheme="minorHAnsi"/>
          <w:sz w:val="22"/>
          <w:szCs w:val="22"/>
        </w:rPr>
      </w:pPr>
      <w:bookmarkStart w:id="50" w:name="_Toc61349485"/>
      <w:bookmarkStart w:id="51" w:name="_Toc61349471"/>
      <w:bookmarkStart w:id="52" w:name="_Toc61349472"/>
      <w:bookmarkStart w:id="53" w:name="_Toc61349420"/>
      <w:r w:rsidRPr="00610DA7">
        <w:rPr>
          <w:rFonts w:ascii="Proxima Nova" w:hAnsi="Proxima Nova" w:cstheme="minorHAnsi"/>
          <w:sz w:val="22"/>
          <w:szCs w:val="22"/>
        </w:rPr>
        <w:t>There is a</w:t>
      </w:r>
      <w:r w:rsidR="009D5EEC" w:rsidRPr="00610DA7">
        <w:rPr>
          <w:rFonts w:ascii="Proxima Nova" w:hAnsi="Proxima Nova" w:cstheme="minorHAnsi"/>
          <w:sz w:val="22"/>
          <w:szCs w:val="22"/>
        </w:rPr>
        <w:t xml:space="preserve"> dearth of data, research and studies on violence against women and girls with disability, notably disaggregated data, research and studies. </w:t>
      </w:r>
      <w:proofErr w:type="gramStart"/>
      <w:r w:rsidR="009D5EEC" w:rsidRPr="00610DA7">
        <w:rPr>
          <w:rFonts w:ascii="Proxima Nova" w:hAnsi="Proxima Nova" w:cstheme="minorHAnsi"/>
          <w:sz w:val="22"/>
          <w:szCs w:val="22"/>
        </w:rPr>
        <w:t>In particular, there</w:t>
      </w:r>
      <w:proofErr w:type="gramEnd"/>
      <w:r w:rsidR="009D5EEC" w:rsidRPr="00610DA7">
        <w:rPr>
          <w:rFonts w:ascii="Proxima Nova" w:hAnsi="Proxima Nova" w:cstheme="minorHAnsi"/>
          <w:sz w:val="22"/>
          <w:szCs w:val="22"/>
        </w:rPr>
        <w:t xml:space="preserve"> is an absence of data, research and studies </w:t>
      </w:r>
      <w:r w:rsidRPr="00610DA7">
        <w:rPr>
          <w:rFonts w:ascii="Proxima Nova" w:hAnsi="Proxima Nova" w:cstheme="minorHAnsi"/>
          <w:sz w:val="22"/>
          <w:szCs w:val="22"/>
        </w:rPr>
        <w:t>on</w:t>
      </w:r>
      <w:r w:rsidR="009D5EEC" w:rsidRPr="00610DA7">
        <w:rPr>
          <w:rFonts w:ascii="Proxima Nova" w:hAnsi="Proxima Nova" w:cstheme="minorHAnsi"/>
          <w:sz w:val="22"/>
          <w:szCs w:val="22"/>
        </w:rPr>
        <w:t xml:space="preserve"> restrictive practices</w:t>
      </w:r>
      <w:r w:rsidRPr="00610DA7">
        <w:rPr>
          <w:rFonts w:ascii="Proxima Nova" w:hAnsi="Proxima Nova" w:cstheme="minorHAnsi"/>
          <w:sz w:val="22"/>
          <w:szCs w:val="22"/>
        </w:rPr>
        <w:t xml:space="preserve"> and women and girls with disability</w:t>
      </w:r>
      <w:r w:rsidR="009D5EEC" w:rsidRPr="00610DA7">
        <w:rPr>
          <w:rFonts w:ascii="Proxima Nova" w:hAnsi="Proxima Nova" w:cstheme="minorHAnsi"/>
          <w:sz w:val="22"/>
          <w:szCs w:val="22"/>
        </w:rPr>
        <w:t xml:space="preserve">. This makes it extremely difficult to understand the nature and scope of restrictive practices as violence against women and girls with disability, and identify the necessary specific measures for violence prevention, response and redress. </w:t>
      </w:r>
    </w:p>
    <w:p w14:paraId="00F2C69D" w14:textId="77777777" w:rsidR="003C2457" w:rsidRPr="00610DA7" w:rsidRDefault="003C2457" w:rsidP="00610DA7">
      <w:pPr>
        <w:spacing w:line="276" w:lineRule="auto"/>
        <w:ind w:left="720" w:hanging="720"/>
        <w:rPr>
          <w:rFonts w:ascii="Proxima Nova" w:hAnsi="Proxima Nova" w:cstheme="minorHAnsi"/>
          <w:sz w:val="22"/>
          <w:szCs w:val="22"/>
        </w:rPr>
      </w:pPr>
    </w:p>
    <w:p w14:paraId="333D6E5C" w14:textId="416A1A93" w:rsidR="003C2457" w:rsidRPr="00610DA7" w:rsidRDefault="003C2457" w:rsidP="00610DA7">
      <w:pPr>
        <w:pStyle w:val="ListParagraph"/>
        <w:numPr>
          <w:ilvl w:val="1"/>
          <w:numId w:val="18"/>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 xml:space="preserve">The dearth of data, research and studies on restrictive practices and women and girls with disability has three implications for </w:t>
      </w:r>
      <w:r w:rsidR="00AA1697" w:rsidRPr="00610DA7">
        <w:rPr>
          <w:rFonts w:ascii="Proxima Nova" w:hAnsi="Proxima Nova" w:cstheme="minorHAnsi"/>
          <w:sz w:val="22"/>
          <w:szCs w:val="22"/>
        </w:rPr>
        <w:t xml:space="preserve">how </w:t>
      </w:r>
      <w:r w:rsidRPr="00610DA7">
        <w:rPr>
          <w:rFonts w:ascii="Proxima Nova" w:hAnsi="Proxima Nova" w:cstheme="minorHAnsi"/>
          <w:sz w:val="22"/>
          <w:szCs w:val="22"/>
        </w:rPr>
        <w:t>the Royal Commission</w:t>
      </w:r>
      <w:r w:rsidR="00AA1697" w:rsidRPr="00610DA7">
        <w:rPr>
          <w:rFonts w:ascii="Proxima Nova" w:hAnsi="Proxima Nova" w:cstheme="minorHAnsi"/>
          <w:sz w:val="22"/>
          <w:szCs w:val="22"/>
        </w:rPr>
        <w:t xml:space="preserve"> might approach its</w:t>
      </w:r>
      <w:r w:rsidRPr="00610DA7">
        <w:rPr>
          <w:rFonts w:ascii="Proxima Nova" w:hAnsi="Proxima Nova" w:cstheme="minorHAnsi"/>
          <w:sz w:val="22"/>
          <w:szCs w:val="22"/>
        </w:rPr>
        <w:t xml:space="preserve"> work on </w:t>
      </w:r>
      <w:r w:rsidR="00177A12" w:rsidRPr="00610DA7">
        <w:rPr>
          <w:rFonts w:ascii="Proxima Nova" w:hAnsi="Proxima Nova" w:cstheme="minorHAnsi"/>
          <w:sz w:val="22"/>
          <w:szCs w:val="22"/>
        </w:rPr>
        <w:t>restrictive</w:t>
      </w:r>
      <w:r w:rsidRPr="00610DA7">
        <w:rPr>
          <w:rFonts w:ascii="Proxima Nova" w:hAnsi="Proxima Nova" w:cstheme="minorHAnsi"/>
          <w:sz w:val="22"/>
          <w:szCs w:val="22"/>
        </w:rPr>
        <w:t xml:space="preserve"> practices:</w:t>
      </w:r>
    </w:p>
    <w:p w14:paraId="6F9CA670" w14:textId="77C2B8A9" w:rsidR="003C2457" w:rsidRPr="00610DA7" w:rsidRDefault="003C2457" w:rsidP="00610DA7">
      <w:pPr>
        <w:pStyle w:val="ListParagraph"/>
        <w:spacing w:line="276" w:lineRule="auto"/>
        <w:rPr>
          <w:rFonts w:ascii="Proxima Nova" w:hAnsi="Proxima Nova" w:cstheme="minorHAnsi"/>
          <w:sz w:val="22"/>
          <w:szCs w:val="22"/>
        </w:rPr>
      </w:pPr>
    </w:p>
    <w:p w14:paraId="04331E0A" w14:textId="5AA67BE8" w:rsidR="003C2457" w:rsidRPr="00610DA7" w:rsidRDefault="003C2457" w:rsidP="00610DA7">
      <w:pPr>
        <w:pStyle w:val="ListParagraph"/>
        <w:numPr>
          <w:ilvl w:val="0"/>
          <w:numId w:val="20"/>
        </w:numPr>
        <w:spacing w:line="276" w:lineRule="auto"/>
        <w:rPr>
          <w:rFonts w:ascii="Proxima Nova" w:hAnsi="Proxima Nova" w:cstheme="minorHAnsi"/>
          <w:sz w:val="22"/>
          <w:szCs w:val="22"/>
        </w:rPr>
      </w:pPr>
      <w:r w:rsidRPr="00610DA7">
        <w:rPr>
          <w:rFonts w:ascii="Proxima Nova" w:hAnsi="Proxima Nova" w:cstheme="minorHAnsi"/>
          <w:sz w:val="22"/>
          <w:szCs w:val="22"/>
        </w:rPr>
        <w:t xml:space="preserve">The Royal Commission </w:t>
      </w:r>
      <w:r w:rsidR="00AA1697" w:rsidRPr="00610DA7">
        <w:rPr>
          <w:rFonts w:ascii="Proxima Nova" w:hAnsi="Proxima Nova" w:cstheme="minorHAnsi"/>
          <w:sz w:val="22"/>
          <w:szCs w:val="22"/>
        </w:rPr>
        <w:t>can</w:t>
      </w:r>
      <w:r w:rsidRPr="00610DA7">
        <w:rPr>
          <w:rFonts w:ascii="Proxima Nova" w:hAnsi="Proxima Nova" w:cstheme="minorHAnsi"/>
          <w:sz w:val="22"/>
          <w:szCs w:val="22"/>
        </w:rPr>
        <w:t xml:space="preserve"> use its powers and </w:t>
      </w:r>
      <w:r w:rsidRPr="00610DA7">
        <w:rPr>
          <w:rFonts w:ascii="Proxima Nova" w:hAnsi="Proxima Nova" w:cstheme="minorHAnsi"/>
          <w:color w:val="000000"/>
          <w:sz w:val="22"/>
          <w:szCs w:val="22"/>
        </w:rPr>
        <w:t>resources to quantify violence, abuse, neglect and exploitation in the form of restrictive practices</w:t>
      </w:r>
      <w:r w:rsidR="00AA1697" w:rsidRPr="00610DA7">
        <w:rPr>
          <w:rFonts w:ascii="Proxima Nova" w:hAnsi="Proxima Nova" w:cstheme="minorHAnsi"/>
          <w:color w:val="000000"/>
          <w:sz w:val="22"/>
          <w:szCs w:val="22"/>
        </w:rPr>
        <w:t>, rather than relying on existing data</w:t>
      </w:r>
      <w:r w:rsidR="00F65C08" w:rsidRPr="00610DA7">
        <w:rPr>
          <w:rFonts w:ascii="Proxima Nova" w:hAnsi="Proxima Nova" w:cstheme="minorHAnsi"/>
          <w:color w:val="000000"/>
          <w:sz w:val="22"/>
          <w:szCs w:val="22"/>
        </w:rPr>
        <w:t>.</w:t>
      </w:r>
    </w:p>
    <w:p w14:paraId="7251A06E" w14:textId="1562F020" w:rsidR="003C2457" w:rsidRPr="00610DA7" w:rsidRDefault="003C2457" w:rsidP="00610DA7">
      <w:pPr>
        <w:pStyle w:val="ListParagraph"/>
        <w:numPr>
          <w:ilvl w:val="0"/>
          <w:numId w:val="20"/>
        </w:numPr>
        <w:spacing w:line="276" w:lineRule="auto"/>
        <w:rPr>
          <w:rFonts w:ascii="Proxima Nova" w:hAnsi="Proxima Nova" w:cstheme="minorHAnsi"/>
          <w:sz w:val="22"/>
          <w:szCs w:val="22"/>
        </w:rPr>
      </w:pPr>
      <w:r w:rsidRPr="00610DA7">
        <w:rPr>
          <w:rFonts w:ascii="Proxima Nova" w:hAnsi="Proxima Nova" w:cstheme="minorHAnsi"/>
          <w:color w:val="000000"/>
          <w:sz w:val="22"/>
          <w:szCs w:val="22"/>
        </w:rPr>
        <w:t xml:space="preserve">This quantification </w:t>
      </w:r>
      <w:r w:rsidR="00AA1697" w:rsidRPr="00610DA7">
        <w:rPr>
          <w:rFonts w:ascii="Proxima Nova" w:hAnsi="Proxima Nova" w:cstheme="minorHAnsi"/>
          <w:color w:val="000000"/>
          <w:sz w:val="22"/>
          <w:szCs w:val="22"/>
        </w:rPr>
        <w:t xml:space="preserve">can be </w:t>
      </w:r>
      <w:r w:rsidRPr="00610DA7">
        <w:rPr>
          <w:rFonts w:ascii="Proxima Nova" w:hAnsi="Proxima Nova" w:cstheme="minorHAnsi"/>
          <w:color w:val="000000"/>
          <w:sz w:val="22"/>
          <w:szCs w:val="22"/>
        </w:rPr>
        <w:t>the use and legal</w:t>
      </w:r>
      <w:r w:rsidR="00AA1697" w:rsidRPr="00610DA7">
        <w:rPr>
          <w:rFonts w:ascii="Proxima Nova" w:hAnsi="Proxima Nova" w:cstheme="minorHAnsi"/>
          <w:color w:val="000000"/>
          <w:sz w:val="22"/>
          <w:szCs w:val="22"/>
        </w:rPr>
        <w:t xml:space="preserve"> authorisation</w:t>
      </w:r>
      <w:r w:rsidR="00EF16A9" w:rsidRPr="00610DA7">
        <w:rPr>
          <w:rFonts w:ascii="Proxima Nova" w:hAnsi="Proxima Nova" w:cstheme="minorHAnsi"/>
          <w:color w:val="000000"/>
          <w:sz w:val="22"/>
          <w:szCs w:val="22"/>
        </w:rPr>
        <w:t xml:space="preserve"> and regulation</w:t>
      </w:r>
      <w:r w:rsidR="00AA1697" w:rsidRPr="00610DA7">
        <w:rPr>
          <w:rFonts w:ascii="Proxima Nova" w:hAnsi="Proxima Nova" w:cstheme="minorHAnsi"/>
          <w:i/>
          <w:color w:val="000000"/>
          <w:sz w:val="22"/>
          <w:szCs w:val="22"/>
        </w:rPr>
        <w:t xml:space="preserve"> </w:t>
      </w:r>
      <w:r w:rsidRPr="00610DA7">
        <w:rPr>
          <w:rFonts w:ascii="Proxima Nova" w:hAnsi="Proxima Nova" w:cstheme="minorHAnsi"/>
          <w:color w:val="000000"/>
          <w:sz w:val="22"/>
          <w:szCs w:val="22"/>
        </w:rPr>
        <w:t>of restrictive practices, with the latter requiring data collection from courts, tribunals, health departments, public guardians, disability and aged care services</w:t>
      </w:r>
      <w:r w:rsidR="00F65C08" w:rsidRPr="00610DA7">
        <w:rPr>
          <w:rFonts w:ascii="Proxima Nova" w:hAnsi="Proxima Nova" w:cstheme="minorHAnsi"/>
          <w:color w:val="000000"/>
          <w:sz w:val="22"/>
          <w:szCs w:val="22"/>
        </w:rPr>
        <w:t>.</w:t>
      </w:r>
    </w:p>
    <w:p w14:paraId="6DE54A3F" w14:textId="7B2CDEE1" w:rsidR="003C2457" w:rsidRPr="00610DA7" w:rsidRDefault="003C2457" w:rsidP="00610DA7">
      <w:pPr>
        <w:pStyle w:val="ListParagraph"/>
        <w:numPr>
          <w:ilvl w:val="0"/>
          <w:numId w:val="20"/>
        </w:numPr>
        <w:spacing w:line="276" w:lineRule="auto"/>
        <w:rPr>
          <w:rFonts w:ascii="Proxima Nova" w:hAnsi="Proxima Nova" w:cstheme="minorHAnsi"/>
          <w:sz w:val="22"/>
          <w:szCs w:val="22"/>
        </w:rPr>
      </w:pPr>
      <w:r w:rsidRPr="00610DA7">
        <w:rPr>
          <w:rFonts w:ascii="Proxima Nova" w:hAnsi="Proxima Nova" w:cstheme="minorHAnsi"/>
          <w:sz w:val="22"/>
          <w:szCs w:val="22"/>
        </w:rPr>
        <w:t xml:space="preserve">This quantification must extend to non-consensual and coercive sterilisation, contraception, menstrual suppression and abortion, noting that contraception and menstrual suppression are not necessarily </w:t>
      </w:r>
      <w:r w:rsidR="00AA1697" w:rsidRPr="00610DA7">
        <w:rPr>
          <w:rFonts w:ascii="Proxima Nova" w:hAnsi="Proxima Nova" w:cstheme="minorHAnsi"/>
          <w:sz w:val="22"/>
          <w:szCs w:val="22"/>
        </w:rPr>
        <w:t xml:space="preserve">always </w:t>
      </w:r>
      <w:r w:rsidRPr="00610DA7">
        <w:rPr>
          <w:rFonts w:ascii="Proxima Nova" w:hAnsi="Proxima Nova" w:cstheme="minorHAnsi"/>
          <w:sz w:val="22"/>
          <w:szCs w:val="22"/>
        </w:rPr>
        <w:t>captured in NDISQSC data collection or regulatory frameworks on restrictive practices</w:t>
      </w:r>
      <w:r w:rsidR="00F65C08" w:rsidRPr="00610DA7">
        <w:rPr>
          <w:rFonts w:ascii="Proxima Nova" w:hAnsi="Proxima Nova" w:cstheme="minorHAnsi"/>
          <w:sz w:val="22"/>
          <w:szCs w:val="22"/>
        </w:rPr>
        <w:t>.</w:t>
      </w:r>
    </w:p>
    <w:p w14:paraId="5ABB78E7" w14:textId="77777777" w:rsidR="00DC2F2D" w:rsidRPr="00610DA7" w:rsidRDefault="00DC2F2D" w:rsidP="00610DA7">
      <w:pPr>
        <w:spacing w:line="276" w:lineRule="auto"/>
        <w:rPr>
          <w:rFonts w:ascii="Proxima Nova" w:hAnsi="Proxima Nova" w:cstheme="minorHAnsi"/>
          <w:sz w:val="22"/>
          <w:szCs w:val="22"/>
        </w:rPr>
      </w:pPr>
    </w:p>
    <w:p w14:paraId="2EC755A0" w14:textId="4380F506" w:rsidR="009D5EEC" w:rsidRPr="00610DA7" w:rsidRDefault="009D5EEC" w:rsidP="00610DA7">
      <w:pPr>
        <w:pStyle w:val="ListParagraph"/>
        <w:numPr>
          <w:ilvl w:val="1"/>
          <w:numId w:val="18"/>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As we discuss in</w:t>
      </w:r>
      <w:r w:rsidR="00AD166E" w:rsidRPr="00610DA7">
        <w:rPr>
          <w:rFonts w:ascii="Proxima Nova" w:hAnsi="Proxima Nova" w:cstheme="minorHAnsi"/>
          <w:sz w:val="22"/>
          <w:szCs w:val="22"/>
        </w:rPr>
        <w:t xml:space="preserve"> the context of human rights in</w:t>
      </w:r>
      <w:r w:rsidRPr="00610DA7">
        <w:rPr>
          <w:rFonts w:ascii="Proxima Nova" w:hAnsi="Proxima Nova" w:cstheme="minorHAnsi"/>
          <w:sz w:val="22"/>
          <w:szCs w:val="22"/>
        </w:rPr>
        <w:t xml:space="preserve"> Section</w:t>
      </w:r>
      <w:r w:rsidR="006D4714" w:rsidRPr="00610DA7">
        <w:rPr>
          <w:rFonts w:ascii="Proxima Nova" w:hAnsi="Proxima Nova" w:cstheme="minorHAnsi"/>
          <w:sz w:val="22"/>
          <w:szCs w:val="22"/>
        </w:rPr>
        <w:t xml:space="preserve"> 7</w:t>
      </w:r>
      <w:r w:rsidRPr="00610DA7">
        <w:rPr>
          <w:rFonts w:ascii="Proxima Nova" w:hAnsi="Proxima Nova" w:cstheme="minorHAnsi"/>
          <w:sz w:val="22"/>
          <w:szCs w:val="22"/>
        </w:rPr>
        <w:t xml:space="preserve">, the production of data, research and studies </w:t>
      </w:r>
      <w:r w:rsidR="00DC2F2D" w:rsidRPr="00610DA7">
        <w:rPr>
          <w:rFonts w:ascii="Proxima Nova" w:hAnsi="Proxima Nova" w:cstheme="minorHAnsi"/>
          <w:sz w:val="22"/>
          <w:szCs w:val="22"/>
        </w:rPr>
        <w:t xml:space="preserve">on restrictive practices and women and girls with disability </w:t>
      </w:r>
      <w:r w:rsidRPr="00610DA7">
        <w:rPr>
          <w:rFonts w:ascii="Proxima Nova" w:hAnsi="Proxima Nova" w:cstheme="minorHAnsi"/>
          <w:sz w:val="22"/>
          <w:szCs w:val="22"/>
        </w:rPr>
        <w:t xml:space="preserve">is a human rights obligation in terms of domestic implementation of the CRPD, the </w:t>
      </w:r>
      <w:r w:rsidRPr="00610DA7">
        <w:rPr>
          <w:rFonts w:ascii="Proxima Nova" w:hAnsi="Proxima Nova" w:cstheme="minorHAnsi"/>
          <w:i/>
          <w:iCs/>
          <w:sz w:val="22"/>
          <w:szCs w:val="22"/>
        </w:rPr>
        <w:t>Convention on the Elimination of All Forms of Discrimination Against Women</w:t>
      </w:r>
      <w:r w:rsidRPr="00610DA7">
        <w:rPr>
          <w:rFonts w:ascii="Proxima Nova" w:hAnsi="Proxima Nova" w:cstheme="minorHAnsi"/>
          <w:sz w:val="22"/>
          <w:szCs w:val="22"/>
        </w:rPr>
        <w:t xml:space="preserve"> (CEDAW), and other human rights treaties to which Australia is a party.</w:t>
      </w:r>
      <w:r w:rsidR="006D4714" w:rsidRPr="00610DA7">
        <w:rPr>
          <w:rFonts w:ascii="Proxima Nova" w:hAnsi="Proxima Nova" w:cstheme="minorHAnsi"/>
          <w:sz w:val="22"/>
          <w:szCs w:val="22"/>
        </w:rPr>
        <w:t xml:space="preserve"> Moreover, as Jessica Cadwallader and others explain, data has an important role in legal and political accountability, and in community recognition of the violation and humanity of people with disability:</w:t>
      </w:r>
    </w:p>
    <w:p w14:paraId="669E4162" w14:textId="2FE2375F" w:rsidR="006D4714" w:rsidRPr="00610DA7" w:rsidRDefault="006D4714" w:rsidP="00610DA7">
      <w:pPr>
        <w:spacing w:line="276" w:lineRule="auto"/>
        <w:rPr>
          <w:rFonts w:ascii="Proxima Nova" w:hAnsi="Proxima Nova" w:cstheme="minorHAnsi"/>
          <w:sz w:val="22"/>
          <w:szCs w:val="22"/>
        </w:rPr>
      </w:pPr>
    </w:p>
    <w:p w14:paraId="604FCFE8" w14:textId="27FB24A6" w:rsidR="006D4714" w:rsidRPr="00610DA7" w:rsidRDefault="006D4714" w:rsidP="00610DA7">
      <w:pPr>
        <w:pStyle w:val="NormalWeb"/>
        <w:spacing w:before="0" w:beforeAutospacing="0" w:after="0" w:afterAutospacing="0" w:line="276" w:lineRule="auto"/>
        <w:ind w:left="1134"/>
        <w:rPr>
          <w:rFonts w:ascii="Proxima Nova" w:hAnsi="Proxima Nova" w:cstheme="minorHAnsi"/>
          <w:i/>
          <w:iCs/>
          <w:sz w:val="22"/>
          <w:szCs w:val="22"/>
        </w:rPr>
      </w:pPr>
      <w:r w:rsidRPr="00610DA7">
        <w:rPr>
          <w:rFonts w:ascii="Proxima Nova" w:hAnsi="Proxima Nova" w:cstheme="minorHAnsi"/>
          <w:i/>
          <w:iCs/>
          <w:sz w:val="22"/>
          <w:szCs w:val="22"/>
        </w:rPr>
        <w:t>Data is essential for political accountability. Violence against people with disability – 18% of the Australian population – is endemic, yet data about it is largely missing.</w:t>
      </w:r>
    </w:p>
    <w:p w14:paraId="70E7EBDE" w14:textId="4586DA09" w:rsidR="006D4714" w:rsidRPr="00610DA7" w:rsidRDefault="006D4714" w:rsidP="00610DA7">
      <w:pPr>
        <w:pStyle w:val="NormalWeb"/>
        <w:spacing w:before="0" w:beforeAutospacing="0" w:after="0" w:afterAutospacing="0" w:line="276" w:lineRule="auto"/>
        <w:ind w:left="1134"/>
        <w:rPr>
          <w:rFonts w:ascii="Proxima Nova" w:hAnsi="Proxima Nova" w:cstheme="minorHAnsi"/>
          <w:i/>
          <w:iCs/>
          <w:sz w:val="22"/>
          <w:szCs w:val="22"/>
        </w:rPr>
      </w:pPr>
      <w:r w:rsidRPr="00610DA7">
        <w:rPr>
          <w:rFonts w:ascii="Proxima Nova" w:hAnsi="Proxima Nova" w:cstheme="minorHAnsi"/>
          <w:i/>
          <w:iCs/>
          <w:sz w:val="22"/>
          <w:szCs w:val="22"/>
        </w:rPr>
        <w:lastRenderedPageBreak/>
        <w:t xml:space="preserve">This lack of data impedes the development of effective policies and programs to prevent and respond to violence against people with disability. It also hampers advocacy efforts. </w:t>
      </w:r>
    </w:p>
    <w:p w14:paraId="61676781" w14:textId="77777777" w:rsidR="006D4714" w:rsidRPr="00610DA7" w:rsidRDefault="006D4714" w:rsidP="00610DA7">
      <w:pPr>
        <w:pStyle w:val="NormalWeb"/>
        <w:spacing w:before="0" w:beforeAutospacing="0" w:after="0" w:afterAutospacing="0" w:line="276" w:lineRule="auto"/>
        <w:ind w:left="1134"/>
        <w:rPr>
          <w:rFonts w:ascii="Proxima Nova" w:hAnsi="Proxima Nova" w:cstheme="minorHAnsi"/>
          <w:i/>
          <w:iCs/>
          <w:sz w:val="22"/>
          <w:szCs w:val="22"/>
        </w:rPr>
      </w:pPr>
    </w:p>
    <w:p w14:paraId="0C5095C5" w14:textId="6BE7B688" w:rsidR="006D4714" w:rsidRPr="00610DA7" w:rsidRDefault="006D4714" w:rsidP="00610DA7">
      <w:pPr>
        <w:pStyle w:val="NormalWeb"/>
        <w:spacing w:before="0" w:beforeAutospacing="0" w:after="0" w:afterAutospacing="0" w:line="276" w:lineRule="auto"/>
        <w:ind w:left="1134"/>
        <w:rPr>
          <w:rFonts w:ascii="Proxima Nova" w:hAnsi="Proxima Nova" w:cstheme="minorHAnsi"/>
          <w:i/>
          <w:iCs/>
          <w:sz w:val="22"/>
          <w:szCs w:val="22"/>
        </w:rPr>
      </w:pPr>
      <w:r w:rsidRPr="00610DA7">
        <w:rPr>
          <w:rFonts w:ascii="Proxima Nova" w:hAnsi="Proxima Nova" w:cstheme="minorHAnsi"/>
          <w:i/>
          <w:iCs/>
          <w:sz w:val="22"/>
          <w:szCs w:val="22"/>
        </w:rPr>
        <w:t>The lack of data lets governments, services and the community – all of us – off the hook. …</w:t>
      </w:r>
    </w:p>
    <w:p w14:paraId="33527D36" w14:textId="77777777" w:rsidR="006D4714" w:rsidRPr="00610DA7" w:rsidRDefault="006D4714" w:rsidP="00610DA7">
      <w:pPr>
        <w:pStyle w:val="NormalWeb"/>
        <w:spacing w:before="0" w:beforeAutospacing="0" w:after="0" w:afterAutospacing="0" w:line="276" w:lineRule="auto"/>
        <w:ind w:left="1134"/>
        <w:rPr>
          <w:rFonts w:ascii="Proxima Nova" w:hAnsi="Proxima Nova" w:cstheme="minorHAnsi"/>
          <w:i/>
          <w:iCs/>
          <w:sz w:val="22"/>
          <w:szCs w:val="22"/>
        </w:rPr>
      </w:pPr>
    </w:p>
    <w:p w14:paraId="5B33F950" w14:textId="2D481FD8" w:rsidR="006D4714" w:rsidRPr="00610DA7" w:rsidRDefault="006D4714" w:rsidP="00610DA7">
      <w:pPr>
        <w:pStyle w:val="NormalWeb"/>
        <w:spacing w:before="0" w:beforeAutospacing="0" w:after="0" w:afterAutospacing="0" w:line="276" w:lineRule="auto"/>
        <w:ind w:left="1134"/>
        <w:rPr>
          <w:rFonts w:ascii="Proxima Nova" w:hAnsi="Proxima Nova" w:cstheme="minorHAnsi"/>
          <w:i/>
          <w:iCs/>
          <w:sz w:val="22"/>
          <w:szCs w:val="22"/>
        </w:rPr>
      </w:pPr>
      <w:r w:rsidRPr="00610DA7">
        <w:rPr>
          <w:rFonts w:ascii="Proxima Nova" w:hAnsi="Proxima Nova" w:cstheme="minorHAnsi"/>
          <w:i/>
          <w:iCs/>
          <w:sz w:val="22"/>
          <w:szCs w:val="22"/>
        </w:rPr>
        <w:t xml:space="preserve">We count what matters, and what matters counts. This is at the heart of accountability. We need information on the types of violence, where it occurs, how often, and who are the perpetrators. </w:t>
      </w:r>
    </w:p>
    <w:p w14:paraId="42FA74DD" w14:textId="77777777" w:rsidR="006D4714" w:rsidRPr="00610DA7" w:rsidRDefault="006D4714" w:rsidP="00610DA7">
      <w:pPr>
        <w:pStyle w:val="NormalWeb"/>
        <w:spacing w:before="0" w:beforeAutospacing="0" w:after="0" w:afterAutospacing="0" w:line="276" w:lineRule="auto"/>
        <w:ind w:left="1134"/>
        <w:rPr>
          <w:rFonts w:ascii="Proxima Nova" w:hAnsi="Proxima Nova" w:cstheme="minorHAnsi"/>
          <w:i/>
          <w:iCs/>
          <w:sz w:val="22"/>
          <w:szCs w:val="22"/>
        </w:rPr>
      </w:pPr>
    </w:p>
    <w:p w14:paraId="655A660D" w14:textId="66F324D2" w:rsidR="006D4714" w:rsidRPr="00610DA7" w:rsidRDefault="006D4714" w:rsidP="00610DA7">
      <w:pPr>
        <w:pStyle w:val="NormalWeb"/>
        <w:spacing w:before="0" w:beforeAutospacing="0" w:after="0" w:afterAutospacing="0" w:line="276" w:lineRule="auto"/>
        <w:ind w:left="1134"/>
        <w:rPr>
          <w:rFonts w:ascii="Proxima Nova" w:hAnsi="Proxima Nova" w:cstheme="minorHAnsi"/>
          <w:i/>
          <w:iCs/>
          <w:sz w:val="22"/>
          <w:szCs w:val="22"/>
        </w:rPr>
      </w:pPr>
      <w:r w:rsidRPr="00610DA7">
        <w:rPr>
          <w:rFonts w:ascii="Proxima Nova" w:hAnsi="Proxima Nova" w:cstheme="minorHAnsi"/>
          <w:i/>
          <w:iCs/>
          <w:sz w:val="22"/>
          <w:szCs w:val="22"/>
        </w:rPr>
        <w:t>People with disability need to be at the forefront of defining violence to ensure we capture the full complexities of their experiences. …</w:t>
      </w:r>
    </w:p>
    <w:p w14:paraId="18D86981" w14:textId="77777777" w:rsidR="006D4714" w:rsidRPr="00610DA7" w:rsidRDefault="006D4714" w:rsidP="00610DA7">
      <w:pPr>
        <w:pStyle w:val="NormalWeb"/>
        <w:spacing w:before="0" w:beforeAutospacing="0" w:after="0" w:afterAutospacing="0" w:line="276" w:lineRule="auto"/>
        <w:ind w:left="1134"/>
        <w:rPr>
          <w:rFonts w:ascii="Proxima Nova" w:hAnsi="Proxima Nova" w:cstheme="minorHAnsi"/>
          <w:i/>
          <w:iCs/>
          <w:sz w:val="22"/>
          <w:szCs w:val="22"/>
        </w:rPr>
      </w:pPr>
    </w:p>
    <w:p w14:paraId="5809FD07" w14:textId="3AE1C67B" w:rsidR="006D4714" w:rsidRPr="00610DA7" w:rsidRDefault="006D4714" w:rsidP="00610DA7">
      <w:pPr>
        <w:pStyle w:val="NormalWeb"/>
        <w:spacing w:before="0" w:beforeAutospacing="0" w:after="0" w:afterAutospacing="0" w:line="276" w:lineRule="auto"/>
        <w:ind w:left="1134"/>
        <w:rPr>
          <w:rFonts w:ascii="Proxima Nova" w:hAnsi="Proxima Nova" w:cstheme="minorHAnsi"/>
          <w:sz w:val="22"/>
          <w:szCs w:val="22"/>
        </w:rPr>
      </w:pPr>
      <w:r w:rsidRPr="00610DA7">
        <w:rPr>
          <w:rFonts w:ascii="Proxima Nova" w:hAnsi="Proxima Nova" w:cstheme="minorHAnsi"/>
          <w:i/>
          <w:iCs/>
          <w:sz w:val="22"/>
          <w:szCs w:val="22"/>
        </w:rPr>
        <w:t>These improvements would help us properly understand the extent of the violence. We could then respond better to the pervasive and hidden human rights violations against some of the most marginalised people in our community.</w:t>
      </w:r>
      <w:r w:rsidRPr="00610DA7">
        <w:rPr>
          <w:rStyle w:val="EndnoteReference"/>
          <w:rFonts w:ascii="Proxima Nova" w:hAnsi="Proxima Nova" w:cstheme="minorHAnsi"/>
          <w:sz w:val="22"/>
          <w:szCs w:val="22"/>
        </w:rPr>
        <w:endnoteReference w:id="70"/>
      </w:r>
      <w:r w:rsidRPr="00610DA7">
        <w:rPr>
          <w:rFonts w:ascii="Proxima Nova" w:hAnsi="Proxima Nova" w:cstheme="minorHAnsi"/>
          <w:sz w:val="22"/>
          <w:szCs w:val="22"/>
        </w:rPr>
        <w:t xml:space="preserve"> </w:t>
      </w:r>
    </w:p>
    <w:p w14:paraId="302CAB60" w14:textId="2A25022E" w:rsidR="009D5EEC" w:rsidRPr="00610DA7" w:rsidRDefault="009D5EEC" w:rsidP="00610DA7">
      <w:pPr>
        <w:spacing w:line="276" w:lineRule="auto"/>
        <w:rPr>
          <w:rFonts w:ascii="Proxima Nova" w:hAnsi="Proxima Nova" w:cstheme="minorHAnsi"/>
          <w:sz w:val="22"/>
          <w:szCs w:val="22"/>
        </w:rPr>
      </w:pPr>
    </w:p>
    <w:p w14:paraId="68D16032" w14:textId="2662D9C9" w:rsidR="005C487F" w:rsidRPr="00610DA7" w:rsidRDefault="005C487F" w:rsidP="005C487F">
      <w:pPr>
        <w:spacing w:line="276" w:lineRule="auto"/>
        <w:rPr>
          <w:rFonts w:ascii="Proxima Nova" w:hAnsi="Proxima Nova" w:cstheme="minorHAnsi"/>
          <w:b/>
          <w:sz w:val="22"/>
          <w:szCs w:val="22"/>
        </w:rPr>
      </w:pPr>
      <w:r w:rsidRPr="00610DA7">
        <w:rPr>
          <w:rFonts w:ascii="Proxima Nova" w:hAnsi="Proxima Nova"/>
          <w:b/>
          <w:color w:val="AC1F79"/>
          <w:sz w:val="22"/>
          <w:szCs w:val="22"/>
        </w:rPr>
        <w:t>Lack of Data on Use of Restrictive Practices</w:t>
      </w:r>
    </w:p>
    <w:p w14:paraId="7B1ADE1D" w14:textId="50C7EC74" w:rsidR="005C487F" w:rsidRPr="00610DA7" w:rsidRDefault="005C487F" w:rsidP="00610DA7">
      <w:pPr>
        <w:spacing w:line="276" w:lineRule="auto"/>
        <w:rPr>
          <w:rFonts w:ascii="Proxima Nova" w:hAnsi="Proxima Nova" w:cstheme="minorHAnsi"/>
          <w:sz w:val="22"/>
          <w:szCs w:val="22"/>
        </w:rPr>
      </w:pPr>
    </w:p>
    <w:p w14:paraId="3CB749F5" w14:textId="5E654B66" w:rsidR="009D5EEC" w:rsidRPr="00610DA7" w:rsidRDefault="009D5EEC" w:rsidP="00610DA7">
      <w:pPr>
        <w:pStyle w:val="ListParagraph"/>
        <w:numPr>
          <w:ilvl w:val="1"/>
          <w:numId w:val="18"/>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I</w:t>
      </w:r>
      <w:r w:rsidRPr="00610DA7">
        <w:rPr>
          <w:rFonts w:ascii="Proxima Nova" w:hAnsi="Proxima Nova" w:cstheme="minorHAnsi"/>
          <w:color w:val="191619"/>
          <w:sz w:val="22"/>
          <w:szCs w:val="22"/>
        </w:rPr>
        <w:t>t is now well established that violence against women and girls with disability globally and in Australia is far more extensive, frequent and significantly more diverse in nature than violence amongst either their male counterparts or women and girls without disability.</w:t>
      </w:r>
      <w:r w:rsidRPr="00610DA7">
        <w:rPr>
          <w:rStyle w:val="EndnoteReference"/>
          <w:rFonts w:ascii="Proxima Nova" w:hAnsi="Proxima Nova" w:cstheme="minorHAnsi"/>
          <w:color w:val="191619"/>
          <w:sz w:val="22"/>
          <w:szCs w:val="22"/>
        </w:rPr>
        <w:endnoteReference w:id="71"/>
      </w:r>
    </w:p>
    <w:p w14:paraId="5E9D0BCD" w14:textId="77777777" w:rsidR="009D5EEC" w:rsidRPr="00610DA7" w:rsidRDefault="009D5EEC" w:rsidP="00610DA7">
      <w:pPr>
        <w:spacing w:line="276" w:lineRule="auto"/>
        <w:ind w:left="720" w:hanging="720"/>
        <w:rPr>
          <w:rFonts w:ascii="Proxima Nova" w:hAnsi="Proxima Nova" w:cstheme="minorHAnsi"/>
          <w:sz w:val="22"/>
          <w:szCs w:val="22"/>
        </w:rPr>
      </w:pPr>
    </w:p>
    <w:p w14:paraId="49DAA278" w14:textId="77777777" w:rsidR="009D5EEC" w:rsidRPr="00610DA7" w:rsidRDefault="009D5EEC" w:rsidP="00610DA7">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t xml:space="preserve">It is widely recognised that any available data relating to incidence and prevalence of violence against women and girls with disability does not give the true picture of the level of risk and prevalence of violence and abuse due to many factors and barriers to reporting violence that are experienced by women and girls with a disability. Just some of these factors include, for example: </w:t>
      </w:r>
      <w:r w:rsidRPr="00610DA7">
        <w:rPr>
          <w:rFonts w:ascii="Proxima Nova" w:hAnsi="Proxima Nova" w:cstheme="minorHAnsi"/>
          <w:sz w:val="22"/>
          <w:szCs w:val="22"/>
          <w:lang w:eastAsia="en-AU"/>
        </w:rPr>
        <w:t xml:space="preserve">the reinforced demand for compliant behaviours; the perceived lack of credibility; social isolation; lack of access to learning environments; </w:t>
      </w:r>
      <w:r w:rsidRPr="00610DA7">
        <w:rPr>
          <w:rFonts w:ascii="Proxima Nova" w:hAnsi="Proxima Nova" w:cstheme="minorHAnsi"/>
          <w:sz w:val="22"/>
          <w:szCs w:val="22"/>
        </w:rPr>
        <w:t xml:space="preserve">lack of awareness of rights and what constitutes violence, abuse, neglect and exploitation; </w:t>
      </w:r>
      <w:r w:rsidRPr="00610DA7">
        <w:rPr>
          <w:rFonts w:ascii="Proxima Nova" w:hAnsi="Proxima Nova" w:cstheme="minorHAnsi"/>
          <w:sz w:val="22"/>
          <w:szCs w:val="22"/>
          <w:lang w:eastAsia="en-AU"/>
        </w:rPr>
        <w:t xml:space="preserve">dependence upon others; </w:t>
      </w:r>
      <w:r w:rsidRPr="00610DA7">
        <w:rPr>
          <w:rFonts w:ascii="Proxima Nova" w:hAnsi="Proxima Nova" w:cstheme="minorHAnsi"/>
          <w:sz w:val="22"/>
          <w:szCs w:val="22"/>
        </w:rPr>
        <w:t xml:space="preserve">fear of losing services; </w:t>
      </w:r>
      <w:r w:rsidRPr="00610DA7">
        <w:rPr>
          <w:rFonts w:ascii="Proxima Nova" w:hAnsi="Proxima Nova" w:cstheme="minorHAnsi"/>
          <w:sz w:val="22"/>
          <w:szCs w:val="22"/>
          <w:lang w:eastAsia="en-AU"/>
        </w:rPr>
        <w:t>lack of access to police, support services, lawyers or advocates; lack of public scrutiny of institutions; and the entrenched sub-culture of violence and abuse prevalent in institutional and/or segregated settings.</w:t>
      </w:r>
      <w:r w:rsidRPr="00610DA7">
        <w:rPr>
          <w:rStyle w:val="EndnoteReference"/>
          <w:rFonts w:ascii="Proxima Nova" w:hAnsi="Proxima Nova" w:cstheme="minorHAnsi"/>
          <w:sz w:val="22"/>
          <w:szCs w:val="22"/>
          <w:lang w:eastAsia="en-AU"/>
        </w:rPr>
        <w:endnoteReference w:id="72"/>
      </w:r>
    </w:p>
    <w:p w14:paraId="6397BE1E" w14:textId="77777777" w:rsidR="009D5EEC" w:rsidRPr="00610DA7" w:rsidRDefault="009D5EEC" w:rsidP="00610DA7">
      <w:pPr>
        <w:spacing w:line="276" w:lineRule="auto"/>
        <w:ind w:left="720" w:hanging="720"/>
        <w:rPr>
          <w:rFonts w:ascii="Proxima Nova" w:hAnsi="Proxima Nova" w:cstheme="minorHAnsi"/>
          <w:sz w:val="22"/>
          <w:szCs w:val="22"/>
        </w:rPr>
      </w:pPr>
    </w:p>
    <w:p w14:paraId="4F656DA6" w14:textId="77777777" w:rsidR="009D5EEC" w:rsidRPr="00610DA7" w:rsidRDefault="009D5EEC" w:rsidP="00610DA7">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sz w:val="22"/>
          <w:szCs w:val="22"/>
        </w:rPr>
        <w:t>Whilst it is recognised in research that ‘the nature of the experience of violence is intensified in frequency, extent and nature when gender and disability intersect’,</w:t>
      </w:r>
      <w:r w:rsidRPr="00610DA7">
        <w:rPr>
          <w:rStyle w:val="EndnoteReference"/>
          <w:rFonts w:ascii="Proxima Nova" w:hAnsi="Proxima Nova"/>
          <w:sz w:val="22"/>
          <w:szCs w:val="22"/>
        </w:rPr>
        <w:endnoteReference w:id="73"/>
      </w:r>
      <w:r w:rsidRPr="00610DA7">
        <w:rPr>
          <w:rFonts w:ascii="Proxima Nova" w:hAnsi="Proxima Nova"/>
          <w:sz w:val="22"/>
          <w:szCs w:val="22"/>
        </w:rPr>
        <w:t xml:space="preserve"> the available data, research and evidence about this experience is lacking. Where it does exist, it is largely focused within the area of domestic and family violence and conceptualised within a narrow framework and discourse of spousal and/or intimate partner violence.</w:t>
      </w:r>
      <w:r w:rsidRPr="00610DA7">
        <w:rPr>
          <w:rStyle w:val="EndnoteReference"/>
          <w:rFonts w:ascii="Proxima Nova" w:hAnsi="Proxima Nova"/>
          <w:sz w:val="22"/>
          <w:szCs w:val="22"/>
        </w:rPr>
        <w:endnoteReference w:id="74"/>
      </w:r>
      <w:r w:rsidRPr="00610DA7">
        <w:rPr>
          <w:rFonts w:ascii="Proxima Nova" w:hAnsi="Proxima Nova"/>
          <w:sz w:val="22"/>
          <w:szCs w:val="22"/>
        </w:rPr>
        <w:t xml:space="preserve"> This narrow focus does not reflect contemporary understandings of what constitutes gender-based violence, nor the complexity of the myriad forms it takes, and the settings in which it occurs in relation to women and girls with disability. As a result, other forms of violence against women – particularly those perpetrated against women and girls with disability – become obscured, resulting in their marginalisation in, and exclusion from, legislation, policies and service responses designed to address and prevent violence against women.</w:t>
      </w:r>
      <w:r w:rsidRPr="00610DA7">
        <w:rPr>
          <w:rStyle w:val="EndnoteReference"/>
          <w:rFonts w:ascii="Proxima Nova" w:hAnsi="Proxima Nova"/>
          <w:sz w:val="22"/>
          <w:szCs w:val="22"/>
        </w:rPr>
        <w:endnoteReference w:id="75"/>
      </w:r>
    </w:p>
    <w:p w14:paraId="012C509A" w14:textId="77777777" w:rsidR="009D5EEC" w:rsidRPr="00610DA7" w:rsidRDefault="009D5EEC" w:rsidP="00610DA7">
      <w:pPr>
        <w:spacing w:line="276" w:lineRule="auto"/>
        <w:ind w:left="720" w:hanging="720"/>
        <w:rPr>
          <w:rFonts w:ascii="Proxima Nova" w:hAnsi="Proxima Nova" w:cstheme="minorHAnsi"/>
          <w:sz w:val="22"/>
          <w:szCs w:val="22"/>
        </w:rPr>
      </w:pPr>
    </w:p>
    <w:p w14:paraId="1C1CC883" w14:textId="231AC48E" w:rsidR="009D5EEC" w:rsidRPr="00610DA7" w:rsidRDefault="009D5EEC" w:rsidP="00610DA7">
      <w:pPr>
        <w:pStyle w:val="ListParagraph"/>
        <w:numPr>
          <w:ilvl w:val="1"/>
          <w:numId w:val="18"/>
        </w:numPr>
        <w:spacing w:line="276" w:lineRule="auto"/>
        <w:ind w:left="720" w:hanging="720"/>
        <w:contextualSpacing w:val="0"/>
        <w:rPr>
          <w:rFonts w:ascii="Proxima Nova" w:hAnsi="Proxima Nova"/>
          <w:sz w:val="22"/>
          <w:szCs w:val="22"/>
        </w:rPr>
      </w:pPr>
      <w:r w:rsidRPr="00610DA7">
        <w:rPr>
          <w:rFonts w:ascii="Proxima Nova" w:hAnsi="Proxima Nova"/>
          <w:sz w:val="22"/>
          <w:szCs w:val="22"/>
        </w:rPr>
        <w:t xml:space="preserve">This dearth of data and research evidence is apparent in relation to restrictive practices. </w:t>
      </w:r>
      <w:r w:rsidR="00D93FD7" w:rsidRPr="00610DA7">
        <w:rPr>
          <w:rFonts w:ascii="Proxima Nova" w:hAnsi="Proxima Nova"/>
          <w:sz w:val="22"/>
          <w:szCs w:val="22"/>
        </w:rPr>
        <w:t xml:space="preserve">As noted by the </w:t>
      </w:r>
      <w:r w:rsidR="00D93FD7" w:rsidRPr="00610DA7">
        <w:rPr>
          <w:rFonts w:ascii="Proxima Nova" w:hAnsi="Proxima Nova" w:cstheme="minorHAnsi"/>
          <w:color w:val="000000"/>
          <w:sz w:val="22"/>
          <w:szCs w:val="22"/>
        </w:rPr>
        <w:t>Centre for Research Excellence in Disability and Health, r</w:t>
      </w:r>
      <w:r w:rsidRPr="00610DA7">
        <w:rPr>
          <w:rFonts w:ascii="Proxima Nova" w:hAnsi="Proxima Nova"/>
          <w:sz w:val="22"/>
          <w:szCs w:val="22"/>
        </w:rPr>
        <w:t>estrictive practices do not fall within data collection on domestic and family violence.</w:t>
      </w:r>
      <w:r w:rsidR="00D93FD7" w:rsidRPr="00610DA7">
        <w:rPr>
          <w:rStyle w:val="EndnoteReference"/>
          <w:rFonts w:ascii="Proxima Nova" w:hAnsi="Proxima Nova"/>
          <w:sz w:val="22"/>
          <w:szCs w:val="22"/>
        </w:rPr>
        <w:endnoteReference w:id="76"/>
      </w:r>
      <w:r w:rsidRPr="00610DA7">
        <w:rPr>
          <w:rFonts w:ascii="Proxima Nova" w:hAnsi="Proxima Nova"/>
          <w:sz w:val="22"/>
          <w:szCs w:val="22"/>
        </w:rPr>
        <w:t xml:space="preserve"> Data collection on restrictive practices do not disaggregate according to gendered dynamics, such as use on women and girls with histories of victimisation and </w:t>
      </w:r>
      <w:proofErr w:type="gramStart"/>
      <w:r w:rsidRPr="00610DA7">
        <w:rPr>
          <w:rFonts w:ascii="Proxima Nova" w:hAnsi="Proxima Nova"/>
          <w:sz w:val="22"/>
          <w:szCs w:val="22"/>
        </w:rPr>
        <w:t>trauma, and</w:t>
      </w:r>
      <w:proofErr w:type="gramEnd"/>
      <w:r w:rsidRPr="00610DA7">
        <w:rPr>
          <w:rFonts w:ascii="Proxima Nova" w:hAnsi="Proxima Nova"/>
          <w:sz w:val="22"/>
          <w:szCs w:val="22"/>
        </w:rPr>
        <w:t xml:space="preserve"> use in the form of non-consensual and coercive sterilisation, menstrual suppression, contraception and abortion. </w:t>
      </w:r>
      <w:r w:rsidRPr="00610DA7">
        <w:rPr>
          <w:rFonts w:ascii="Proxima Nova" w:hAnsi="Proxima Nova"/>
          <w:color w:val="191619"/>
          <w:sz w:val="22"/>
          <w:szCs w:val="22"/>
        </w:rPr>
        <w:t>While research studies have begun to focus on the experience of violence for women and girls with disability over the past decade, the focus of these studies has largely been on the incidence and experiences of women with disability in the area of domestic and family violence.</w:t>
      </w:r>
      <w:r w:rsidRPr="00610DA7">
        <w:rPr>
          <w:rStyle w:val="EndnoteReference"/>
          <w:rFonts w:ascii="Proxima Nova" w:hAnsi="Proxima Nova"/>
          <w:color w:val="191619"/>
          <w:sz w:val="22"/>
          <w:szCs w:val="22"/>
        </w:rPr>
        <w:endnoteReference w:id="77"/>
      </w:r>
      <w:r w:rsidRPr="00610DA7">
        <w:rPr>
          <w:rFonts w:ascii="Proxima Nova" w:hAnsi="Proxima Nova"/>
          <w:color w:val="191619"/>
          <w:sz w:val="22"/>
          <w:szCs w:val="22"/>
        </w:rPr>
        <w:t xml:space="preserve"> </w:t>
      </w:r>
      <w:r w:rsidRPr="00610DA7">
        <w:rPr>
          <w:rFonts w:ascii="Proxima Nova" w:hAnsi="Proxima Nova"/>
          <w:sz w:val="22"/>
          <w:szCs w:val="22"/>
        </w:rPr>
        <w:t xml:space="preserve">For example, the Australian Bureau of Statistics (ABS) Personal Safety Survey (PSS) is the key </w:t>
      </w:r>
      <w:r w:rsidRPr="00610DA7">
        <w:rPr>
          <w:rFonts w:ascii="Proxima Nova" w:hAnsi="Proxima Nova"/>
          <w:sz w:val="22"/>
          <w:szCs w:val="22"/>
        </w:rPr>
        <w:lastRenderedPageBreak/>
        <w:t>Australian data asset that collects information on the nature and extent of violence experienced by men and women aged 18 years and over.</w:t>
      </w:r>
      <w:r w:rsidRPr="00610DA7">
        <w:rPr>
          <w:rStyle w:val="EndnoteReference"/>
          <w:rFonts w:ascii="Proxima Nova" w:hAnsi="Proxima Nova"/>
          <w:sz w:val="22"/>
          <w:szCs w:val="22"/>
        </w:rPr>
        <w:endnoteReference w:id="78"/>
      </w:r>
      <w:r w:rsidRPr="00610DA7">
        <w:rPr>
          <w:rFonts w:ascii="Proxima Nova" w:hAnsi="Proxima Nova"/>
          <w:sz w:val="22"/>
          <w:szCs w:val="22"/>
        </w:rPr>
        <w:t xml:space="preserve"> The 2016 PSS found that women with disability were more likely to have experienced violence in the preceding 12 months than women without disability.</w:t>
      </w:r>
      <w:r w:rsidRPr="00610DA7">
        <w:rPr>
          <w:rStyle w:val="EndnoteReference"/>
          <w:rFonts w:ascii="Proxima Nova" w:hAnsi="Proxima Nova"/>
          <w:sz w:val="22"/>
          <w:szCs w:val="22"/>
        </w:rPr>
        <w:endnoteReference w:id="79"/>
      </w:r>
      <w:r w:rsidRPr="00610DA7">
        <w:rPr>
          <w:rFonts w:ascii="Proxima Nova" w:hAnsi="Proxima Nova"/>
          <w:sz w:val="22"/>
          <w:szCs w:val="22"/>
        </w:rPr>
        <w:t xml:space="preserve"> However, the PSS’s sampling frame includes only people living in private dwellings and excludes residential care and institutional facilities, such as group homes. WWDA is not aware of any </w:t>
      </w:r>
      <w:r w:rsidRPr="00610DA7">
        <w:rPr>
          <w:rFonts w:ascii="Proxima Nova" w:hAnsi="Proxima Nova"/>
          <w:color w:val="000000"/>
          <w:sz w:val="22"/>
          <w:szCs w:val="22"/>
          <w:lang w:eastAsia="en-GB"/>
        </w:rPr>
        <w:t xml:space="preserve">statistical collections, where the Commonwealth is a data custodian, which specifically collects data on experiences of violence for women and girls living in non-private dwellings, or </w:t>
      </w:r>
      <w:r w:rsidR="00A072E0" w:rsidRPr="00610DA7">
        <w:rPr>
          <w:rFonts w:ascii="Proxima Nova" w:hAnsi="Proxima Nova"/>
          <w:color w:val="000000"/>
          <w:sz w:val="22"/>
          <w:szCs w:val="22"/>
          <w:lang w:eastAsia="en-GB"/>
        </w:rPr>
        <w:t xml:space="preserve">their experience in </w:t>
      </w:r>
      <w:r w:rsidRPr="00610DA7">
        <w:rPr>
          <w:rFonts w:ascii="Proxima Nova" w:hAnsi="Proxima Nova"/>
          <w:color w:val="000000"/>
          <w:sz w:val="22"/>
          <w:szCs w:val="22"/>
          <w:lang w:eastAsia="en-GB"/>
        </w:rPr>
        <w:t xml:space="preserve">segregated environments/settings such as Australian Disability Enterprises, </w:t>
      </w:r>
      <w:r w:rsidR="00A072E0" w:rsidRPr="00610DA7">
        <w:rPr>
          <w:rFonts w:ascii="Proxima Nova" w:hAnsi="Proxima Nova"/>
          <w:color w:val="000000"/>
          <w:sz w:val="22"/>
          <w:szCs w:val="22"/>
          <w:lang w:eastAsia="en-GB"/>
        </w:rPr>
        <w:t>and</w:t>
      </w:r>
      <w:r w:rsidRPr="00610DA7">
        <w:rPr>
          <w:rFonts w:ascii="Proxima Nova" w:hAnsi="Proxima Nova"/>
          <w:color w:val="000000"/>
          <w:sz w:val="22"/>
          <w:szCs w:val="22"/>
          <w:lang w:eastAsia="en-GB"/>
        </w:rPr>
        <w:t xml:space="preserve"> other forms of congregate care settings.</w:t>
      </w:r>
    </w:p>
    <w:p w14:paraId="174515A5" w14:textId="77777777" w:rsidR="009D5EEC" w:rsidRPr="00610DA7" w:rsidRDefault="009D5EEC" w:rsidP="00610DA7">
      <w:pPr>
        <w:spacing w:line="276" w:lineRule="auto"/>
        <w:ind w:left="720" w:hanging="720"/>
        <w:rPr>
          <w:rFonts w:ascii="Proxima Nova" w:hAnsi="Proxima Nova" w:cstheme="minorHAnsi"/>
          <w:sz w:val="22"/>
          <w:szCs w:val="22"/>
        </w:rPr>
      </w:pPr>
    </w:p>
    <w:p w14:paraId="505C27EE" w14:textId="32AACDED" w:rsidR="009D5EEC" w:rsidRPr="00610DA7" w:rsidRDefault="009D5EEC" w:rsidP="00610DA7">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t>A national survey undertaken in 2013 as part of the COAG Reform Project ‘Stop the Violence’ (STVP) found that violence is present in the lives of approximately twenty-two per cent of women and girls with disability who had accessed service support</w:t>
      </w:r>
      <w:r w:rsidRPr="00610DA7">
        <w:rPr>
          <w:rStyle w:val="EndnoteReference"/>
          <w:rFonts w:ascii="Proxima Nova" w:hAnsi="Proxima Nova" w:cstheme="minorHAnsi"/>
          <w:sz w:val="22"/>
          <w:szCs w:val="22"/>
        </w:rPr>
        <w:endnoteReference w:id="80"/>
      </w:r>
      <w:r w:rsidRPr="00610DA7">
        <w:rPr>
          <w:rFonts w:ascii="Proxima Nova" w:hAnsi="Proxima Nova" w:cstheme="minorHAnsi"/>
          <w:sz w:val="22"/>
          <w:szCs w:val="22"/>
        </w:rPr>
        <w:t xml:space="preserve"> in the preceding 12 months. The main types of violence experienced by the women included: domestic violence (80%); emotional abuse (68%); sexual violence and abuse (63%); financial abuse (58%); the withholding of care (23%); and the withholding of medication (14%). Importantly, findings from the survey provided data only on women and girls with disability who had accessed services. However, current literature, Australian Government reporting on the service use of people with disability, and reports from family violence services</w:t>
      </w:r>
      <w:r w:rsidRPr="00610DA7">
        <w:rPr>
          <w:rStyle w:val="EndnoteReference"/>
          <w:rFonts w:ascii="Proxima Nova" w:hAnsi="Proxima Nova" w:cstheme="minorHAnsi"/>
          <w:sz w:val="22"/>
          <w:szCs w:val="22"/>
        </w:rPr>
        <w:endnoteReference w:id="81"/>
      </w:r>
      <w:r w:rsidRPr="00610DA7">
        <w:rPr>
          <w:rFonts w:ascii="Proxima Nova" w:hAnsi="Proxima Nova" w:cstheme="minorHAnsi"/>
          <w:sz w:val="22"/>
          <w:szCs w:val="22"/>
        </w:rPr>
        <w:t xml:space="preserve"> and women with disability themselves suggest that many women and girls with disability do not and/or cannot and/or are prevented from using and/or accessing services. As highlighted by STVP, it is highly likely that significant numbers of women and girls with disability who are experiencing or at risk of violence do not access </w:t>
      </w:r>
      <w:r w:rsidRPr="00610DA7">
        <w:rPr>
          <w:rFonts w:ascii="Proxima Nova" w:hAnsi="Proxima Nova" w:cstheme="minorHAnsi"/>
          <w:sz w:val="22"/>
          <w:szCs w:val="22"/>
          <w:u w:val="single"/>
        </w:rPr>
        <w:t>any</w:t>
      </w:r>
      <w:r w:rsidRPr="00610DA7">
        <w:rPr>
          <w:rFonts w:ascii="Proxima Nova" w:hAnsi="Proxima Nova" w:cstheme="minorHAnsi"/>
          <w:sz w:val="22"/>
          <w:szCs w:val="22"/>
        </w:rPr>
        <w:t xml:space="preserve"> type of service. This suggests that the prevalence of violence against women and girls with disability is likely to be substantially higher than the already alarming 22 per cent suggested by the STVP national survey findings. </w:t>
      </w:r>
    </w:p>
    <w:p w14:paraId="7A74B481" w14:textId="77777777" w:rsidR="009D5EEC" w:rsidRPr="00610DA7" w:rsidRDefault="009D5EEC" w:rsidP="00610DA7">
      <w:pPr>
        <w:spacing w:line="276" w:lineRule="auto"/>
        <w:ind w:left="720" w:hanging="720"/>
        <w:rPr>
          <w:rFonts w:ascii="Proxima Nova" w:hAnsi="Proxima Nova" w:cstheme="minorHAnsi"/>
          <w:sz w:val="22"/>
          <w:szCs w:val="22"/>
        </w:rPr>
      </w:pPr>
    </w:p>
    <w:p w14:paraId="6A3DB5B1" w14:textId="77777777" w:rsidR="009D5EEC" w:rsidRPr="00610DA7" w:rsidRDefault="009D5EEC" w:rsidP="00610DA7">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color w:val="191619"/>
          <w:sz w:val="22"/>
          <w:szCs w:val="22"/>
        </w:rPr>
        <w:t>Nevertheless, there remains a significant lack of disaggregated data, research and information across all life domains that prevents the development of a comprehensive evidence base on violence experienced by women and girls with disability in Australia. This results in women and girls with disability being largely excluded from policies, programs, services and measures to progress gender equality.</w:t>
      </w:r>
      <w:r w:rsidRPr="00610DA7">
        <w:rPr>
          <w:rStyle w:val="EndnoteReference"/>
          <w:rFonts w:ascii="Proxima Nova" w:hAnsi="Proxima Nova" w:cstheme="minorHAnsi"/>
          <w:color w:val="191619"/>
          <w:sz w:val="22"/>
          <w:szCs w:val="22"/>
        </w:rPr>
        <w:endnoteReference w:id="82"/>
      </w:r>
      <w:r w:rsidRPr="00610DA7">
        <w:rPr>
          <w:rFonts w:ascii="Proxima Nova" w:hAnsi="Proxima Nova" w:cstheme="minorHAnsi"/>
          <w:color w:val="191619"/>
          <w:sz w:val="22"/>
          <w:szCs w:val="22"/>
        </w:rPr>
        <w:t xml:space="preserve">  </w:t>
      </w:r>
    </w:p>
    <w:p w14:paraId="5C7038D1" w14:textId="77777777" w:rsidR="009D5EEC" w:rsidRPr="00610DA7" w:rsidRDefault="009D5EEC" w:rsidP="00610DA7">
      <w:pPr>
        <w:spacing w:line="276" w:lineRule="auto"/>
        <w:ind w:left="720" w:hanging="720"/>
        <w:rPr>
          <w:rFonts w:ascii="Proxima Nova" w:hAnsi="Proxima Nova" w:cstheme="minorHAnsi"/>
          <w:color w:val="191619"/>
          <w:sz w:val="22"/>
          <w:szCs w:val="22"/>
        </w:rPr>
      </w:pPr>
    </w:p>
    <w:p w14:paraId="58408AE2" w14:textId="400BD31C" w:rsidR="009D5EEC" w:rsidRPr="00610DA7" w:rsidRDefault="009D5EEC" w:rsidP="00610DA7">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color w:val="191619"/>
          <w:sz w:val="22"/>
          <w:szCs w:val="22"/>
        </w:rPr>
        <w:t>Furthermore, t</w:t>
      </w:r>
      <w:r w:rsidRPr="00610DA7">
        <w:rPr>
          <w:rFonts w:ascii="Proxima Nova" w:hAnsi="Proxima Nova" w:cstheme="minorHAnsi"/>
          <w:sz w:val="22"/>
          <w:szCs w:val="22"/>
        </w:rPr>
        <w:t>here is little to no intersectional analysis, research or disaggregated data that examines the experience of violence, abuse, neglect and exploitation of specific groups of women and girls with disability, such as those who are Indigenous, those from culturally and linguistically diverse backgrounds, those who are migrants, refugees or asylum seekers, those who are lesbian, gay, bisexual, transgender or intersex, or those living in rural and remote communities.</w:t>
      </w:r>
      <w:r w:rsidRPr="00610DA7">
        <w:rPr>
          <w:rStyle w:val="EndnoteReference"/>
          <w:rFonts w:ascii="Proxima Nova" w:hAnsi="Proxima Nova" w:cstheme="minorHAnsi"/>
          <w:sz w:val="22"/>
          <w:szCs w:val="22"/>
        </w:rPr>
        <w:endnoteReference w:id="83"/>
      </w:r>
      <w:r w:rsidRPr="00610DA7">
        <w:rPr>
          <w:rFonts w:ascii="Proxima Nova" w:hAnsi="Proxima Nova" w:cstheme="minorHAnsi"/>
          <w:sz w:val="22"/>
          <w:szCs w:val="22"/>
        </w:rPr>
        <w:t xml:space="preserve"> </w:t>
      </w:r>
    </w:p>
    <w:p w14:paraId="3F1CDB97" w14:textId="77777777" w:rsidR="009D5EEC" w:rsidRPr="00610DA7" w:rsidRDefault="009D5EEC" w:rsidP="00610DA7">
      <w:pPr>
        <w:spacing w:line="276" w:lineRule="auto"/>
        <w:ind w:left="720" w:hanging="720"/>
        <w:rPr>
          <w:rFonts w:ascii="Proxima Nova" w:hAnsi="Proxima Nova" w:cstheme="minorHAnsi"/>
          <w:sz w:val="22"/>
          <w:szCs w:val="22"/>
        </w:rPr>
      </w:pPr>
    </w:p>
    <w:p w14:paraId="51210160" w14:textId="77777777" w:rsidR="009D5EEC" w:rsidRPr="00610DA7" w:rsidRDefault="009D5EEC" w:rsidP="00610DA7">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t xml:space="preserve">While Australia has an existing and continually evolving national data landscape on violence against women, national datasets (surveys, longitudinal datasets and administrative data) have limitations in reference to violence against women and girls with disability. These limitations </w:t>
      </w:r>
      <w:proofErr w:type="gramStart"/>
      <w:r w:rsidRPr="00610DA7">
        <w:rPr>
          <w:rFonts w:ascii="Proxima Nova" w:hAnsi="Proxima Nova" w:cstheme="minorHAnsi"/>
          <w:sz w:val="22"/>
          <w:szCs w:val="22"/>
        </w:rPr>
        <w:t>include:</w:t>
      </w:r>
      <w:proofErr w:type="gramEnd"/>
      <w:r w:rsidRPr="00610DA7">
        <w:rPr>
          <w:rFonts w:ascii="Proxima Nova" w:hAnsi="Proxima Nova" w:cstheme="minorHAnsi"/>
          <w:sz w:val="22"/>
          <w:szCs w:val="22"/>
        </w:rPr>
        <w:t xml:space="preserve"> challenges in extrapolating comprehensive evidence on prevalence and perpetration rates for this particular cohort; challenges with how data is collected, what is collected, how surveys are methodologically designed and administered; and how existing data is leveraged for the creation of new data assets.</w:t>
      </w:r>
      <w:r w:rsidRPr="00610DA7">
        <w:rPr>
          <w:rStyle w:val="EndnoteReference"/>
          <w:rFonts w:ascii="Proxima Nova" w:hAnsi="Proxima Nova" w:cstheme="minorHAnsi"/>
          <w:sz w:val="22"/>
          <w:szCs w:val="22"/>
        </w:rPr>
        <w:endnoteReference w:id="84"/>
      </w:r>
      <w:r w:rsidRPr="00610DA7">
        <w:rPr>
          <w:rFonts w:ascii="Proxima Nova" w:hAnsi="Proxima Nova" w:cstheme="minorHAnsi"/>
          <w:sz w:val="22"/>
          <w:szCs w:val="22"/>
        </w:rPr>
        <w:t xml:space="preserve"> </w:t>
      </w:r>
    </w:p>
    <w:p w14:paraId="7A3EB1B0" w14:textId="77777777" w:rsidR="009D5EEC" w:rsidRPr="00610DA7" w:rsidRDefault="009D5EEC" w:rsidP="00610DA7">
      <w:pPr>
        <w:pStyle w:val="ListParagraph"/>
        <w:spacing w:line="276" w:lineRule="auto"/>
        <w:ind w:hanging="720"/>
        <w:rPr>
          <w:rFonts w:ascii="Proxima Nova" w:hAnsi="Proxima Nova" w:cstheme="minorHAnsi"/>
          <w:sz w:val="22"/>
          <w:szCs w:val="22"/>
        </w:rPr>
      </w:pPr>
    </w:p>
    <w:p w14:paraId="5233A9C4" w14:textId="270D2CD6" w:rsidR="009D5EEC" w:rsidRPr="00610DA7" w:rsidRDefault="009D5EEC" w:rsidP="00610DA7">
      <w:pPr>
        <w:pStyle w:val="ListParagraph"/>
        <w:numPr>
          <w:ilvl w:val="1"/>
          <w:numId w:val="18"/>
        </w:numPr>
        <w:spacing w:line="276" w:lineRule="auto"/>
        <w:ind w:left="720" w:hanging="720"/>
        <w:contextualSpacing w:val="0"/>
        <w:rPr>
          <w:rFonts w:ascii="Proxima Nova" w:hAnsi="Proxima Nova" w:cstheme="minorHAnsi"/>
          <w:sz w:val="22"/>
          <w:szCs w:val="22"/>
        </w:rPr>
      </w:pPr>
      <w:r w:rsidRPr="00610DA7">
        <w:rPr>
          <w:rFonts w:ascii="Proxima Nova" w:hAnsi="Proxima Nova" w:cstheme="minorHAnsi"/>
          <w:sz w:val="22"/>
          <w:szCs w:val="22"/>
        </w:rPr>
        <w:t>For more than a decade, the UN has been critical of Australia for its neglect of women and girls with disability in all aspects of data collection, information and research,</w:t>
      </w:r>
      <w:r w:rsidRPr="00610DA7">
        <w:rPr>
          <w:rStyle w:val="EndnoteReference"/>
          <w:rFonts w:ascii="Proxima Nova" w:hAnsi="Proxima Nova" w:cstheme="minorHAnsi"/>
          <w:sz w:val="22"/>
          <w:szCs w:val="22"/>
        </w:rPr>
        <w:endnoteReference w:id="85"/>
      </w:r>
      <w:r w:rsidRPr="00610DA7">
        <w:rPr>
          <w:rFonts w:ascii="Proxima Nova" w:hAnsi="Proxima Nova" w:cstheme="minorHAnsi"/>
          <w:sz w:val="22"/>
          <w:szCs w:val="22"/>
        </w:rPr>
        <w:t xml:space="preserve"> and has repeatedly called on Australian Governments to address this neglect as a matter of urgency. For example, following her mission to Australia, the Special Rapporteur on Violence Against Women, its </w:t>
      </w:r>
      <w:r w:rsidR="00D03F41" w:rsidRPr="00610DA7">
        <w:rPr>
          <w:rFonts w:ascii="Proxima Nova" w:hAnsi="Proxima Nova" w:cstheme="minorHAnsi"/>
          <w:sz w:val="22"/>
          <w:szCs w:val="22"/>
        </w:rPr>
        <w:t>C</w:t>
      </w:r>
      <w:r w:rsidRPr="00610DA7">
        <w:rPr>
          <w:rFonts w:ascii="Proxima Nova" w:hAnsi="Proxima Nova" w:cstheme="minorHAnsi"/>
          <w:sz w:val="22"/>
          <w:szCs w:val="22"/>
        </w:rPr>
        <w:t xml:space="preserve">auses and </w:t>
      </w:r>
      <w:r w:rsidR="00D03F41" w:rsidRPr="00610DA7">
        <w:rPr>
          <w:rFonts w:ascii="Proxima Nova" w:hAnsi="Proxima Nova" w:cstheme="minorHAnsi"/>
          <w:sz w:val="22"/>
          <w:szCs w:val="22"/>
        </w:rPr>
        <w:t>C</w:t>
      </w:r>
      <w:r w:rsidRPr="00610DA7">
        <w:rPr>
          <w:rFonts w:ascii="Proxima Nova" w:hAnsi="Proxima Nova" w:cstheme="minorHAnsi"/>
          <w:sz w:val="22"/>
          <w:szCs w:val="22"/>
        </w:rPr>
        <w:t xml:space="preserve">onsequences </w:t>
      </w:r>
      <w:r w:rsidR="00D03F41" w:rsidRPr="00610DA7">
        <w:rPr>
          <w:rFonts w:ascii="Proxima Nova" w:hAnsi="Proxima Nova" w:cstheme="minorHAnsi"/>
          <w:sz w:val="22"/>
          <w:szCs w:val="22"/>
        </w:rPr>
        <w:t xml:space="preserve">(Special Rapporteur on Violence Against Women) </w:t>
      </w:r>
      <w:r w:rsidRPr="00610DA7">
        <w:rPr>
          <w:rFonts w:ascii="Proxima Nova" w:hAnsi="Proxima Nova" w:cstheme="minorHAnsi"/>
          <w:sz w:val="22"/>
          <w:szCs w:val="22"/>
        </w:rPr>
        <w:t>recommended the Australian Government:</w:t>
      </w:r>
    </w:p>
    <w:p w14:paraId="2304B5B9" w14:textId="77777777" w:rsidR="009D5EEC" w:rsidRPr="00610DA7" w:rsidRDefault="009D5EEC" w:rsidP="00610DA7">
      <w:pPr>
        <w:pStyle w:val="ListParagraph"/>
        <w:spacing w:line="276" w:lineRule="auto"/>
        <w:ind w:left="567" w:hanging="567"/>
        <w:rPr>
          <w:rFonts w:ascii="Proxima Nova" w:hAnsi="Proxima Nova" w:cstheme="minorHAnsi"/>
          <w:sz w:val="22"/>
          <w:szCs w:val="22"/>
        </w:rPr>
      </w:pPr>
    </w:p>
    <w:p w14:paraId="06BC34CE" w14:textId="77777777" w:rsidR="009D5EEC" w:rsidRPr="00610DA7" w:rsidRDefault="009D5EEC" w:rsidP="00610DA7">
      <w:pPr>
        <w:pStyle w:val="ListParagraph"/>
        <w:spacing w:line="276" w:lineRule="auto"/>
        <w:ind w:left="1134"/>
        <w:contextualSpacing w:val="0"/>
        <w:rPr>
          <w:rFonts w:ascii="Proxima Nova" w:hAnsi="Proxima Nova"/>
          <w:sz w:val="22"/>
          <w:szCs w:val="22"/>
        </w:rPr>
      </w:pPr>
      <w:r w:rsidRPr="00610DA7">
        <w:rPr>
          <w:rFonts w:ascii="Proxima Nova" w:hAnsi="Proxima Nova"/>
          <w:i/>
          <w:iCs/>
          <w:sz w:val="22"/>
          <w:szCs w:val="22"/>
        </w:rPr>
        <w:t xml:space="preserve">Implement the recommendation made by the Committee on the Rights of Persons with Disabilities that the Government commission and fund a comprehensive assessment of </w:t>
      </w:r>
      <w:r w:rsidRPr="00610DA7">
        <w:rPr>
          <w:rFonts w:ascii="Proxima Nova" w:hAnsi="Proxima Nova"/>
          <w:i/>
          <w:iCs/>
          <w:sz w:val="22"/>
          <w:szCs w:val="22"/>
        </w:rPr>
        <w:lastRenderedPageBreak/>
        <w:t>the situation of girls and women with disabilities, in order to establish a baseline of disaggregated data against which future progress towards the implementation of the Convention could be measured.</w:t>
      </w:r>
      <w:r w:rsidRPr="00610DA7">
        <w:rPr>
          <w:rStyle w:val="EndnoteReference"/>
          <w:rFonts w:ascii="Proxima Nova" w:hAnsi="Proxima Nova"/>
          <w:sz w:val="22"/>
          <w:szCs w:val="22"/>
        </w:rPr>
        <w:endnoteReference w:id="86"/>
      </w:r>
      <w:r w:rsidRPr="00610DA7">
        <w:rPr>
          <w:rFonts w:ascii="Proxima Nova" w:hAnsi="Proxima Nova" w:cstheme="minorHAnsi"/>
          <w:sz w:val="22"/>
          <w:szCs w:val="22"/>
        </w:rPr>
        <w:t xml:space="preserve"> </w:t>
      </w:r>
    </w:p>
    <w:p w14:paraId="7D4277F5" w14:textId="77777777" w:rsidR="009D5EEC" w:rsidRPr="00610DA7" w:rsidRDefault="009D5EEC" w:rsidP="00610DA7">
      <w:pPr>
        <w:spacing w:line="276" w:lineRule="auto"/>
        <w:ind w:left="567" w:hanging="567"/>
        <w:rPr>
          <w:rFonts w:ascii="Proxima Nova" w:hAnsi="Proxima Nova" w:cstheme="minorHAnsi"/>
          <w:sz w:val="22"/>
          <w:szCs w:val="22"/>
        </w:rPr>
      </w:pPr>
    </w:p>
    <w:p w14:paraId="7A00E9E3" w14:textId="77777777" w:rsidR="009D5EEC" w:rsidRPr="00610DA7" w:rsidRDefault="009D5EEC" w:rsidP="00610DA7">
      <w:pPr>
        <w:pStyle w:val="ListParagraph"/>
        <w:numPr>
          <w:ilvl w:val="1"/>
          <w:numId w:val="18"/>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These strong recommendations from the UN are consistent with recommendations made to successive Australian Governments by civil society organisations, parliamentary inquires and other fora.</w:t>
      </w:r>
      <w:r w:rsidRPr="00610DA7">
        <w:rPr>
          <w:rStyle w:val="EndnoteReference"/>
          <w:rFonts w:ascii="Proxima Nova" w:hAnsi="Proxima Nova" w:cstheme="minorHAnsi"/>
          <w:sz w:val="22"/>
          <w:szCs w:val="22"/>
        </w:rPr>
        <w:endnoteReference w:id="87"/>
      </w:r>
      <w:r w:rsidRPr="00610DA7">
        <w:rPr>
          <w:rFonts w:ascii="Proxima Nova" w:hAnsi="Proxima Nova" w:cstheme="minorHAnsi"/>
          <w:sz w:val="22"/>
          <w:szCs w:val="22"/>
        </w:rPr>
        <w:t xml:space="preserve"> Yet to date, this long-standing recommendation made by various UN bodies has not been enacted. There has been little progress in this area, and women and girls with disability continue to be excluded </w:t>
      </w:r>
      <w:r w:rsidRPr="00610DA7">
        <w:rPr>
          <w:rFonts w:ascii="Proxima Nova" w:hAnsi="Proxima Nova" w:cstheme="minorHAnsi"/>
          <w:color w:val="191619"/>
          <w:sz w:val="22"/>
          <w:szCs w:val="22"/>
        </w:rPr>
        <w:t>from policies, programs, services and measures to progress gender equality – including in relation to restrictive practices and the right to freedom from all forms of violence.</w:t>
      </w:r>
      <w:r w:rsidRPr="00610DA7">
        <w:rPr>
          <w:rFonts w:ascii="Proxima Nova" w:hAnsi="Proxima Nova" w:cstheme="minorHAnsi"/>
          <w:sz w:val="22"/>
          <w:szCs w:val="22"/>
        </w:rPr>
        <w:t xml:space="preserve"> </w:t>
      </w:r>
    </w:p>
    <w:p w14:paraId="10199B49" w14:textId="77777777" w:rsidR="009D5EEC" w:rsidRPr="00610DA7" w:rsidRDefault="009D5EEC" w:rsidP="00610DA7">
      <w:pPr>
        <w:spacing w:line="276" w:lineRule="auto"/>
        <w:ind w:left="720" w:hanging="720"/>
        <w:rPr>
          <w:rFonts w:ascii="Proxima Nova" w:hAnsi="Proxima Nova" w:cstheme="minorHAnsi"/>
          <w:sz w:val="22"/>
          <w:szCs w:val="22"/>
        </w:rPr>
      </w:pPr>
    </w:p>
    <w:p w14:paraId="4166EFB3" w14:textId="77777777" w:rsidR="009D5EEC" w:rsidRPr="00610DA7" w:rsidRDefault="009D5EEC" w:rsidP="00610DA7">
      <w:pPr>
        <w:pStyle w:val="ListParagraph"/>
        <w:numPr>
          <w:ilvl w:val="1"/>
          <w:numId w:val="18"/>
        </w:numPr>
        <w:spacing w:line="276" w:lineRule="auto"/>
        <w:ind w:left="720" w:hanging="720"/>
        <w:rPr>
          <w:rFonts w:ascii="Proxima Nova" w:hAnsi="Proxima Nova" w:cstheme="minorHAnsi"/>
          <w:sz w:val="22"/>
          <w:szCs w:val="22"/>
        </w:rPr>
      </w:pPr>
      <w:r w:rsidRPr="00610DA7">
        <w:rPr>
          <w:rFonts w:ascii="Proxima Nova" w:hAnsi="Proxima Nova" w:cstheme="minorHAnsi"/>
          <w:sz w:val="22"/>
          <w:szCs w:val="22"/>
        </w:rPr>
        <w:t xml:space="preserve">The UN has also clarified that Article 31 of the CRPD (Statistics and Data Collection) is not solely concerned with the collection of demographic statistics on prevalence and types of disability or impairment, but also with data on the extent of compliance or otherwise with the requirements of the Convention. It is inherently difficult for States Parties to report on CRPD implementation without benchmarking data on initial levels of compliance. The UN has subsequently made it clear that Australia must develop nationally consistent measures for data collection and public reporting of disaggregated data across the full range of obligations contained in the CRPD, and that all data must be disaggregated by gender. </w:t>
      </w:r>
    </w:p>
    <w:p w14:paraId="25067800" w14:textId="1BF85013" w:rsidR="009D5EEC" w:rsidRPr="00610DA7" w:rsidRDefault="009D5EEC" w:rsidP="00610DA7">
      <w:pPr>
        <w:spacing w:line="276" w:lineRule="auto"/>
        <w:rPr>
          <w:rFonts w:ascii="Proxima Nova" w:hAnsi="Proxima Nova" w:cstheme="minorHAnsi"/>
          <w:sz w:val="22"/>
          <w:szCs w:val="22"/>
        </w:rPr>
      </w:pPr>
    </w:p>
    <w:p w14:paraId="65DD1028" w14:textId="527627C4" w:rsidR="005C487F" w:rsidRPr="00610DA7" w:rsidRDefault="005C487F" w:rsidP="005C487F">
      <w:pPr>
        <w:spacing w:line="276" w:lineRule="auto"/>
        <w:rPr>
          <w:rFonts w:ascii="Proxima Nova" w:hAnsi="Proxima Nova" w:cstheme="minorHAnsi"/>
          <w:b/>
          <w:sz w:val="22"/>
          <w:szCs w:val="22"/>
        </w:rPr>
      </w:pPr>
      <w:r w:rsidRPr="00610DA7">
        <w:rPr>
          <w:rFonts w:ascii="Proxima Nova" w:hAnsi="Proxima Nova"/>
          <w:b/>
          <w:color w:val="AC1F79"/>
          <w:sz w:val="22"/>
          <w:szCs w:val="22"/>
        </w:rPr>
        <w:t>Lack of Data on Restrictive Practices Legal Decision-Making</w:t>
      </w:r>
    </w:p>
    <w:p w14:paraId="6CC1C2D1" w14:textId="77777777" w:rsidR="005C487F" w:rsidRPr="00610DA7" w:rsidRDefault="005C487F" w:rsidP="00610DA7">
      <w:pPr>
        <w:spacing w:line="276" w:lineRule="auto"/>
        <w:rPr>
          <w:rFonts w:ascii="Proxima Nova" w:hAnsi="Proxima Nova" w:cstheme="minorHAnsi"/>
          <w:sz w:val="22"/>
          <w:szCs w:val="22"/>
        </w:rPr>
      </w:pPr>
    </w:p>
    <w:p w14:paraId="725D31D8" w14:textId="7CD9EFC1" w:rsidR="00000948" w:rsidRPr="00610DA7" w:rsidRDefault="009D5EEC" w:rsidP="00610DA7">
      <w:pPr>
        <w:pStyle w:val="ListParagraph"/>
        <w:numPr>
          <w:ilvl w:val="1"/>
          <w:numId w:val="18"/>
        </w:numPr>
        <w:spacing w:line="276" w:lineRule="auto"/>
        <w:ind w:left="720" w:hanging="720"/>
        <w:rPr>
          <w:rFonts w:ascii="Proxima Nova" w:hAnsi="Proxima Nova" w:cstheme="minorHAnsi"/>
          <w:sz w:val="22"/>
          <w:szCs w:val="22"/>
        </w:rPr>
      </w:pPr>
      <w:r w:rsidRPr="00610DA7">
        <w:rPr>
          <w:rFonts w:ascii="Proxima Nova" w:hAnsi="Proxima Nova"/>
          <w:sz w:val="22"/>
          <w:szCs w:val="22"/>
        </w:rPr>
        <w:t>Additional to the absence of data, research and evidence on the use of restrictive practices, there is an absence of data, research and evidence on</w:t>
      </w:r>
      <w:r w:rsidR="00000948" w:rsidRPr="00610DA7">
        <w:rPr>
          <w:rFonts w:ascii="Proxima Nova" w:hAnsi="Proxima Nova"/>
          <w:sz w:val="22"/>
          <w:szCs w:val="22"/>
        </w:rPr>
        <w:t xml:space="preserve"> the legal</w:t>
      </w:r>
      <w:r w:rsidR="00A55FC1" w:rsidRPr="00610DA7">
        <w:rPr>
          <w:rFonts w:ascii="Proxima Nova" w:hAnsi="Proxima Nova"/>
          <w:sz w:val="22"/>
          <w:szCs w:val="22"/>
        </w:rPr>
        <w:t xml:space="preserve"> authorisation and regulation </w:t>
      </w:r>
      <w:r w:rsidR="00000948" w:rsidRPr="00610DA7">
        <w:rPr>
          <w:rFonts w:ascii="Proxima Nova" w:hAnsi="Proxima Nova"/>
          <w:sz w:val="22"/>
          <w:szCs w:val="22"/>
        </w:rPr>
        <w:t>of restrictive practices such as</w:t>
      </w:r>
      <w:r w:rsidRPr="00610DA7">
        <w:rPr>
          <w:rFonts w:ascii="Proxima Nova" w:hAnsi="Proxima Nova"/>
          <w:sz w:val="22"/>
          <w:szCs w:val="22"/>
        </w:rPr>
        <w:t xml:space="preserve"> judicial/tribunal decision-making </w:t>
      </w:r>
      <w:r w:rsidR="00B0329B" w:rsidRPr="00610DA7">
        <w:rPr>
          <w:rFonts w:ascii="Proxima Nova" w:hAnsi="Proxima Nova"/>
          <w:sz w:val="22"/>
          <w:szCs w:val="22"/>
        </w:rPr>
        <w:t>on use of</w:t>
      </w:r>
      <w:r w:rsidR="00000948" w:rsidRPr="00610DA7">
        <w:rPr>
          <w:rFonts w:ascii="Proxima Nova" w:hAnsi="Proxima Nova"/>
          <w:sz w:val="22"/>
          <w:szCs w:val="22"/>
        </w:rPr>
        <w:t xml:space="preserve"> restrictive practices or appointment of substitute decision-makers</w:t>
      </w:r>
      <w:r w:rsidR="00B0329B" w:rsidRPr="00610DA7">
        <w:rPr>
          <w:rFonts w:ascii="Proxima Nova" w:hAnsi="Proxima Nova"/>
          <w:sz w:val="22"/>
          <w:szCs w:val="22"/>
        </w:rPr>
        <w:t>,</w:t>
      </w:r>
      <w:r w:rsidR="00000948" w:rsidRPr="00610DA7">
        <w:rPr>
          <w:rFonts w:ascii="Proxima Nova" w:hAnsi="Proxima Nova"/>
          <w:sz w:val="22"/>
          <w:szCs w:val="22"/>
        </w:rPr>
        <w:t xml:space="preserve"> </w:t>
      </w:r>
      <w:r w:rsidRPr="00610DA7">
        <w:rPr>
          <w:rFonts w:ascii="Proxima Nova" w:hAnsi="Proxima Nova"/>
          <w:sz w:val="22"/>
          <w:szCs w:val="22"/>
        </w:rPr>
        <w:t xml:space="preserve">and bureaucratic administration </w:t>
      </w:r>
      <w:r w:rsidR="00000948" w:rsidRPr="00610DA7">
        <w:rPr>
          <w:rFonts w:ascii="Proxima Nova" w:hAnsi="Proxima Nova"/>
          <w:sz w:val="22"/>
          <w:szCs w:val="22"/>
        </w:rPr>
        <w:t xml:space="preserve">of substituted decision-making </w:t>
      </w:r>
      <w:r w:rsidRPr="00610DA7">
        <w:rPr>
          <w:rFonts w:ascii="Proxima Nova" w:hAnsi="Proxima Nova"/>
          <w:sz w:val="22"/>
          <w:szCs w:val="22"/>
        </w:rPr>
        <w:t xml:space="preserve">and compulsory treatment. </w:t>
      </w:r>
    </w:p>
    <w:p w14:paraId="6C7579DB" w14:textId="77777777" w:rsidR="00000948" w:rsidRPr="00610DA7" w:rsidRDefault="00000948" w:rsidP="00610DA7">
      <w:pPr>
        <w:spacing w:line="276" w:lineRule="auto"/>
        <w:ind w:left="720" w:hanging="720"/>
        <w:rPr>
          <w:rFonts w:ascii="Proxima Nova" w:hAnsi="Proxima Nova" w:cstheme="minorHAnsi"/>
          <w:sz w:val="22"/>
          <w:szCs w:val="22"/>
        </w:rPr>
      </w:pPr>
    </w:p>
    <w:p w14:paraId="14E045A6" w14:textId="34C62EF6" w:rsidR="009D5EEC" w:rsidRPr="00610DA7" w:rsidRDefault="00000948" w:rsidP="00610DA7">
      <w:pPr>
        <w:pStyle w:val="ListParagraph"/>
        <w:numPr>
          <w:ilvl w:val="1"/>
          <w:numId w:val="18"/>
        </w:numPr>
        <w:spacing w:line="276" w:lineRule="auto"/>
        <w:ind w:left="720" w:hanging="720"/>
        <w:rPr>
          <w:rFonts w:ascii="Proxima Nova" w:hAnsi="Proxima Nova" w:cstheme="minorHAnsi"/>
          <w:sz w:val="22"/>
          <w:szCs w:val="22"/>
        </w:rPr>
      </w:pPr>
      <w:r w:rsidRPr="00610DA7">
        <w:rPr>
          <w:rFonts w:ascii="Proxima Nova" w:hAnsi="Proxima Nova"/>
          <w:sz w:val="22"/>
          <w:szCs w:val="22"/>
        </w:rPr>
        <w:t xml:space="preserve">In particular, contrary to the </w:t>
      </w:r>
      <w:r w:rsidR="009D5EEC" w:rsidRPr="00610DA7">
        <w:rPr>
          <w:rFonts w:ascii="Proxima Nova" w:hAnsi="Proxima Nova"/>
          <w:sz w:val="22"/>
          <w:szCs w:val="22"/>
        </w:rPr>
        <w:t>principle of open justice</w:t>
      </w:r>
      <w:r w:rsidRPr="00610DA7">
        <w:rPr>
          <w:rFonts w:ascii="Proxima Nova" w:hAnsi="Proxima Nova"/>
          <w:sz w:val="22"/>
          <w:szCs w:val="22"/>
        </w:rPr>
        <w:t xml:space="preserve"> (i.e., public access to the work of the courts), there is a lack of data, research and evidence on the proceedings of courts and tribunals </w:t>
      </w:r>
      <w:r w:rsidR="009950EC" w:rsidRPr="00610DA7">
        <w:rPr>
          <w:rFonts w:ascii="Proxima Nova" w:hAnsi="Proxima Nova"/>
          <w:sz w:val="22"/>
          <w:szCs w:val="22"/>
        </w:rPr>
        <w:t>regulating restrictive practices</w:t>
      </w:r>
      <w:r w:rsidRPr="00610DA7">
        <w:rPr>
          <w:rFonts w:ascii="Proxima Nova" w:hAnsi="Proxima Nova"/>
          <w:sz w:val="22"/>
          <w:szCs w:val="22"/>
        </w:rPr>
        <w:t xml:space="preserve"> (e.g., state/territory Supreme Courts, guardianship tribunals and mental health tribunals).</w:t>
      </w:r>
      <w:r w:rsidR="00BC3076" w:rsidRPr="00610DA7">
        <w:rPr>
          <w:rStyle w:val="EndnoteReference"/>
          <w:rFonts w:ascii="Proxima Nova" w:hAnsi="Proxima Nova"/>
          <w:sz w:val="22"/>
          <w:szCs w:val="22"/>
        </w:rPr>
        <w:endnoteReference w:id="88"/>
      </w:r>
      <w:r w:rsidRPr="00610DA7">
        <w:rPr>
          <w:rFonts w:ascii="Proxima Nova" w:hAnsi="Proxima Nova"/>
          <w:sz w:val="22"/>
          <w:szCs w:val="22"/>
        </w:rPr>
        <w:t xml:space="preserve"> This is because even though open justice </w:t>
      </w:r>
      <w:r w:rsidR="002A3911" w:rsidRPr="00610DA7">
        <w:rPr>
          <w:rFonts w:ascii="Proxima Nova" w:hAnsi="Proxima Nova"/>
          <w:sz w:val="22"/>
          <w:szCs w:val="22"/>
        </w:rPr>
        <w:t>in the Austra</w:t>
      </w:r>
      <w:r w:rsidR="009D5EEC" w:rsidRPr="00610DA7">
        <w:rPr>
          <w:rFonts w:ascii="Proxima Nova" w:hAnsi="Proxima Nova"/>
          <w:sz w:val="22"/>
          <w:szCs w:val="22"/>
        </w:rPr>
        <w:t xml:space="preserve">lian court system is a ‘fundamental rule of the common </w:t>
      </w:r>
      <w:r w:rsidRPr="00610DA7">
        <w:rPr>
          <w:rFonts w:ascii="Proxima Nova" w:hAnsi="Proxima Nova"/>
          <w:sz w:val="22"/>
          <w:szCs w:val="22"/>
        </w:rPr>
        <w:t>law’</w:t>
      </w:r>
      <w:r w:rsidR="009D5EEC" w:rsidRPr="00610DA7">
        <w:rPr>
          <w:rStyle w:val="EndnoteReference"/>
          <w:rFonts w:ascii="Proxima Nova" w:hAnsi="Proxima Nova"/>
          <w:sz w:val="22"/>
          <w:szCs w:val="22"/>
        </w:rPr>
        <w:endnoteReference w:id="89"/>
      </w:r>
      <w:r w:rsidRPr="00610DA7">
        <w:rPr>
          <w:rFonts w:ascii="Proxima Nova" w:hAnsi="Proxima Nova"/>
          <w:sz w:val="22"/>
          <w:szCs w:val="22"/>
        </w:rPr>
        <w:t xml:space="preserve"> enabling transparency without which</w:t>
      </w:r>
      <w:r w:rsidR="009D5EEC" w:rsidRPr="00610DA7">
        <w:rPr>
          <w:rFonts w:ascii="Proxima Nova" w:hAnsi="Proxima Nova"/>
          <w:sz w:val="22"/>
          <w:szCs w:val="22"/>
        </w:rPr>
        <w:t xml:space="preserve"> ‘</w:t>
      </w:r>
      <w:r w:rsidRPr="00610DA7">
        <w:rPr>
          <w:rFonts w:ascii="Proxima Nova" w:hAnsi="Proxima Nova"/>
          <w:sz w:val="22"/>
          <w:szCs w:val="22"/>
        </w:rPr>
        <w:t>abuses may flourish undetected’,</w:t>
      </w:r>
      <w:r w:rsidR="009D5EEC" w:rsidRPr="00610DA7">
        <w:rPr>
          <w:rStyle w:val="EndnoteReference"/>
          <w:rFonts w:ascii="Proxima Nova" w:hAnsi="Proxima Nova"/>
          <w:sz w:val="22"/>
          <w:szCs w:val="22"/>
        </w:rPr>
        <w:endnoteReference w:id="90"/>
      </w:r>
      <w:r w:rsidRPr="00610DA7">
        <w:rPr>
          <w:rFonts w:ascii="Proxima Nova" w:hAnsi="Proxima Nova"/>
          <w:sz w:val="22"/>
          <w:szCs w:val="22"/>
        </w:rPr>
        <w:t xml:space="preserve"> there is an established exception for </w:t>
      </w:r>
      <w:r w:rsidR="00B0329B" w:rsidRPr="00610DA7">
        <w:rPr>
          <w:rFonts w:ascii="Proxima Nova" w:hAnsi="Proxima Nova"/>
          <w:sz w:val="22"/>
          <w:szCs w:val="22"/>
        </w:rPr>
        <w:t xml:space="preserve">courts </w:t>
      </w:r>
      <w:r w:rsidR="009950EC" w:rsidRPr="00610DA7">
        <w:rPr>
          <w:rFonts w:ascii="Proxima Nova" w:hAnsi="Proxima Nova"/>
          <w:sz w:val="22"/>
          <w:szCs w:val="22"/>
        </w:rPr>
        <w:t>applying the common law doctrine of</w:t>
      </w:r>
      <w:r w:rsidR="00B0329B" w:rsidRPr="00610DA7">
        <w:rPr>
          <w:rFonts w:ascii="Proxima Nova" w:hAnsi="Proxima Nova"/>
          <w:sz w:val="22"/>
          <w:szCs w:val="22"/>
        </w:rPr>
        <w:t xml:space="preserve"> </w:t>
      </w:r>
      <w:r w:rsidRPr="00610DA7">
        <w:rPr>
          <w:rFonts w:ascii="Proxima Nova" w:hAnsi="Proxima Nova"/>
          <w:sz w:val="22"/>
          <w:szCs w:val="22"/>
        </w:rPr>
        <w:t>parens patriae. This was explained in Hogan v Hinch:</w:t>
      </w:r>
      <w:r w:rsidR="009D5EEC" w:rsidRPr="00610DA7">
        <w:rPr>
          <w:rFonts w:ascii="Proxima Nova" w:hAnsi="Proxima Nova"/>
          <w:sz w:val="22"/>
          <w:szCs w:val="22"/>
        </w:rPr>
        <w:t xml:space="preserve"> </w:t>
      </w:r>
    </w:p>
    <w:p w14:paraId="7ADCAF31" w14:textId="77777777" w:rsidR="009D5EEC" w:rsidRPr="00610DA7" w:rsidRDefault="009D5EEC" w:rsidP="00610DA7">
      <w:pPr>
        <w:spacing w:line="276" w:lineRule="auto"/>
        <w:rPr>
          <w:rFonts w:ascii="Proxima Nova" w:hAnsi="Proxima Nova"/>
          <w:sz w:val="22"/>
          <w:szCs w:val="22"/>
        </w:rPr>
      </w:pPr>
    </w:p>
    <w:p w14:paraId="7F39EC59" w14:textId="77777777" w:rsidR="009D5EEC" w:rsidRPr="00610DA7" w:rsidRDefault="009D5EEC" w:rsidP="00610DA7">
      <w:pPr>
        <w:pStyle w:val="ListParagraph"/>
        <w:spacing w:line="276" w:lineRule="auto"/>
        <w:ind w:left="1134"/>
        <w:contextualSpacing w:val="0"/>
        <w:rPr>
          <w:rFonts w:ascii="Proxima Nova" w:hAnsi="Proxima Nova"/>
          <w:sz w:val="22"/>
          <w:szCs w:val="22"/>
        </w:rPr>
      </w:pPr>
      <w:r w:rsidRPr="00610DA7">
        <w:rPr>
          <w:rFonts w:ascii="Proxima Nova" w:hAnsi="Proxima Nova"/>
          <w:i/>
          <w:iCs/>
          <w:sz w:val="22"/>
          <w:szCs w:val="22"/>
        </w:rPr>
        <w:t>It has long been accepted at common law that the application of the open justice principle may be limited in the exercise of a superior court's inherent jurisdiction or an inferior court's implied powers. This may be done where it is necessary to secure the proper administration of justice. … The jurisdiction of courts in relation to wards of the State and mentally ill people was historically an exception to the general rule that proceedings should be held in public because the jurisdiction exercised in such cases was “parental and administrative, and the disposal of controverted questions ... an incident only in the jurisdiction.”</w:t>
      </w:r>
      <w:r w:rsidRPr="00610DA7">
        <w:rPr>
          <w:rStyle w:val="EndnoteReference"/>
          <w:rFonts w:ascii="Proxima Nova" w:hAnsi="Proxima Nova"/>
          <w:sz w:val="22"/>
          <w:szCs w:val="22"/>
        </w:rPr>
        <w:endnoteReference w:id="91"/>
      </w:r>
    </w:p>
    <w:p w14:paraId="6C2D14C8" w14:textId="77777777" w:rsidR="009D5EEC" w:rsidRPr="00610DA7" w:rsidRDefault="009D5EEC" w:rsidP="00610DA7">
      <w:pPr>
        <w:spacing w:line="276" w:lineRule="auto"/>
        <w:rPr>
          <w:rFonts w:ascii="Proxima Nova" w:hAnsi="Proxima Nova" w:cstheme="minorHAnsi"/>
          <w:sz w:val="22"/>
          <w:szCs w:val="22"/>
        </w:rPr>
      </w:pPr>
    </w:p>
    <w:p w14:paraId="526D2F20" w14:textId="2014675E" w:rsidR="009D5EEC" w:rsidRPr="00610DA7" w:rsidRDefault="00F82CE4" w:rsidP="00610DA7">
      <w:pPr>
        <w:pStyle w:val="ListParagraph"/>
        <w:numPr>
          <w:ilvl w:val="1"/>
          <w:numId w:val="18"/>
        </w:numPr>
        <w:spacing w:line="276" w:lineRule="auto"/>
        <w:ind w:left="720" w:hanging="720"/>
        <w:contextualSpacing w:val="0"/>
        <w:rPr>
          <w:rFonts w:ascii="Proxima Nova" w:hAnsi="Proxima Nova"/>
          <w:sz w:val="22"/>
          <w:szCs w:val="22"/>
        </w:rPr>
      </w:pPr>
      <w:r w:rsidRPr="00610DA7">
        <w:rPr>
          <w:rFonts w:ascii="Proxima Nova" w:hAnsi="Proxima Nova" w:cstheme="minorHAnsi"/>
          <w:sz w:val="22"/>
          <w:szCs w:val="22"/>
        </w:rPr>
        <w:t>We discuss the</w:t>
      </w:r>
      <w:r w:rsidR="001D6B70" w:rsidRPr="00610DA7">
        <w:rPr>
          <w:rFonts w:ascii="Proxima Nova" w:hAnsi="Proxima Nova" w:cstheme="minorHAnsi"/>
          <w:sz w:val="22"/>
          <w:szCs w:val="22"/>
        </w:rPr>
        <w:t xml:space="preserve"> gendered and ableist nature of the</w:t>
      </w:r>
      <w:r w:rsidRPr="00610DA7">
        <w:rPr>
          <w:rFonts w:ascii="Proxima Nova" w:hAnsi="Proxima Nova" w:cstheme="minorHAnsi"/>
          <w:sz w:val="22"/>
          <w:szCs w:val="22"/>
        </w:rPr>
        <w:t xml:space="preserve"> </w:t>
      </w:r>
      <w:r w:rsidR="009950EC" w:rsidRPr="00610DA7">
        <w:rPr>
          <w:rFonts w:ascii="Proxima Nova" w:hAnsi="Proxima Nova" w:cstheme="minorHAnsi"/>
          <w:sz w:val="22"/>
          <w:szCs w:val="22"/>
        </w:rPr>
        <w:t xml:space="preserve">common law doctrine of </w:t>
      </w:r>
      <w:r w:rsidRPr="00610DA7">
        <w:rPr>
          <w:rFonts w:ascii="Proxima Nova" w:hAnsi="Proxima Nova" w:cstheme="minorHAnsi"/>
          <w:sz w:val="22"/>
          <w:szCs w:val="22"/>
        </w:rPr>
        <w:t>parens patriae in Section 6.</w:t>
      </w:r>
      <w:r w:rsidR="001D6B70" w:rsidRPr="00610DA7">
        <w:rPr>
          <w:rFonts w:ascii="Proxima Nova" w:hAnsi="Proxima Nova" w:cstheme="minorHAnsi"/>
          <w:sz w:val="22"/>
          <w:szCs w:val="22"/>
        </w:rPr>
        <w:t xml:space="preserve"> For present purposes, greater public access to the work of courts </w:t>
      </w:r>
      <w:r w:rsidR="009950EC" w:rsidRPr="00610DA7">
        <w:rPr>
          <w:rFonts w:ascii="Proxima Nova" w:hAnsi="Proxima Nova" w:cstheme="minorHAnsi"/>
          <w:sz w:val="22"/>
          <w:szCs w:val="22"/>
        </w:rPr>
        <w:t xml:space="preserve">applying the common law doctrine of parens patriae in the context of restrictive practices, </w:t>
      </w:r>
      <w:r w:rsidR="001D6B70" w:rsidRPr="00610DA7">
        <w:rPr>
          <w:rFonts w:ascii="Proxima Nova" w:hAnsi="Proxima Nova" w:cstheme="minorHAnsi"/>
          <w:sz w:val="22"/>
          <w:szCs w:val="22"/>
        </w:rPr>
        <w:t xml:space="preserve">and tribunals </w:t>
      </w:r>
      <w:r w:rsidR="009950EC" w:rsidRPr="00610DA7">
        <w:rPr>
          <w:rFonts w:ascii="Proxima Nova" w:hAnsi="Proxima Nova" w:cstheme="minorHAnsi"/>
          <w:sz w:val="22"/>
          <w:szCs w:val="22"/>
        </w:rPr>
        <w:t xml:space="preserve">that are </w:t>
      </w:r>
      <w:r w:rsidR="0095487D" w:rsidRPr="00610DA7">
        <w:rPr>
          <w:rFonts w:ascii="Proxima Nova" w:hAnsi="Proxima Nova" w:cstheme="minorHAnsi"/>
          <w:sz w:val="22"/>
          <w:szCs w:val="22"/>
        </w:rPr>
        <w:t xml:space="preserve">a </w:t>
      </w:r>
      <w:r w:rsidR="009950EC" w:rsidRPr="00610DA7">
        <w:rPr>
          <w:rFonts w:ascii="Proxima Nova" w:hAnsi="Proxima Nova" w:cstheme="minorHAnsi"/>
          <w:sz w:val="22"/>
          <w:szCs w:val="22"/>
        </w:rPr>
        <w:t xml:space="preserve">modern legislative </w:t>
      </w:r>
      <w:r w:rsidR="0095487D" w:rsidRPr="00610DA7">
        <w:rPr>
          <w:rFonts w:ascii="Proxima Nova" w:hAnsi="Proxima Nova" w:cstheme="minorHAnsi"/>
          <w:sz w:val="22"/>
          <w:szCs w:val="22"/>
        </w:rPr>
        <w:t>evolution of the common law doctrine</w:t>
      </w:r>
      <w:r w:rsidR="001D6B70" w:rsidRPr="00610DA7">
        <w:rPr>
          <w:rFonts w:ascii="Proxima Nova" w:hAnsi="Proxima Nova" w:cstheme="minorHAnsi"/>
          <w:sz w:val="22"/>
          <w:szCs w:val="22"/>
        </w:rPr>
        <w:t xml:space="preserve">. Such access is central to enhanced transparency and accountability of the justice system which, through its regulation of restrictive practices, is engaged in making decisions that can cause considerable harm to people with disability (see discussion of legal violence in Section 6). </w:t>
      </w:r>
      <w:r w:rsidR="009D5EEC" w:rsidRPr="00610DA7">
        <w:rPr>
          <w:rFonts w:ascii="Proxima Nova" w:hAnsi="Proxima Nova" w:cstheme="minorHAnsi"/>
          <w:sz w:val="22"/>
          <w:szCs w:val="22"/>
        </w:rPr>
        <w:t xml:space="preserve">With little information, it is difficult for DPOs, advocates and academics to construct a systemic, empirical picture of the role of legal doctrine, legal process and legal institutions in the violence of restrictive practices. Traditionally, the justification for departing from the principle of open justice </w:t>
      </w:r>
      <w:r w:rsidR="00B0329B" w:rsidRPr="00610DA7">
        <w:rPr>
          <w:rFonts w:ascii="Proxima Nova" w:hAnsi="Proxima Nova" w:cstheme="minorHAnsi"/>
          <w:sz w:val="22"/>
          <w:szCs w:val="22"/>
        </w:rPr>
        <w:t xml:space="preserve">in </w:t>
      </w:r>
      <w:r w:rsidR="00B0329B" w:rsidRPr="00610DA7">
        <w:rPr>
          <w:rFonts w:ascii="Proxima Nova" w:hAnsi="Proxima Nova" w:cstheme="minorHAnsi"/>
          <w:sz w:val="22"/>
          <w:szCs w:val="22"/>
        </w:rPr>
        <w:lastRenderedPageBreak/>
        <w:t xml:space="preserve">relation </w:t>
      </w:r>
      <w:r w:rsidR="0095487D" w:rsidRPr="00610DA7">
        <w:rPr>
          <w:rFonts w:ascii="Proxima Nova" w:hAnsi="Proxima Nova" w:cstheme="minorHAnsi"/>
          <w:sz w:val="22"/>
          <w:szCs w:val="22"/>
        </w:rPr>
        <w:t>to courts applying the common law</w:t>
      </w:r>
      <w:r w:rsidR="00B0329B" w:rsidRPr="00610DA7">
        <w:rPr>
          <w:rFonts w:ascii="Proxima Nova" w:hAnsi="Proxima Nova" w:cstheme="minorHAnsi"/>
          <w:sz w:val="22"/>
          <w:szCs w:val="22"/>
        </w:rPr>
        <w:t xml:space="preserve"> </w:t>
      </w:r>
      <w:r w:rsidR="0095487D" w:rsidRPr="00610DA7">
        <w:rPr>
          <w:rFonts w:ascii="Proxima Nova" w:hAnsi="Proxima Nova" w:cstheme="minorHAnsi"/>
          <w:sz w:val="22"/>
          <w:szCs w:val="22"/>
        </w:rPr>
        <w:t xml:space="preserve">doctrine of </w:t>
      </w:r>
      <w:r w:rsidR="00B0329B" w:rsidRPr="00610DA7">
        <w:rPr>
          <w:rFonts w:ascii="Proxima Nova" w:hAnsi="Proxima Nova" w:cstheme="minorHAnsi"/>
          <w:sz w:val="22"/>
          <w:szCs w:val="22"/>
        </w:rPr>
        <w:t xml:space="preserve">parens patriae </w:t>
      </w:r>
      <w:r w:rsidR="009D5EEC" w:rsidRPr="00610DA7">
        <w:rPr>
          <w:rFonts w:ascii="Proxima Nova" w:hAnsi="Proxima Nova" w:cstheme="minorHAnsi"/>
          <w:sz w:val="22"/>
          <w:szCs w:val="22"/>
        </w:rPr>
        <w:t xml:space="preserve">has been the sensitivity of the matters considered in these hearings and vulnerability of people with disability. Yet, these traditional justifications reflect ableist assumptions about people with disability as helpless, needing protection and unable to make their own decisions. They also implicitly reflect assumptions that the court/tribunal processes are inherently benevolent and in the best interests of people with disability, such that the conventional suspicion of State authority </w:t>
      </w:r>
      <w:r w:rsidR="00B0329B" w:rsidRPr="00610DA7">
        <w:rPr>
          <w:rFonts w:ascii="Proxima Nova" w:hAnsi="Proxima Nova" w:cstheme="minorHAnsi"/>
          <w:sz w:val="22"/>
          <w:szCs w:val="22"/>
        </w:rPr>
        <w:t xml:space="preserve">underpinning </w:t>
      </w:r>
      <w:r w:rsidR="001D6B70" w:rsidRPr="00610DA7">
        <w:rPr>
          <w:rFonts w:ascii="Proxima Nova" w:hAnsi="Proxima Nova" w:cstheme="minorHAnsi"/>
          <w:sz w:val="22"/>
          <w:szCs w:val="22"/>
        </w:rPr>
        <w:t>the principle of open justice</w:t>
      </w:r>
      <w:r w:rsidR="009D5EEC" w:rsidRPr="00610DA7">
        <w:rPr>
          <w:rFonts w:ascii="Proxima Nova" w:hAnsi="Proxima Nova" w:cstheme="minorHAnsi"/>
          <w:sz w:val="22"/>
          <w:szCs w:val="22"/>
        </w:rPr>
        <w:t xml:space="preserve"> is not as significant</w:t>
      </w:r>
      <w:r w:rsidR="00B0329B" w:rsidRPr="00610DA7">
        <w:rPr>
          <w:rFonts w:ascii="Proxima Nova" w:hAnsi="Proxima Nova" w:cstheme="minorHAnsi"/>
          <w:sz w:val="22"/>
          <w:szCs w:val="22"/>
        </w:rPr>
        <w:t xml:space="preserve"> in this context as other contexts (such as the criminal justice context)</w:t>
      </w:r>
      <w:r w:rsidR="009D5EEC" w:rsidRPr="00610DA7">
        <w:rPr>
          <w:rFonts w:ascii="Proxima Nova" w:hAnsi="Proxima Nova" w:cstheme="minorHAnsi"/>
          <w:sz w:val="22"/>
          <w:szCs w:val="22"/>
        </w:rPr>
        <w:t>.</w:t>
      </w:r>
      <w:r w:rsidR="00F17855" w:rsidRPr="00610DA7">
        <w:rPr>
          <w:rFonts w:ascii="Proxima Nova" w:hAnsi="Proxima Nova" w:cstheme="minorHAnsi"/>
          <w:sz w:val="22"/>
          <w:szCs w:val="22"/>
        </w:rPr>
        <w:t xml:space="preserve"> Removing transparency from legal decision-making itself exposes people with disability to vulnerability.</w:t>
      </w:r>
      <w:r w:rsidR="009D5EEC" w:rsidRPr="00610DA7">
        <w:rPr>
          <w:rFonts w:ascii="Proxima Nova" w:hAnsi="Proxima Nova" w:cstheme="minorHAnsi"/>
          <w:sz w:val="22"/>
          <w:szCs w:val="22"/>
        </w:rPr>
        <w:t xml:space="preserve"> Moreover, confidentiality </w:t>
      </w:r>
      <w:r w:rsidR="001D6B70" w:rsidRPr="00610DA7">
        <w:rPr>
          <w:rFonts w:ascii="Proxima Nova" w:hAnsi="Proxima Nova" w:cstheme="minorHAnsi"/>
          <w:sz w:val="22"/>
          <w:szCs w:val="22"/>
        </w:rPr>
        <w:t>of court and tribunal processes</w:t>
      </w:r>
      <w:r w:rsidR="00B0329B" w:rsidRPr="00610DA7">
        <w:rPr>
          <w:rFonts w:ascii="Proxima Nova" w:hAnsi="Proxima Nova" w:cstheme="minorHAnsi"/>
          <w:sz w:val="22"/>
          <w:szCs w:val="22"/>
        </w:rPr>
        <w:t xml:space="preserve"> pertaining to restrictive practices</w:t>
      </w:r>
      <w:r w:rsidR="001D6B70" w:rsidRPr="00610DA7">
        <w:rPr>
          <w:rFonts w:ascii="Proxima Nova" w:hAnsi="Proxima Nova" w:cstheme="minorHAnsi"/>
          <w:sz w:val="22"/>
          <w:szCs w:val="22"/>
        </w:rPr>
        <w:t xml:space="preserve"> replicat</w:t>
      </w:r>
      <w:r w:rsidR="009D5EEC" w:rsidRPr="00610DA7">
        <w:rPr>
          <w:rFonts w:ascii="Proxima Nova" w:hAnsi="Proxima Nova" w:cstheme="minorHAnsi"/>
          <w:sz w:val="22"/>
          <w:szCs w:val="22"/>
        </w:rPr>
        <w:t xml:space="preserve">es the kind of secrecy that is also </w:t>
      </w:r>
      <w:r w:rsidR="00B0329B" w:rsidRPr="00610DA7">
        <w:rPr>
          <w:rFonts w:ascii="Proxima Nova" w:hAnsi="Proxima Nova" w:cstheme="minorHAnsi"/>
          <w:sz w:val="22"/>
          <w:szCs w:val="22"/>
        </w:rPr>
        <w:t xml:space="preserve">central to the </w:t>
      </w:r>
      <w:r w:rsidR="00177A12" w:rsidRPr="00610DA7">
        <w:rPr>
          <w:rFonts w:ascii="Proxima Nova" w:hAnsi="Proxima Nova" w:cstheme="minorHAnsi"/>
          <w:sz w:val="22"/>
          <w:szCs w:val="22"/>
        </w:rPr>
        <w:t>flourishing</w:t>
      </w:r>
      <w:r w:rsidR="00B0329B" w:rsidRPr="00610DA7">
        <w:rPr>
          <w:rFonts w:ascii="Proxima Nova" w:hAnsi="Proxima Nova" w:cstheme="minorHAnsi"/>
          <w:sz w:val="22"/>
          <w:szCs w:val="22"/>
        </w:rPr>
        <w:t xml:space="preserve"> of violence</w:t>
      </w:r>
      <w:r w:rsidR="009D5EEC" w:rsidRPr="00610DA7">
        <w:rPr>
          <w:rFonts w:ascii="Proxima Nova" w:hAnsi="Proxima Nova" w:cstheme="minorHAnsi"/>
          <w:sz w:val="22"/>
          <w:szCs w:val="22"/>
        </w:rPr>
        <w:t xml:space="preserve"> in segregated and closed settings</w:t>
      </w:r>
      <w:r w:rsidR="009D5EEC" w:rsidRPr="00610DA7">
        <w:rPr>
          <w:rFonts w:ascii="Proxima Nova" w:hAnsi="Proxima Nova"/>
          <w:sz w:val="22"/>
          <w:szCs w:val="22"/>
        </w:rPr>
        <w:t xml:space="preserve">. </w:t>
      </w:r>
      <w:r w:rsidR="001D6B70" w:rsidRPr="00610DA7">
        <w:rPr>
          <w:rFonts w:ascii="Proxima Nova" w:hAnsi="Proxima Nova"/>
          <w:sz w:val="22"/>
          <w:szCs w:val="22"/>
        </w:rPr>
        <w:t>Ultimately, situating</w:t>
      </w:r>
      <w:r w:rsidR="004643E6" w:rsidRPr="00610DA7">
        <w:rPr>
          <w:rFonts w:ascii="Proxima Nova" w:hAnsi="Proxima Nova"/>
          <w:sz w:val="22"/>
          <w:szCs w:val="22"/>
        </w:rPr>
        <w:t xml:space="preserve"> legal</w:t>
      </w:r>
      <w:r w:rsidR="009D5EEC" w:rsidRPr="00610DA7">
        <w:rPr>
          <w:rFonts w:ascii="Proxima Nova" w:hAnsi="Proxima Nova"/>
          <w:sz w:val="22"/>
          <w:szCs w:val="22"/>
        </w:rPr>
        <w:t xml:space="preserve"> decision-making relating to restrictive practices outside of the principle of open justice shows how the legal process through which legal decisions on regulation of restrictive practices </w:t>
      </w:r>
      <w:r w:rsidR="00F17855" w:rsidRPr="00610DA7">
        <w:rPr>
          <w:rFonts w:ascii="Proxima Nova" w:hAnsi="Proxima Nova"/>
          <w:sz w:val="22"/>
          <w:szCs w:val="22"/>
        </w:rPr>
        <w:t xml:space="preserve">itself </w:t>
      </w:r>
      <w:r w:rsidR="009D5EEC" w:rsidRPr="00610DA7">
        <w:rPr>
          <w:rFonts w:ascii="Proxima Nova" w:hAnsi="Proxima Nova"/>
          <w:sz w:val="22"/>
          <w:szCs w:val="22"/>
        </w:rPr>
        <w:t>subjects people with disability to segregation and discrimination in the justice syste</w:t>
      </w:r>
      <w:r w:rsidR="00F17855" w:rsidRPr="00610DA7">
        <w:rPr>
          <w:rFonts w:ascii="Proxima Nova" w:hAnsi="Proxima Nova"/>
          <w:sz w:val="22"/>
          <w:szCs w:val="22"/>
        </w:rPr>
        <w:t>m</w:t>
      </w:r>
      <w:r w:rsidR="009D5EEC" w:rsidRPr="00610DA7">
        <w:rPr>
          <w:rFonts w:ascii="Proxima Nova" w:hAnsi="Proxima Nova"/>
          <w:sz w:val="22"/>
          <w:szCs w:val="22"/>
        </w:rPr>
        <w:t>.</w:t>
      </w:r>
      <w:r w:rsidR="00C95AA8" w:rsidRPr="00610DA7">
        <w:rPr>
          <w:rStyle w:val="EndnoteReference"/>
          <w:rFonts w:ascii="Proxima Nova" w:hAnsi="Proxima Nova"/>
          <w:sz w:val="22"/>
          <w:szCs w:val="22"/>
        </w:rPr>
        <w:endnoteReference w:id="92"/>
      </w:r>
    </w:p>
    <w:p w14:paraId="52BDD0E6" w14:textId="32677A56" w:rsidR="005C487F" w:rsidRPr="00610DA7" w:rsidRDefault="005C487F" w:rsidP="00610DA7">
      <w:pPr>
        <w:spacing w:line="276" w:lineRule="auto"/>
        <w:rPr>
          <w:rFonts w:ascii="Proxima Nova" w:hAnsi="Proxima Nova"/>
          <w:sz w:val="22"/>
          <w:szCs w:val="22"/>
        </w:rPr>
      </w:pPr>
    </w:p>
    <w:p w14:paraId="46CD1141" w14:textId="441BC68D" w:rsidR="005C487F" w:rsidRPr="00610DA7" w:rsidRDefault="005C487F" w:rsidP="00610DA7">
      <w:pPr>
        <w:spacing w:line="276" w:lineRule="auto"/>
        <w:rPr>
          <w:rFonts w:ascii="Proxima Nova" w:hAnsi="Proxima Nova"/>
          <w:sz w:val="22"/>
          <w:szCs w:val="22"/>
        </w:rPr>
      </w:pPr>
    </w:p>
    <w:p w14:paraId="789CE430" w14:textId="35EB04E4" w:rsidR="005C487F" w:rsidRPr="00610DA7" w:rsidRDefault="005C487F" w:rsidP="00610DA7">
      <w:pPr>
        <w:spacing w:line="276" w:lineRule="auto"/>
        <w:rPr>
          <w:rFonts w:ascii="Proxima Nova" w:hAnsi="Proxima Nova"/>
          <w:sz w:val="22"/>
          <w:szCs w:val="22"/>
        </w:rPr>
      </w:pPr>
    </w:p>
    <w:p w14:paraId="1427779F" w14:textId="4924CB9A" w:rsidR="005C487F" w:rsidRPr="00610DA7" w:rsidRDefault="005C487F" w:rsidP="00610DA7">
      <w:pPr>
        <w:spacing w:line="276" w:lineRule="auto"/>
        <w:rPr>
          <w:rFonts w:ascii="Proxima Nova" w:hAnsi="Proxima Nova"/>
          <w:sz w:val="22"/>
          <w:szCs w:val="22"/>
        </w:rPr>
      </w:pPr>
    </w:p>
    <w:p w14:paraId="23A3BFAB" w14:textId="5BFCCC1A" w:rsidR="005C487F" w:rsidRPr="00610DA7" w:rsidRDefault="005C487F" w:rsidP="00610DA7">
      <w:pPr>
        <w:spacing w:line="276" w:lineRule="auto"/>
        <w:rPr>
          <w:rFonts w:ascii="Proxima Nova" w:hAnsi="Proxima Nova"/>
          <w:sz w:val="22"/>
          <w:szCs w:val="22"/>
        </w:rPr>
      </w:pPr>
    </w:p>
    <w:p w14:paraId="0C2ED824" w14:textId="7C26969F" w:rsidR="005C487F" w:rsidRPr="00610DA7" w:rsidRDefault="005C487F" w:rsidP="00610DA7">
      <w:pPr>
        <w:spacing w:line="276" w:lineRule="auto"/>
        <w:rPr>
          <w:rFonts w:ascii="Proxima Nova" w:hAnsi="Proxima Nova"/>
          <w:sz w:val="22"/>
          <w:szCs w:val="22"/>
        </w:rPr>
      </w:pPr>
    </w:p>
    <w:p w14:paraId="6F6D3EC8" w14:textId="77777777" w:rsidR="005C487F" w:rsidRPr="005C487F" w:rsidRDefault="005C487F" w:rsidP="005C487F">
      <w:pPr>
        <w:spacing w:line="276" w:lineRule="auto"/>
        <w:rPr>
          <w:rFonts w:ascii="Proxima Nova" w:hAnsi="Proxima Nova"/>
          <w:sz w:val="20"/>
          <w:szCs w:val="20"/>
        </w:rPr>
      </w:pPr>
    </w:p>
    <w:p w14:paraId="5794D620" w14:textId="08863118" w:rsidR="009D5EEC" w:rsidRDefault="009D5EEC" w:rsidP="00C92D1C">
      <w:pPr>
        <w:rPr>
          <w:rFonts w:ascii="Proxima Nova" w:hAnsi="Proxima Nova"/>
          <w:sz w:val="22"/>
          <w:szCs w:val="22"/>
        </w:rPr>
      </w:pPr>
      <w:r w:rsidRPr="00BD5E1A">
        <w:rPr>
          <w:rFonts w:ascii="Proxima Nova" w:hAnsi="Proxima Nova"/>
          <w:sz w:val="22"/>
          <w:szCs w:val="22"/>
        </w:rPr>
        <w:br w:type="page"/>
      </w:r>
    </w:p>
    <w:p w14:paraId="33DCA078" w14:textId="1BE8AAB4" w:rsidR="00C9327E" w:rsidRPr="0086467F" w:rsidRDefault="00C9327E" w:rsidP="00C9327E">
      <w:pPr>
        <w:ind w:left="720" w:hanging="720"/>
        <w:rPr>
          <w:rFonts w:ascii="League Spartan" w:hAnsi="League Spartan"/>
          <w:color w:val="004479"/>
          <w:sz w:val="28"/>
          <w:szCs w:val="28"/>
        </w:rPr>
      </w:pPr>
      <w:r>
        <w:rPr>
          <w:rFonts w:ascii="League Spartan" w:hAnsi="League Spartan" w:cs="Calibri"/>
          <w:b/>
          <w:bCs/>
          <w:color w:val="004479"/>
          <w:sz w:val="28"/>
          <w:szCs w:val="28"/>
        </w:rPr>
        <w:lastRenderedPageBreak/>
        <w:t>3</w:t>
      </w:r>
      <w:r w:rsidRPr="0086467F">
        <w:rPr>
          <w:rFonts w:ascii="League Spartan" w:hAnsi="League Spartan" w:cs="Calibri"/>
          <w:b/>
          <w:bCs/>
          <w:color w:val="004479"/>
          <w:sz w:val="28"/>
          <w:szCs w:val="28"/>
        </w:rPr>
        <w:t>.</w:t>
      </w:r>
      <w:r w:rsidRPr="0086467F">
        <w:rPr>
          <w:rFonts w:ascii="League Spartan" w:hAnsi="League Spartan" w:cs="Calibri"/>
          <w:b/>
          <w:bCs/>
          <w:color w:val="004479"/>
          <w:sz w:val="28"/>
          <w:szCs w:val="28"/>
        </w:rPr>
        <w:tab/>
      </w:r>
      <w:r w:rsidR="00530D33" w:rsidRPr="00530D33">
        <w:rPr>
          <w:rFonts w:ascii="League Spartan" w:hAnsi="League Spartan" w:cs="Calibri"/>
          <w:bCs/>
          <w:color w:val="004479"/>
          <w:sz w:val="28"/>
          <w:szCs w:val="28"/>
        </w:rPr>
        <w:t>MOVING FORWARD:</w:t>
      </w:r>
      <w:r w:rsidR="00530D33">
        <w:rPr>
          <w:rFonts w:ascii="League Spartan" w:hAnsi="League Spartan"/>
          <w:color w:val="004479"/>
          <w:sz w:val="28"/>
          <w:szCs w:val="28"/>
        </w:rPr>
        <w:t xml:space="preserve"> KEY AREAS OF ACTION FOR</w:t>
      </w:r>
      <w:r w:rsidRPr="00C9327E">
        <w:rPr>
          <w:rFonts w:ascii="League Spartan" w:hAnsi="League Spartan"/>
          <w:color w:val="004479"/>
          <w:sz w:val="28"/>
          <w:szCs w:val="28"/>
        </w:rPr>
        <w:t xml:space="preserve"> THE ROYAL COMMISSION’S WORK ON RESTRICTIVE PRACTICES</w:t>
      </w:r>
    </w:p>
    <w:p w14:paraId="1F16221D" w14:textId="2F277573" w:rsidR="00C9327E" w:rsidRPr="00387DF8" w:rsidRDefault="00C9327E" w:rsidP="00387DF8">
      <w:pPr>
        <w:spacing w:line="276" w:lineRule="auto"/>
        <w:rPr>
          <w:rFonts w:ascii="Proxima Nova" w:hAnsi="Proxima Nova"/>
          <w:sz w:val="22"/>
          <w:szCs w:val="22"/>
        </w:rPr>
      </w:pPr>
    </w:p>
    <w:p w14:paraId="17D17820" w14:textId="2A7FDAC0" w:rsidR="00C9327E" w:rsidRPr="00387DF8" w:rsidRDefault="001A4268" w:rsidP="00387DF8">
      <w:pPr>
        <w:spacing w:line="276" w:lineRule="auto"/>
        <w:ind w:left="720" w:hanging="720"/>
        <w:rPr>
          <w:rFonts w:ascii="Proxima Nova" w:hAnsi="Proxima Nova" w:cstheme="minorHAnsi"/>
          <w:sz w:val="22"/>
          <w:szCs w:val="22"/>
        </w:rPr>
      </w:pPr>
      <w:r w:rsidRPr="00387DF8">
        <w:rPr>
          <w:rFonts w:ascii="Proxima Nova" w:hAnsi="Proxima Nova"/>
          <w:sz w:val="22"/>
          <w:szCs w:val="22"/>
        </w:rPr>
        <w:t xml:space="preserve">3.1. </w:t>
      </w:r>
      <w:r w:rsidRPr="00387DF8">
        <w:rPr>
          <w:rFonts w:ascii="Proxima Nova" w:hAnsi="Proxima Nova"/>
          <w:sz w:val="22"/>
          <w:szCs w:val="22"/>
        </w:rPr>
        <w:tab/>
      </w:r>
      <w:r w:rsidR="00C9327E" w:rsidRPr="00387DF8">
        <w:rPr>
          <w:rFonts w:ascii="Proxima Nova" w:hAnsi="Proxima Nova" w:cstheme="minorHAnsi"/>
          <w:sz w:val="22"/>
          <w:szCs w:val="22"/>
        </w:rPr>
        <w:t xml:space="preserve">In this section we </w:t>
      </w:r>
      <w:r w:rsidR="00C7792C" w:rsidRPr="00387DF8">
        <w:rPr>
          <w:rFonts w:ascii="Proxima Nova" w:hAnsi="Proxima Nova" w:cstheme="minorHAnsi"/>
          <w:sz w:val="22"/>
          <w:szCs w:val="22"/>
        </w:rPr>
        <w:t xml:space="preserve">make some suggestions for </w:t>
      </w:r>
      <w:r w:rsidR="00C9327E" w:rsidRPr="00387DF8">
        <w:rPr>
          <w:rFonts w:ascii="Proxima Nova" w:hAnsi="Proxima Nova" w:cstheme="minorHAnsi"/>
          <w:sz w:val="22"/>
          <w:szCs w:val="22"/>
        </w:rPr>
        <w:t xml:space="preserve">the Royal Commission’s </w:t>
      </w:r>
      <w:r w:rsidR="00C7792C" w:rsidRPr="00387DF8">
        <w:rPr>
          <w:rFonts w:ascii="Proxima Nova" w:hAnsi="Proxima Nova" w:cstheme="minorHAnsi"/>
          <w:sz w:val="22"/>
          <w:szCs w:val="22"/>
        </w:rPr>
        <w:t>future work</w:t>
      </w:r>
      <w:r w:rsidR="00C9327E" w:rsidRPr="00387DF8">
        <w:rPr>
          <w:rFonts w:ascii="Proxima Nova" w:hAnsi="Proxima Nova" w:cstheme="minorHAnsi"/>
          <w:sz w:val="22"/>
          <w:szCs w:val="22"/>
        </w:rPr>
        <w:t xml:space="preserve"> on restrictive practices. In </w:t>
      </w:r>
      <w:r w:rsidR="00AD166E" w:rsidRPr="00387DF8">
        <w:rPr>
          <w:rFonts w:ascii="Proxima Nova" w:hAnsi="Proxima Nova" w:cstheme="minorHAnsi"/>
          <w:sz w:val="22"/>
          <w:szCs w:val="22"/>
        </w:rPr>
        <w:t>S</w:t>
      </w:r>
      <w:r w:rsidR="00C9327E" w:rsidRPr="00387DF8">
        <w:rPr>
          <w:rFonts w:ascii="Proxima Nova" w:hAnsi="Proxima Nova" w:cstheme="minorHAnsi"/>
          <w:sz w:val="22"/>
          <w:szCs w:val="22"/>
        </w:rPr>
        <w:t xml:space="preserve">ections </w:t>
      </w:r>
      <w:r w:rsidR="00AD166E" w:rsidRPr="00387DF8">
        <w:rPr>
          <w:rFonts w:ascii="Proxima Nova" w:hAnsi="Proxima Nova" w:cstheme="minorHAnsi"/>
          <w:sz w:val="22"/>
          <w:szCs w:val="22"/>
        </w:rPr>
        <w:t xml:space="preserve">4-7 </w:t>
      </w:r>
      <w:r w:rsidR="00C9327E" w:rsidRPr="00387DF8">
        <w:rPr>
          <w:rFonts w:ascii="Proxima Nova" w:hAnsi="Proxima Nova" w:cstheme="minorHAnsi"/>
          <w:sz w:val="22"/>
          <w:szCs w:val="22"/>
        </w:rPr>
        <w:t>we pick up many of the points driving these concerns when we explore issues fo</w:t>
      </w:r>
      <w:r w:rsidR="00EE386E" w:rsidRPr="00387DF8">
        <w:rPr>
          <w:rFonts w:ascii="Proxima Nova" w:hAnsi="Proxima Nova" w:cstheme="minorHAnsi"/>
          <w:sz w:val="22"/>
          <w:szCs w:val="22"/>
        </w:rPr>
        <w:t>r</w:t>
      </w:r>
      <w:r w:rsidR="00C9327E" w:rsidRPr="00387DF8">
        <w:rPr>
          <w:rFonts w:ascii="Proxima Nova" w:hAnsi="Proxima Nova" w:cstheme="minorHAnsi"/>
          <w:sz w:val="22"/>
          <w:szCs w:val="22"/>
        </w:rPr>
        <w:t xml:space="preserve"> women and girls with disability associated with the definition of restrictive practices, and the use and legality of restrictive practices.</w:t>
      </w:r>
    </w:p>
    <w:p w14:paraId="4F137082" w14:textId="42B05EAA" w:rsidR="00C9327E" w:rsidRPr="00387DF8" w:rsidRDefault="00C9327E" w:rsidP="00387DF8">
      <w:pPr>
        <w:spacing w:line="276" w:lineRule="auto"/>
        <w:ind w:left="720" w:hanging="720"/>
        <w:rPr>
          <w:rFonts w:ascii="Proxima Nova" w:hAnsi="Proxima Nova"/>
          <w:sz w:val="22"/>
          <w:szCs w:val="22"/>
        </w:rPr>
      </w:pPr>
    </w:p>
    <w:p w14:paraId="401B1190" w14:textId="62516FFB" w:rsidR="00C9327E" w:rsidRPr="00A17443" w:rsidRDefault="00D12011" w:rsidP="00C9327E">
      <w:pPr>
        <w:spacing w:line="276" w:lineRule="auto"/>
        <w:rPr>
          <w:rFonts w:ascii="Proxima Nova" w:hAnsi="Proxima Nova"/>
        </w:rPr>
      </w:pPr>
      <w:r w:rsidRPr="00A17443">
        <w:rPr>
          <w:rFonts w:ascii="Proxima Nova" w:hAnsi="Proxima Nova"/>
          <w:b/>
          <w:color w:val="AC1F79"/>
        </w:rPr>
        <w:t>Centr</w:t>
      </w:r>
      <w:r w:rsidR="00C61175" w:rsidRPr="00A17443">
        <w:rPr>
          <w:rFonts w:ascii="Proxima Nova" w:hAnsi="Proxima Nova"/>
          <w:b/>
          <w:color w:val="AC1F79"/>
        </w:rPr>
        <w:t>ing</w:t>
      </w:r>
      <w:r w:rsidR="00C9327E" w:rsidRPr="00A17443">
        <w:rPr>
          <w:rFonts w:ascii="Proxima Nova" w:hAnsi="Proxima Nova"/>
          <w:b/>
          <w:color w:val="AC1F79"/>
        </w:rPr>
        <w:t xml:space="preserve"> Experiences and Perspectives of Women and Girls with Disability</w:t>
      </w:r>
    </w:p>
    <w:p w14:paraId="1DADB1A2" w14:textId="2285D7A4" w:rsidR="00C9327E" w:rsidRPr="00387DF8" w:rsidRDefault="00C9327E" w:rsidP="00387DF8">
      <w:pPr>
        <w:spacing w:line="276" w:lineRule="auto"/>
        <w:rPr>
          <w:rFonts w:ascii="Proxima Nova" w:hAnsi="Proxima Nova"/>
          <w:sz w:val="22"/>
          <w:szCs w:val="22"/>
        </w:rPr>
      </w:pPr>
    </w:p>
    <w:p w14:paraId="033E5935" w14:textId="103CF1E9" w:rsidR="001A4268" w:rsidRPr="00387DF8" w:rsidRDefault="001A4268" w:rsidP="00387DF8">
      <w:pPr>
        <w:spacing w:line="276" w:lineRule="auto"/>
        <w:ind w:left="720" w:hanging="720"/>
        <w:rPr>
          <w:rFonts w:ascii="Proxima Nova" w:hAnsi="Proxima Nova" w:cstheme="minorHAnsi"/>
          <w:color w:val="000000" w:themeColor="text1"/>
          <w:sz w:val="22"/>
          <w:szCs w:val="22"/>
          <w:lang w:bidi="en-US"/>
        </w:rPr>
      </w:pPr>
      <w:r w:rsidRPr="00387DF8">
        <w:rPr>
          <w:rFonts w:ascii="Proxima Nova" w:hAnsi="Proxima Nova" w:cstheme="minorHAnsi"/>
          <w:color w:val="000000" w:themeColor="text1"/>
          <w:sz w:val="22"/>
          <w:szCs w:val="22"/>
          <w:lang w:bidi="en-US"/>
        </w:rPr>
        <w:t xml:space="preserve">3.2. </w:t>
      </w:r>
      <w:r w:rsidRPr="00387DF8">
        <w:rPr>
          <w:rFonts w:ascii="Proxima Nova" w:hAnsi="Proxima Nova" w:cstheme="minorHAnsi"/>
          <w:color w:val="000000" w:themeColor="text1"/>
          <w:sz w:val="22"/>
          <w:szCs w:val="22"/>
          <w:lang w:bidi="en-US"/>
        </w:rPr>
        <w:tab/>
      </w:r>
      <w:r w:rsidR="00C61175" w:rsidRPr="00387DF8">
        <w:rPr>
          <w:rFonts w:ascii="Proxima Nova" w:hAnsi="Proxima Nova" w:cstheme="minorHAnsi"/>
          <w:color w:val="000000" w:themeColor="text1"/>
          <w:sz w:val="22"/>
          <w:szCs w:val="22"/>
          <w:lang w:bidi="en-US"/>
        </w:rPr>
        <w:t>First, it is important that in future work the Royal Commission centres the experiences and perspectives of people with disability, including women and girls with disability.</w:t>
      </w:r>
    </w:p>
    <w:p w14:paraId="219BF875" w14:textId="08D30A6A" w:rsidR="00C61175" w:rsidRPr="00387DF8" w:rsidRDefault="00C61175" w:rsidP="00387DF8">
      <w:pPr>
        <w:spacing w:line="276" w:lineRule="auto"/>
        <w:ind w:left="720" w:hanging="720"/>
        <w:rPr>
          <w:rFonts w:ascii="Proxima Nova" w:hAnsi="Proxima Nova" w:cstheme="minorHAnsi"/>
          <w:sz w:val="22"/>
          <w:szCs w:val="22"/>
        </w:rPr>
      </w:pPr>
    </w:p>
    <w:p w14:paraId="7F40FF41" w14:textId="054D2731" w:rsidR="00C9327E" w:rsidRPr="00387DF8" w:rsidRDefault="00C9327E" w:rsidP="00387DF8">
      <w:pPr>
        <w:pStyle w:val="ListParagraph"/>
        <w:numPr>
          <w:ilvl w:val="1"/>
          <w:numId w:val="43"/>
        </w:numPr>
        <w:spacing w:line="276" w:lineRule="auto"/>
        <w:rPr>
          <w:rFonts w:ascii="Proxima Nova" w:hAnsi="Proxima Nova" w:cstheme="minorHAnsi"/>
          <w:sz w:val="22"/>
          <w:szCs w:val="22"/>
        </w:rPr>
      </w:pPr>
      <w:r w:rsidRPr="00387DF8">
        <w:rPr>
          <w:rFonts w:ascii="Proxima Nova" w:hAnsi="Proxima Nova" w:cstheme="minorHAnsi"/>
          <w:sz w:val="22"/>
          <w:szCs w:val="22"/>
        </w:rPr>
        <w:t>Term of Reference (g) directs the Commissioners to have regard to:</w:t>
      </w:r>
    </w:p>
    <w:p w14:paraId="4E57825C" w14:textId="7B8D69A7" w:rsidR="00C9327E" w:rsidRPr="00387DF8" w:rsidRDefault="00C9327E" w:rsidP="00387DF8">
      <w:pPr>
        <w:spacing w:line="276" w:lineRule="auto"/>
        <w:rPr>
          <w:rFonts w:ascii="Proxima Nova" w:hAnsi="Proxima Nova" w:cstheme="minorHAnsi"/>
          <w:sz w:val="22"/>
          <w:szCs w:val="22"/>
        </w:rPr>
      </w:pPr>
    </w:p>
    <w:p w14:paraId="744BFA86" w14:textId="2A34DA0F" w:rsidR="00C9327E" w:rsidRPr="00387DF8" w:rsidRDefault="00C9327E" w:rsidP="00387DF8">
      <w:pPr>
        <w:pStyle w:val="ListParagraph"/>
        <w:spacing w:line="276" w:lineRule="auto"/>
        <w:ind w:left="1134"/>
        <w:rPr>
          <w:rFonts w:ascii="Proxima Nova" w:hAnsi="Proxima Nova" w:cstheme="minorHAnsi"/>
          <w:sz w:val="22"/>
          <w:szCs w:val="22"/>
        </w:rPr>
      </w:pPr>
      <w:r w:rsidRPr="00387DF8">
        <w:rPr>
          <w:rFonts w:ascii="Proxima Nova" w:hAnsi="Proxima Nova" w:cstheme="minorHAnsi"/>
          <w:i/>
          <w:iCs/>
          <w:sz w:val="22"/>
          <w:szCs w:val="22"/>
        </w:rPr>
        <w:t xml:space="preserve">the specific experiences of violence against, and abuse, neglect and exploitation of, people with disability are </w:t>
      </w:r>
      <w:r w:rsidR="00D578BB" w:rsidRPr="00387DF8">
        <w:rPr>
          <w:rFonts w:ascii="Proxima Nova" w:hAnsi="Proxima Nova" w:cstheme="minorHAnsi"/>
          <w:i/>
          <w:iCs/>
          <w:sz w:val="22"/>
          <w:szCs w:val="22"/>
        </w:rPr>
        <w:t>multi-layered</w:t>
      </w:r>
      <w:r w:rsidRPr="00387DF8">
        <w:rPr>
          <w:rFonts w:ascii="Proxima Nova" w:hAnsi="Proxima Nova" w:cstheme="minorHAnsi"/>
          <w:i/>
          <w:iCs/>
          <w:sz w:val="22"/>
          <w:szCs w:val="22"/>
        </w:rPr>
        <w:t xml:space="preserve"> and influenced by experiences associated with their </w:t>
      </w:r>
      <w:proofErr w:type="gramStart"/>
      <w:r w:rsidRPr="00387DF8">
        <w:rPr>
          <w:rFonts w:ascii="Proxima Nova" w:hAnsi="Proxima Nova" w:cstheme="minorHAnsi"/>
          <w:i/>
          <w:iCs/>
          <w:sz w:val="22"/>
          <w:szCs w:val="22"/>
        </w:rPr>
        <w:t>age:,</w:t>
      </w:r>
      <w:proofErr w:type="gramEnd"/>
      <w:r w:rsidRPr="00387DF8">
        <w:rPr>
          <w:rFonts w:ascii="Proxima Nova" w:hAnsi="Proxima Nova" w:cstheme="minorHAnsi"/>
          <w:i/>
          <w:iCs/>
          <w:sz w:val="22"/>
          <w:szCs w:val="22"/>
        </w:rPr>
        <w:t xml:space="preserve"> sex, gender, gender identity, sexual orientation, intersex </w:t>
      </w:r>
      <w:r w:rsidR="00D578BB" w:rsidRPr="00387DF8">
        <w:rPr>
          <w:rFonts w:ascii="Proxima Nova" w:hAnsi="Proxima Nova" w:cstheme="minorHAnsi"/>
          <w:i/>
          <w:iCs/>
          <w:sz w:val="22"/>
          <w:szCs w:val="22"/>
        </w:rPr>
        <w:t>status, ethnic</w:t>
      </w:r>
      <w:r w:rsidRPr="00387DF8">
        <w:rPr>
          <w:rFonts w:ascii="Proxima Nova" w:hAnsi="Proxima Nova" w:cstheme="minorHAnsi"/>
          <w:i/>
          <w:iCs/>
          <w:sz w:val="22"/>
          <w:szCs w:val="22"/>
        </w:rPr>
        <w:t xml:space="preserve"> origin or race, including the particular situation of Aboriginal and Torres </w:t>
      </w:r>
      <w:r w:rsidR="00D578BB" w:rsidRPr="00387DF8">
        <w:rPr>
          <w:rFonts w:ascii="Proxima Nova" w:hAnsi="Proxima Nova" w:cstheme="minorHAnsi"/>
          <w:i/>
          <w:iCs/>
          <w:sz w:val="22"/>
          <w:szCs w:val="22"/>
        </w:rPr>
        <w:t>Strait Islander</w:t>
      </w:r>
      <w:r w:rsidRPr="00387DF8">
        <w:rPr>
          <w:rFonts w:ascii="Proxima Nova" w:hAnsi="Proxima Nova" w:cstheme="minorHAnsi"/>
          <w:i/>
          <w:iCs/>
          <w:sz w:val="22"/>
          <w:szCs w:val="22"/>
        </w:rPr>
        <w:t xml:space="preserve"> people and culturally and linguistically diverse people with disability;</w:t>
      </w:r>
      <w:r w:rsidRPr="00387DF8">
        <w:rPr>
          <w:rStyle w:val="EndnoteReference"/>
          <w:rFonts w:ascii="Proxima Nova" w:hAnsi="Proxima Nova" w:cstheme="minorHAnsi"/>
          <w:sz w:val="22"/>
          <w:szCs w:val="22"/>
        </w:rPr>
        <w:endnoteReference w:id="93"/>
      </w:r>
    </w:p>
    <w:p w14:paraId="0B24C38A" w14:textId="77777777" w:rsidR="00624A04" w:rsidRPr="00387DF8" w:rsidRDefault="00624A04" w:rsidP="00387DF8">
      <w:pPr>
        <w:spacing w:line="276" w:lineRule="auto"/>
        <w:rPr>
          <w:rFonts w:ascii="Proxima Nova" w:hAnsi="Proxima Nova" w:cstheme="minorHAnsi"/>
          <w:sz w:val="22"/>
          <w:szCs w:val="22"/>
        </w:rPr>
      </w:pPr>
    </w:p>
    <w:p w14:paraId="30F348AA" w14:textId="6F56493D" w:rsidR="00854F4D" w:rsidRPr="00387DF8" w:rsidRDefault="00854F4D" w:rsidP="00387DF8">
      <w:pPr>
        <w:pStyle w:val="ListParagraph"/>
        <w:numPr>
          <w:ilvl w:val="1"/>
          <w:numId w:val="21"/>
        </w:numPr>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Commissioner Sackville, Chair of the Royal Commission, states in his Foreword to the Royal Commission’s ‘</w:t>
      </w:r>
      <w:r w:rsidR="001C1DAA" w:rsidRPr="00387DF8">
        <w:rPr>
          <w:rFonts w:ascii="Proxima Nova" w:hAnsi="Proxima Nova" w:cstheme="minorHAnsi"/>
          <w:sz w:val="22"/>
          <w:szCs w:val="22"/>
        </w:rPr>
        <w:t>Accessibility</w:t>
      </w:r>
      <w:r w:rsidRPr="00387DF8">
        <w:rPr>
          <w:rFonts w:ascii="Proxima Nova" w:hAnsi="Proxima Nova" w:cstheme="minorHAnsi"/>
          <w:sz w:val="22"/>
          <w:szCs w:val="22"/>
        </w:rPr>
        <w:t xml:space="preserve"> and Inclusion Strategy’ that the Royal Commission is committed ‘to putting people with disability at the forefront of its work’.</w:t>
      </w:r>
      <w:r w:rsidRPr="00387DF8">
        <w:rPr>
          <w:rStyle w:val="EndnoteReference"/>
          <w:rFonts w:ascii="Proxima Nova" w:hAnsi="Proxima Nova" w:cstheme="minorHAnsi"/>
          <w:sz w:val="22"/>
          <w:szCs w:val="22"/>
        </w:rPr>
        <w:endnoteReference w:id="94"/>
      </w:r>
      <w:r w:rsidRPr="00387DF8">
        <w:rPr>
          <w:rFonts w:ascii="Proxima Nova" w:hAnsi="Proxima Nova" w:cstheme="minorHAnsi"/>
          <w:sz w:val="22"/>
          <w:szCs w:val="22"/>
        </w:rPr>
        <w:t xml:space="preserve"> The </w:t>
      </w:r>
      <w:r w:rsidR="001C1DAA" w:rsidRPr="00387DF8">
        <w:rPr>
          <w:rFonts w:ascii="Proxima Nova" w:hAnsi="Proxima Nova" w:cstheme="minorHAnsi"/>
          <w:sz w:val="22"/>
          <w:szCs w:val="22"/>
        </w:rPr>
        <w:t>Strategy</w:t>
      </w:r>
      <w:r w:rsidRPr="00387DF8">
        <w:rPr>
          <w:rFonts w:ascii="Proxima Nova" w:hAnsi="Proxima Nova" w:cstheme="minorHAnsi"/>
          <w:sz w:val="22"/>
          <w:szCs w:val="22"/>
        </w:rPr>
        <w:t xml:space="preserve"> states:</w:t>
      </w:r>
    </w:p>
    <w:p w14:paraId="4008BDC1" w14:textId="0EE02AF1" w:rsidR="00854F4D" w:rsidRPr="00387DF8" w:rsidRDefault="00854F4D" w:rsidP="00387DF8">
      <w:pPr>
        <w:spacing w:line="276" w:lineRule="auto"/>
        <w:rPr>
          <w:rFonts w:ascii="Proxima Nova" w:hAnsi="Proxima Nova" w:cstheme="minorHAnsi"/>
          <w:sz w:val="22"/>
          <w:szCs w:val="22"/>
        </w:rPr>
      </w:pPr>
    </w:p>
    <w:p w14:paraId="48DC272F" w14:textId="10B416F1" w:rsidR="00854F4D" w:rsidRPr="00387DF8" w:rsidRDefault="00854F4D" w:rsidP="00387DF8">
      <w:pPr>
        <w:pStyle w:val="ListParagraph"/>
        <w:spacing w:line="276" w:lineRule="auto"/>
        <w:ind w:left="1134"/>
        <w:rPr>
          <w:rFonts w:ascii="Proxima Nova" w:hAnsi="Proxima Nova" w:cstheme="minorHAnsi"/>
          <w:sz w:val="22"/>
          <w:szCs w:val="22"/>
        </w:rPr>
      </w:pPr>
      <w:r w:rsidRPr="00387DF8">
        <w:rPr>
          <w:rFonts w:ascii="Proxima Nova" w:hAnsi="Proxima Nova" w:cstheme="minorHAnsi"/>
          <w:i/>
          <w:iCs/>
          <w:sz w:val="22"/>
          <w:szCs w:val="22"/>
        </w:rPr>
        <w:t>Women and girls with disability are far more likely to experience violence and abuse than women and girls without disability, and they are less likely to report this abuse for both personal and systemic reasons. We provide a confidential and supportive environment for women and girls to engage with us.</w:t>
      </w:r>
      <w:r w:rsidRPr="00387DF8">
        <w:rPr>
          <w:rStyle w:val="EndnoteReference"/>
          <w:rFonts w:ascii="Proxima Nova" w:hAnsi="Proxima Nova" w:cstheme="minorHAnsi"/>
          <w:sz w:val="22"/>
          <w:szCs w:val="22"/>
        </w:rPr>
        <w:endnoteReference w:id="95"/>
      </w:r>
    </w:p>
    <w:p w14:paraId="10A268E1" w14:textId="42879EE1" w:rsidR="00854F4D" w:rsidRPr="00387DF8" w:rsidRDefault="00854F4D" w:rsidP="00387DF8">
      <w:pPr>
        <w:spacing w:line="276" w:lineRule="auto"/>
        <w:rPr>
          <w:rFonts w:ascii="Proxima Nova" w:hAnsi="Proxima Nova" w:cstheme="minorHAnsi"/>
          <w:sz w:val="22"/>
          <w:szCs w:val="22"/>
        </w:rPr>
      </w:pPr>
    </w:p>
    <w:p w14:paraId="79B8A54D" w14:textId="240F7BD4" w:rsidR="00C26D44" w:rsidRPr="00387DF8" w:rsidRDefault="00C26D44" w:rsidP="00387DF8">
      <w:pPr>
        <w:pStyle w:val="ListParagraph"/>
        <w:numPr>
          <w:ilvl w:val="1"/>
          <w:numId w:val="21"/>
        </w:numPr>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 xml:space="preserve">Addressing the experiences of women and girls with disability is particularly important because Australia has received numerous recommendations from the United Nations </w:t>
      </w:r>
      <w:r w:rsidR="00FB3BA1" w:rsidRPr="00387DF8">
        <w:rPr>
          <w:rFonts w:ascii="Proxima Nova" w:hAnsi="Proxima Nova" w:cstheme="minorHAnsi"/>
          <w:sz w:val="22"/>
          <w:szCs w:val="22"/>
        </w:rPr>
        <w:t>(</w:t>
      </w:r>
      <w:r w:rsidRPr="00387DF8">
        <w:rPr>
          <w:rFonts w:ascii="Proxima Nova" w:hAnsi="Proxima Nova" w:cstheme="minorHAnsi"/>
          <w:sz w:val="22"/>
          <w:szCs w:val="22"/>
        </w:rPr>
        <w:t>UN</w:t>
      </w:r>
      <w:r w:rsidR="007C3F49" w:rsidRPr="00387DF8">
        <w:rPr>
          <w:rFonts w:ascii="Proxima Nova" w:hAnsi="Proxima Nova" w:cstheme="minorHAnsi"/>
          <w:sz w:val="22"/>
          <w:szCs w:val="22"/>
        </w:rPr>
        <w:t xml:space="preserve">) </w:t>
      </w:r>
      <w:r w:rsidRPr="00387DF8">
        <w:rPr>
          <w:rFonts w:ascii="Proxima Nova" w:hAnsi="Proxima Nova" w:cstheme="minorHAnsi"/>
          <w:sz w:val="22"/>
          <w:szCs w:val="22"/>
        </w:rPr>
        <w:t>to investigate, address and remedy the high incidence of violence against women and girls with disability. Very few of these recommendations have been implemented by successive Australian Governments.</w:t>
      </w:r>
      <w:r w:rsidRPr="00387DF8">
        <w:rPr>
          <w:rFonts w:ascii="Proxima Nova" w:hAnsi="Proxima Nova" w:cstheme="minorHAnsi"/>
          <w:sz w:val="22"/>
          <w:szCs w:val="22"/>
          <w:lang w:val="en-AU"/>
        </w:rPr>
        <w:t xml:space="preserve"> </w:t>
      </w:r>
    </w:p>
    <w:p w14:paraId="1E7F10A8" w14:textId="77777777" w:rsidR="00C26D44" w:rsidRPr="00387DF8" w:rsidRDefault="00C26D44" w:rsidP="00387DF8">
      <w:pPr>
        <w:spacing w:line="276" w:lineRule="auto"/>
        <w:ind w:left="720" w:hanging="720"/>
        <w:rPr>
          <w:rFonts w:ascii="Proxima Nova" w:hAnsi="Proxima Nova" w:cstheme="minorHAnsi"/>
          <w:sz w:val="22"/>
          <w:szCs w:val="22"/>
        </w:rPr>
      </w:pPr>
    </w:p>
    <w:p w14:paraId="6986DD19" w14:textId="7AAE015E" w:rsidR="00C26D44" w:rsidRPr="00387DF8" w:rsidRDefault="00CC47B3" w:rsidP="000F1CFA">
      <w:pPr>
        <w:pStyle w:val="ListParagraph"/>
        <w:numPr>
          <w:ilvl w:val="1"/>
          <w:numId w:val="21"/>
        </w:numPr>
        <w:spacing w:line="276" w:lineRule="auto"/>
        <w:ind w:left="720" w:hanging="720"/>
        <w:rPr>
          <w:rFonts w:ascii="Proxima Nova" w:hAnsi="Proxima Nova" w:cstheme="minorHAnsi"/>
          <w:sz w:val="22"/>
          <w:szCs w:val="22"/>
        </w:rPr>
      </w:pPr>
      <w:proofErr w:type="gramStart"/>
      <w:r w:rsidRPr="00387DF8">
        <w:rPr>
          <w:rFonts w:ascii="Proxima Nova" w:hAnsi="Proxima Nova" w:cstheme="minorHAnsi"/>
          <w:color w:val="000000" w:themeColor="text1"/>
          <w:sz w:val="22"/>
          <w:szCs w:val="22"/>
          <w:lang w:bidi="en-US"/>
        </w:rPr>
        <w:t>I</w:t>
      </w:r>
      <w:r w:rsidR="005A1F04" w:rsidRPr="00387DF8">
        <w:rPr>
          <w:rFonts w:ascii="Proxima Nova" w:hAnsi="Proxima Nova" w:cstheme="minorHAnsi"/>
          <w:color w:val="000000" w:themeColor="text1"/>
          <w:sz w:val="22"/>
          <w:szCs w:val="22"/>
          <w:lang w:bidi="en-US"/>
        </w:rPr>
        <w:t>n order for</w:t>
      </w:r>
      <w:proofErr w:type="gramEnd"/>
      <w:r w:rsidR="005A1F04" w:rsidRPr="00387DF8">
        <w:rPr>
          <w:rFonts w:ascii="Proxima Nova" w:hAnsi="Proxima Nova" w:cstheme="minorHAnsi"/>
          <w:color w:val="000000" w:themeColor="text1"/>
          <w:sz w:val="22"/>
          <w:szCs w:val="22"/>
          <w:lang w:bidi="en-US"/>
        </w:rPr>
        <w:t xml:space="preserve"> the Royal Commission to fully meet its Terms of Reference</w:t>
      </w:r>
      <w:r w:rsidR="00636C69" w:rsidRPr="00387DF8">
        <w:rPr>
          <w:rFonts w:ascii="Proxima Nova" w:hAnsi="Proxima Nova" w:cstheme="minorHAnsi"/>
          <w:color w:val="000000" w:themeColor="text1"/>
          <w:sz w:val="22"/>
          <w:szCs w:val="22"/>
          <w:lang w:bidi="en-US"/>
        </w:rPr>
        <w:t xml:space="preserve"> and its commitment to foregrounding people with disability in the specific context of restrictive practices</w:t>
      </w:r>
      <w:r w:rsidR="005A1F04" w:rsidRPr="00387DF8">
        <w:rPr>
          <w:rFonts w:ascii="Proxima Nova" w:hAnsi="Proxima Nova" w:cstheme="minorHAnsi"/>
          <w:color w:val="000000" w:themeColor="text1"/>
          <w:sz w:val="22"/>
          <w:szCs w:val="22"/>
          <w:lang w:bidi="en-US"/>
        </w:rPr>
        <w:t xml:space="preserve">, it must </w:t>
      </w:r>
      <w:r w:rsidR="005A1F04" w:rsidRPr="00387DF8">
        <w:rPr>
          <w:rFonts w:ascii="Proxima Nova" w:hAnsi="Proxima Nova" w:cstheme="minorHAnsi"/>
          <w:sz w:val="22"/>
          <w:szCs w:val="22"/>
        </w:rPr>
        <w:t>centre the voices and experiences of peo</w:t>
      </w:r>
      <w:r w:rsidR="00587AEF" w:rsidRPr="00387DF8">
        <w:rPr>
          <w:rFonts w:ascii="Proxima Nova" w:hAnsi="Proxima Nova" w:cstheme="minorHAnsi"/>
          <w:sz w:val="22"/>
          <w:szCs w:val="22"/>
        </w:rPr>
        <w:t>p</w:t>
      </w:r>
      <w:r w:rsidR="005A1F04" w:rsidRPr="00387DF8">
        <w:rPr>
          <w:rFonts w:ascii="Proxima Nova" w:hAnsi="Proxima Nova" w:cstheme="minorHAnsi"/>
          <w:sz w:val="22"/>
          <w:szCs w:val="22"/>
        </w:rPr>
        <w:t>le with disability</w:t>
      </w:r>
      <w:r w:rsidR="00587AEF" w:rsidRPr="00387DF8">
        <w:rPr>
          <w:rFonts w:ascii="Proxima Nova" w:hAnsi="Proxima Nova" w:cstheme="minorHAnsi"/>
          <w:sz w:val="22"/>
          <w:szCs w:val="22"/>
        </w:rPr>
        <w:t xml:space="preserve">, including women and girls with disability. </w:t>
      </w:r>
      <w:r w:rsidR="00C26D44" w:rsidRPr="00387DF8">
        <w:rPr>
          <w:rFonts w:ascii="Proxima Nova" w:hAnsi="Proxima Nova" w:cstheme="minorHAnsi"/>
          <w:sz w:val="22"/>
          <w:szCs w:val="22"/>
        </w:rPr>
        <w:t>I</w:t>
      </w:r>
      <w:r w:rsidR="001D23E9" w:rsidRPr="00387DF8">
        <w:rPr>
          <w:rFonts w:ascii="Proxima Nova" w:hAnsi="Proxima Nova" w:cstheme="minorHAnsi"/>
          <w:sz w:val="22"/>
          <w:szCs w:val="22"/>
        </w:rPr>
        <w:t xml:space="preserve">t is encouraging that the Royal Commission has scheduled a hearing for </w:t>
      </w:r>
      <w:r w:rsidR="00A11B7F" w:rsidRPr="00387DF8">
        <w:rPr>
          <w:rFonts w:ascii="Proxima Nova" w:hAnsi="Proxima Nova" w:cstheme="minorHAnsi"/>
          <w:sz w:val="22"/>
          <w:szCs w:val="22"/>
        </w:rPr>
        <w:t>October</w:t>
      </w:r>
      <w:r w:rsidR="001D23E9" w:rsidRPr="00387DF8">
        <w:rPr>
          <w:rFonts w:ascii="Proxima Nova" w:hAnsi="Proxima Nova" w:cstheme="minorHAnsi"/>
          <w:sz w:val="22"/>
          <w:szCs w:val="22"/>
        </w:rPr>
        <w:t xml:space="preserve"> 2021 on the ‘</w:t>
      </w:r>
      <w:r w:rsidR="001D23E9" w:rsidRPr="00387DF8">
        <w:rPr>
          <w:rFonts w:ascii="Proxima Nova" w:hAnsi="Proxima Nova"/>
          <w:sz w:val="22"/>
          <w:szCs w:val="22"/>
        </w:rPr>
        <w:t>health and safety of women and girls with disability’</w:t>
      </w:r>
      <w:r w:rsidR="00C26D44" w:rsidRPr="00387DF8">
        <w:rPr>
          <w:rFonts w:ascii="Proxima Nova" w:hAnsi="Proxima Nova"/>
          <w:sz w:val="22"/>
          <w:szCs w:val="22"/>
        </w:rPr>
        <w:t>. We</w:t>
      </w:r>
      <w:r w:rsidR="00A24D4C" w:rsidRPr="00387DF8">
        <w:rPr>
          <w:rFonts w:ascii="Proxima Nova" w:hAnsi="Proxima Nova" w:cstheme="minorHAnsi"/>
          <w:sz w:val="22"/>
          <w:szCs w:val="22"/>
        </w:rPr>
        <w:t xml:space="preserve"> hope</w:t>
      </w:r>
      <w:r w:rsidR="00C26D44" w:rsidRPr="00387DF8">
        <w:rPr>
          <w:rFonts w:ascii="Proxima Nova" w:hAnsi="Proxima Nova" w:cstheme="minorHAnsi"/>
          <w:sz w:val="22"/>
          <w:szCs w:val="22"/>
        </w:rPr>
        <w:t xml:space="preserve"> this hearing</w:t>
      </w:r>
      <w:r w:rsidR="00A24D4C" w:rsidRPr="00387DF8">
        <w:rPr>
          <w:rFonts w:ascii="Proxima Nova" w:hAnsi="Proxima Nova" w:cstheme="minorHAnsi"/>
          <w:sz w:val="22"/>
          <w:szCs w:val="22"/>
        </w:rPr>
        <w:t xml:space="preserve"> will </w:t>
      </w:r>
      <w:r w:rsidR="00C26D44" w:rsidRPr="00387DF8">
        <w:rPr>
          <w:rFonts w:ascii="Proxima Nova" w:hAnsi="Proxima Nova" w:cstheme="minorHAnsi"/>
          <w:sz w:val="22"/>
          <w:szCs w:val="22"/>
        </w:rPr>
        <w:t xml:space="preserve">centre the voices and experiences of women and girls with disability, including in the context </w:t>
      </w:r>
      <w:r w:rsidR="00A11B7F" w:rsidRPr="00387DF8">
        <w:rPr>
          <w:rFonts w:ascii="Proxima Nova" w:hAnsi="Proxima Nova" w:cstheme="minorHAnsi"/>
          <w:sz w:val="22"/>
          <w:szCs w:val="22"/>
        </w:rPr>
        <w:t xml:space="preserve">of </w:t>
      </w:r>
      <w:r w:rsidR="00A24D4C" w:rsidRPr="00387DF8">
        <w:rPr>
          <w:rFonts w:ascii="Proxima Nova" w:hAnsi="Proxima Nova" w:cstheme="minorHAnsi"/>
          <w:sz w:val="22"/>
          <w:szCs w:val="22"/>
        </w:rPr>
        <w:t>fully consider</w:t>
      </w:r>
      <w:r w:rsidR="00C26D44" w:rsidRPr="00387DF8">
        <w:rPr>
          <w:rFonts w:ascii="Proxima Nova" w:hAnsi="Proxima Nova" w:cstheme="minorHAnsi"/>
          <w:sz w:val="22"/>
          <w:szCs w:val="22"/>
        </w:rPr>
        <w:t>ing</w:t>
      </w:r>
      <w:r w:rsidR="00A24D4C" w:rsidRPr="00387DF8">
        <w:rPr>
          <w:rFonts w:ascii="Proxima Nova" w:hAnsi="Proxima Nova" w:cstheme="minorHAnsi"/>
          <w:sz w:val="22"/>
          <w:szCs w:val="22"/>
        </w:rPr>
        <w:t xml:space="preserve"> restrictive practices such as non-</w:t>
      </w:r>
      <w:r w:rsidR="001C1DAA" w:rsidRPr="00387DF8">
        <w:rPr>
          <w:rFonts w:ascii="Proxima Nova" w:hAnsi="Proxima Nova" w:cstheme="minorHAnsi"/>
          <w:sz w:val="22"/>
          <w:szCs w:val="22"/>
        </w:rPr>
        <w:t>consensual</w:t>
      </w:r>
      <w:r w:rsidR="00A24D4C" w:rsidRPr="00387DF8">
        <w:rPr>
          <w:rFonts w:ascii="Proxima Nova" w:hAnsi="Proxima Nova" w:cstheme="minorHAnsi"/>
          <w:sz w:val="22"/>
          <w:szCs w:val="22"/>
        </w:rPr>
        <w:t xml:space="preserve"> and coercive sterilisation, menstrual suppression, contraception and abortion</w:t>
      </w:r>
      <w:r w:rsidR="00C26D44" w:rsidRPr="00387DF8">
        <w:rPr>
          <w:rFonts w:ascii="Proxima Nova" w:hAnsi="Proxima Nova" w:cstheme="minorHAnsi"/>
          <w:sz w:val="22"/>
          <w:szCs w:val="22"/>
        </w:rPr>
        <w:t xml:space="preserve">. This hearing is a vital aspect of the Royal Commission’s work of exploring intersectional dimensions of women and girls with disability’s experiences of violence, abuse, neglect and exploitation. However, </w:t>
      </w:r>
      <w:r w:rsidR="00A11B7F" w:rsidRPr="00387DF8">
        <w:rPr>
          <w:rFonts w:ascii="Proxima Nova" w:hAnsi="Proxima Nova" w:cstheme="minorHAnsi"/>
          <w:sz w:val="22"/>
          <w:szCs w:val="22"/>
        </w:rPr>
        <w:t>in the meantime, the</w:t>
      </w:r>
      <w:r w:rsidR="00C26D44" w:rsidRPr="00387DF8">
        <w:rPr>
          <w:rFonts w:ascii="Proxima Nova" w:hAnsi="Proxima Nova" w:cstheme="minorHAnsi"/>
          <w:sz w:val="22"/>
          <w:szCs w:val="22"/>
        </w:rPr>
        <w:t xml:space="preserve"> Royal Commission</w:t>
      </w:r>
      <w:r w:rsidR="00A11B7F" w:rsidRPr="00387DF8">
        <w:rPr>
          <w:rFonts w:ascii="Proxima Nova" w:hAnsi="Proxima Nova" w:cstheme="minorHAnsi"/>
          <w:sz w:val="22"/>
          <w:szCs w:val="22"/>
        </w:rPr>
        <w:t xml:space="preserve"> can thread intersectionality and </w:t>
      </w:r>
      <w:r w:rsidR="00C26D44" w:rsidRPr="00387DF8">
        <w:rPr>
          <w:rFonts w:ascii="Proxima Nova" w:hAnsi="Proxima Nova" w:cstheme="minorHAnsi"/>
          <w:sz w:val="22"/>
          <w:szCs w:val="22"/>
        </w:rPr>
        <w:t xml:space="preserve">specific experiences of women and girls with disability throughout </w:t>
      </w:r>
      <w:r w:rsidR="00A11B7F" w:rsidRPr="00387DF8">
        <w:rPr>
          <w:rFonts w:ascii="Proxima Nova" w:hAnsi="Proxima Nova" w:cstheme="minorHAnsi"/>
          <w:sz w:val="22"/>
          <w:szCs w:val="22"/>
        </w:rPr>
        <w:t>its</w:t>
      </w:r>
      <w:r w:rsidR="00C26D44" w:rsidRPr="00387DF8">
        <w:rPr>
          <w:rFonts w:ascii="Proxima Nova" w:hAnsi="Proxima Nova" w:cstheme="minorHAnsi"/>
          <w:sz w:val="22"/>
          <w:szCs w:val="22"/>
        </w:rPr>
        <w:t xml:space="preserve"> work, including all of its </w:t>
      </w:r>
      <w:proofErr w:type="gramStart"/>
      <w:r w:rsidR="003509C3" w:rsidRPr="00387DF8">
        <w:rPr>
          <w:rFonts w:ascii="Proxima Nova" w:hAnsi="Proxima Nova" w:cstheme="minorHAnsi"/>
          <w:sz w:val="22"/>
          <w:szCs w:val="22"/>
        </w:rPr>
        <w:t>i</w:t>
      </w:r>
      <w:r w:rsidR="00C26D44" w:rsidRPr="00387DF8">
        <w:rPr>
          <w:rFonts w:ascii="Proxima Nova" w:hAnsi="Proxima Nova" w:cstheme="minorHAnsi"/>
          <w:sz w:val="22"/>
          <w:szCs w:val="22"/>
        </w:rPr>
        <w:t>ssues</w:t>
      </w:r>
      <w:proofErr w:type="gramEnd"/>
      <w:r w:rsidR="00C26D44" w:rsidRPr="00387DF8">
        <w:rPr>
          <w:rFonts w:ascii="Proxima Nova" w:hAnsi="Proxima Nova" w:cstheme="minorHAnsi"/>
          <w:sz w:val="22"/>
          <w:szCs w:val="22"/>
        </w:rPr>
        <w:t xml:space="preserve"> </w:t>
      </w:r>
      <w:r w:rsidR="003509C3" w:rsidRPr="00387DF8">
        <w:rPr>
          <w:rFonts w:ascii="Proxima Nova" w:hAnsi="Proxima Nova" w:cstheme="minorHAnsi"/>
          <w:sz w:val="22"/>
          <w:szCs w:val="22"/>
        </w:rPr>
        <w:t>p</w:t>
      </w:r>
      <w:r w:rsidR="00C26D44" w:rsidRPr="00387DF8">
        <w:rPr>
          <w:rFonts w:ascii="Proxima Nova" w:hAnsi="Proxima Nova" w:cstheme="minorHAnsi"/>
          <w:sz w:val="22"/>
          <w:szCs w:val="22"/>
        </w:rPr>
        <w:t xml:space="preserve">apers and </w:t>
      </w:r>
      <w:r w:rsidR="003509C3" w:rsidRPr="00387DF8">
        <w:rPr>
          <w:rFonts w:ascii="Proxima Nova" w:hAnsi="Proxima Nova" w:cstheme="minorHAnsi"/>
          <w:sz w:val="22"/>
          <w:szCs w:val="22"/>
        </w:rPr>
        <w:t>p</w:t>
      </w:r>
      <w:r w:rsidR="00C26D44" w:rsidRPr="00387DF8">
        <w:rPr>
          <w:rFonts w:ascii="Proxima Nova" w:hAnsi="Proxima Nova" w:cstheme="minorHAnsi"/>
          <w:sz w:val="22"/>
          <w:szCs w:val="22"/>
        </w:rPr>
        <w:t xml:space="preserve">ublic </w:t>
      </w:r>
      <w:r w:rsidR="003509C3" w:rsidRPr="00387DF8">
        <w:rPr>
          <w:rFonts w:ascii="Proxima Nova" w:hAnsi="Proxima Nova" w:cstheme="minorHAnsi"/>
          <w:sz w:val="22"/>
          <w:szCs w:val="22"/>
        </w:rPr>
        <w:t>h</w:t>
      </w:r>
      <w:r w:rsidR="00C26D44" w:rsidRPr="00387DF8">
        <w:rPr>
          <w:rFonts w:ascii="Proxima Nova" w:hAnsi="Proxima Nova" w:cstheme="minorHAnsi"/>
          <w:sz w:val="22"/>
          <w:szCs w:val="22"/>
        </w:rPr>
        <w:t>earings.</w:t>
      </w:r>
    </w:p>
    <w:p w14:paraId="01BF1361" w14:textId="77777777" w:rsidR="0092265D" w:rsidRPr="00387DF8" w:rsidRDefault="0092265D" w:rsidP="0092265D">
      <w:pPr>
        <w:pStyle w:val="ListParagraph"/>
        <w:rPr>
          <w:rFonts w:ascii="Proxima Nova" w:hAnsi="Proxima Nova" w:cstheme="minorHAnsi"/>
          <w:sz w:val="22"/>
          <w:szCs w:val="22"/>
        </w:rPr>
      </w:pPr>
    </w:p>
    <w:p w14:paraId="6FBFB251" w14:textId="52D2973A" w:rsidR="0092265D" w:rsidRPr="00387DF8" w:rsidRDefault="0092265D" w:rsidP="0092265D">
      <w:pPr>
        <w:pStyle w:val="ListParagraph"/>
        <w:numPr>
          <w:ilvl w:val="1"/>
          <w:numId w:val="21"/>
        </w:numPr>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 xml:space="preserve">The Royal Commission, in consultation with women and girls with disability and their representative organisations, </w:t>
      </w:r>
      <w:r w:rsidR="00D37B6E" w:rsidRPr="00387DF8">
        <w:rPr>
          <w:rFonts w:ascii="Proxima Nova" w:hAnsi="Proxima Nova" w:cstheme="minorHAnsi"/>
          <w:sz w:val="22"/>
          <w:szCs w:val="22"/>
        </w:rPr>
        <w:t>can</w:t>
      </w:r>
      <w:r w:rsidRPr="00387DF8">
        <w:rPr>
          <w:rFonts w:ascii="Proxima Nova" w:hAnsi="Proxima Nova" w:cstheme="minorHAnsi"/>
          <w:sz w:val="22"/>
          <w:szCs w:val="22"/>
        </w:rPr>
        <w:t xml:space="preserve"> conduct stand-alone Public Hearings, as well as forums, roundtables and other engagement activities to examine the specific experiences of women and girls with disability in relation to restrictive practices – across and inclusive of all life ‘domains’, and areas, including sexual and reproductive rights. </w:t>
      </w:r>
      <w:r w:rsidR="00D37B6E" w:rsidRPr="00387DF8">
        <w:rPr>
          <w:rFonts w:ascii="Proxima Nova" w:hAnsi="Proxima Nova" w:cstheme="minorHAnsi"/>
          <w:sz w:val="22"/>
          <w:szCs w:val="22"/>
        </w:rPr>
        <w:t>WWDA suggests that t</w:t>
      </w:r>
      <w:r w:rsidRPr="00387DF8">
        <w:rPr>
          <w:rFonts w:ascii="Proxima Nova" w:hAnsi="Proxima Nova" w:cstheme="minorHAnsi"/>
          <w:sz w:val="22"/>
          <w:szCs w:val="22"/>
        </w:rPr>
        <w:t xml:space="preserve">he Royal Commission </w:t>
      </w:r>
      <w:r w:rsidR="00D37B6E" w:rsidRPr="00387DF8">
        <w:rPr>
          <w:rFonts w:ascii="Proxima Nova" w:hAnsi="Proxima Nova" w:cstheme="minorHAnsi"/>
          <w:sz w:val="22"/>
          <w:szCs w:val="22"/>
        </w:rPr>
        <w:t>consider establishing</w:t>
      </w:r>
      <w:r w:rsidRPr="00387DF8">
        <w:rPr>
          <w:rFonts w:ascii="Proxima Nova" w:hAnsi="Proxima Nova" w:cstheme="minorHAnsi"/>
          <w:sz w:val="22"/>
          <w:szCs w:val="22"/>
        </w:rPr>
        <w:t xml:space="preserve"> an expert advisory group of women and girls with disability and their representative organisations to provide advice </w:t>
      </w:r>
      <w:proofErr w:type="gramStart"/>
      <w:r w:rsidRPr="00387DF8">
        <w:rPr>
          <w:rFonts w:ascii="Proxima Nova" w:hAnsi="Proxima Nova" w:cstheme="minorHAnsi"/>
          <w:sz w:val="22"/>
          <w:szCs w:val="22"/>
        </w:rPr>
        <w:t>on:</w:t>
      </w:r>
      <w:proofErr w:type="gramEnd"/>
      <w:r w:rsidRPr="00387DF8">
        <w:rPr>
          <w:rFonts w:ascii="Proxima Nova" w:hAnsi="Proxima Nova" w:cstheme="minorHAnsi"/>
          <w:sz w:val="22"/>
          <w:szCs w:val="22"/>
        </w:rPr>
        <w:t xml:space="preserve"> the situation of women </w:t>
      </w:r>
      <w:r w:rsidRPr="00387DF8">
        <w:rPr>
          <w:rFonts w:ascii="Proxima Nova" w:hAnsi="Proxima Nova" w:cstheme="minorHAnsi"/>
          <w:sz w:val="22"/>
          <w:szCs w:val="22"/>
        </w:rPr>
        <w:lastRenderedPageBreak/>
        <w:t>and girls with disability in all areas of examination; specific areas of examination that disproportionately impact on women and girls with disability; the process of examinations, findings and recommendations; and other related matters. The Royal Commission must provide safe and supportive spaces to enable women and girls with disability to engage with the Royal Commission without fear of retribution. This is consistent with CRPD General Comment 3</w:t>
      </w:r>
      <w:r w:rsidRPr="00387DF8">
        <w:rPr>
          <w:rStyle w:val="EndnoteReference"/>
          <w:rFonts w:ascii="Proxima Nova" w:hAnsi="Proxima Nova" w:cstheme="minorHAnsi"/>
          <w:sz w:val="22"/>
          <w:szCs w:val="22"/>
        </w:rPr>
        <w:endnoteReference w:id="96"/>
      </w:r>
      <w:r w:rsidRPr="00387DF8">
        <w:rPr>
          <w:rFonts w:ascii="Proxima Nova" w:hAnsi="Proxima Nova" w:cstheme="minorHAnsi"/>
          <w:sz w:val="22"/>
          <w:szCs w:val="22"/>
        </w:rPr>
        <w:t xml:space="preserve"> and CRPD General Comment 7.</w:t>
      </w:r>
      <w:r w:rsidRPr="00387DF8">
        <w:rPr>
          <w:rStyle w:val="EndnoteReference"/>
          <w:rFonts w:ascii="Proxima Nova" w:hAnsi="Proxima Nova" w:cstheme="minorHAnsi"/>
          <w:sz w:val="22"/>
          <w:szCs w:val="22"/>
        </w:rPr>
        <w:endnoteReference w:id="97"/>
      </w:r>
    </w:p>
    <w:p w14:paraId="71DB4BC6" w14:textId="77777777" w:rsidR="00C26D44" w:rsidRPr="00387DF8" w:rsidRDefault="00C26D44" w:rsidP="007141E4">
      <w:pPr>
        <w:spacing w:line="276" w:lineRule="auto"/>
        <w:ind w:left="720" w:hanging="720"/>
        <w:rPr>
          <w:rFonts w:ascii="Proxima Nova" w:hAnsi="Proxima Nova" w:cstheme="minorHAnsi"/>
          <w:sz w:val="22"/>
          <w:szCs w:val="22"/>
        </w:rPr>
      </w:pPr>
    </w:p>
    <w:p w14:paraId="0655FFD4" w14:textId="409DE09B" w:rsidR="00A24D4C" w:rsidRPr="00387DF8" w:rsidRDefault="00A24D4C" w:rsidP="000F1CFA">
      <w:pPr>
        <w:pStyle w:val="ListParagraph"/>
        <w:numPr>
          <w:ilvl w:val="1"/>
          <w:numId w:val="21"/>
        </w:numPr>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G</w:t>
      </w:r>
      <w:r w:rsidR="001D23E9" w:rsidRPr="00387DF8">
        <w:rPr>
          <w:rFonts w:ascii="Proxima Nova" w:hAnsi="Proxima Nova" w:cstheme="minorHAnsi"/>
          <w:sz w:val="22"/>
          <w:szCs w:val="22"/>
        </w:rPr>
        <w:t xml:space="preserve">ender-neutrality can (and does) create and perpetuate the consequences of gender-based discrimination and can (and does) lead to misleading analyses of issues and/or inaccurate assessments of likely policy outcomes. </w:t>
      </w:r>
      <w:r w:rsidR="008C79D9" w:rsidRPr="00387DF8">
        <w:rPr>
          <w:rFonts w:ascii="Proxima Nova" w:hAnsi="Proxima Nova" w:cstheme="minorHAnsi"/>
          <w:sz w:val="22"/>
          <w:szCs w:val="22"/>
        </w:rPr>
        <w:t>WWDA hopes that the Royal Commission will formulate r</w:t>
      </w:r>
      <w:r w:rsidR="001D23E9" w:rsidRPr="00387DF8">
        <w:rPr>
          <w:rFonts w:ascii="Proxima Nova" w:hAnsi="Proxima Nova" w:cstheme="minorHAnsi"/>
          <w:sz w:val="22"/>
          <w:szCs w:val="22"/>
        </w:rPr>
        <w:t xml:space="preserve">ecommendations that </w:t>
      </w:r>
      <w:r w:rsidR="008C79D9" w:rsidRPr="00387DF8">
        <w:rPr>
          <w:rFonts w:ascii="Proxima Nova" w:hAnsi="Proxima Nova" w:cstheme="minorHAnsi"/>
          <w:sz w:val="22"/>
          <w:szCs w:val="22"/>
        </w:rPr>
        <w:t xml:space="preserve">specifically </w:t>
      </w:r>
      <w:r w:rsidR="001D23E9" w:rsidRPr="00387DF8">
        <w:rPr>
          <w:rFonts w:ascii="Proxima Nova" w:hAnsi="Proxima Nova" w:cstheme="minorHAnsi"/>
          <w:sz w:val="22"/>
          <w:szCs w:val="22"/>
        </w:rPr>
        <w:t xml:space="preserve">respond </w:t>
      </w:r>
      <w:r w:rsidR="008C79D9" w:rsidRPr="00387DF8">
        <w:rPr>
          <w:rFonts w:ascii="Proxima Nova" w:hAnsi="Proxima Nova" w:cstheme="minorHAnsi"/>
          <w:sz w:val="22"/>
          <w:szCs w:val="22"/>
        </w:rPr>
        <w:t xml:space="preserve">to </w:t>
      </w:r>
      <w:r w:rsidR="001D23E9" w:rsidRPr="00387DF8">
        <w:rPr>
          <w:rFonts w:ascii="Proxima Nova" w:hAnsi="Proxima Nova" w:cstheme="minorHAnsi"/>
          <w:sz w:val="22"/>
          <w:szCs w:val="22"/>
        </w:rPr>
        <w:t>women and girls with disability’s specific experiences of violence, abuse, neglect and exploitation.</w:t>
      </w:r>
      <w:r w:rsidRPr="00387DF8">
        <w:rPr>
          <w:rFonts w:ascii="Proxima Nova" w:hAnsi="Proxima Nova" w:cstheme="minorHAnsi"/>
          <w:sz w:val="22"/>
          <w:szCs w:val="22"/>
        </w:rPr>
        <w:t xml:space="preserve"> To date there has been </w:t>
      </w:r>
      <w:r w:rsidR="008C79D9" w:rsidRPr="00387DF8">
        <w:rPr>
          <w:rFonts w:ascii="Proxima Nova" w:hAnsi="Proxima Nova" w:cstheme="minorHAnsi"/>
          <w:sz w:val="22"/>
          <w:szCs w:val="22"/>
        </w:rPr>
        <w:t>little</w:t>
      </w:r>
      <w:r w:rsidRPr="00387DF8">
        <w:rPr>
          <w:rFonts w:ascii="Proxima Nova" w:hAnsi="Proxima Nova" w:cstheme="minorHAnsi"/>
          <w:sz w:val="22"/>
          <w:szCs w:val="22"/>
        </w:rPr>
        <w:t xml:space="preserve"> focus on the intersection between disability and gender and there has been a lack of identification and deeper exploration of gendered dynamics and specific experiences of women and girls with disability. Although the </w:t>
      </w:r>
      <w:r w:rsidR="00DA04B7" w:rsidRPr="00387DF8">
        <w:rPr>
          <w:rFonts w:ascii="Proxima Nova" w:hAnsi="Proxima Nova" w:cstheme="minorHAnsi"/>
          <w:sz w:val="22"/>
          <w:szCs w:val="22"/>
        </w:rPr>
        <w:t xml:space="preserve">DRC </w:t>
      </w:r>
      <w:r w:rsidRPr="00387DF8">
        <w:rPr>
          <w:rFonts w:ascii="Proxima Nova" w:hAnsi="Proxima Nova" w:cstheme="minorHAnsi"/>
          <w:sz w:val="22"/>
          <w:szCs w:val="22"/>
        </w:rPr>
        <w:t>Interim Report’s summary singles out the importance of focusing on culturally and linguistically diverse people with disability and First Nations people with disability,</w:t>
      </w:r>
      <w:r w:rsidRPr="00387DF8">
        <w:rPr>
          <w:rStyle w:val="EndnoteReference"/>
          <w:rFonts w:ascii="Proxima Nova" w:hAnsi="Proxima Nova" w:cstheme="minorHAnsi"/>
          <w:sz w:val="22"/>
          <w:szCs w:val="22"/>
        </w:rPr>
        <w:endnoteReference w:id="98"/>
      </w:r>
      <w:r w:rsidRPr="00387DF8">
        <w:rPr>
          <w:rFonts w:ascii="Proxima Nova" w:hAnsi="Proxima Nova" w:cstheme="minorHAnsi"/>
          <w:sz w:val="22"/>
          <w:szCs w:val="22"/>
        </w:rPr>
        <w:t xml:space="preserve"> it does not similarly identify a priority focus on women and girls with disability nor identify the importance of examining intersectional gender issues related to culturally and linguistically diverse people with disability and First Nations people with disability. </w:t>
      </w:r>
    </w:p>
    <w:p w14:paraId="2433AB9B" w14:textId="77777777" w:rsidR="00D27A13" w:rsidRPr="00387DF8" w:rsidRDefault="00D27A13" w:rsidP="007141E4">
      <w:pPr>
        <w:snapToGrid w:val="0"/>
        <w:spacing w:line="276" w:lineRule="auto"/>
        <w:ind w:left="720" w:hanging="720"/>
        <w:rPr>
          <w:rFonts w:ascii="Proxima Nova" w:hAnsi="Proxima Nova" w:cstheme="minorHAnsi"/>
          <w:color w:val="000000"/>
          <w:sz w:val="22"/>
          <w:szCs w:val="22"/>
          <w:shd w:val="clear" w:color="auto" w:fill="FFFFFF"/>
        </w:rPr>
      </w:pPr>
    </w:p>
    <w:p w14:paraId="0FBAD878" w14:textId="294C2FB2" w:rsidR="00C26D44" w:rsidRPr="00387DF8" w:rsidRDefault="00D87721" w:rsidP="00D87721">
      <w:pPr>
        <w:pStyle w:val="ListParagraph"/>
        <w:numPr>
          <w:ilvl w:val="1"/>
          <w:numId w:val="21"/>
        </w:numPr>
        <w:spacing w:line="276" w:lineRule="auto"/>
        <w:ind w:left="720" w:hanging="720"/>
        <w:rPr>
          <w:rFonts w:ascii="Proxima Nova" w:hAnsi="Proxima Nova" w:cstheme="minorHAnsi"/>
          <w:sz w:val="22"/>
          <w:szCs w:val="22"/>
        </w:rPr>
      </w:pPr>
      <w:r w:rsidRPr="00387DF8">
        <w:rPr>
          <w:rFonts w:ascii="Proxima Nova" w:hAnsi="Proxima Nova" w:cstheme="minorHAnsi"/>
          <w:color w:val="000000" w:themeColor="text1"/>
          <w:sz w:val="22"/>
          <w:szCs w:val="22"/>
          <w:lang w:bidi="en-US"/>
        </w:rPr>
        <w:t xml:space="preserve">WWDA hopes that in </w:t>
      </w:r>
      <w:r w:rsidR="006973DE" w:rsidRPr="00387DF8">
        <w:rPr>
          <w:rFonts w:ascii="Proxima Nova" w:hAnsi="Proxima Nova" w:cstheme="minorHAnsi"/>
          <w:color w:val="000000" w:themeColor="text1"/>
          <w:sz w:val="22"/>
          <w:szCs w:val="22"/>
          <w:lang w:bidi="en-US"/>
        </w:rPr>
        <w:t>the Royal Commission’s</w:t>
      </w:r>
      <w:r w:rsidRPr="00387DF8">
        <w:rPr>
          <w:rFonts w:ascii="Proxima Nova" w:hAnsi="Proxima Nova" w:cstheme="minorHAnsi"/>
          <w:color w:val="000000" w:themeColor="text1"/>
          <w:sz w:val="22"/>
          <w:szCs w:val="22"/>
          <w:lang w:bidi="en-US"/>
        </w:rPr>
        <w:t xml:space="preserve"> future work on restrictive practices the Royal Commission decentres the voices and experiences of academic, bureaucrat and professional experts including those who support the use of restrictive practices. </w:t>
      </w:r>
      <w:r w:rsidR="00C26D44" w:rsidRPr="00387DF8">
        <w:rPr>
          <w:rFonts w:ascii="Proxima Nova" w:hAnsi="Proxima Nova" w:cstheme="minorHAnsi"/>
          <w:sz w:val="22"/>
          <w:szCs w:val="22"/>
        </w:rPr>
        <w:t>Noting the Royal Commission’s recognition of the role of discriminatory and stigmatising community attitudes about disability</w:t>
      </w:r>
      <w:r w:rsidR="00C26D44" w:rsidRPr="00387DF8">
        <w:rPr>
          <w:rStyle w:val="EndnoteReference"/>
          <w:rFonts w:ascii="Proxima Nova" w:hAnsi="Proxima Nova" w:cstheme="minorHAnsi"/>
          <w:sz w:val="22"/>
          <w:szCs w:val="22"/>
        </w:rPr>
        <w:endnoteReference w:id="99"/>
      </w:r>
      <w:r w:rsidR="00C26D44" w:rsidRPr="00387DF8">
        <w:rPr>
          <w:rFonts w:ascii="Proxima Nova" w:hAnsi="Proxima Nova" w:cstheme="minorHAnsi"/>
          <w:sz w:val="22"/>
          <w:szCs w:val="22"/>
        </w:rPr>
        <w:t xml:space="preserve"> and its aspiration (in the words of Commissioner Sackville) to ‘transform community </w:t>
      </w:r>
      <w:r w:rsidR="00C26D44" w:rsidRPr="00387DF8">
        <w:rPr>
          <w:rStyle w:val="highlight"/>
          <w:rFonts w:ascii="Proxima Nova" w:hAnsi="Proxima Nova" w:cstheme="minorHAnsi"/>
          <w:sz w:val="22"/>
          <w:szCs w:val="22"/>
        </w:rPr>
        <w:t>attitude</w:t>
      </w:r>
      <w:r w:rsidR="00C26D44" w:rsidRPr="00387DF8">
        <w:rPr>
          <w:rFonts w:ascii="Proxima Nova" w:hAnsi="Proxima Nova" w:cstheme="minorHAnsi"/>
          <w:sz w:val="22"/>
          <w:szCs w:val="22"/>
        </w:rPr>
        <w:t>s and bring about changes to policies and practices’,</w:t>
      </w:r>
      <w:r w:rsidR="00C26D44" w:rsidRPr="00387DF8">
        <w:rPr>
          <w:rStyle w:val="EndnoteReference"/>
          <w:rFonts w:ascii="Proxima Nova" w:hAnsi="Proxima Nova" w:cstheme="minorHAnsi"/>
          <w:sz w:val="22"/>
          <w:szCs w:val="22"/>
        </w:rPr>
        <w:endnoteReference w:id="100"/>
      </w:r>
      <w:r w:rsidR="00C26D44" w:rsidRPr="00387DF8">
        <w:rPr>
          <w:rFonts w:ascii="Proxima Nova" w:hAnsi="Proxima Nova" w:cstheme="minorHAnsi"/>
          <w:sz w:val="22"/>
          <w:szCs w:val="22"/>
        </w:rPr>
        <w:t xml:space="preserve"> </w:t>
      </w:r>
      <w:r w:rsidRPr="00387DF8">
        <w:rPr>
          <w:rFonts w:ascii="Proxima Nova" w:hAnsi="Proxima Nova" w:cstheme="minorHAnsi"/>
          <w:sz w:val="22"/>
          <w:szCs w:val="22"/>
        </w:rPr>
        <w:t xml:space="preserve">in its future work </w:t>
      </w:r>
      <w:r w:rsidR="00C26D44" w:rsidRPr="00387DF8">
        <w:rPr>
          <w:rFonts w:ascii="Proxima Nova" w:hAnsi="Proxima Nova" w:cstheme="minorHAnsi"/>
          <w:sz w:val="22"/>
          <w:szCs w:val="22"/>
        </w:rPr>
        <w:t xml:space="preserve">the Royal Commission must </w:t>
      </w:r>
      <w:r w:rsidRPr="00387DF8">
        <w:rPr>
          <w:rFonts w:ascii="Proxima Nova" w:hAnsi="Proxima Nova" w:cstheme="minorHAnsi"/>
          <w:sz w:val="22"/>
          <w:szCs w:val="22"/>
        </w:rPr>
        <w:t xml:space="preserve">can take an approach that does </w:t>
      </w:r>
      <w:r w:rsidR="00C26D44" w:rsidRPr="00387DF8">
        <w:rPr>
          <w:rFonts w:ascii="Proxima Nova" w:hAnsi="Proxima Nova" w:cstheme="minorHAnsi"/>
          <w:sz w:val="22"/>
          <w:szCs w:val="22"/>
        </w:rPr>
        <w:t xml:space="preserve">not take experts’ opinions on restrictive </w:t>
      </w:r>
      <w:r w:rsidR="001C1DAA" w:rsidRPr="00387DF8">
        <w:rPr>
          <w:rFonts w:ascii="Proxima Nova" w:hAnsi="Proxima Nova" w:cstheme="minorHAnsi"/>
          <w:sz w:val="22"/>
          <w:szCs w:val="22"/>
        </w:rPr>
        <w:t>practices</w:t>
      </w:r>
      <w:r w:rsidR="00C26D44" w:rsidRPr="00387DF8">
        <w:rPr>
          <w:rFonts w:ascii="Proxima Nova" w:hAnsi="Proxima Nova" w:cstheme="minorHAnsi"/>
          <w:sz w:val="22"/>
          <w:szCs w:val="22"/>
        </w:rPr>
        <w:t xml:space="preserve"> at face value and instead </w:t>
      </w:r>
      <w:r w:rsidR="00C26D44" w:rsidRPr="00387DF8">
        <w:rPr>
          <w:rFonts w:ascii="Proxima Nova" w:hAnsi="Proxima Nova" w:cstheme="minorHAnsi"/>
          <w:color w:val="000000" w:themeColor="text1"/>
          <w:sz w:val="22"/>
          <w:szCs w:val="22"/>
          <w:lang w:bidi="en-US"/>
        </w:rPr>
        <w:t>question</w:t>
      </w:r>
      <w:r w:rsidRPr="00387DF8">
        <w:rPr>
          <w:rFonts w:ascii="Proxima Nova" w:hAnsi="Proxima Nova" w:cstheme="minorHAnsi"/>
          <w:color w:val="000000" w:themeColor="text1"/>
          <w:sz w:val="22"/>
          <w:szCs w:val="22"/>
          <w:lang w:bidi="en-US"/>
        </w:rPr>
        <w:t>s</w:t>
      </w:r>
      <w:r w:rsidR="00C26D44" w:rsidRPr="00387DF8">
        <w:rPr>
          <w:rFonts w:ascii="Proxima Nova" w:hAnsi="Proxima Nova" w:cstheme="minorHAnsi"/>
          <w:color w:val="000000" w:themeColor="text1"/>
          <w:sz w:val="22"/>
          <w:szCs w:val="22"/>
          <w:lang w:bidi="en-US"/>
        </w:rPr>
        <w:t xml:space="preserve"> and challenge</w:t>
      </w:r>
      <w:r w:rsidRPr="00387DF8">
        <w:rPr>
          <w:rFonts w:ascii="Proxima Nova" w:hAnsi="Proxima Nova" w:cstheme="minorHAnsi"/>
          <w:color w:val="000000" w:themeColor="text1"/>
          <w:sz w:val="22"/>
          <w:szCs w:val="22"/>
          <w:lang w:bidi="en-US"/>
        </w:rPr>
        <w:t>s</w:t>
      </w:r>
      <w:r w:rsidR="00C26D44" w:rsidRPr="00387DF8">
        <w:rPr>
          <w:rFonts w:ascii="Proxima Nova" w:hAnsi="Proxima Nova" w:cstheme="minorHAnsi"/>
          <w:color w:val="000000" w:themeColor="text1"/>
          <w:sz w:val="22"/>
          <w:szCs w:val="22"/>
          <w:lang w:bidi="en-US"/>
        </w:rPr>
        <w:t xml:space="preserve"> their perspectives and the epistemic frameworks that shape their thinking and practice on restrictive practices.</w:t>
      </w:r>
      <w:r w:rsidR="00C26D44" w:rsidRPr="00387DF8">
        <w:rPr>
          <w:rFonts w:ascii="Proxima Nova" w:hAnsi="Proxima Nova" w:cstheme="minorHAnsi"/>
          <w:sz w:val="22"/>
          <w:szCs w:val="22"/>
        </w:rPr>
        <w:t xml:space="preserve"> The Royal Commission </w:t>
      </w:r>
      <w:r w:rsidRPr="00387DF8">
        <w:rPr>
          <w:rFonts w:ascii="Proxima Nova" w:hAnsi="Proxima Nova" w:cstheme="minorHAnsi"/>
          <w:sz w:val="22"/>
          <w:szCs w:val="22"/>
        </w:rPr>
        <w:t>can</w:t>
      </w:r>
      <w:r w:rsidR="00C26D44" w:rsidRPr="00387DF8">
        <w:rPr>
          <w:rFonts w:ascii="Proxima Nova" w:hAnsi="Proxima Nova" w:cstheme="minorHAnsi"/>
          <w:sz w:val="22"/>
          <w:szCs w:val="22"/>
        </w:rPr>
        <w:t xml:space="preserve"> take the opportunity to identify the legal, cultural and economic dynamics that currently sustain the conventional status quo in law, medicine/health and disability services of restrictive practices as protective and non-violent (including in relation to non-consensual and coercive contraception and menstrual suppression which we understand is widely used and poorly regulated in disability services). Moreover, noting the powers given to the Royal Commission, it </w:t>
      </w:r>
      <w:r w:rsidRPr="00387DF8">
        <w:rPr>
          <w:rFonts w:ascii="Proxima Nova" w:hAnsi="Proxima Nova" w:cstheme="minorHAnsi"/>
          <w:sz w:val="22"/>
          <w:szCs w:val="22"/>
        </w:rPr>
        <w:t>might consider</w:t>
      </w:r>
      <w:r w:rsidR="00C26D44" w:rsidRPr="00387DF8">
        <w:rPr>
          <w:rFonts w:ascii="Proxima Nova" w:hAnsi="Proxima Nova" w:cstheme="minorHAnsi"/>
          <w:sz w:val="22"/>
          <w:szCs w:val="22"/>
        </w:rPr>
        <w:t xml:space="preserve"> call</w:t>
      </w:r>
      <w:r w:rsidRPr="00387DF8">
        <w:rPr>
          <w:rFonts w:ascii="Proxima Nova" w:hAnsi="Proxima Nova" w:cstheme="minorHAnsi"/>
          <w:sz w:val="22"/>
          <w:szCs w:val="22"/>
        </w:rPr>
        <w:t>ing</w:t>
      </w:r>
      <w:r w:rsidR="00C26D44" w:rsidRPr="00387DF8">
        <w:rPr>
          <w:rFonts w:ascii="Proxima Nova" w:hAnsi="Proxima Nova" w:cstheme="minorHAnsi"/>
          <w:sz w:val="22"/>
          <w:szCs w:val="22"/>
        </w:rPr>
        <w:t xml:space="preserve"> professionals and service providers as witnesses under oath and compel them to give evidence in relation to their role in the use of restrictive practices (including non-consensual and coercive sterilisation, contraception, menstrual suppression and abortion).</w:t>
      </w:r>
    </w:p>
    <w:p w14:paraId="0E0F3F20" w14:textId="77777777" w:rsidR="00C26D44" w:rsidRPr="00387DF8" w:rsidRDefault="00C26D44" w:rsidP="007141E4">
      <w:pPr>
        <w:spacing w:line="276" w:lineRule="auto"/>
        <w:ind w:left="720" w:hanging="720"/>
        <w:rPr>
          <w:rFonts w:ascii="Proxima Nova" w:hAnsi="Proxima Nova" w:cstheme="minorHAnsi"/>
          <w:sz w:val="22"/>
          <w:szCs w:val="22"/>
        </w:rPr>
      </w:pPr>
    </w:p>
    <w:p w14:paraId="37FF2A28" w14:textId="60C3F961" w:rsidR="00C26D44" w:rsidRPr="00387DF8" w:rsidRDefault="00C26D44" w:rsidP="000F1CFA">
      <w:pPr>
        <w:pStyle w:val="ListParagraph"/>
        <w:numPr>
          <w:ilvl w:val="1"/>
          <w:numId w:val="21"/>
        </w:numPr>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 xml:space="preserve">Noting the Royal Commission’s commitment to a ‘life-course approach’ and to intersectionality, </w:t>
      </w:r>
      <w:r w:rsidR="00025F6C" w:rsidRPr="00387DF8">
        <w:rPr>
          <w:rFonts w:ascii="Proxima Nova" w:hAnsi="Proxima Nova" w:cstheme="minorHAnsi"/>
          <w:sz w:val="22"/>
          <w:szCs w:val="22"/>
        </w:rPr>
        <w:t xml:space="preserve">WWDA is concerned about the absence of consideration of </w:t>
      </w:r>
      <w:r w:rsidRPr="00387DF8">
        <w:rPr>
          <w:rFonts w:ascii="Proxima Nova" w:hAnsi="Proxima Nova" w:cstheme="minorHAnsi"/>
          <w:sz w:val="22"/>
          <w:szCs w:val="22"/>
        </w:rPr>
        <w:t xml:space="preserve">the </w:t>
      </w:r>
      <w:r w:rsidR="001C1DAA" w:rsidRPr="00387DF8">
        <w:rPr>
          <w:rFonts w:ascii="Proxima Nova" w:hAnsi="Proxima Nova" w:cstheme="minorHAnsi"/>
          <w:sz w:val="22"/>
          <w:szCs w:val="22"/>
        </w:rPr>
        <w:t>experiences</w:t>
      </w:r>
      <w:r w:rsidRPr="00387DF8">
        <w:rPr>
          <w:rFonts w:ascii="Proxima Nova" w:hAnsi="Proxima Nova" w:cstheme="minorHAnsi"/>
          <w:sz w:val="22"/>
          <w:szCs w:val="22"/>
        </w:rPr>
        <w:t xml:space="preserve"> of </w:t>
      </w:r>
      <w:r w:rsidR="00025F6C" w:rsidRPr="00387DF8">
        <w:rPr>
          <w:rFonts w:ascii="Proxima Nova" w:hAnsi="Proxima Nova" w:cstheme="minorHAnsi"/>
          <w:sz w:val="22"/>
          <w:szCs w:val="22"/>
        </w:rPr>
        <w:t>older women with disability</w:t>
      </w:r>
      <w:r w:rsidR="006973DE" w:rsidRPr="00387DF8">
        <w:rPr>
          <w:rFonts w:ascii="Proxima Nova" w:hAnsi="Proxima Nova" w:cstheme="minorHAnsi"/>
          <w:sz w:val="22"/>
          <w:szCs w:val="22"/>
        </w:rPr>
        <w:t xml:space="preserve"> who are in RACFs</w:t>
      </w:r>
      <w:r w:rsidR="00025F6C" w:rsidRPr="00387DF8">
        <w:rPr>
          <w:rFonts w:ascii="Proxima Nova" w:hAnsi="Proxima Nova" w:cstheme="minorHAnsi"/>
          <w:sz w:val="22"/>
          <w:szCs w:val="22"/>
        </w:rPr>
        <w:t xml:space="preserve">. This is </w:t>
      </w:r>
      <w:r w:rsidRPr="00387DF8">
        <w:rPr>
          <w:rFonts w:ascii="Proxima Nova" w:hAnsi="Proxima Nova" w:cstheme="minorHAnsi"/>
          <w:sz w:val="22"/>
          <w:szCs w:val="22"/>
        </w:rPr>
        <w:t xml:space="preserve">important for </w:t>
      </w:r>
      <w:proofErr w:type="gramStart"/>
      <w:r w:rsidRPr="00387DF8">
        <w:rPr>
          <w:rFonts w:ascii="Proxima Nova" w:hAnsi="Proxima Nova" w:cstheme="minorHAnsi"/>
          <w:sz w:val="22"/>
          <w:szCs w:val="22"/>
        </w:rPr>
        <w:t>a number of</w:t>
      </w:r>
      <w:proofErr w:type="gramEnd"/>
      <w:r w:rsidRPr="00387DF8">
        <w:rPr>
          <w:rFonts w:ascii="Proxima Nova" w:hAnsi="Proxima Nova" w:cstheme="minorHAnsi"/>
          <w:sz w:val="22"/>
          <w:szCs w:val="22"/>
        </w:rPr>
        <w:t xml:space="preserve"> reasons: </w:t>
      </w:r>
      <w:r w:rsidR="00025F6C" w:rsidRPr="00387DF8">
        <w:rPr>
          <w:rFonts w:ascii="Proxima Nova" w:hAnsi="Proxima Nova" w:cstheme="minorHAnsi"/>
          <w:sz w:val="22"/>
          <w:szCs w:val="22"/>
        </w:rPr>
        <w:t>the</w:t>
      </w:r>
      <w:r w:rsidRPr="00387DF8">
        <w:rPr>
          <w:rFonts w:ascii="Proxima Nova" w:hAnsi="Proxima Nova" w:cstheme="minorHAnsi"/>
          <w:sz w:val="22"/>
          <w:szCs w:val="22"/>
        </w:rPr>
        <w:t xml:space="preserve"> overwhelming majority of people in RACFs have disability, the</w:t>
      </w:r>
      <w:r w:rsidR="00025F6C" w:rsidRPr="00387DF8">
        <w:rPr>
          <w:rFonts w:ascii="Proxima Nova" w:hAnsi="Proxima Nova" w:cstheme="minorHAnsi"/>
          <w:sz w:val="22"/>
          <w:szCs w:val="22"/>
        </w:rPr>
        <w:t>re are more women than men in the aged care system</w:t>
      </w:r>
      <w:r w:rsidR="00DE005F" w:rsidRPr="00387DF8">
        <w:rPr>
          <w:rFonts w:ascii="Proxima Nova" w:hAnsi="Proxima Nova" w:cstheme="minorHAnsi"/>
          <w:sz w:val="22"/>
          <w:szCs w:val="22"/>
        </w:rPr>
        <w:t xml:space="preserve">, there is a high incidence of sexual violence against women in RACFs, </w:t>
      </w:r>
      <w:r w:rsidRPr="00387DF8">
        <w:rPr>
          <w:rFonts w:ascii="Proxima Nova" w:hAnsi="Proxima Nova" w:cstheme="minorHAnsi"/>
          <w:sz w:val="22"/>
          <w:szCs w:val="22"/>
        </w:rPr>
        <w:t xml:space="preserve">and </w:t>
      </w:r>
      <w:r w:rsidR="00DE005F" w:rsidRPr="00387DF8">
        <w:rPr>
          <w:rFonts w:ascii="Proxima Nova" w:hAnsi="Proxima Nova" w:cstheme="minorHAnsi"/>
          <w:sz w:val="22"/>
          <w:szCs w:val="22"/>
        </w:rPr>
        <w:t xml:space="preserve">there is a high incidence of </w:t>
      </w:r>
      <w:r w:rsidRPr="00387DF8">
        <w:rPr>
          <w:rFonts w:ascii="Proxima Nova" w:hAnsi="Proxima Nova" w:cstheme="minorHAnsi"/>
          <w:sz w:val="22"/>
          <w:szCs w:val="22"/>
        </w:rPr>
        <w:t>restrictive practices and other forms of violence in RACFs (</w:t>
      </w:r>
      <w:r w:rsidR="00DE005F" w:rsidRPr="00387DF8">
        <w:rPr>
          <w:rFonts w:ascii="Proxima Nova" w:hAnsi="Proxima Nova" w:cstheme="minorHAnsi"/>
          <w:sz w:val="22"/>
          <w:szCs w:val="22"/>
        </w:rPr>
        <w:t xml:space="preserve">notably </w:t>
      </w:r>
      <w:r w:rsidRPr="00387DF8">
        <w:rPr>
          <w:rFonts w:ascii="Proxima Nova" w:hAnsi="Proxima Nova" w:cstheme="minorHAnsi"/>
          <w:sz w:val="22"/>
          <w:szCs w:val="22"/>
        </w:rPr>
        <w:t>against people living w</w:t>
      </w:r>
      <w:r w:rsidR="00DE005F" w:rsidRPr="00387DF8">
        <w:rPr>
          <w:rFonts w:ascii="Proxima Nova" w:hAnsi="Proxima Nova" w:cstheme="minorHAnsi"/>
          <w:sz w:val="22"/>
          <w:szCs w:val="22"/>
        </w:rPr>
        <w:t>ith dementia</w:t>
      </w:r>
      <w:r w:rsidRPr="00387DF8">
        <w:rPr>
          <w:rFonts w:ascii="Proxima Nova" w:hAnsi="Proxima Nova" w:cstheme="minorHAnsi"/>
          <w:sz w:val="22"/>
          <w:szCs w:val="22"/>
        </w:rPr>
        <w:t xml:space="preserve">). In </w:t>
      </w:r>
      <w:r w:rsidR="00DA04B7" w:rsidRPr="00387DF8">
        <w:rPr>
          <w:rFonts w:ascii="Proxima Nova" w:hAnsi="Proxima Nova" w:cstheme="minorHAnsi"/>
          <w:sz w:val="22"/>
          <w:szCs w:val="22"/>
        </w:rPr>
        <w:t xml:space="preserve">the DRC </w:t>
      </w:r>
      <w:r w:rsidRPr="00387DF8">
        <w:rPr>
          <w:rFonts w:ascii="Proxima Nova" w:hAnsi="Proxima Nova" w:cstheme="minorHAnsi"/>
          <w:sz w:val="22"/>
          <w:szCs w:val="22"/>
        </w:rPr>
        <w:t>Interim Report, the Royal Commission explains it will avoid overlap with the Aged Care Royal Commission:</w:t>
      </w:r>
    </w:p>
    <w:p w14:paraId="741B3978" w14:textId="77777777" w:rsidR="00C26D44" w:rsidRPr="00387DF8" w:rsidRDefault="00C26D44" w:rsidP="00C9327E">
      <w:pPr>
        <w:spacing w:line="276" w:lineRule="auto"/>
        <w:rPr>
          <w:rFonts w:ascii="Proxima Nova" w:hAnsi="Proxima Nova" w:cstheme="minorHAnsi"/>
          <w:sz w:val="22"/>
          <w:szCs w:val="22"/>
        </w:rPr>
      </w:pPr>
    </w:p>
    <w:p w14:paraId="61677C38" w14:textId="06BD2B3F" w:rsidR="00C26D44" w:rsidRPr="00387DF8" w:rsidRDefault="00C26D44" w:rsidP="007141E4">
      <w:pPr>
        <w:pStyle w:val="ListParagraph"/>
        <w:spacing w:line="276" w:lineRule="auto"/>
        <w:ind w:left="1134"/>
        <w:rPr>
          <w:rFonts w:ascii="Proxima Nova" w:hAnsi="Proxima Nova" w:cstheme="minorHAnsi"/>
          <w:sz w:val="22"/>
          <w:szCs w:val="22"/>
        </w:rPr>
      </w:pPr>
      <w:r w:rsidRPr="00387DF8">
        <w:rPr>
          <w:rFonts w:ascii="Proxima Nova" w:hAnsi="Proxima Nova" w:cstheme="minorHAnsi"/>
          <w:i/>
          <w:iCs/>
          <w:sz w:val="22"/>
          <w:szCs w:val="22"/>
        </w:rPr>
        <w:t>We seek to avoid overlap with the work of the Royal Commission into Aged Care Quality and Safety, which is now due to submit its final report in February 2021. Our examination of violence against, or abuse, neglect and exploitation of, older people with disability will be informed by the findings and recommendations in that final report. Nevertheless, it is important that we describe what we know about the extent of violence, abuse, neglect and exploitation experienced by older people with disability who continue to live at home.</w:t>
      </w:r>
      <w:r w:rsidR="006949E1" w:rsidRPr="00387DF8">
        <w:rPr>
          <w:rStyle w:val="EndnoteReference"/>
          <w:rFonts w:ascii="Proxima Nova" w:hAnsi="Proxima Nova" w:cstheme="minorHAnsi"/>
          <w:sz w:val="22"/>
          <w:szCs w:val="22"/>
        </w:rPr>
        <w:endnoteReference w:id="101"/>
      </w:r>
      <w:r w:rsidRPr="00387DF8">
        <w:rPr>
          <w:rFonts w:ascii="Proxima Nova" w:hAnsi="Proxima Nova" w:cstheme="minorHAnsi"/>
          <w:sz w:val="22"/>
          <w:szCs w:val="22"/>
        </w:rPr>
        <w:t xml:space="preserve"> </w:t>
      </w:r>
    </w:p>
    <w:p w14:paraId="0FB2D27B" w14:textId="77777777" w:rsidR="00C26D44" w:rsidRPr="00387DF8" w:rsidRDefault="00C26D44" w:rsidP="007141E4">
      <w:pPr>
        <w:spacing w:line="276" w:lineRule="auto"/>
        <w:rPr>
          <w:rFonts w:ascii="Proxima Nova" w:hAnsi="Proxima Nova" w:cstheme="minorHAnsi"/>
          <w:sz w:val="22"/>
          <w:szCs w:val="22"/>
        </w:rPr>
      </w:pPr>
    </w:p>
    <w:p w14:paraId="40EA3DCE" w14:textId="5923425E" w:rsidR="00DE005F" w:rsidRPr="00387DF8" w:rsidRDefault="00C26D44" w:rsidP="000F1CFA">
      <w:pPr>
        <w:pStyle w:val="ListParagraph"/>
        <w:numPr>
          <w:ilvl w:val="1"/>
          <w:numId w:val="21"/>
        </w:numPr>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 xml:space="preserve">However, </w:t>
      </w:r>
      <w:r w:rsidR="00DE005F" w:rsidRPr="00387DF8">
        <w:rPr>
          <w:rFonts w:ascii="Proxima Nova" w:hAnsi="Proxima Nova" w:cstheme="minorHAnsi"/>
          <w:sz w:val="22"/>
          <w:szCs w:val="22"/>
        </w:rPr>
        <w:t xml:space="preserve">the Aged Care Royal Commission </w:t>
      </w:r>
      <w:r w:rsidRPr="00387DF8">
        <w:rPr>
          <w:rFonts w:ascii="Proxima Nova" w:hAnsi="Proxima Nova" w:cstheme="minorHAnsi"/>
          <w:sz w:val="22"/>
          <w:szCs w:val="22"/>
        </w:rPr>
        <w:t xml:space="preserve">in its Final Report </w:t>
      </w:r>
      <w:r w:rsidR="00DE005F" w:rsidRPr="00387DF8">
        <w:rPr>
          <w:rFonts w:ascii="Proxima Nova" w:hAnsi="Proxima Nova" w:cstheme="minorHAnsi"/>
          <w:sz w:val="22"/>
          <w:szCs w:val="22"/>
        </w:rPr>
        <w:t>has failed to make recommendations to prohibit and redress restrictive practices in RACFs</w:t>
      </w:r>
      <w:r w:rsidRPr="00387DF8">
        <w:rPr>
          <w:rFonts w:ascii="Proxima Nova" w:hAnsi="Proxima Nova" w:cstheme="minorHAnsi"/>
          <w:sz w:val="22"/>
          <w:szCs w:val="22"/>
        </w:rPr>
        <w:t xml:space="preserve"> and has not fully considered the human rights implications of regulating restrictive practices</w:t>
      </w:r>
      <w:r w:rsidR="00DE005F" w:rsidRPr="00387DF8">
        <w:rPr>
          <w:rFonts w:ascii="Proxima Nova" w:hAnsi="Proxima Nova" w:cstheme="minorHAnsi"/>
          <w:sz w:val="22"/>
          <w:szCs w:val="22"/>
        </w:rPr>
        <w:t>.</w:t>
      </w:r>
      <w:r w:rsidRPr="00387DF8">
        <w:rPr>
          <w:rFonts w:ascii="Proxima Nova" w:hAnsi="Proxima Nova" w:cstheme="minorHAnsi"/>
          <w:sz w:val="22"/>
          <w:szCs w:val="22"/>
        </w:rPr>
        <w:t xml:space="preserve"> </w:t>
      </w:r>
      <w:r w:rsidR="006949E1" w:rsidRPr="00387DF8">
        <w:rPr>
          <w:rFonts w:ascii="Proxima Nova" w:hAnsi="Proxima Nova" w:cstheme="minorHAnsi"/>
          <w:sz w:val="22"/>
          <w:szCs w:val="22"/>
        </w:rPr>
        <w:t>In general, the Aged Care Royal Commission was not driven by the organising concept of ‘violence’ (indeed, this concept is not used in its Final Report</w:t>
      </w:r>
      <w:proofErr w:type="gramStart"/>
      <w:r w:rsidR="006949E1" w:rsidRPr="00387DF8">
        <w:rPr>
          <w:rFonts w:ascii="Proxima Nova" w:hAnsi="Proxima Nova" w:cstheme="minorHAnsi"/>
          <w:sz w:val="22"/>
          <w:szCs w:val="22"/>
        </w:rPr>
        <w:t>)</w:t>
      </w:r>
      <w:proofErr w:type="gramEnd"/>
      <w:r w:rsidR="006949E1" w:rsidRPr="00387DF8">
        <w:rPr>
          <w:rFonts w:ascii="Proxima Nova" w:hAnsi="Proxima Nova" w:cstheme="minorHAnsi"/>
          <w:sz w:val="22"/>
          <w:szCs w:val="22"/>
        </w:rPr>
        <w:t xml:space="preserve"> and it did not have an explicit human rights framework. </w:t>
      </w:r>
      <w:r w:rsidRPr="00387DF8">
        <w:rPr>
          <w:rFonts w:ascii="Proxima Nova" w:hAnsi="Proxima Nova" w:cstheme="minorHAnsi"/>
          <w:sz w:val="22"/>
          <w:szCs w:val="22"/>
        </w:rPr>
        <w:t xml:space="preserve">We thus request that the Disability Royal Commission fully consider the </w:t>
      </w:r>
      <w:r w:rsidR="006949E1" w:rsidRPr="00387DF8">
        <w:rPr>
          <w:rFonts w:ascii="Proxima Nova" w:hAnsi="Proxima Nova" w:cstheme="minorHAnsi"/>
          <w:sz w:val="22"/>
          <w:szCs w:val="22"/>
        </w:rPr>
        <w:t>use and legality of restrictive practices in RACFs</w:t>
      </w:r>
      <w:r w:rsidR="00843385" w:rsidRPr="00387DF8">
        <w:rPr>
          <w:rFonts w:ascii="Proxima Nova" w:hAnsi="Proxima Nova" w:cstheme="minorHAnsi"/>
          <w:sz w:val="22"/>
          <w:szCs w:val="22"/>
        </w:rPr>
        <w:t>, along</w:t>
      </w:r>
      <w:r w:rsidR="006973DE" w:rsidRPr="00387DF8">
        <w:rPr>
          <w:rFonts w:ascii="Proxima Nova" w:hAnsi="Proxima Nova" w:cstheme="minorHAnsi"/>
          <w:sz w:val="22"/>
          <w:szCs w:val="22"/>
        </w:rPr>
        <w:t>side</w:t>
      </w:r>
      <w:r w:rsidR="00843385" w:rsidRPr="00387DF8">
        <w:rPr>
          <w:rFonts w:ascii="Proxima Nova" w:hAnsi="Proxima Nova" w:cstheme="minorHAnsi"/>
          <w:sz w:val="22"/>
          <w:szCs w:val="22"/>
        </w:rPr>
        <w:t xml:space="preserve"> other settings and contexts</w:t>
      </w:r>
      <w:r w:rsidR="006949E1" w:rsidRPr="00387DF8">
        <w:rPr>
          <w:rFonts w:ascii="Proxima Nova" w:hAnsi="Proxima Nova" w:cstheme="minorHAnsi"/>
          <w:sz w:val="22"/>
          <w:szCs w:val="22"/>
        </w:rPr>
        <w:t xml:space="preserve">. To exclude this </w:t>
      </w:r>
      <w:r w:rsidR="006973DE" w:rsidRPr="00387DF8">
        <w:rPr>
          <w:rFonts w:ascii="Proxima Nova" w:hAnsi="Proxima Nova" w:cstheme="minorHAnsi"/>
          <w:sz w:val="22"/>
          <w:szCs w:val="22"/>
        </w:rPr>
        <w:t>context</w:t>
      </w:r>
      <w:r w:rsidR="006949E1" w:rsidRPr="00387DF8">
        <w:rPr>
          <w:rFonts w:ascii="Proxima Nova" w:hAnsi="Proxima Nova" w:cstheme="minorHAnsi"/>
          <w:sz w:val="22"/>
          <w:szCs w:val="22"/>
        </w:rPr>
        <w:t xml:space="preserve"> from its work and recommendations will sustain discrimination and segregation of older people with </w:t>
      </w:r>
      <w:r w:rsidR="001C1DAA" w:rsidRPr="00387DF8">
        <w:rPr>
          <w:rFonts w:ascii="Proxima Nova" w:hAnsi="Proxima Nova" w:cstheme="minorHAnsi"/>
          <w:sz w:val="22"/>
          <w:szCs w:val="22"/>
        </w:rPr>
        <w:t>disability</w:t>
      </w:r>
      <w:r w:rsidR="006949E1" w:rsidRPr="00387DF8">
        <w:rPr>
          <w:rFonts w:ascii="Proxima Nova" w:hAnsi="Proxima Nova" w:cstheme="minorHAnsi"/>
          <w:sz w:val="22"/>
          <w:szCs w:val="22"/>
        </w:rPr>
        <w:t xml:space="preserve"> that we see in other policy contexts, such as the NDIS upper age limit on eligibility.</w:t>
      </w:r>
    </w:p>
    <w:p w14:paraId="50E9E509" w14:textId="77777777" w:rsidR="00561ED0" w:rsidRPr="00387DF8" w:rsidRDefault="00561ED0" w:rsidP="00561ED0">
      <w:pPr>
        <w:spacing w:line="276" w:lineRule="auto"/>
        <w:ind w:left="720" w:hanging="720"/>
        <w:rPr>
          <w:rFonts w:ascii="Proxima Nova" w:hAnsi="Proxima Nova"/>
          <w:sz w:val="22"/>
          <w:szCs w:val="22"/>
        </w:rPr>
      </w:pPr>
    </w:p>
    <w:p w14:paraId="38045B0B" w14:textId="7575A3B8" w:rsidR="00561ED0" w:rsidRPr="00A17443" w:rsidRDefault="00561ED0" w:rsidP="00561ED0">
      <w:pPr>
        <w:spacing w:line="276" w:lineRule="auto"/>
        <w:rPr>
          <w:rFonts w:ascii="Proxima Nova" w:hAnsi="Proxima Nova"/>
        </w:rPr>
      </w:pPr>
      <w:r w:rsidRPr="00A17443">
        <w:rPr>
          <w:rFonts w:ascii="Proxima Nova" w:hAnsi="Proxima Nova"/>
          <w:b/>
          <w:color w:val="AC1F79"/>
        </w:rPr>
        <w:t>Taking a Gender-Inclusive Approach to Restrictive Practices</w:t>
      </w:r>
    </w:p>
    <w:p w14:paraId="4AAD16AC" w14:textId="77777777" w:rsidR="00464CE6" w:rsidRPr="00387DF8" w:rsidRDefault="00464CE6" w:rsidP="00387DF8">
      <w:pPr>
        <w:spacing w:line="276" w:lineRule="auto"/>
        <w:ind w:left="720" w:hanging="720"/>
        <w:rPr>
          <w:rFonts w:ascii="Proxima Nova" w:hAnsi="Proxima Nova" w:cstheme="minorHAnsi"/>
          <w:sz w:val="22"/>
          <w:szCs w:val="22"/>
        </w:rPr>
      </w:pPr>
    </w:p>
    <w:p w14:paraId="5B78E43D" w14:textId="6670E969" w:rsidR="00624A04" w:rsidRPr="00387DF8" w:rsidRDefault="00CC47B3" w:rsidP="00387DF8">
      <w:pPr>
        <w:pStyle w:val="ListParagraph"/>
        <w:numPr>
          <w:ilvl w:val="1"/>
          <w:numId w:val="21"/>
        </w:numPr>
        <w:autoSpaceDE w:val="0"/>
        <w:autoSpaceDN w:val="0"/>
        <w:adjustRightInd w:val="0"/>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Second,</w:t>
      </w:r>
      <w:r w:rsidR="006973DE" w:rsidRPr="00387DF8">
        <w:rPr>
          <w:rFonts w:ascii="Proxima Nova" w:hAnsi="Proxima Nova" w:cstheme="minorHAnsi"/>
          <w:sz w:val="22"/>
          <w:szCs w:val="22"/>
        </w:rPr>
        <w:t xml:space="preserve"> it is important that in future work </w:t>
      </w:r>
      <w:r w:rsidRPr="00387DF8">
        <w:rPr>
          <w:rFonts w:ascii="Proxima Nova" w:hAnsi="Proxima Nova" w:cstheme="minorHAnsi"/>
          <w:sz w:val="22"/>
          <w:szCs w:val="22"/>
        </w:rPr>
        <w:t>t</w:t>
      </w:r>
      <w:r w:rsidR="005A1F04" w:rsidRPr="00387DF8">
        <w:rPr>
          <w:rFonts w:ascii="Proxima Nova" w:hAnsi="Proxima Nova" w:cstheme="minorHAnsi"/>
          <w:sz w:val="22"/>
          <w:szCs w:val="22"/>
        </w:rPr>
        <w:t xml:space="preserve">he Royal Commission </w:t>
      </w:r>
      <w:r w:rsidRPr="00387DF8">
        <w:rPr>
          <w:rFonts w:ascii="Proxima Nova" w:hAnsi="Proxima Nova" w:cstheme="minorHAnsi"/>
          <w:sz w:val="22"/>
          <w:szCs w:val="22"/>
        </w:rPr>
        <w:t>explicitly consider</w:t>
      </w:r>
      <w:r w:rsidR="006973DE" w:rsidRPr="00387DF8">
        <w:rPr>
          <w:rFonts w:ascii="Proxima Nova" w:hAnsi="Proxima Nova" w:cstheme="minorHAnsi"/>
          <w:sz w:val="22"/>
          <w:szCs w:val="22"/>
        </w:rPr>
        <w:t>s</w:t>
      </w:r>
      <w:r w:rsidRPr="00387DF8">
        <w:rPr>
          <w:rFonts w:ascii="Proxima Nova" w:hAnsi="Proxima Nova" w:cstheme="minorHAnsi"/>
          <w:sz w:val="22"/>
          <w:szCs w:val="22"/>
        </w:rPr>
        <w:t xml:space="preserve"> restrictive practices in relation to women and girls with disability. </w:t>
      </w:r>
    </w:p>
    <w:p w14:paraId="3A017207" w14:textId="77777777" w:rsidR="00624A04" w:rsidRPr="00387DF8" w:rsidRDefault="00624A04" w:rsidP="00387DF8">
      <w:pPr>
        <w:autoSpaceDE w:val="0"/>
        <w:autoSpaceDN w:val="0"/>
        <w:adjustRightInd w:val="0"/>
        <w:spacing w:line="276" w:lineRule="auto"/>
        <w:ind w:left="720" w:hanging="720"/>
        <w:rPr>
          <w:rFonts w:ascii="Proxima Nova" w:hAnsi="Proxima Nova" w:cstheme="minorHAnsi"/>
          <w:sz w:val="22"/>
          <w:szCs w:val="22"/>
        </w:rPr>
      </w:pPr>
    </w:p>
    <w:p w14:paraId="77DA8C34" w14:textId="74B46705" w:rsidR="00843385" w:rsidRPr="00387DF8" w:rsidRDefault="005A1F04" w:rsidP="00387DF8">
      <w:pPr>
        <w:pStyle w:val="ListParagraph"/>
        <w:numPr>
          <w:ilvl w:val="1"/>
          <w:numId w:val="21"/>
        </w:numPr>
        <w:autoSpaceDE w:val="0"/>
        <w:autoSpaceDN w:val="0"/>
        <w:adjustRightInd w:val="0"/>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 xml:space="preserve">Term of Reference G clearly calls for the Royal Commission to examine the specific experiences of violence against, and abuse, neglect and exploitation of people with disability in relation to sex and gender. </w:t>
      </w:r>
    </w:p>
    <w:p w14:paraId="11F468FC" w14:textId="77777777" w:rsidR="00E2389B" w:rsidRPr="00387DF8" w:rsidRDefault="00E2389B" w:rsidP="00387DF8">
      <w:pPr>
        <w:spacing w:line="276" w:lineRule="auto"/>
        <w:ind w:left="720" w:hanging="720"/>
        <w:rPr>
          <w:rFonts w:ascii="Proxima Nova" w:hAnsi="Proxima Nova" w:cstheme="minorHAnsi"/>
          <w:sz w:val="22"/>
          <w:szCs w:val="22"/>
        </w:rPr>
      </w:pPr>
    </w:p>
    <w:p w14:paraId="0F96D531" w14:textId="14B75E81" w:rsidR="009E3FD3" w:rsidRPr="00387DF8" w:rsidRDefault="00E2389B" w:rsidP="00387DF8">
      <w:pPr>
        <w:pStyle w:val="ListParagraph"/>
        <w:numPr>
          <w:ilvl w:val="1"/>
          <w:numId w:val="21"/>
        </w:numPr>
        <w:autoSpaceDE w:val="0"/>
        <w:autoSpaceDN w:val="0"/>
        <w:adjustRightInd w:val="0"/>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Women and girls with disability experience particular forms of restrictive practices that are not perpetrated on men and boys with disability and are exposed to higher risk of violence, abuse and exploitation in closed settings where restrictive practices are often used. Women and girls with disability experience higher incidence of violence and of social disadvantage such as poverty, unemployment and homelessness, which can increase the risk of being in closed settings and subjected to restrictive practices.</w:t>
      </w:r>
    </w:p>
    <w:p w14:paraId="7CC55B06" w14:textId="77777777" w:rsidR="009E3FD3" w:rsidRPr="00387DF8" w:rsidRDefault="009E3FD3" w:rsidP="00387DF8">
      <w:pPr>
        <w:spacing w:line="276" w:lineRule="auto"/>
        <w:ind w:left="720" w:hanging="720"/>
        <w:rPr>
          <w:rFonts w:ascii="Proxima Nova" w:hAnsi="Proxima Nova" w:cstheme="minorHAnsi"/>
          <w:sz w:val="22"/>
          <w:szCs w:val="22"/>
        </w:rPr>
      </w:pPr>
    </w:p>
    <w:p w14:paraId="279602C8" w14:textId="6E7C9CE2" w:rsidR="009E3FD3" w:rsidRPr="00387DF8" w:rsidRDefault="009E3FD3" w:rsidP="00387DF8">
      <w:pPr>
        <w:pStyle w:val="ListParagraph"/>
        <w:numPr>
          <w:ilvl w:val="1"/>
          <w:numId w:val="21"/>
        </w:numPr>
        <w:autoSpaceDE w:val="0"/>
        <w:autoSpaceDN w:val="0"/>
        <w:adjustRightInd w:val="0"/>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 xml:space="preserve">As noted by the Royal Commission in </w:t>
      </w:r>
      <w:r w:rsidR="00DA04B7" w:rsidRPr="00387DF8">
        <w:rPr>
          <w:rFonts w:ascii="Proxima Nova" w:hAnsi="Proxima Nova" w:cstheme="minorHAnsi"/>
          <w:sz w:val="22"/>
          <w:szCs w:val="22"/>
        </w:rPr>
        <w:t xml:space="preserve">the DRC </w:t>
      </w:r>
      <w:r w:rsidRPr="00387DF8">
        <w:rPr>
          <w:rFonts w:ascii="Proxima Nova" w:hAnsi="Proxima Nova" w:cstheme="minorHAnsi"/>
          <w:sz w:val="22"/>
          <w:szCs w:val="22"/>
        </w:rPr>
        <w:t>Interim Report and by the UN CRPD Committee in its General Comment 3 (Women and girls with disabilities),</w:t>
      </w:r>
      <w:r w:rsidRPr="00387DF8">
        <w:rPr>
          <w:rStyle w:val="EndnoteReference"/>
          <w:rFonts w:ascii="Proxima Nova" w:hAnsi="Proxima Nova" w:cstheme="minorHAnsi"/>
          <w:sz w:val="22"/>
          <w:szCs w:val="22"/>
        </w:rPr>
        <w:endnoteReference w:id="102"/>
      </w:r>
      <w:r w:rsidRPr="00387DF8">
        <w:rPr>
          <w:rFonts w:ascii="Proxima Nova" w:hAnsi="Proxima Nova" w:cstheme="minorHAnsi"/>
          <w:sz w:val="22"/>
          <w:szCs w:val="22"/>
        </w:rPr>
        <w:t xml:space="preserve"> women and girls with disability are more likely to experience violence than both men with disability and women and girls without disability. </w:t>
      </w:r>
    </w:p>
    <w:p w14:paraId="40F580F5" w14:textId="77777777" w:rsidR="009E3FD3" w:rsidRPr="00387DF8" w:rsidRDefault="009E3FD3" w:rsidP="00387DF8">
      <w:pPr>
        <w:spacing w:line="276" w:lineRule="auto"/>
        <w:rPr>
          <w:rFonts w:ascii="Proxima Nova" w:hAnsi="Proxima Nova" w:cstheme="minorHAnsi"/>
          <w:sz w:val="22"/>
          <w:szCs w:val="22"/>
        </w:rPr>
      </w:pPr>
    </w:p>
    <w:p w14:paraId="256109BA" w14:textId="77777777" w:rsidR="009E3FD3" w:rsidRPr="00387DF8" w:rsidRDefault="009E3FD3" w:rsidP="00387DF8">
      <w:pPr>
        <w:pStyle w:val="ListParagraph"/>
        <w:numPr>
          <w:ilvl w:val="0"/>
          <w:numId w:val="22"/>
        </w:numPr>
        <w:snapToGrid w:val="0"/>
        <w:spacing w:line="276" w:lineRule="auto"/>
        <w:rPr>
          <w:rFonts w:ascii="Proxima Nova" w:hAnsi="Proxima Nova" w:cstheme="minorHAnsi"/>
          <w:sz w:val="22"/>
          <w:szCs w:val="22"/>
          <w:bdr w:val="none" w:sz="0" w:space="0" w:color="auto" w:frame="1"/>
        </w:rPr>
      </w:pPr>
      <w:r w:rsidRPr="00387DF8">
        <w:rPr>
          <w:rFonts w:ascii="Proxima Nova" w:hAnsi="Proxima Nova" w:cstheme="minorHAnsi"/>
          <w:sz w:val="22"/>
          <w:szCs w:val="22"/>
        </w:rPr>
        <w:t xml:space="preserve">‘[W]omen with disability </w:t>
      </w:r>
      <w:proofErr w:type="gramStart"/>
      <w:r w:rsidRPr="00387DF8">
        <w:rPr>
          <w:rFonts w:ascii="Proxima Nova" w:hAnsi="Proxima Nova" w:cstheme="minorHAnsi"/>
          <w:sz w:val="22"/>
          <w:szCs w:val="22"/>
        </w:rPr>
        <w:t>are</w:t>
      </w:r>
      <w:proofErr w:type="gramEnd"/>
      <w:r w:rsidRPr="00387DF8">
        <w:rPr>
          <w:rFonts w:ascii="Proxima Nova" w:hAnsi="Proxima Nova" w:cstheme="minorHAnsi"/>
          <w:sz w:val="22"/>
          <w:szCs w:val="22"/>
        </w:rPr>
        <w:t xml:space="preserve"> twice as likely to report an incident of sexual violence over their lifetime than women without disability (33% or 605,081 women with disability compared to 16% of women without disability)’</w:t>
      </w:r>
      <w:r w:rsidRPr="00387DF8">
        <w:rPr>
          <w:rStyle w:val="EndnoteReference"/>
          <w:rFonts w:ascii="Proxima Nova" w:hAnsi="Proxima Nova" w:cstheme="minorHAnsi"/>
          <w:sz w:val="22"/>
          <w:szCs w:val="22"/>
        </w:rPr>
        <w:endnoteReference w:id="103"/>
      </w:r>
    </w:p>
    <w:p w14:paraId="16BEEC6E" w14:textId="77777777" w:rsidR="009E3FD3" w:rsidRPr="00387DF8" w:rsidRDefault="009E3FD3" w:rsidP="00387DF8">
      <w:pPr>
        <w:pStyle w:val="ListParagraph"/>
        <w:numPr>
          <w:ilvl w:val="0"/>
          <w:numId w:val="22"/>
        </w:numPr>
        <w:snapToGrid w:val="0"/>
        <w:spacing w:line="276" w:lineRule="auto"/>
        <w:rPr>
          <w:rFonts w:ascii="Proxima Nova" w:hAnsi="Proxima Nova" w:cstheme="minorHAnsi"/>
          <w:sz w:val="22"/>
          <w:szCs w:val="22"/>
          <w:bdr w:val="none" w:sz="0" w:space="0" w:color="auto" w:frame="1"/>
        </w:rPr>
      </w:pPr>
      <w:r w:rsidRPr="00387DF8">
        <w:rPr>
          <w:rFonts w:ascii="Proxima Nova" w:hAnsi="Proxima Nova" w:cstheme="minorHAnsi"/>
          <w:sz w:val="22"/>
          <w:szCs w:val="22"/>
        </w:rPr>
        <w:t>‘Over their lifetime, men with disability are 2.6 times as likely to report sexual violence compared to men without disability’</w:t>
      </w:r>
      <w:r w:rsidRPr="00387DF8">
        <w:rPr>
          <w:rStyle w:val="EndnoteReference"/>
          <w:rFonts w:ascii="Proxima Nova" w:hAnsi="Proxima Nova" w:cstheme="minorHAnsi"/>
          <w:sz w:val="22"/>
          <w:szCs w:val="22"/>
        </w:rPr>
        <w:endnoteReference w:id="104"/>
      </w:r>
    </w:p>
    <w:p w14:paraId="3580F2DB" w14:textId="225A727F" w:rsidR="009E3FD3" w:rsidRPr="00387DF8" w:rsidRDefault="009E3FD3" w:rsidP="00387DF8">
      <w:pPr>
        <w:pStyle w:val="ListParagraph"/>
        <w:numPr>
          <w:ilvl w:val="0"/>
          <w:numId w:val="22"/>
        </w:numPr>
        <w:snapToGrid w:val="0"/>
        <w:spacing w:line="276" w:lineRule="auto"/>
        <w:rPr>
          <w:rFonts w:ascii="Proxima Nova" w:hAnsi="Proxima Nova" w:cstheme="minorHAnsi"/>
          <w:sz w:val="22"/>
          <w:szCs w:val="22"/>
          <w:bdr w:val="none" w:sz="0" w:space="0" w:color="auto" w:frame="1"/>
        </w:rPr>
      </w:pPr>
      <w:r w:rsidRPr="00387DF8">
        <w:rPr>
          <w:rFonts w:ascii="Proxima Nova" w:hAnsi="Proxima Nova" w:cstheme="minorHAnsi"/>
          <w:sz w:val="22"/>
          <w:szCs w:val="22"/>
        </w:rPr>
        <w:t>‘Since the age of 15, one in three women with disability report emotional abuse by a current or</w:t>
      </w:r>
      <w:r w:rsidR="001C1DAA" w:rsidRPr="00387DF8">
        <w:rPr>
          <w:rFonts w:ascii="Proxima Nova" w:hAnsi="Proxima Nova" w:cstheme="minorHAnsi"/>
          <w:sz w:val="22"/>
          <w:szCs w:val="22"/>
        </w:rPr>
        <w:t xml:space="preserve"> </w:t>
      </w:r>
      <w:r w:rsidRPr="00387DF8">
        <w:rPr>
          <w:rFonts w:ascii="Proxima Nova" w:hAnsi="Proxima Nova" w:cstheme="minorHAnsi"/>
          <w:sz w:val="22"/>
          <w:szCs w:val="22"/>
        </w:rPr>
        <w:t>previous partner (37% or 712,076 women with disability compared to 20% of women without disability)’</w:t>
      </w:r>
      <w:r w:rsidRPr="00387DF8">
        <w:rPr>
          <w:rStyle w:val="EndnoteReference"/>
          <w:rFonts w:ascii="Proxima Nova" w:hAnsi="Proxima Nova" w:cstheme="minorHAnsi"/>
          <w:sz w:val="22"/>
          <w:szCs w:val="22"/>
        </w:rPr>
        <w:endnoteReference w:id="105"/>
      </w:r>
    </w:p>
    <w:p w14:paraId="2EF18C8F" w14:textId="02E73FC4" w:rsidR="009E3FD3" w:rsidRPr="00387DF8" w:rsidRDefault="009E3FD3" w:rsidP="00387DF8">
      <w:pPr>
        <w:pStyle w:val="ListParagraph"/>
        <w:numPr>
          <w:ilvl w:val="0"/>
          <w:numId w:val="22"/>
        </w:numPr>
        <w:snapToGrid w:val="0"/>
        <w:spacing w:line="276" w:lineRule="auto"/>
        <w:rPr>
          <w:rFonts w:ascii="Proxima Nova" w:hAnsi="Proxima Nova" w:cstheme="minorHAnsi"/>
          <w:sz w:val="22"/>
          <w:szCs w:val="22"/>
          <w:bdr w:val="none" w:sz="0" w:space="0" w:color="auto" w:frame="1"/>
        </w:rPr>
      </w:pPr>
      <w:r w:rsidRPr="00387DF8">
        <w:rPr>
          <w:rFonts w:ascii="Proxima Nova" w:hAnsi="Proxima Nova" w:cstheme="minorHAnsi"/>
          <w:sz w:val="22"/>
          <w:szCs w:val="22"/>
        </w:rPr>
        <w:t>‘While people with disability experience higher rates of stalking than people without disability,</w:t>
      </w:r>
      <w:r w:rsidR="001C1DAA" w:rsidRPr="00387DF8">
        <w:rPr>
          <w:rFonts w:ascii="Proxima Nova" w:hAnsi="Proxima Nova" w:cstheme="minorHAnsi"/>
          <w:sz w:val="22"/>
          <w:szCs w:val="22"/>
        </w:rPr>
        <w:t xml:space="preserve"> </w:t>
      </w:r>
      <w:r w:rsidRPr="00387DF8">
        <w:rPr>
          <w:rFonts w:ascii="Proxima Nova" w:hAnsi="Proxima Nova" w:cstheme="minorHAnsi"/>
          <w:sz w:val="22"/>
          <w:szCs w:val="22"/>
        </w:rPr>
        <w:t>women with disability are most at risk of being stalked’</w:t>
      </w:r>
      <w:r w:rsidRPr="00387DF8">
        <w:rPr>
          <w:rStyle w:val="EndnoteReference"/>
          <w:rFonts w:ascii="Proxima Nova" w:hAnsi="Proxima Nova" w:cstheme="minorHAnsi"/>
          <w:sz w:val="22"/>
          <w:szCs w:val="22"/>
        </w:rPr>
        <w:endnoteReference w:id="106"/>
      </w:r>
    </w:p>
    <w:p w14:paraId="03AA0AFE" w14:textId="7C85FC92" w:rsidR="009E3FD3" w:rsidRPr="00387DF8" w:rsidRDefault="009E3FD3" w:rsidP="00387DF8">
      <w:pPr>
        <w:pStyle w:val="ListParagraph"/>
        <w:numPr>
          <w:ilvl w:val="0"/>
          <w:numId w:val="22"/>
        </w:numPr>
        <w:snapToGrid w:val="0"/>
        <w:spacing w:line="276" w:lineRule="auto"/>
        <w:rPr>
          <w:rFonts w:ascii="Proxima Nova" w:hAnsi="Proxima Nova" w:cstheme="minorHAnsi"/>
          <w:sz w:val="22"/>
          <w:szCs w:val="22"/>
          <w:bdr w:val="none" w:sz="0" w:space="0" w:color="auto" w:frame="1"/>
        </w:rPr>
      </w:pPr>
      <w:r w:rsidRPr="00387DF8">
        <w:rPr>
          <w:rFonts w:ascii="Proxima Nova" w:hAnsi="Proxima Nova" w:cstheme="minorHAnsi"/>
          <w:sz w:val="22"/>
          <w:szCs w:val="22"/>
        </w:rPr>
        <w:t>‘Women with psychological and cognitive impairments have very high rates of all types of</w:t>
      </w:r>
      <w:r w:rsidR="001C1DAA" w:rsidRPr="00387DF8">
        <w:rPr>
          <w:rFonts w:ascii="Proxima Nova" w:hAnsi="Proxima Nova" w:cstheme="minorHAnsi"/>
          <w:sz w:val="22"/>
          <w:szCs w:val="22"/>
        </w:rPr>
        <w:t xml:space="preserve"> </w:t>
      </w:r>
      <w:r w:rsidRPr="00387DF8">
        <w:rPr>
          <w:rFonts w:ascii="Proxima Nova" w:hAnsi="Proxima Nova" w:cstheme="minorHAnsi"/>
          <w:sz w:val="22"/>
          <w:szCs w:val="22"/>
        </w:rPr>
        <w:t>violence, particularly physical violence, sexual violence, partner violence and emotional abuse’</w:t>
      </w:r>
      <w:r w:rsidRPr="00387DF8">
        <w:rPr>
          <w:rStyle w:val="EndnoteReference"/>
          <w:rFonts w:ascii="Proxima Nova" w:hAnsi="Proxima Nova" w:cstheme="minorHAnsi"/>
          <w:sz w:val="22"/>
          <w:szCs w:val="22"/>
        </w:rPr>
        <w:endnoteReference w:id="107"/>
      </w:r>
    </w:p>
    <w:p w14:paraId="2D7458DD" w14:textId="4ECAFDD1" w:rsidR="009E3FD3" w:rsidRPr="00387DF8" w:rsidRDefault="009E3FD3" w:rsidP="00387DF8">
      <w:pPr>
        <w:pStyle w:val="ListParagraph"/>
        <w:numPr>
          <w:ilvl w:val="0"/>
          <w:numId w:val="22"/>
        </w:numPr>
        <w:snapToGrid w:val="0"/>
        <w:spacing w:line="276" w:lineRule="auto"/>
        <w:rPr>
          <w:rFonts w:ascii="Proxima Nova" w:hAnsi="Proxima Nova" w:cstheme="minorHAnsi"/>
          <w:sz w:val="22"/>
          <w:szCs w:val="22"/>
          <w:bdr w:val="none" w:sz="0" w:space="0" w:color="auto" w:frame="1"/>
        </w:rPr>
      </w:pPr>
      <w:r w:rsidRPr="00387DF8">
        <w:rPr>
          <w:rFonts w:ascii="Proxima Nova" w:hAnsi="Proxima Nova" w:cstheme="minorHAnsi"/>
          <w:sz w:val="22"/>
          <w:szCs w:val="22"/>
        </w:rPr>
        <w:t>‘One in two women (334,076 women) with psychological and/or cognitive impairment have</w:t>
      </w:r>
      <w:r w:rsidR="009D5792" w:rsidRPr="00387DF8">
        <w:rPr>
          <w:rFonts w:ascii="Proxima Nova" w:hAnsi="Proxima Nova" w:cstheme="minorHAnsi"/>
          <w:sz w:val="22"/>
          <w:szCs w:val="22"/>
        </w:rPr>
        <w:t xml:space="preserve"> </w:t>
      </w:r>
      <w:r w:rsidRPr="00387DF8">
        <w:rPr>
          <w:rFonts w:ascii="Proxima Nova" w:hAnsi="Proxima Nova" w:cstheme="minorHAnsi"/>
          <w:sz w:val="22"/>
          <w:szCs w:val="22"/>
        </w:rPr>
        <w:t>experienced sexual violence</w:t>
      </w:r>
      <w:r w:rsidR="001C1DAA" w:rsidRPr="00387DF8">
        <w:rPr>
          <w:rFonts w:ascii="Proxima Nova" w:hAnsi="Proxima Nova" w:cstheme="minorHAnsi"/>
          <w:sz w:val="22"/>
          <w:szCs w:val="22"/>
        </w:rPr>
        <w:t xml:space="preserve"> </w:t>
      </w:r>
      <w:r w:rsidRPr="00387DF8">
        <w:rPr>
          <w:rFonts w:ascii="Proxima Nova" w:hAnsi="Proxima Nova" w:cstheme="minorHAnsi"/>
          <w:sz w:val="22"/>
          <w:szCs w:val="22"/>
        </w:rPr>
        <w:t>in their lifetime’</w:t>
      </w:r>
      <w:r w:rsidR="0093323B" w:rsidRPr="00387DF8">
        <w:rPr>
          <w:rFonts w:ascii="Proxima Nova" w:hAnsi="Proxima Nova" w:cstheme="minorHAnsi"/>
          <w:sz w:val="22"/>
          <w:szCs w:val="22"/>
        </w:rPr>
        <w:t>.</w:t>
      </w:r>
      <w:r w:rsidRPr="00387DF8">
        <w:rPr>
          <w:rStyle w:val="EndnoteReference"/>
          <w:rFonts w:ascii="Proxima Nova" w:hAnsi="Proxima Nova" w:cstheme="minorHAnsi"/>
          <w:sz w:val="22"/>
          <w:szCs w:val="22"/>
        </w:rPr>
        <w:endnoteReference w:id="108"/>
      </w:r>
    </w:p>
    <w:p w14:paraId="6381DEAA" w14:textId="77777777" w:rsidR="009E3FD3" w:rsidRPr="00387DF8" w:rsidRDefault="009E3FD3" w:rsidP="00387DF8">
      <w:pPr>
        <w:snapToGrid w:val="0"/>
        <w:spacing w:line="276" w:lineRule="auto"/>
        <w:rPr>
          <w:rFonts w:ascii="Proxima Nova" w:hAnsi="Proxima Nova" w:cstheme="minorHAnsi"/>
          <w:sz w:val="22"/>
          <w:szCs w:val="22"/>
          <w:bdr w:val="none" w:sz="0" w:space="0" w:color="auto" w:frame="1"/>
        </w:rPr>
      </w:pPr>
    </w:p>
    <w:p w14:paraId="7012347F" w14:textId="609B0FE7" w:rsidR="009E3FD3" w:rsidRPr="00387DF8" w:rsidRDefault="009E3FD3" w:rsidP="00387DF8">
      <w:pPr>
        <w:pStyle w:val="ListParagraph"/>
        <w:numPr>
          <w:ilvl w:val="1"/>
          <w:numId w:val="21"/>
        </w:numPr>
        <w:autoSpaceDE w:val="0"/>
        <w:autoSpaceDN w:val="0"/>
        <w:adjustRightInd w:val="0"/>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There is limited statistical data on restrictive practices, although ‘electroconvulsive therapy (ECT) performed on involuntary persons (</w:t>
      </w:r>
      <w:r w:rsidR="00177A12" w:rsidRPr="00387DF8">
        <w:rPr>
          <w:rFonts w:ascii="Proxima Nova" w:hAnsi="Proxima Nova" w:cstheme="minorHAnsi"/>
          <w:sz w:val="22"/>
          <w:szCs w:val="22"/>
        </w:rPr>
        <w:t>i.e.</w:t>
      </w:r>
      <w:r w:rsidRPr="00387DF8">
        <w:rPr>
          <w:rFonts w:ascii="Proxima Nova" w:hAnsi="Proxima Nova" w:cstheme="minorHAnsi"/>
          <w:sz w:val="22"/>
          <w:szCs w:val="22"/>
        </w:rPr>
        <w:t>: without that person’s consent) indicates that in Australia three times more women than men are subject to the practice, across all age cohorts.’</w:t>
      </w:r>
      <w:r w:rsidRPr="00387DF8">
        <w:rPr>
          <w:rStyle w:val="EndnoteReference"/>
          <w:rFonts w:ascii="Proxima Nova" w:hAnsi="Proxima Nova" w:cstheme="minorHAnsi"/>
          <w:sz w:val="22"/>
          <w:szCs w:val="22"/>
        </w:rPr>
        <w:endnoteReference w:id="109"/>
      </w:r>
      <w:r w:rsidRPr="00387DF8">
        <w:rPr>
          <w:rFonts w:ascii="Proxima Nova" w:hAnsi="Proxima Nova" w:cstheme="minorHAnsi"/>
          <w:sz w:val="22"/>
          <w:szCs w:val="22"/>
        </w:rPr>
        <w:t xml:space="preserve"> Similarly, there is limited statistical data on violence against First Nations women and girls with disability,</w:t>
      </w:r>
      <w:r w:rsidRPr="00387DF8">
        <w:rPr>
          <w:rStyle w:val="EndnoteReference"/>
          <w:rFonts w:ascii="Proxima Nova" w:hAnsi="Proxima Nova" w:cstheme="minorHAnsi"/>
          <w:sz w:val="22"/>
          <w:szCs w:val="22"/>
        </w:rPr>
        <w:endnoteReference w:id="110"/>
      </w:r>
      <w:r w:rsidRPr="00387DF8">
        <w:rPr>
          <w:rFonts w:ascii="Proxima Nova" w:hAnsi="Proxima Nova" w:cstheme="minorHAnsi"/>
          <w:sz w:val="22"/>
          <w:szCs w:val="22"/>
        </w:rPr>
        <w:t xml:space="preserve"> including in the context of restrictive practices. However, based on available statistics about violence, it is likely that women and girls with disability do experience a high incidence of restrictive practices.</w:t>
      </w:r>
    </w:p>
    <w:p w14:paraId="0DE0C2F3" w14:textId="77777777" w:rsidR="00843385" w:rsidRPr="00387DF8" w:rsidRDefault="00843385" w:rsidP="00387DF8">
      <w:pPr>
        <w:spacing w:line="276" w:lineRule="auto"/>
        <w:ind w:left="720" w:hanging="720"/>
        <w:rPr>
          <w:rFonts w:ascii="Proxima Nova" w:hAnsi="Proxima Nova" w:cstheme="minorHAnsi"/>
          <w:sz w:val="22"/>
          <w:szCs w:val="22"/>
        </w:rPr>
      </w:pPr>
    </w:p>
    <w:p w14:paraId="7B05A7E9" w14:textId="6A17ED6A" w:rsidR="00624A04" w:rsidRPr="00387DF8" w:rsidRDefault="001D23E9" w:rsidP="00387DF8">
      <w:pPr>
        <w:pStyle w:val="ListParagraph"/>
        <w:numPr>
          <w:ilvl w:val="1"/>
          <w:numId w:val="21"/>
        </w:numPr>
        <w:autoSpaceDE w:val="0"/>
        <w:autoSpaceDN w:val="0"/>
        <w:adjustRightInd w:val="0"/>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The Royal Commission must take a gender-inclusive approach to its exploration of restrictive practices as violence</w:t>
      </w:r>
      <w:r w:rsidR="00E2389B" w:rsidRPr="00387DF8">
        <w:rPr>
          <w:rFonts w:ascii="Proxima Nova" w:hAnsi="Proxima Nova" w:cstheme="minorHAnsi"/>
          <w:sz w:val="22"/>
          <w:szCs w:val="22"/>
        </w:rPr>
        <w:t>. Such an approach involves</w:t>
      </w:r>
      <w:r w:rsidRPr="00387DF8">
        <w:rPr>
          <w:rFonts w:ascii="Proxima Nova" w:hAnsi="Proxima Nova" w:cstheme="minorHAnsi"/>
          <w:sz w:val="22"/>
          <w:szCs w:val="22"/>
        </w:rPr>
        <w:t xml:space="preserve"> recognising and investigating as forms of restrictive practices: non-consensual and coercive sterilisation, menstrual suppression, contraception and abortion, forced child removal and denial of support for sexual activity and intimate relationships. </w:t>
      </w:r>
      <w:r w:rsidR="00E2389B" w:rsidRPr="00387DF8">
        <w:rPr>
          <w:rFonts w:ascii="Proxima Nova" w:hAnsi="Proxima Nova" w:cstheme="minorHAnsi"/>
          <w:sz w:val="22"/>
          <w:szCs w:val="22"/>
        </w:rPr>
        <w:t>This approach also involves</w:t>
      </w:r>
      <w:r w:rsidR="00624A04" w:rsidRPr="00387DF8">
        <w:rPr>
          <w:rFonts w:ascii="Proxima Nova" w:hAnsi="Proxima Nova" w:cstheme="minorHAnsi"/>
          <w:sz w:val="22"/>
          <w:szCs w:val="22"/>
        </w:rPr>
        <w:t xml:space="preserve"> thoroughly explor</w:t>
      </w:r>
      <w:r w:rsidR="00E2389B" w:rsidRPr="00387DF8">
        <w:rPr>
          <w:rFonts w:ascii="Proxima Nova" w:hAnsi="Proxima Nova" w:cstheme="minorHAnsi"/>
          <w:sz w:val="22"/>
          <w:szCs w:val="22"/>
        </w:rPr>
        <w:t>ing</w:t>
      </w:r>
      <w:r w:rsidR="00624A04" w:rsidRPr="00387DF8">
        <w:rPr>
          <w:rFonts w:ascii="Proxima Nova" w:hAnsi="Proxima Nova" w:cstheme="minorHAnsi"/>
          <w:sz w:val="22"/>
          <w:szCs w:val="22"/>
        </w:rPr>
        <w:t xml:space="preserve"> connections between sexual and domestic violence and restrictive practices, particularly </w:t>
      </w:r>
      <w:proofErr w:type="gramStart"/>
      <w:r w:rsidR="00624A04" w:rsidRPr="00387DF8">
        <w:rPr>
          <w:rFonts w:ascii="Proxima Nova" w:hAnsi="Proxima Nova" w:cstheme="minorHAnsi"/>
          <w:sz w:val="22"/>
          <w:szCs w:val="22"/>
        </w:rPr>
        <w:t>in light of</w:t>
      </w:r>
      <w:proofErr w:type="gramEnd"/>
      <w:r w:rsidR="00624A04" w:rsidRPr="00387DF8">
        <w:rPr>
          <w:rFonts w:ascii="Proxima Nova" w:hAnsi="Proxima Nova" w:cstheme="minorHAnsi"/>
          <w:sz w:val="22"/>
          <w:szCs w:val="22"/>
        </w:rPr>
        <w:t xml:space="preserve"> the high incidence of sexual and domestic violence in women and girls with disability. This exploration should extend to:</w:t>
      </w:r>
    </w:p>
    <w:p w14:paraId="23079C38" w14:textId="77777777" w:rsidR="00624A04" w:rsidRPr="00387DF8" w:rsidRDefault="00624A04" w:rsidP="00387DF8">
      <w:pPr>
        <w:pStyle w:val="ListParagraph"/>
        <w:spacing w:line="276" w:lineRule="auto"/>
        <w:ind w:left="567" w:hanging="567"/>
        <w:rPr>
          <w:rFonts w:ascii="Proxima Nova" w:hAnsi="Proxima Nova" w:cstheme="minorHAnsi"/>
          <w:sz w:val="22"/>
          <w:szCs w:val="22"/>
        </w:rPr>
      </w:pPr>
    </w:p>
    <w:p w14:paraId="7600CC82" w14:textId="77777777" w:rsidR="00624A04" w:rsidRPr="00387DF8" w:rsidRDefault="00624A04" w:rsidP="00387DF8">
      <w:pPr>
        <w:pStyle w:val="ListParagraph"/>
        <w:numPr>
          <w:ilvl w:val="0"/>
          <w:numId w:val="23"/>
        </w:numPr>
        <w:spacing w:line="276" w:lineRule="auto"/>
        <w:ind w:left="1077" w:hanging="357"/>
        <w:rPr>
          <w:rFonts w:ascii="Proxima Nova" w:hAnsi="Proxima Nova" w:cstheme="minorHAnsi"/>
          <w:sz w:val="22"/>
          <w:szCs w:val="22"/>
        </w:rPr>
      </w:pPr>
      <w:r w:rsidRPr="00387DF8">
        <w:rPr>
          <w:rFonts w:ascii="Proxima Nova" w:hAnsi="Proxima Nova" w:cstheme="minorHAnsi"/>
          <w:sz w:val="22"/>
          <w:szCs w:val="22"/>
        </w:rPr>
        <w:t xml:space="preserve">the role of restrictive practices in facilitating and concealing sexual and domestic violence against women and girls with </w:t>
      </w:r>
      <w:proofErr w:type="gramStart"/>
      <w:r w:rsidRPr="00387DF8">
        <w:rPr>
          <w:rFonts w:ascii="Proxima Nova" w:hAnsi="Proxima Nova" w:cstheme="minorHAnsi"/>
          <w:sz w:val="22"/>
          <w:szCs w:val="22"/>
        </w:rPr>
        <w:t>disability;</w:t>
      </w:r>
      <w:proofErr w:type="gramEnd"/>
      <w:r w:rsidRPr="00387DF8">
        <w:rPr>
          <w:rFonts w:ascii="Proxima Nova" w:hAnsi="Proxima Nova" w:cstheme="minorHAnsi"/>
          <w:sz w:val="22"/>
          <w:szCs w:val="22"/>
        </w:rPr>
        <w:t xml:space="preserve"> </w:t>
      </w:r>
    </w:p>
    <w:p w14:paraId="17B291F6" w14:textId="34C9FF02" w:rsidR="00624A04" w:rsidRPr="00387DF8" w:rsidRDefault="00624A04" w:rsidP="00387DF8">
      <w:pPr>
        <w:pStyle w:val="ListParagraph"/>
        <w:numPr>
          <w:ilvl w:val="0"/>
          <w:numId w:val="23"/>
        </w:numPr>
        <w:spacing w:line="276" w:lineRule="auto"/>
        <w:ind w:left="1077" w:hanging="357"/>
        <w:rPr>
          <w:rFonts w:ascii="Proxima Nova" w:hAnsi="Proxima Nova" w:cstheme="minorHAnsi"/>
          <w:sz w:val="22"/>
          <w:szCs w:val="22"/>
        </w:rPr>
      </w:pPr>
      <w:r w:rsidRPr="00387DF8">
        <w:rPr>
          <w:rFonts w:ascii="Proxima Nova" w:hAnsi="Proxima Nova" w:cstheme="minorHAnsi"/>
          <w:sz w:val="22"/>
          <w:szCs w:val="22"/>
        </w:rPr>
        <w:t>us</w:t>
      </w:r>
      <w:r w:rsidR="00E2389B" w:rsidRPr="00387DF8">
        <w:rPr>
          <w:rFonts w:ascii="Proxima Nova" w:hAnsi="Proxima Nova" w:cstheme="minorHAnsi"/>
          <w:sz w:val="22"/>
          <w:szCs w:val="22"/>
        </w:rPr>
        <w:t>e of restrictive practices as a service</w:t>
      </w:r>
      <w:r w:rsidRPr="00387DF8">
        <w:rPr>
          <w:rFonts w:ascii="Proxima Nova" w:hAnsi="Proxima Nova" w:cstheme="minorHAnsi"/>
          <w:sz w:val="22"/>
          <w:szCs w:val="22"/>
        </w:rPr>
        <w:t xml:space="preserve"> response to ‘challenging behaviour’ or ‘behaviours of concern’ where these behaviours are</w:t>
      </w:r>
      <w:r w:rsidR="00E2389B" w:rsidRPr="00387DF8">
        <w:rPr>
          <w:rFonts w:ascii="Proxima Nova" w:hAnsi="Proxima Nova" w:cstheme="minorHAnsi"/>
          <w:sz w:val="22"/>
          <w:szCs w:val="22"/>
        </w:rPr>
        <w:t xml:space="preserve"> </w:t>
      </w:r>
      <w:proofErr w:type="gramStart"/>
      <w:r w:rsidR="00E2389B" w:rsidRPr="00387DF8">
        <w:rPr>
          <w:rFonts w:ascii="Proxima Nova" w:hAnsi="Proxima Nova" w:cstheme="minorHAnsi"/>
          <w:sz w:val="22"/>
          <w:szCs w:val="22"/>
        </w:rPr>
        <w:t>actually</w:t>
      </w:r>
      <w:r w:rsidRPr="00387DF8">
        <w:rPr>
          <w:rFonts w:ascii="Proxima Nova" w:hAnsi="Proxima Nova" w:cstheme="minorHAnsi"/>
          <w:sz w:val="22"/>
          <w:szCs w:val="22"/>
        </w:rPr>
        <w:t xml:space="preserve"> associated</w:t>
      </w:r>
      <w:proofErr w:type="gramEnd"/>
      <w:r w:rsidRPr="00387DF8">
        <w:rPr>
          <w:rFonts w:ascii="Proxima Nova" w:hAnsi="Proxima Nova" w:cstheme="minorHAnsi"/>
          <w:sz w:val="22"/>
          <w:szCs w:val="22"/>
        </w:rPr>
        <w:t xml:space="preserve"> with current experiences </w:t>
      </w:r>
      <w:r w:rsidR="00E2389B" w:rsidRPr="00387DF8">
        <w:rPr>
          <w:rFonts w:ascii="Proxima Nova" w:hAnsi="Proxima Nova" w:cstheme="minorHAnsi"/>
          <w:sz w:val="22"/>
          <w:szCs w:val="22"/>
        </w:rPr>
        <w:t xml:space="preserve">of violence </w:t>
      </w:r>
      <w:r w:rsidRPr="00387DF8">
        <w:rPr>
          <w:rFonts w:ascii="Proxima Nova" w:hAnsi="Proxima Nova" w:cstheme="minorHAnsi"/>
          <w:sz w:val="22"/>
          <w:szCs w:val="22"/>
        </w:rPr>
        <w:t>or trauma of</w:t>
      </w:r>
      <w:r w:rsidR="00E2389B" w:rsidRPr="00387DF8">
        <w:rPr>
          <w:rFonts w:ascii="Proxima Nova" w:hAnsi="Proxima Nova" w:cstheme="minorHAnsi"/>
          <w:sz w:val="22"/>
          <w:szCs w:val="22"/>
        </w:rPr>
        <w:t xml:space="preserve"> past experiences of</w:t>
      </w:r>
      <w:r w:rsidRPr="00387DF8">
        <w:rPr>
          <w:rFonts w:ascii="Proxima Nova" w:hAnsi="Proxima Nova" w:cstheme="minorHAnsi"/>
          <w:sz w:val="22"/>
          <w:szCs w:val="22"/>
        </w:rPr>
        <w:t xml:space="preserve"> violence, notably sexual violence; and</w:t>
      </w:r>
    </w:p>
    <w:p w14:paraId="38965239" w14:textId="74B839F9" w:rsidR="00624A04" w:rsidRPr="00387DF8" w:rsidRDefault="00624A04" w:rsidP="00387DF8">
      <w:pPr>
        <w:pStyle w:val="ListParagraph"/>
        <w:numPr>
          <w:ilvl w:val="0"/>
          <w:numId w:val="23"/>
        </w:numPr>
        <w:spacing w:line="276" w:lineRule="auto"/>
        <w:ind w:left="1077" w:hanging="357"/>
        <w:rPr>
          <w:rFonts w:ascii="Proxima Nova" w:hAnsi="Proxima Nova" w:cstheme="minorHAnsi"/>
          <w:sz w:val="22"/>
          <w:szCs w:val="22"/>
        </w:rPr>
      </w:pPr>
      <w:r w:rsidRPr="00387DF8">
        <w:rPr>
          <w:rFonts w:ascii="Proxima Nova" w:hAnsi="Proxima Nova" w:cstheme="minorHAnsi"/>
          <w:sz w:val="22"/>
          <w:szCs w:val="22"/>
        </w:rPr>
        <w:t xml:space="preserve">the traumatising effects of restrictive practices. </w:t>
      </w:r>
    </w:p>
    <w:p w14:paraId="79DD35F6" w14:textId="77777777" w:rsidR="00624A04" w:rsidRPr="00387DF8" w:rsidRDefault="00624A04" w:rsidP="00387DF8">
      <w:pPr>
        <w:spacing w:line="276" w:lineRule="auto"/>
        <w:ind w:left="567" w:hanging="567"/>
        <w:rPr>
          <w:rFonts w:ascii="Proxima Nova" w:hAnsi="Proxima Nova" w:cstheme="minorHAnsi"/>
          <w:sz w:val="22"/>
          <w:szCs w:val="22"/>
        </w:rPr>
      </w:pPr>
    </w:p>
    <w:p w14:paraId="37C66848" w14:textId="7A504DB8" w:rsidR="00624A04" w:rsidRPr="00387DF8" w:rsidRDefault="006973DE" w:rsidP="00387DF8">
      <w:pPr>
        <w:pStyle w:val="ListParagraph"/>
        <w:numPr>
          <w:ilvl w:val="1"/>
          <w:numId w:val="21"/>
        </w:numPr>
        <w:spacing w:line="276" w:lineRule="auto"/>
        <w:ind w:left="720" w:hanging="720"/>
        <w:rPr>
          <w:rFonts w:ascii="Proxima Nova" w:hAnsi="Proxima Nova" w:cstheme="minorHAnsi"/>
          <w:sz w:val="22"/>
          <w:szCs w:val="22"/>
        </w:rPr>
      </w:pPr>
      <w:r w:rsidRPr="00387DF8">
        <w:rPr>
          <w:rFonts w:ascii="Proxima Nova" w:hAnsi="Proxima Nova"/>
          <w:sz w:val="22"/>
          <w:szCs w:val="22"/>
        </w:rPr>
        <w:t>WWDA encourages the</w:t>
      </w:r>
      <w:r w:rsidR="00624A04" w:rsidRPr="00387DF8">
        <w:rPr>
          <w:rFonts w:ascii="Proxima Nova" w:hAnsi="Proxima Nova"/>
          <w:sz w:val="22"/>
          <w:szCs w:val="22"/>
        </w:rPr>
        <w:t xml:space="preserve"> Royal Commission </w:t>
      </w:r>
      <w:r w:rsidRPr="00387DF8">
        <w:rPr>
          <w:rFonts w:ascii="Proxima Nova" w:hAnsi="Proxima Nova"/>
          <w:sz w:val="22"/>
          <w:szCs w:val="22"/>
        </w:rPr>
        <w:t>to</w:t>
      </w:r>
      <w:r w:rsidR="00624A04" w:rsidRPr="00387DF8">
        <w:rPr>
          <w:rFonts w:ascii="Proxima Nova" w:hAnsi="Proxima Nova"/>
          <w:sz w:val="22"/>
          <w:szCs w:val="22"/>
        </w:rPr>
        <w:t xml:space="preserve"> seek out data on restrictive practices (including disaggregated data in relation to gender) from all relevant authorities so this data can inform its work. Where data collection is not taking place (or is not sufficiently disaggregated) the Royal Commission must make recommendations requiring data collection and public access to data.</w:t>
      </w:r>
    </w:p>
    <w:p w14:paraId="138DB465" w14:textId="77777777" w:rsidR="00BC6D2C" w:rsidRPr="00387DF8" w:rsidRDefault="00BC6D2C" w:rsidP="00387DF8">
      <w:pPr>
        <w:spacing w:line="276" w:lineRule="auto"/>
        <w:ind w:left="720" w:hanging="720"/>
        <w:rPr>
          <w:rFonts w:ascii="Proxima Nova" w:hAnsi="Proxima Nova" w:cstheme="minorHAnsi"/>
          <w:sz w:val="22"/>
          <w:szCs w:val="22"/>
        </w:rPr>
      </w:pPr>
    </w:p>
    <w:p w14:paraId="6E9D7331" w14:textId="5AC22F23" w:rsidR="00E2389B" w:rsidRPr="00387DF8" w:rsidRDefault="001D23E9" w:rsidP="00387DF8">
      <w:pPr>
        <w:pStyle w:val="ListParagraph"/>
        <w:numPr>
          <w:ilvl w:val="1"/>
          <w:numId w:val="21"/>
        </w:numPr>
        <w:autoSpaceDE w:val="0"/>
        <w:autoSpaceDN w:val="0"/>
        <w:adjustRightInd w:val="0"/>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Despite Term of Reference G, which clearly calls for the Royal Commission to examine the specific experiences of violence against, and abuse, neglect and exploitation of, people with disability in relation to sex and gender,</w:t>
      </w:r>
      <w:r w:rsidRPr="00387DF8">
        <w:rPr>
          <w:rStyle w:val="EndnoteReference"/>
          <w:rFonts w:ascii="Proxima Nova" w:hAnsi="Proxima Nova" w:cstheme="minorHAnsi"/>
          <w:sz w:val="22"/>
          <w:szCs w:val="22"/>
        </w:rPr>
        <w:endnoteReference w:id="111"/>
      </w:r>
      <w:r w:rsidR="00E2389B" w:rsidRPr="00387DF8">
        <w:rPr>
          <w:rFonts w:ascii="Proxima Nova" w:hAnsi="Proxima Nova" w:cstheme="minorHAnsi"/>
          <w:sz w:val="22"/>
          <w:szCs w:val="22"/>
        </w:rPr>
        <w:t xml:space="preserve"> to date the Royal Commission’s work on restrictive practices</w:t>
      </w:r>
      <w:r w:rsidRPr="00387DF8">
        <w:rPr>
          <w:rFonts w:ascii="Proxima Nova" w:hAnsi="Proxima Nova" w:cstheme="minorHAnsi"/>
          <w:sz w:val="22"/>
          <w:szCs w:val="22"/>
        </w:rPr>
        <w:t xml:space="preserve"> </w:t>
      </w:r>
      <w:r w:rsidR="00E2389B" w:rsidRPr="00387DF8">
        <w:rPr>
          <w:rFonts w:ascii="Proxima Nova" w:hAnsi="Proxima Nova" w:cstheme="minorHAnsi"/>
          <w:sz w:val="22"/>
          <w:szCs w:val="22"/>
        </w:rPr>
        <w:t xml:space="preserve">has not considered </w:t>
      </w:r>
      <w:r w:rsidRPr="00387DF8">
        <w:rPr>
          <w:rFonts w:ascii="Proxima Nova" w:hAnsi="Proxima Nova" w:cstheme="minorHAnsi"/>
          <w:sz w:val="22"/>
          <w:szCs w:val="22"/>
        </w:rPr>
        <w:t>the specific situation of women</w:t>
      </w:r>
      <w:r w:rsidR="00E2389B" w:rsidRPr="00387DF8">
        <w:rPr>
          <w:rFonts w:ascii="Proxima Nova" w:hAnsi="Proxima Nova" w:cstheme="minorHAnsi"/>
          <w:sz w:val="22"/>
          <w:szCs w:val="22"/>
        </w:rPr>
        <w:t xml:space="preserve"> and girls</w:t>
      </w:r>
      <w:r w:rsidRPr="00387DF8">
        <w:rPr>
          <w:rFonts w:ascii="Proxima Nova" w:hAnsi="Proxima Nova" w:cstheme="minorHAnsi"/>
          <w:sz w:val="22"/>
          <w:szCs w:val="22"/>
        </w:rPr>
        <w:t xml:space="preserve"> with disability. </w:t>
      </w:r>
      <w:r w:rsidR="00E2389B" w:rsidRPr="00387DF8">
        <w:rPr>
          <w:rFonts w:ascii="Proxima Nova" w:hAnsi="Proxima Nova" w:cstheme="minorHAnsi"/>
          <w:sz w:val="22"/>
          <w:szCs w:val="22"/>
        </w:rPr>
        <w:t xml:space="preserve">In the </w:t>
      </w:r>
      <w:r w:rsidR="003509C3" w:rsidRPr="00387DF8">
        <w:rPr>
          <w:rFonts w:ascii="Proxima Nova" w:hAnsi="Proxima Nova" w:cs="Calibri"/>
          <w:sz w:val="22"/>
          <w:szCs w:val="22"/>
        </w:rPr>
        <w:t xml:space="preserve">Restrictive Practices </w:t>
      </w:r>
      <w:r w:rsidR="00E2389B" w:rsidRPr="00387DF8">
        <w:rPr>
          <w:rFonts w:ascii="Proxima Nova" w:hAnsi="Proxima Nova" w:cstheme="minorHAnsi"/>
          <w:sz w:val="22"/>
          <w:szCs w:val="22"/>
        </w:rPr>
        <w:t xml:space="preserve">Issues Paper there is concerning omission of any reference to the specific situation of women with disability. Moreover, there is no consideration in the </w:t>
      </w:r>
      <w:r w:rsidR="003509C3" w:rsidRPr="00387DF8">
        <w:rPr>
          <w:rFonts w:ascii="Proxima Nova" w:hAnsi="Proxima Nova" w:cs="Calibri"/>
          <w:sz w:val="22"/>
          <w:szCs w:val="22"/>
        </w:rPr>
        <w:t xml:space="preserve">Restrictive Practices </w:t>
      </w:r>
      <w:r w:rsidR="00E2389B" w:rsidRPr="00387DF8">
        <w:rPr>
          <w:rFonts w:ascii="Proxima Nova" w:hAnsi="Proxima Nova" w:cstheme="minorHAnsi"/>
          <w:sz w:val="22"/>
          <w:szCs w:val="22"/>
        </w:rPr>
        <w:t xml:space="preserve">Issues Paper of First Nations women and girls with disability or culturally and linguistically diverse women and girls with disability, even though these are populations that the Royal Commission has committed to prioritising in its work: </w:t>
      </w:r>
    </w:p>
    <w:p w14:paraId="2C11BBD3" w14:textId="77777777" w:rsidR="00E2389B" w:rsidRPr="00387DF8" w:rsidRDefault="00E2389B" w:rsidP="00387DF8">
      <w:pPr>
        <w:spacing w:line="276" w:lineRule="auto"/>
        <w:rPr>
          <w:rFonts w:ascii="Proxima Nova" w:hAnsi="Proxima Nova" w:cstheme="minorHAnsi"/>
          <w:sz w:val="22"/>
          <w:szCs w:val="22"/>
        </w:rPr>
      </w:pPr>
    </w:p>
    <w:p w14:paraId="1DA1F240" w14:textId="14DB9E45" w:rsidR="00464CE6" w:rsidRPr="00387DF8" w:rsidRDefault="001D23E9" w:rsidP="00387DF8">
      <w:pPr>
        <w:pStyle w:val="ListParagraph"/>
        <w:autoSpaceDE w:val="0"/>
        <w:autoSpaceDN w:val="0"/>
        <w:adjustRightInd w:val="0"/>
        <w:spacing w:line="276" w:lineRule="auto"/>
        <w:ind w:left="1134"/>
        <w:rPr>
          <w:rFonts w:ascii="Proxima Nova" w:hAnsi="Proxima Nova" w:cstheme="minorHAnsi"/>
          <w:sz w:val="22"/>
          <w:szCs w:val="22"/>
        </w:rPr>
      </w:pPr>
      <w:r w:rsidRPr="00387DF8">
        <w:rPr>
          <w:rFonts w:ascii="Proxima Nova" w:hAnsi="Proxima Nova" w:cstheme="minorHAnsi"/>
          <w:i/>
          <w:iCs/>
          <w:sz w:val="22"/>
          <w:szCs w:val="22"/>
        </w:rPr>
        <w:t xml:space="preserve">The Royal Commission is also interested in the multi-layered experiences of people with disability of different age, sex, gender identity, sexual orientation and race. </w:t>
      </w:r>
      <w:proofErr w:type="gramStart"/>
      <w:r w:rsidRPr="00387DF8">
        <w:rPr>
          <w:rFonts w:ascii="Proxima Nova" w:hAnsi="Proxima Nova" w:cstheme="minorHAnsi"/>
          <w:i/>
          <w:iCs/>
          <w:sz w:val="22"/>
          <w:szCs w:val="22"/>
        </w:rPr>
        <w:t>In particular, we</w:t>
      </w:r>
      <w:proofErr w:type="gramEnd"/>
      <w:r w:rsidRPr="00387DF8">
        <w:rPr>
          <w:rFonts w:ascii="Proxima Nova" w:hAnsi="Proxima Nova" w:cstheme="minorHAnsi"/>
          <w:i/>
          <w:iCs/>
          <w:sz w:val="22"/>
          <w:szCs w:val="22"/>
        </w:rPr>
        <w:t xml:space="preserve"> will look at the experiences of First Nations people with disability and culturally and linguistically diverse people with disability.</w:t>
      </w:r>
      <w:r w:rsidRPr="00387DF8">
        <w:rPr>
          <w:rStyle w:val="EndnoteReference"/>
          <w:rFonts w:ascii="Proxima Nova" w:hAnsi="Proxima Nova" w:cstheme="minorHAnsi"/>
          <w:sz w:val="22"/>
          <w:szCs w:val="22"/>
        </w:rPr>
        <w:endnoteReference w:id="112"/>
      </w:r>
      <w:r w:rsidRPr="00387DF8">
        <w:rPr>
          <w:rFonts w:ascii="Proxima Nova" w:hAnsi="Proxima Nova" w:cstheme="minorHAnsi"/>
          <w:sz w:val="22"/>
          <w:szCs w:val="22"/>
        </w:rPr>
        <w:t xml:space="preserve">  </w:t>
      </w:r>
    </w:p>
    <w:p w14:paraId="39632377" w14:textId="77777777" w:rsidR="00464CE6" w:rsidRPr="00387DF8" w:rsidRDefault="00464CE6" w:rsidP="00387DF8">
      <w:pPr>
        <w:autoSpaceDE w:val="0"/>
        <w:autoSpaceDN w:val="0"/>
        <w:adjustRightInd w:val="0"/>
        <w:spacing w:line="276" w:lineRule="auto"/>
        <w:ind w:left="720" w:hanging="720"/>
        <w:rPr>
          <w:rFonts w:ascii="Proxima Nova" w:hAnsi="Proxima Nova" w:cstheme="minorHAnsi"/>
          <w:color w:val="000000"/>
          <w:sz w:val="22"/>
          <w:szCs w:val="22"/>
        </w:rPr>
      </w:pPr>
    </w:p>
    <w:p w14:paraId="56D45DED" w14:textId="3B4D90D3" w:rsidR="00587934" w:rsidRPr="00387DF8" w:rsidRDefault="00050A4C" w:rsidP="00387DF8">
      <w:pPr>
        <w:pStyle w:val="ListParagraph"/>
        <w:numPr>
          <w:ilvl w:val="1"/>
          <w:numId w:val="21"/>
        </w:numPr>
        <w:snapToGrid w:val="0"/>
        <w:spacing w:line="276" w:lineRule="auto"/>
        <w:ind w:left="720" w:hanging="720"/>
        <w:contextualSpacing w:val="0"/>
        <w:rPr>
          <w:rFonts w:ascii="Proxima Nova" w:hAnsi="Proxima Nova" w:cstheme="minorHAnsi"/>
          <w:sz w:val="22"/>
          <w:szCs w:val="22"/>
          <w:bdr w:val="none" w:sz="0" w:space="0" w:color="auto" w:frame="1"/>
        </w:rPr>
      </w:pPr>
      <w:r w:rsidRPr="00387DF8">
        <w:rPr>
          <w:rFonts w:ascii="Proxima Nova" w:hAnsi="Proxima Nova" w:cstheme="minorHAnsi"/>
          <w:sz w:val="22"/>
          <w:szCs w:val="22"/>
        </w:rPr>
        <w:t>Consideration of restrictive practices must be mindful of the diversity of women and girls with disability. Over two-million women and girls with disability live in Australia (approximately 20% of the population of women), including approximately 100,000 girls with disability aged 0-14 and two-million women with disability aged 15 and older.</w:t>
      </w:r>
      <w:r w:rsidRPr="00387DF8">
        <w:rPr>
          <w:rStyle w:val="EndnoteReference"/>
          <w:rFonts w:ascii="Proxima Nova" w:hAnsi="Proxima Nova" w:cstheme="minorHAnsi"/>
          <w:sz w:val="22"/>
          <w:szCs w:val="22"/>
        </w:rPr>
        <w:endnoteReference w:id="113"/>
      </w:r>
      <w:r w:rsidRPr="00387DF8">
        <w:rPr>
          <w:rFonts w:ascii="Proxima Nova" w:hAnsi="Proxima Nova" w:cstheme="minorHAnsi"/>
          <w:sz w:val="22"/>
          <w:szCs w:val="22"/>
        </w:rPr>
        <w:t xml:space="preserve"> Women with disability in Australia come from a range of backgrounds, lifestyles, beliefs and communities. They may be Indigenous or come from culturally and linguistically diverse communities. They may have a faith, or not; be married, divorced, partnered, or single; gay, lesbian, bisexual, transgender or intersex; parents, guardians, carers, and friends. They may or may not be in paid work, or they may be engaged in education and training. Each of these contexts can affect how, when, why, and in what form a woman with disability accesses, receives and/or is denied, services and supports. Further, these contexts can also influence how or if, and to what extent, women and girls with disability are included in </w:t>
      </w:r>
      <w:r w:rsidRPr="00387DF8">
        <w:rPr>
          <w:rFonts w:ascii="Proxima Nova" w:hAnsi="Proxima Nova" w:cstheme="minorHAnsi"/>
          <w:sz w:val="22"/>
          <w:szCs w:val="22"/>
          <w:lang w:eastAsia="en-GB"/>
        </w:rPr>
        <w:t>social, political, cultural and economic opportunities and participation in community life.</w:t>
      </w:r>
      <w:r w:rsidR="00587934" w:rsidRPr="00387DF8">
        <w:rPr>
          <w:rFonts w:ascii="Proxima Nova" w:hAnsi="Proxima Nova" w:cstheme="minorHAnsi"/>
          <w:sz w:val="22"/>
          <w:szCs w:val="22"/>
          <w:lang w:eastAsia="en-GB"/>
        </w:rPr>
        <w:t xml:space="preserve"> Moreover, </w:t>
      </w:r>
      <w:r w:rsidR="00587934" w:rsidRPr="00387DF8">
        <w:rPr>
          <w:rFonts w:ascii="Proxima Nova" w:hAnsi="Proxima Nova" w:cstheme="minorHAnsi"/>
          <w:sz w:val="22"/>
          <w:szCs w:val="22"/>
          <w:bdr w:val="none" w:sz="0" w:space="0" w:color="auto" w:frame="1"/>
        </w:rPr>
        <w:t xml:space="preserve">there are under-explored issues concerning restrictive practices specifically in relation to </w:t>
      </w:r>
      <w:r w:rsidR="00587934" w:rsidRPr="00387DF8">
        <w:rPr>
          <w:rFonts w:ascii="Proxima Nova" w:hAnsi="Proxima Nova" w:cstheme="minorHAnsi"/>
          <w:sz w:val="22"/>
          <w:szCs w:val="22"/>
        </w:rPr>
        <w:t>feminine identifying and non-binary people with disability.</w:t>
      </w:r>
      <w:r w:rsidR="00587934" w:rsidRPr="00387DF8">
        <w:rPr>
          <w:rStyle w:val="EndnoteReference"/>
          <w:rFonts w:ascii="Proxima Nova" w:hAnsi="Proxima Nova" w:cstheme="minorHAnsi"/>
          <w:sz w:val="22"/>
          <w:szCs w:val="22"/>
        </w:rPr>
        <w:endnoteReference w:id="114"/>
      </w:r>
      <w:r w:rsidR="00587934" w:rsidRPr="00387DF8">
        <w:rPr>
          <w:rFonts w:ascii="Proxima Nova" w:hAnsi="Proxima Nova" w:cstheme="minorHAnsi"/>
          <w:sz w:val="22"/>
          <w:szCs w:val="22"/>
        </w:rPr>
        <w:t xml:space="preserve"> </w:t>
      </w:r>
    </w:p>
    <w:p w14:paraId="78FF6839" w14:textId="77777777" w:rsidR="00050A4C" w:rsidRPr="00387DF8" w:rsidRDefault="00050A4C" w:rsidP="00387DF8">
      <w:pPr>
        <w:autoSpaceDE w:val="0"/>
        <w:autoSpaceDN w:val="0"/>
        <w:adjustRightInd w:val="0"/>
        <w:spacing w:line="276" w:lineRule="auto"/>
        <w:ind w:left="720" w:hanging="720"/>
        <w:rPr>
          <w:rFonts w:ascii="Proxima Nova" w:hAnsi="Proxima Nova" w:cstheme="minorHAnsi"/>
          <w:color w:val="000000"/>
          <w:sz w:val="22"/>
          <w:szCs w:val="22"/>
        </w:rPr>
      </w:pPr>
    </w:p>
    <w:p w14:paraId="56DB8E68" w14:textId="75C28BDB" w:rsidR="001D23E9" w:rsidRPr="00387DF8" w:rsidRDefault="001D23E9" w:rsidP="00387DF8">
      <w:pPr>
        <w:pStyle w:val="ListParagraph"/>
        <w:numPr>
          <w:ilvl w:val="1"/>
          <w:numId w:val="21"/>
        </w:numPr>
        <w:autoSpaceDE w:val="0"/>
        <w:autoSpaceDN w:val="0"/>
        <w:adjustRightInd w:val="0"/>
        <w:spacing w:line="276" w:lineRule="auto"/>
        <w:ind w:left="720" w:hanging="720"/>
        <w:rPr>
          <w:rFonts w:ascii="Proxima Nova" w:hAnsi="Proxima Nova" w:cstheme="minorHAnsi"/>
          <w:color w:val="000000"/>
          <w:sz w:val="22"/>
          <w:szCs w:val="22"/>
        </w:rPr>
      </w:pPr>
      <w:r w:rsidRPr="00387DF8">
        <w:rPr>
          <w:rFonts w:ascii="Proxima Nova" w:hAnsi="Proxima Nova" w:cstheme="minorHAnsi"/>
          <w:color w:val="000000"/>
          <w:sz w:val="22"/>
          <w:szCs w:val="22"/>
        </w:rPr>
        <w:t>In ‘</w:t>
      </w:r>
      <w:r w:rsidRPr="00387DF8">
        <w:rPr>
          <w:rFonts w:ascii="Proxima Nova" w:hAnsi="Proxima Nova" w:cstheme="minorHAnsi"/>
          <w:sz w:val="22"/>
          <w:szCs w:val="22"/>
        </w:rPr>
        <w:t>Nature and extent of violence, abuse, neglect and exploitation against people with disability in Australia’</w:t>
      </w:r>
      <w:r w:rsidRPr="00387DF8">
        <w:rPr>
          <w:rFonts w:ascii="Proxima Nova" w:hAnsi="Proxima Nova" w:cstheme="minorHAnsi"/>
          <w:color w:val="000000"/>
          <w:sz w:val="22"/>
          <w:szCs w:val="22"/>
        </w:rPr>
        <w:t xml:space="preserve">, a report commissioned by the Royal Commission, the Centre for </w:t>
      </w:r>
      <w:r w:rsidRPr="00387DF8">
        <w:rPr>
          <w:rFonts w:ascii="Proxima Nova" w:hAnsi="Proxima Nova" w:cstheme="minorHAnsi"/>
          <w:color w:val="000000"/>
          <w:sz w:val="22"/>
          <w:szCs w:val="22"/>
        </w:rPr>
        <w:lastRenderedPageBreak/>
        <w:t>Research Excellence in Disability and Health recognises the exclusion of sterilisation and other restrictive practices from conventional understandings of violence:</w:t>
      </w:r>
    </w:p>
    <w:p w14:paraId="3FF318E1" w14:textId="77777777" w:rsidR="001D23E9" w:rsidRPr="00387DF8" w:rsidRDefault="001D23E9" w:rsidP="00387DF8">
      <w:pPr>
        <w:spacing w:line="276" w:lineRule="auto"/>
        <w:rPr>
          <w:rFonts w:ascii="Proxima Nova" w:hAnsi="Proxima Nova" w:cstheme="minorHAnsi"/>
          <w:color w:val="000000"/>
          <w:sz w:val="22"/>
          <w:szCs w:val="22"/>
        </w:rPr>
      </w:pPr>
    </w:p>
    <w:p w14:paraId="6C0E3532" w14:textId="1CF4D8E4" w:rsidR="001D23E9" w:rsidRPr="00387DF8" w:rsidRDefault="001D23E9" w:rsidP="00387DF8">
      <w:pPr>
        <w:pStyle w:val="ListParagraph"/>
        <w:autoSpaceDE w:val="0"/>
        <w:autoSpaceDN w:val="0"/>
        <w:adjustRightInd w:val="0"/>
        <w:spacing w:line="276" w:lineRule="auto"/>
        <w:ind w:left="1134"/>
        <w:rPr>
          <w:rFonts w:ascii="Proxima Nova" w:hAnsi="Proxima Nova" w:cstheme="minorHAnsi"/>
          <w:i/>
          <w:iCs/>
          <w:sz w:val="22"/>
          <w:szCs w:val="22"/>
        </w:rPr>
      </w:pPr>
      <w:r w:rsidRPr="00387DF8">
        <w:rPr>
          <w:rFonts w:ascii="Proxima Nova" w:hAnsi="Proxima Nova" w:cstheme="minorHAnsi"/>
          <w:i/>
          <w:iCs/>
          <w:sz w:val="22"/>
          <w:szCs w:val="22"/>
        </w:rPr>
        <w:t>Currently, there is no consistent approach to defining or identifying violence, abuse, neglect and exploitation against people with disability in Australia. Information is mostly drawn from data collections that typically ask about forms of violence that are common across the population (e.g., physical and sexual violence; domestic and family violence). While these data tell us about the nature, extent and impact of some types of violence for people with disability in comparison to people without disability, they fail to capture additional behaviours and manifestations of violence</w:t>
      </w:r>
      <w:r w:rsidR="009A03F2" w:rsidRPr="00387DF8">
        <w:rPr>
          <w:rFonts w:ascii="Proxima Nova" w:hAnsi="Proxima Nova" w:cstheme="minorHAnsi"/>
          <w:i/>
          <w:iCs/>
          <w:sz w:val="22"/>
          <w:szCs w:val="22"/>
        </w:rPr>
        <w:t xml:space="preserve"> </w:t>
      </w:r>
      <w:r w:rsidRPr="00387DF8">
        <w:rPr>
          <w:rFonts w:ascii="Proxima Nova" w:hAnsi="Proxima Nova" w:cstheme="minorHAnsi"/>
          <w:i/>
          <w:iCs/>
          <w:sz w:val="22"/>
          <w:szCs w:val="22"/>
        </w:rPr>
        <w:t xml:space="preserve">that may be specific to, or even experienced exclusively by, people with disability. </w:t>
      </w:r>
    </w:p>
    <w:p w14:paraId="781BA79C" w14:textId="77777777" w:rsidR="001D23E9" w:rsidRPr="00387DF8" w:rsidRDefault="001D23E9" w:rsidP="00387DF8">
      <w:pPr>
        <w:pStyle w:val="ListParagraph"/>
        <w:autoSpaceDE w:val="0"/>
        <w:autoSpaceDN w:val="0"/>
        <w:adjustRightInd w:val="0"/>
        <w:spacing w:line="276" w:lineRule="auto"/>
        <w:ind w:left="1134"/>
        <w:rPr>
          <w:rFonts w:ascii="Proxima Nova" w:hAnsi="Proxima Nova" w:cstheme="minorHAnsi"/>
          <w:i/>
          <w:iCs/>
          <w:sz w:val="22"/>
          <w:szCs w:val="22"/>
        </w:rPr>
      </w:pPr>
    </w:p>
    <w:p w14:paraId="57FA13F7" w14:textId="77777777" w:rsidR="001D23E9" w:rsidRPr="00387DF8" w:rsidRDefault="001D23E9" w:rsidP="00387DF8">
      <w:pPr>
        <w:pStyle w:val="ListParagraph"/>
        <w:autoSpaceDE w:val="0"/>
        <w:autoSpaceDN w:val="0"/>
        <w:adjustRightInd w:val="0"/>
        <w:spacing w:line="276" w:lineRule="auto"/>
        <w:ind w:left="1134"/>
        <w:rPr>
          <w:rFonts w:ascii="Proxima Nova" w:hAnsi="Proxima Nova" w:cstheme="minorHAnsi"/>
          <w:i/>
          <w:iCs/>
          <w:sz w:val="22"/>
          <w:szCs w:val="22"/>
        </w:rPr>
      </w:pPr>
      <w:r w:rsidRPr="00387DF8">
        <w:rPr>
          <w:rFonts w:ascii="Proxima Nova" w:hAnsi="Proxima Nova" w:cstheme="minorHAnsi"/>
          <w:i/>
          <w:iCs/>
          <w:sz w:val="22"/>
          <w:szCs w:val="22"/>
        </w:rPr>
        <w:t xml:space="preserve">This includes, for example, violence that is targeted at people with disability because of their perceived vulnerability (also known as hate, disablist hate or bias crimes); denial of treatment, required medication and/or specific aids; limiting access to social and other support services and exploitation/violation of bodily autonomy including forced or coerced </w:t>
      </w:r>
      <w:r w:rsidRPr="00387DF8">
        <w:rPr>
          <w:rStyle w:val="highlight"/>
          <w:rFonts w:ascii="Proxima Nova" w:hAnsi="Proxima Nova" w:cstheme="minorHAnsi"/>
          <w:i/>
          <w:iCs/>
          <w:sz w:val="22"/>
          <w:szCs w:val="22"/>
        </w:rPr>
        <w:t>sterilisation</w:t>
      </w:r>
      <w:r w:rsidRPr="00387DF8">
        <w:rPr>
          <w:rFonts w:ascii="Proxima Nova" w:hAnsi="Proxima Nova" w:cstheme="minorHAnsi"/>
          <w:i/>
          <w:iCs/>
          <w:sz w:val="22"/>
          <w:szCs w:val="22"/>
        </w:rPr>
        <w:t xml:space="preserve">. Information about these less commonly understood expressions of violent, abusive, neglectful and exploitative behaviours and practices rely primarily on formal disclosure and recording and currently there is little to support understanding about its nature and extent. </w:t>
      </w:r>
    </w:p>
    <w:p w14:paraId="2FDCD428" w14:textId="77777777" w:rsidR="001D23E9" w:rsidRPr="00387DF8" w:rsidRDefault="001D23E9" w:rsidP="00387DF8">
      <w:pPr>
        <w:pStyle w:val="ListParagraph"/>
        <w:autoSpaceDE w:val="0"/>
        <w:autoSpaceDN w:val="0"/>
        <w:adjustRightInd w:val="0"/>
        <w:spacing w:line="276" w:lineRule="auto"/>
        <w:ind w:left="1134"/>
        <w:rPr>
          <w:rFonts w:ascii="Proxima Nova" w:hAnsi="Proxima Nova" w:cstheme="minorHAnsi"/>
          <w:i/>
          <w:iCs/>
          <w:sz w:val="22"/>
          <w:szCs w:val="22"/>
        </w:rPr>
      </w:pPr>
    </w:p>
    <w:p w14:paraId="45C3CBD0" w14:textId="77777777" w:rsidR="001D23E9" w:rsidRPr="00387DF8" w:rsidRDefault="001D23E9" w:rsidP="00387DF8">
      <w:pPr>
        <w:pStyle w:val="ListParagraph"/>
        <w:autoSpaceDE w:val="0"/>
        <w:autoSpaceDN w:val="0"/>
        <w:adjustRightInd w:val="0"/>
        <w:spacing w:line="276" w:lineRule="auto"/>
        <w:ind w:left="1134"/>
        <w:rPr>
          <w:rFonts w:ascii="Proxima Nova" w:hAnsi="Proxima Nova" w:cstheme="minorHAnsi"/>
          <w:color w:val="000000"/>
          <w:sz w:val="22"/>
          <w:szCs w:val="22"/>
        </w:rPr>
      </w:pPr>
      <w:r w:rsidRPr="00387DF8">
        <w:rPr>
          <w:rFonts w:ascii="Proxima Nova" w:hAnsi="Proxima Nova" w:cstheme="minorHAnsi"/>
          <w:i/>
          <w:iCs/>
          <w:sz w:val="22"/>
          <w:szCs w:val="22"/>
        </w:rPr>
        <w:t>We encourage the Disability Royal Commission therefore to explore the full scope of what violence, abuse, neglect and exploitation means for people with disability; the way it is enacted through a diverse range of incidents, consistently as part of everyday experiences and through the operations of family structures, relationships, institutions, service delivery and policy and legislative settings.</w:t>
      </w:r>
      <w:r w:rsidRPr="00387DF8">
        <w:rPr>
          <w:rStyle w:val="EndnoteReference"/>
          <w:rFonts w:ascii="Proxima Nova" w:hAnsi="Proxima Nova" w:cstheme="minorHAnsi"/>
          <w:color w:val="000000"/>
          <w:sz w:val="22"/>
          <w:szCs w:val="22"/>
        </w:rPr>
        <w:endnoteReference w:id="115"/>
      </w:r>
    </w:p>
    <w:p w14:paraId="036EB6C5" w14:textId="77777777" w:rsidR="001D23E9" w:rsidRPr="00387DF8" w:rsidRDefault="001D23E9" w:rsidP="00387DF8">
      <w:pPr>
        <w:autoSpaceDE w:val="0"/>
        <w:autoSpaceDN w:val="0"/>
        <w:adjustRightInd w:val="0"/>
        <w:spacing w:line="276" w:lineRule="auto"/>
        <w:ind w:left="720" w:hanging="720"/>
        <w:rPr>
          <w:rFonts w:ascii="Proxima Nova" w:hAnsi="Proxima Nova" w:cstheme="minorHAnsi"/>
          <w:color w:val="000000"/>
          <w:sz w:val="22"/>
          <w:szCs w:val="22"/>
        </w:rPr>
      </w:pPr>
    </w:p>
    <w:p w14:paraId="7818F328" w14:textId="2B54043B" w:rsidR="00E2389B" w:rsidRPr="00387DF8" w:rsidRDefault="00E2389B" w:rsidP="00387DF8">
      <w:pPr>
        <w:pStyle w:val="ListParagraph"/>
        <w:numPr>
          <w:ilvl w:val="1"/>
          <w:numId w:val="21"/>
        </w:numPr>
        <w:autoSpaceDE w:val="0"/>
        <w:autoSpaceDN w:val="0"/>
        <w:adjustRightInd w:val="0"/>
        <w:spacing w:line="276" w:lineRule="auto"/>
        <w:ind w:left="720" w:hanging="720"/>
        <w:rPr>
          <w:rFonts w:ascii="Proxima Nova" w:hAnsi="Proxima Nova" w:cstheme="minorHAnsi"/>
          <w:color w:val="000000"/>
          <w:sz w:val="22"/>
          <w:szCs w:val="22"/>
        </w:rPr>
      </w:pPr>
      <w:r w:rsidRPr="00387DF8">
        <w:rPr>
          <w:rFonts w:ascii="Proxima Nova" w:hAnsi="Proxima Nova" w:cstheme="minorHAnsi"/>
          <w:color w:val="000000"/>
          <w:sz w:val="22"/>
          <w:szCs w:val="22"/>
        </w:rPr>
        <w:t>While the Royal Commission and its commissioned researchers have no contr</w:t>
      </w:r>
      <w:r w:rsidR="00D6256E" w:rsidRPr="00387DF8">
        <w:rPr>
          <w:rFonts w:ascii="Proxima Nova" w:hAnsi="Proxima Nova" w:cstheme="minorHAnsi"/>
          <w:color w:val="000000"/>
          <w:sz w:val="22"/>
          <w:szCs w:val="22"/>
        </w:rPr>
        <w:t>ol over existing datasets, the</w:t>
      </w:r>
      <w:r w:rsidRPr="00387DF8">
        <w:rPr>
          <w:rFonts w:ascii="Proxima Nova" w:hAnsi="Proxima Nova" w:cstheme="minorHAnsi"/>
          <w:color w:val="000000"/>
          <w:sz w:val="22"/>
          <w:szCs w:val="22"/>
        </w:rPr>
        <w:t xml:space="preserve"> Royal Commission </w:t>
      </w:r>
      <w:r w:rsidR="00D6256E" w:rsidRPr="00387DF8">
        <w:rPr>
          <w:rFonts w:ascii="Proxima Nova" w:hAnsi="Proxima Nova" w:cstheme="minorHAnsi"/>
          <w:color w:val="000000"/>
          <w:sz w:val="22"/>
          <w:szCs w:val="22"/>
        </w:rPr>
        <w:t>could u</w:t>
      </w:r>
      <w:r w:rsidRPr="00387DF8">
        <w:rPr>
          <w:rFonts w:ascii="Proxima Nova" w:hAnsi="Proxima Nova" w:cstheme="minorHAnsi"/>
          <w:color w:val="000000"/>
          <w:sz w:val="22"/>
          <w:szCs w:val="22"/>
        </w:rPr>
        <w:t xml:space="preserve">se its powers and resources to quantify violence, abuse, neglect and exploitation in terms of </w:t>
      </w:r>
      <w:r w:rsidR="00D6256E" w:rsidRPr="00387DF8">
        <w:rPr>
          <w:rFonts w:ascii="Proxima Nova" w:hAnsi="Proxima Nova" w:cstheme="minorHAnsi"/>
          <w:color w:val="000000"/>
          <w:sz w:val="22"/>
          <w:szCs w:val="22"/>
        </w:rPr>
        <w:t>a</w:t>
      </w:r>
      <w:r w:rsidRPr="00387DF8">
        <w:rPr>
          <w:rFonts w:ascii="Proxima Nova" w:hAnsi="Proxima Nova" w:cstheme="minorHAnsi"/>
          <w:color w:val="000000"/>
          <w:sz w:val="22"/>
          <w:szCs w:val="22"/>
        </w:rPr>
        <w:t xml:space="preserve"> more expansive approach</w:t>
      </w:r>
      <w:r w:rsidR="00D6256E" w:rsidRPr="00387DF8">
        <w:rPr>
          <w:rFonts w:ascii="Proxima Nova" w:hAnsi="Proxima Nova" w:cstheme="minorHAnsi"/>
          <w:color w:val="000000"/>
          <w:sz w:val="22"/>
          <w:szCs w:val="22"/>
        </w:rPr>
        <w:t xml:space="preserve"> that includes restrictive practices</w:t>
      </w:r>
      <w:r w:rsidRPr="00387DF8">
        <w:rPr>
          <w:rFonts w:ascii="Proxima Nova" w:hAnsi="Proxima Nova" w:cstheme="minorHAnsi"/>
          <w:color w:val="000000"/>
          <w:sz w:val="22"/>
          <w:szCs w:val="22"/>
        </w:rPr>
        <w:t>.</w:t>
      </w:r>
    </w:p>
    <w:p w14:paraId="051C2529" w14:textId="77777777" w:rsidR="00E2389B" w:rsidRPr="00387DF8" w:rsidRDefault="00E2389B" w:rsidP="00387DF8">
      <w:pPr>
        <w:autoSpaceDE w:val="0"/>
        <w:autoSpaceDN w:val="0"/>
        <w:adjustRightInd w:val="0"/>
        <w:spacing w:line="276" w:lineRule="auto"/>
        <w:ind w:left="720" w:hanging="720"/>
        <w:rPr>
          <w:rFonts w:ascii="Proxima Nova" w:hAnsi="Proxima Nova" w:cstheme="minorHAnsi"/>
          <w:color w:val="000000"/>
          <w:sz w:val="22"/>
          <w:szCs w:val="22"/>
        </w:rPr>
      </w:pPr>
    </w:p>
    <w:p w14:paraId="749684A4" w14:textId="3A877751" w:rsidR="001D23E9" w:rsidRPr="00387DF8" w:rsidRDefault="006973DE" w:rsidP="00387DF8">
      <w:pPr>
        <w:pStyle w:val="ListParagraph"/>
        <w:numPr>
          <w:ilvl w:val="1"/>
          <w:numId w:val="21"/>
        </w:numPr>
        <w:autoSpaceDE w:val="0"/>
        <w:autoSpaceDN w:val="0"/>
        <w:adjustRightInd w:val="0"/>
        <w:spacing w:line="276" w:lineRule="auto"/>
        <w:ind w:left="720" w:hanging="720"/>
        <w:rPr>
          <w:rFonts w:ascii="Proxima Nova" w:hAnsi="Proxima Nova" w:cstheme="minorHAnsi"/>
          <w:color w:val="000000"/>
          <w:sz w:val="22"/>
          <w:szCs w:val="22"/>
        </w:rPr>
      </w:pPr>
      <w:r w:rsidRPr="00387DF8">
        <w:rPr>
          <w:rFonts w:ascii="Proxima Nova" w:hAnsi="Proxima Nova" w:cstheme="minorHAnsi"/>
          <w:sz w:val="22"/>
          <w:szCs w:val="22"/>
        </w:rPr>
        <w:t>The Royal Commission’s</w:t>
      </w:r>
      <w:r w:rsidR="001D23E9" w:rsidRPr="00387DF8">
        <w:rPr>
          <w:rFonts w:ascii="Proxima Nova" w:hAnsi="Proxima Nova" w:cstheme="minorHAnsi"/>
          <w:sz w:val="22"/>
          <w:szCs w:val="22"/>
        </w:rPr>
        <w:t xml:space="preserve"> issues paper</w:t>
      </w:r>
      <w:r w:rsidR="003509C3" w:rsidRPr="00387DF8">
        <w:rPr>
          <w:rFonts w:ascii="Proxima Nova" w:hAnsi="Proxima Nova" w:cstheme="minorHAnsi"/>
          <w:sz w:val="22"/>
          <w:szCs w:val="22"/>
        </w:rPr>
        <w:t xml:space="preserve"> on health care and services for people with cognitive disability</w:t>
      </w:r>
      <w:r w:rsidR="001D23E9" w:rsidRPr="00387DF8">
        <w:rPr>
          <w:rFonts w:ascii="Proxima Nova" w:hAnsi="Proxima Nova" w:cstheme="minorHAnsi"/>
          <w:sz w:val="22"/>
          <w:szCs w:val="22"/>
        </w:rPr>
        <w:t xml:space="preserve"> did not discuss non-consensual and coercive sterilisation, menstrual suppression, contraception and abortion, in which the health system is complicit</w:t>
      </w:r>
      <w:r w:rsidR="00E2389B" w:rsidRPr="00387DF8">
        <w:rPr>
          <w:rFonts w:ascii="Proxima Nova" w:hAnsi="Proxima Nova" w:cstheme="minorHAnsi"/>
          <w:sz w:val="22"/>
          <w:szCs w:val="22"/>
        </w:rPr>
        <w:t>. T</w:t>
      </w:r>
      <w:r w:rsidR="001D23E9" w:rsidRPr="00387DF8">
        <w:rPr>
          <w:rFonts w:ascii="Proxima Nova" w:hAnsi="Proxima Nova" w:cstheme="minorHAnsi"/>
          <w:sz w:val="22"/>
          <w:szCs w:val="22"/>
        </w:rPr>
        <w:t>he related Public Hearings on health care and services for people with cognitive disability.</w:t>
      </w:r>
      <w:r w:rsidR="001D23E9" w:rsidRPr="00387DF8">
        <w:rPr>
          <w:rStyle w:val="EndnoteReference"/>
          <w:rFonts w:ascii="Proxima Nova" w:hAnsi="Proxima Nova" w:cstheme="minorHAnsi"/>
          <w:sz w:val="22"/>
          <w:szCs w:val="22"/>
        </w:rPr>
        <w:endnoteReference w:id="116"/>
      </w:r>
      <w:r w:rsidR="001D23E9" w:rsidRPr="00387DF8">
        <w:rPr>
          <w:rFonts w:ascii="Proxima Nova" w:hAnsi="Proxima Nova" w:cstheme="minorHAnsi"/>
          <w:sz w:val="22"/>
          <w:szCs w:val="22"/>
        </w:rPr>
        <w:t xml:space="preserve"> In the </w:t>
      </w:r>
      <w:r w:rsidR="00DA04B7" w:rsidRPr="00387DF8">
        <w:rPr>
          <w:rFonts w:ascii="Proxima Nova" w:hAnsi="Proxima Nova" w:cstheme="minorHAnsi"/>
          <w:sz w:val="22"/>
          <w:szCs w:val="22"/>
        </w:rPr>
        <w:t xml:space="preserve">DRC </w:t>
      </w:r>
      <w:r w:rsidR="001D23E9" w:rsidRPr="00387DF8">
        <w:rPr>
          <w:rFonts w:ascii="Proxima Nova" w:hAnsi="Proxima Nova" w:cstheme="minorHAnsi"/>
          <w:sz w:val="22"/>
          <w:szCs w:val="22"/>
        </w:rPr>
        <w:t>Interim Report there are passing references to restrictive practices in relation to women and girls with disability: the absence of data on use of sterilisation</w:t>
      </w:r>
      <w:r w:rsidR="001D23E9" w:rsidRPr="00387DF8">
        <w:rPr>
          <w:rStyle w:val="EndnoteReference"/>
          <w:rFonts w:ascii="Proxima Nova" w:hAnsi="Proxima Nova" w:cstheme="minorHAnsi"/>
          <w:sz w:val="22"/>
          <w:szCs w:val="22"/>
        </w:rPr>
        <w:endnoteReference w:id="117"/>
      </w:r>
      <w:r w:rsidR="001D23E9" w:rsidRPr="00387DF8">
        <w:rPr>
          <w:rFonts w:ascii="Proxima Nova" w:hAnsi="Proxima Nova" w:cstheme="minorHAnsi"/>
          <w:sz w:val="22"/>
          <w:szCs w:val="22"/>
        </w:rPr>
        <w:t xml:space="preserve"> and suggestions at a Royal Commission ‘that </w:t>
      </w:r>
      <w:r w:rsidR="001D23E9" w:rsidRPr="00387DF8">
        <w:rPr>
          <w:rFonts w:ascii="Proxima Nova" w:hAnsi="Proxima Nova" w:cstheme="minorHAnsi"/>
          <w:color w:val="000000"/>
          <w:sz w:val="22"/>
          <w:szCs w:val="22"/>
        </w:rPr>
        <w:t>some women with disability in group homes are subjected to forced contraception’.</w:t>
      </w:r>
      <w:r w:rsidR="001D23E9" w:rsidRPr="00387DF8">
        <w:rPr>
          <w:rStyle w:val="EndnoteReference"/>
          <w:rFonts w:ascii="Proxima Nova" w:hAnsi="Proxima Nova" w:cstheme="minorHAnsi"/>
          <w:sz w:val="22"/>
          <w:szCs w:val="22"/>
        </w:rPr>
        <w:endnoteReference w:id="118"/>
      </w:r>
      <w:r w:rsidR="001D23E9" w:rsidRPr="00387DF8">
        <w:rPr>
          <w:rFonts w:ascii="Proxima Nova" w:hAnsi="Proxima Nova" w:cstheme="minorHAnsi"/>
          <w:color w:val="000000"/>
          <w:sz w:val="22"/>
          <w:szCs w:val="22"/>
        </w:rPr>
        <w:t xml:space="preserve"> H</w:t>
      </w:r>
      <w:r w:rsidR="001D23E9" w:rsidRPr="00387DF8">
        <w:rPr>
          <w:rFonts w:ascii="Proxima Nova" w:hAnsi="Proxima Nova" w:cstheme="minorHAnsi"/>
          <w:sz w:val="22"/>
          <w:szCs w:val="22"/>
        </w:rPr>
        <w:t>owever, these issues are yet to be fully explored.</w:t>
      </w:r>
    </w:p>
    <w:p w14:paraId="59FFBD1C" w14:textId="77777777" w:rsidR="005A1F04" w:rsidRPr="00387DF8" w:rsidRDefault="005A1F04" w:rsidP="00387DF8">
      <w:pPr>
        <w:spacing w:line="276" w:lineRule="auto"/>
        <w:ind w:left="720" w:hanging="720"/>
        <w:rPr>
          <w:rFonts w:ascii="Proxima Nova" w:hAnsi="Proxima Nova" w:cstheme="minorHAnsi"/>
          <w:sz w:val="22"/>
          <w:szCs w:val="22"/>
        </w:rPr>
      </w:pPr>
    </w:p>
    <w:p w14:paraId="7C04C760" w14:textId="0DE94EE0" w:rsidR="00624A04" w:rsidRPr="00387DF8" w:rsidRDefault="00624A04" w:rsidP="00387DF8">
      <w:pPr>
        <w:pStyle w:val="ListParagraph"/>
        <w:numPr>
          <w:ilvl w:val="1"/>
          <w:numId w:val="21"/>
        </w:numPr>
        <w:snapToGrid w:val="0"/>
        <w:spacing w:line="276" w:lineRule="auto"/>
        <w:ind w:left="720" w:hanging="720"/>
        <w:contextualSpacing w:val="0"/>
        <w:rPr>
          <w:rFonts w:ascii="Proxima Nova" w:hAnsi="Proxima Nova" w:cstheme="minorHAnsi"/>
          <w:sz w:val="22"/>
          <w:szCs w:val="22"/>
          <w:bdr w:val="none" w:sz="0" w:space="0" w:color="auto" w:frame="1"/>
        </w:rPr>
      </w:pPr>
      <w:r w:rsidRPr="00387DF8">
        <w:rPr>
          <w:rFonts w:ascii="Proxima Nova" w:hAnsi="Proxima Nova" w:cstheme="minorHAnsi"/>
          <w:sz w:val="22"/>
          <w:szCs w:val="22"/>
          <w:bdr w:val="none" w:sz="0" w:space="0" w:color="auto" w:frame="1"/>
        </w:rPr>
        <w:t>The</w:t>
      </w:r>
      <w:r w:rsidR="006973DE" w:rsidRPr="00387DF8">
        <w:rPr>
          <w:rFonts w:ascii="Proxima Nova" w:hAnsi="Proxima Nova" w:cstheme="minorHAnsi"/>
          <w:sz w:val="22"/>
          <w:szCs w:val="22"/>
          <w:bdr w:val="none" w:sz="0" w:space="0" w:color="auto" w:frame="1"/>
        </w:rPr>
        <w:t xml:space="preserve"> necessity for </w:t>
      </w:r>
      <w:r w:rsidRPr="00387DF8">
        <w:rPr>
          <w:rFonts w:ascii="Proxima Nova" w:hAnsi="Proxima Nova" w:cstheme="minorHAnsi"/>
          <w:sz w:val="22"/>
          <w:szCs w:val="22"/>
          <w:bdr w:val="none" w:sz="0" w:space="0" w:color="auto" w:frame="1"/>
        </w:rPr>
        <w:t xml:space="preserve">the Royal Commission to take a gender-inclusive approach to restrictive practices must be understood in the context of </w:t>
      </w:r>
      <w:r w:rsidR="00177A12" w:rsidRPr="00387DF8">
        <w:rPr>
          <w:rFonts w:ascii="Proxima Nova" w:hAnsi="Proxima Nova"/>
          <w:sz w:val="22"/>
          <w:szCs w:val="22"/>
        </w:rPr>
        <w:t>longer-term</w:t>
      </w:r>
      <w:r w:rsidRPr="00387DF8">
        <w:rPr>
          <w:rFonts w:ascii="Proxima Nova" w:hAnsi="Proxima Nova"/>
          <w:sz w:val="22"/>
          <w:szCs w:val="22"/>
        </w:rPr>
        <w:t xml:space="preserve"> marginalisation in government inquiries on restrictive practices of women and girls with disability and restrictive practices used specifically or primarily on women and girls with disability (as discussed earlier in Section 2).</w:t>
      </w:r>
    </w:p>
    <w:p w14:paraId="2C40A514" w14:textId="77777777" w:rsidR="00697B4B" w:rsidRPr="00387DF8" w:rsidRDefault="00697B4B" w:rsidP="00387DF8">
      <w:pPr>
        <w:snapToGrid w:val="0"/>
        <w:spacing w:line="276" w:lineRule="auto"/>
        <w:ind w:left="720" w:hanging="720"/>
        <w:rPr>
          <w:rFonts w:ascii="Proxima Nova" w:hAnsi="Proxima Nova" w:cstheme="minorHAnsi"/>
          <w:sz w:val="22"/>
          <w:szCs w:val="22"/>
        </w:rPr>
      </w:pPr>
    </w:p>
    <w:p w14:paraId="4709C3D0" w14:textId="77777777" w:rsidR="00697B4B" w:rsidRPr="00387DF8" w:rsidRDefault="00697B4B" w:rsidP="00387DF8">
      <w:pPr>
        <w:pStyle w:val="ListParagraph"/>
        <w:numPr>
          <w:ilvl w:val="1"/>
          <w:numId w:val="21"/>
        </w:numPr>
        <w:snapToGrid w:val="0"/>
        <w:spacing w:line="276" w:lineRule="auto"/>
        <w:ind w:left="720" w:hanging="720"/>
        <w:contextualSpacing w:val="0"/>
        <w:rPr>
          <w:rFonts w:ascii="Proxima Nova" w:hAnsi="Proxima Nova" w:cstheme="minorHAnsi"/>
          <w:sz w:val="22"/>
          <w:szCs w:val="22"/>
        </w:rPr>
      </w:pPr>
      <w:r w:rsidRPr="00387DF8">
        <w:rPr>
          <w:rFonts w:ascii="Proxima Nova" w:hAnsi="Proxima Nova" w:cstheme="minorHAnsi"/>
          <w:sz w:val="22"/>
          <w:szCs w:val="22"/>
        </w:rPr>
        <w:t xml:space="preserve">Violence, abuse, neglect and exploitation of women and girls with disability cannot be confined to an examination of domestic and family violence, which is often the only area where there is focus on violence against women and girls. Women and girls with disability do experience domestic and family violence, but they also experience violence in different forms, contexts and settings. There needs to be recognition that experiences of women and girls with disability are integral to all areas examined by the Royal Commission, and that there will also be areas that disproportionately impact on women and girls, such as violations of sexual and reproductive rights, which must also be examined by the Royal Commission. It is vital to bring together disability and gender, and not simply re-frame violence against women with disability as a straightforward gender issue. This is because often research and </w:t>
      </w:r>
      <w:r w:rsidRPr="00387DF8">
        <w:rPr>
          <w:rFonts w:ascii="Proxima Nova" w:hAnsi="Proxima Nova" w:cstheme="minorHAnsi"/>
          <w:sz w:val="22"/>
          <w:szCs w:val="22"/>
        </w:rPr>
        <w:lastRenderedPageBreak/>
        <w:t xml:space="preserve">policy on violence against women marginalises the experience of women and girls with disability. </w:t>
      </w:r>
    </w:p>
    <w:p w14:paraId="5CA9CA58" w14:textId="77777777" w:rsidR="00697B4B" w:rsidRPr="00387DF8" w:rsidRDefault="00697B4B" w:rsidP="00387DF8">
      <w:pPr>
        <w:pStyle w:val="ListParagraph"/>
        <w:spacing w:line="276" w:lineRule="auto"/>
        <w:ind w:hanging="720"/>
        <w:rPr>
          <w:rFonts w:ascii="Proxima Nova" w:hAnsi="Proxima Nova" w:cstheme="minorHAnsi"/>
          <w:sz w:val="22"/>
          <w:szCs w:val="22"/>
        </w:rPr>
      </w:pPr>
    </w:p>
    <w:p w14:paraId="78C46C41" w14:textId="77777777" w:rsidR="00697B4B" w:rsidRPr="00387DF8" w:rsidRDefault="00697B4B" w:rsidP="00387DF8">
      <w:pPr>
        <w:pStyle w:val="ListParagraph"/>
        <w:numPr>
          <w:ilvl w:val="1"/>
          <w:numId w:val="21"/>
        </w:numPr>
        <w:snapToGrid w:val="0"/>
        <w:spacing w:line="276" w:lineRule="auto"/>
        <w:ind w:left="720" w:hanging="720"/>
        <w:contextualSpacing w:val="0"/>
        <w:rPr>
          <w:rFonts w:ascii="Proxima Nova" w:hAnsi="Proxima Nova" w:cstheme="minorHAnsi"/>
          <w:sz w:val="22"/>
          <w:szCs w:val="22"/>
        </w:rPr>
      </w:pPr>
      <w:r w:rsidRPr="00387DF8">
        <w:rPr>
          <w:rFonts w:ascii="Proxima Nova" w:hAnsi="Proxima Nova" w:cstheme="minorHAnsi"/>
          <w:sz w:val="22"/>
          <w:szCs w:val="22"/>
        </w:rPr>
        <w:t xml:space="preserve">Restrictive practices are an exemplar of the limitations of a narrow approach to violence against women and girls focused on domestic and family violence. Use of restrictive practices on women and girls with disability is often situated outside of conventional understandings of violence against women and girls focused on domestic and family violence for </w:t>
      </w:r>
      <w:proofErr w:type="gramStart"/>
      <w:r w:rsidRPr="00387DF8">
        <w:rPr>
          <w:rFonts w:ascii="Proxima Nova" w:hAnsi="Proxima Nova" w:cstheme="minorHAnsi"/>
          <w:sz w:val="22"/>
          <w:szCs w:val="22"/>
        </w:rPr>
        <w:t>a number of</w:t>
      </w:r>
      <w:proofErr w:type="gramEnd"/>
      <w:r w:rsidRPr="00387DF8">
        <w:rPr>
          <w:rFonts w:ascii="Proxima Nova" w:hAnsi="Proxima Nova" w:cstheme="minorHAnsi"/>
          <w:sz w:val="22"/>
          <w:szCs w:val="22"/>
        </w:rPr>
        <w:t xml:space="preserve"> reasons:</w:t>
      </w:r>
    </w:p>
    <w:p w14:paraId="2279F519" w14:textId="77777777" w:rsidR="00697B4B" w:rsidRPr="00387DF8" w:rsidRDefault="00697B4B" w:rsidP="00387DF8">
      <w:pPr>
        <w:spacing w:line="276" w:lineRule="auto"/>
        <w:rPr>
          <w:rFonts w:ascii="Proxima Nova" w:hAnsi="Proxima Nova" w:cstheme="minorHAnsi"/>
          <w:sz w:val="22"/>
          <w:szCs w:val="22"/>
        </w:rPr>
      </w:pPr>
    </w:p>
    <w:p w14:paraId="3BBC80BF" w14:textId="6AD61E08" w:rsidR="00697B4B" w:rsidRPr="00387DF8" w:rsidRDefault="00697B4B" w:rsidP="00387DF8">
      <w:pPr>
        <w:pStyle w:val="ListParagraph"/>
        <w:numPr>
          <w:ilvl w:val="0"/>
          <w:numId w:val="24"/>
        </w:numPr>
        <w:snapToGrid w:val="0"/>
        <w:spacing w:line="276" w:lineRule="auto"/>
        <w:ind w:left="1077" w:hanging="357"/>
        <w:rPr>
          <w:rFonts w:ascii="Proxima Nova" w:hAnsi="Proxima Nova" w:cstheme="minorHAnsi"/>
          <w:sz w:val="22"/>
          <w:szCs w:val="22"/>
        </w:rPr>
      </w:pPr>
      <w:r w:rsidRPr="00387DF8">
        <w:rPr>
          <w:rFonts w:ascii="Proxima Nova" w:hAnsi="Proxima Nova" w:cstheme="minorHAnsi"/>
          <w:sz w:val="22"/>
          <w:szCs w:val="22"/>
        </w:rPr>
        <w:t xml:space="preserve">Women and girls with disability fall outside of normative (even progressive/feminist normative) understandings of womanhood, femininity, sexuality and domesticity and thus they are situated outside conventional (even progressive/feminist normative) understandings of </w:t>
      </w:r>
      <w:r w:rsidR="001A4268" w:rsidRPr="00387DF8">
        <w:rPr>
          <w:rFonts w:ascii="Proxima Nova" w:hAnsi="Proxima Nova" w:cstheme="minorHAnsi"/>
          <w:sz w:val="22"/>
          <w:szCs w:val="22"/>
        </w:rPr>
        <w:t>what it means to be a</w:t>
      </w:r>
      <w:r w:rsidRPr="00387DF8">
        <w:rPr>
          <w:rFonts w:ascii="Proxima Nova" w:hAnsi="Proxima Nova" w:cstheme="minorHAnsi"/>
          <w:sz w:val="22"/>
          <w:szCs w:val="22"/>
        </w:rPr>
        <w:t xml:space="preserve"> victim</w:t>
      </w:r>
      <w:r w:rsidR="001A4268" w:rsidRPr="00387DF8">
        <w:rPr>
          <w:rFonts w:ascii="Proxima Nova" w:hAnsi="Proxima Nova" w:cstheme="minorHAnsi"/>
          <w:sz w:val="22"/>
          <w:szCs w:val="22"/>
        </w:rPr>
        <w:t>-</w:t>
      </w:r>
      <w:r w:rsidRPr="00387DF8">
        <w:rPr>
          <w:rFonts w:ascii="Proxima Nova" w:hAnsi="Proxima Nova" w:cstheme="minorHAnsi"/>
          <w:sz w:val="22"/>
          <w:szCs w:val="22"/>
        </w:rPr>
        <w:t>survivor of violence against women and girls.</w:t>
      </w:r>
    </w:p>
    <w:p w14:paraId="49A3EFDC" w14:textId="769DC5C6" w:rsidR="00697B4B" w:rsidRPr="00387DF8" w:rsidRDefault="00697B4B" w:rsidP="00387DF8">
      <w:pPr>
        <w:pStyle w:val="ListParagraph"/>
        <w:numPr>
          <w:ilvl w:val="0"/>
          <w:numId w:val="24"/>
        </w:numPr>
        <w:snapToGrid w:val="0"/>
        <w:spacing w:line="276" w:lineRule="auto"/>
        <w:ind w:left="1077" w:hanging="357"/>
        <w:rPr>
          <w:rFonts w:ascii="Proxima Nova" w:hAnsi="Proxima Nova" w:cstheme="minorHAnsi"/>
          <w:sz w:val="22"/>
          <w:szCs w:val="22"/>
        </w:rPr>
      </w:pPr>
      <w:r w:rsidRPr="00387DF8">
        <w:rPr>
          <w:rFonts w:ascii="Proxima Nova" w:hAnsi="Proxima Nova" w:cstheme="minorHAnsi"/>
          <w:sz w:val="22"/>
          <w:szCs w:val="22"/>
        </w:rPr>
        <w:t xml:space="preserve">Restrictive practices have a non-violent and </w:t>
      </w:r>
      <w:r w:rsidR="001A4268" w:rsidRPr="00387DF8">
        <w:rPr>
          <w:rFonts w:ascii="Proxima Nova" w:hAnsi="Proxima Nova" w:cstheme="minorHAnsi"/>
          <w:sz w:val="22"/>
          <w:szCs w:val="22"/>
        </w:rPr>
        <w:t>therapeutic/</w:t>
      </w:r>
      <w:r w:rsidRPr="00387DF8">
        <w:rPr>
          <w:rFonts w:ascii="Proxima Nova" w:hAnsi="Proxima Nova" w:cstheme="minorHAnsi"/>
          <w:sz w:val="22"/>
          <w:szCs w:val="22"/>
        </w:rPr>
        <w:t>medicalised name and are legal and thus they are situated outside of dominant criminal justice understandings of violence.</w:t>
      </w:r>
    </w:p>
    <w:p w14:paraId="3135A7E9" w14:textId="77777777" w:rsidR="00697B4B" w:rsidRPr="00387DF8" w:rsidRDefault="00697B4B" w:rsidP="00387DF8">
      <w:pPr>
        <w:pStyle w:val="ListParagraph"/>
        <w:numPr>
          <w:ilvl w:val="0"/>
          <w:numId w:val="24"/>
        </w:numPr>
        <w:snapToGrid w:val="0"/>
        <w:spacing w:line="276" w:lineRule="auto"/>
        <w:ind w:left="1077" w:hanging="357"/>
        <w:rPr>
          <w:rFonts w:ascii="Proxima Nova" w:hAnsi="Proxima Nova" w:cstheme="minorHAnsi"/>
          <w:sz w:val="22"/>
          <w:szCs w:val="22"/>
        </w:rPr>
      </w:pPr>
      <w:r w:rsidRPr="00387DF8">
        <w:rPr>
          <w:rFonts w:ascii="Proxima Nova" w:hAnsi="Proxima Nova" w:cstheme="minorHAnsi"/>
          <w:sz w:val="22"/>
          <w:szCs w:val="22"/>
        </w:rPr>
        <w:t xml:space="preserve">Restrictive practices often take place in relationships and settings outside of intimate/family relationships and the family home and thus they are situated outside conventional sites and relationships of domestic and family violence. </w:t>
      </w:r>
    </w:p>
    <w:p w14:paraId="72775914" w14:textId="77777777" w:rsidR="00697B4B" w:rsidRPr="00387DF8" w:rsidRDefault="00697B4B" w:rsidP="00387DF8">
      <w:pPr>
        <w:spacing w:line="276" w:lineRule="auto"/>
        <w:rPr>
          <w:rFonts w:ascii="Proxima Nova" w:hAnsi="Proxima Nova" w:cstheme="minorHAnsi"/>
          <w:sz w:val="22"/>
          <w:szCs w:val="22"/>
        </w:rPr>
      </w:pPr>
    </w:p>
    <w:p w14:paraId="67A14063" w14:textId="77777777" w:rsidR="00697B4B" w:rsidRPr="00387DF8" w:rsidRDefault="00697B4B" w:rsidP="00387DF8">
      <w:pPr>
        <w:pStyle w:val="ListParagraph"/>
        <w:numPr>
          <w:ilvl w:val="1"/>
          <w:numId w:val="21"/>
        </w:numPr>
        <w:snapToGrid w:val="0"/>
        <w:spacing w:line="276" w:lineRule="auto"/>
        <w:ind w:left="720" w:hanging="720"/>
        <w:contextualSpacing w:val="0"/>
        <w:rPr>
          <w:rFonts w:ascii="Proxima Nova" w:hAnsi="Proxima Nova" w:cstheme="minorHAnsi"/>
          <w:sz w:val="22"/>
          <w:szCs w:val="22"/>
        </w:rPr>
      </w:pPr>
      <w:r w:rsidRPr="00387DF8">
        <w:rPr>
          <w:rFonts w:ascii="Proxima Nova" w:hAnsi="Proxima Nova" w:cstheme="minorHAnsi"/>
          <w:sz w:val="22"/>
          <w:szCs w:val="22"/>
        </w:rPr>
        <w:t>The exclusion of restrictive practices from conventional understandings of violence against women and girls is further demonstrated by recent activist and policy initiatives that do not appear to consider restrictive practices:</w:t>
      </w:r>
    </w:p>
    <w:p w14:paraId="302FF400" w14:textId="77777777" w:rsidR="00697B4B" w:rsidRPr="00387DF8" w:rsidRDefault="00697B4B" w:rsidP="00387DF8">
      <w:pPr>
        <w:snapToGrid w:val="0"/>
        <w:spacing w:line="276" w:lineRule="auto"/>
        <w:rPr>
          <w:rFonts w:ascii="Proxima Nova" w:hAnsi="Proxima Nova" w:cstheme="minorHAnsi"/>
          <w:sz w:val="22"/>
          <w:szCs w:val="22"/>
        </w:rPr>
      </w:pPr>
    </w:p>
    <w:p w14:paraId="3AB07C44" w14:textId="58981E05" w:rsidR="00697B4B" w:rsidRPr="00387DF8" w:rsidRDefault="00697B4B" w:rsidP="00387DF8">
      <w:pPr>
        <w:pStyle w:val="ListParagraph"/>
        <w:numPr>
          <w:ilvl w:val="0"/>
          <w:numId w:val="25"/>
        </w:numPr>
        <w:spacing w:line="276" w:lineRule="auto"/>
        <w:ind w:left="1077" w:hanging="357"/>
        <w:rPr>
          <w:rFonts w:ascii="Proxima Nova" w:hAnsi="Proxima Nova" w:cstheme="minorHAnsi"/>
          <w:sz w:val="22"/>
          <w:szCs w:val="22"/>
        </w:rPr>
      </w:pPr>
      <w:r w:rsidRPr="00387DF8">
        <w:rPr>
          <w:rFonts w:ascii="Proxima Nova" w:hAnsi="Proxima Nova" w:cstheme="minorHAnsi"/>
          <w:sz w:val="22"/>
          <w:szCs w:val="22"/>
        </w:rPr>
        <w:t>Abortion decriminalisation focuses exclusively on reforming crimes legislation that criminalises women for accessing abortion,</w:t>
      </w:r>
      <w:r w:rsidRPr="00387DF8">
        <w:rPr>
          <w:rStyle w:val="EndnoteReference"/>
          <w:rFonts w:ascii="Proxima Nova" w:hAnsi="Proxima Nova" w:cstheme="minorHAnsi"/>
          <w:sz w:val="22"/>
          <w:szCs w:val="22"/>
        </w:rPr>
        <w:endnoteReference w:id="119"/>
      </w:r>
      <w:r w:rsidRPr="00387DF8">
        <w:rPr>
          <w:rFonts w:ascii="Proxima Nova" w:hAnsi="Proxima Nova" w:cstheme="minorHAnsi"/>
          <w:sz w:val="22"/>
          <w:szCs w:val="22"/>
        </w:rPr>
        <w:t xml:space="preserve"> while leaving unreformed the absence of criminalisation of non-consensual and coercive abortion, contraception and sterilisation of women and girls with disability by reason of different laws (e.g., common law exceptions to criminal and tortious assault for third party medical consent and emergency situations, coupled with the longstanding </w:t>
      </w:r>
      <w:r w:rsidR="0095487D" w:rsidRPr="00387DF8">
        <w:rPr>
          <w:rFonts w:ascii="Proxima Nova" w:hAnsi="Proxima Nova" w:cstheme="minorHAnsi"/>
          <w:sz w:val="22"/>
          <w:szCs w:val="22"/>
        </w:rPr>
        <w:t xml:space="preserve">common law doctrine of </w:t>
      </w:r>
      <w:r w:rsidRPr="00387DF8">
        <w:rPr>
          <w:rFonts w:ascii="Proxima Nova" w:hAnsi="Proxima Nova" w:cstheme="minorHAnsi"/>
          <w:sz w:val="22"/>
          <w:szCs w:val="22"/>
        </w:rPr>
        <w:t>parens patriae and related guardianship and mental health legislation that enables third party consent);</w:t>
      </w:r>
    </w:p>
    <w:p w14:paraId="1F9C157F" w14:textId="77777777" w:rsidR="00697B4B" w:rsidRPr="00387DF8" w:rsidRDefault="00697B4B" w:rsidP="00387DF8">
      <w:pPr>
        <w:pStyle w:val="ListParagraph"/>
        <w:numPr>
          <w:ilvl w:val="0"/>
          <w:numId w:val="25"/>
        </w:numPr>
        <w:spacing w:line="276" w:lineRule="auto"/>
        <w:ind w:left="1077" w:hanging="357"/>
        <w:rPr>
          <w:rFonts w:ascii="Proxima Nova" w:hAnsi="Proxima Nova" w:cstheme="minorHAnsi"/>
          <w:sz w:val="22"/>
          <w:szCs w:val="22"/>
        </w:rPr>
      </w:pPr>
      <w:r w:rsidRPr="00387DF8">
        <w:rPr>
          <w:rFonts w:ascii="Proxima Nova" w:hAnsi="Proxima Nova" w:cstheme="minorHAnsi"/>
          <w:sz w:val="22"/>
          <w:szCs w:val="22"/>
        </w:rPr>
        <w:t>Increased attention to obstetric violence as a form of violence against women focuses on violence against women perpetrated in the context of reproductive healthcare,</w:t>
      </w:r>
      <w:r w:rsidRPr="00387DF8">
        <w:rPr>
          <w:rStyle w:val="EndnoteReference"/>
          <w:rFonts w:ascii="Proxima Nova" w:hAnsi="Proxima Nova" w:cstheme="minorHAnsi"/>
          <w:sz w:val="22"/>
          <w:szCs w:val="22"/>
        </w:rPr>
        <w:endnoteReference w:id="120"/>
      </w:r>
      <w:r w:rsidRPr="00387DF8">
        <w:rPr>
          <w:rFonts w:ascii="Proxima Nova" w:hAnsi="Proxima Nova" w:cstheme="minorHAnsi"/>
          <w:sz w:val="22"/>
          <w:szCs w:val="22"/>
        </w:rPr>
        <w:t xml:space="preserve"> but has not explicitly considered non-consensual and coercive abortion, contraception and sterilisation of women and girls with disability that also occur in the context reproductive healthcare; and</w:t>
      </w:r>
    </w:p>
    <w:p w14:paraId="41F165FB" w14:textId="650F137D" w:rsidR="00697B4B" w:rsidRPr="00387DF8" w:rsidRDefault="00697B4B" w:rsidP="00387DF8">
      <w:pPr>
        <w:pStyle w:val="ListParagraph"/>
        <w:numPr>
          <w:ilvl w:val="0"/>
          <w:numId w:val="25"/>
        </w:numPr>
        <w:spacing w:line="276" w:lineRule="auto"/>
        <w:ind w:left="1077" w:hanging="357"/>
        <w:rPr>
          <w:rFonts w:ascii="Proxima Nova" w:hAnsi="Proxima Nova" w:cstheme="minorHAnsi"/>
          <w:sz w:val="22"/>
          <w:szCs w:val="22"/>
        </w:rPr>
      </w:pPr>
      <w:r w:rsidRPr="00387DF8">
        <w:rPr>
          <w:rFonts w:ascii="Proxima Nova" w:hAnsi="Proxima Nova" w:cstheme="minorHAnsi"/>
          <w:sz w:val="22"/>
          <w:szCs w:val="22"/>
        </w:rPr>
        <w:t>Law reform inquiries and legislative developments in relation to coercive control</w:t>
      </w:r>
      <w:r w:rsidRPr="00387DF8">
        <w:rPr>
          <w:rStyle w:val="EndnoteReference"/>
          <w:rFonts w:ascii="Proxima Nova" w:hAnsi="Proxima Nova" w:cstheme="minorHAnsi"/>
          <w:sz w:val="22"/>
          <w:szCs w:val="22"/>
        </w:rPr>
        <w:endnoteReference w:id="121"/>
      </w:r>
      <w:r w:rsidRPr="00387DF8">
        <w:rPr>
          <w:rFonts w:ascii="Proxima Nova" w:hAnsi="Proxima Nova" w:cstheme="minorHAnsi"/>
          <w:sz w:val="22"/>
          <w:szCs w:val="22"/>
        </w:rPr>
        <w:t xml:space="preserve"> focus on ongoing psychological control in the context of intimate partners but it is unclear whether these laws will extend to control of women and girls with disability through non-consensual and coercive restrictive practices, including in contexts outside of intimate/domestic relationships such as disability services, and where these restrictive practices are permitted by law through substitute decision-making and compulsory treatment regimes.</w:t>
      </w:r>
      <w:r w:rsidRPr="00387DF8">
        <w:rPr>
          <w:rStyle w:val="EndnoteReference"/>
          <w:rFonts w:ascii="Proxima Nova" w:hAnsi="Proxima Nova" w:cstheme="minorHAnsi"/>
          <w:sz w:val="22"/>
          <w:szCs w:val="22"/>
        </w:rPr>
        <w:endnoteReference w:id="122"/>
      </w:r>
    </w:p>
    <w:p w14:paraId="483C24E7" w14:textId="77777777" w:rsidR="00054BAF" w:rsidRPr="00387DF8" w:rsidRDefault="00054BAF" w:rsidP="00387DF8">
      <w:pPr>
        <w:spacing w:line="276" w:lineRule="auto"/>
        <w:ind w:left="720" w:hanging="720"/>
        <w:rPr>
          <w:rFonts w:ascii="Proxima Nova" w:hAnsi="Proxima Nova" w:cstheme="minorHAnsi"/>
          <w:sz w:val="22"/>
          <w:szCs w:val="22"/>
        </w:rPr>
      </w:pPr>
    </w:p>
    <w:p w14:paraId="7FEA0E23" w14:textId="7F31BC76" w:rsidR="00054BAF" w:rsidRPr="00A17443" w:rsidRDefault="00054BAF" w:rsidP="00054BAF">
      <w:pPr>
        <w:spacing w:line="276" w:lineRule="auto"/>
        <w:ind w:left="720" w:hanging="720"/>
        <w:rPr>
          <w:rFonts w:ascii="Proxima Nova" w:hAnsi="Proxima Nova" w:cstheme="minorHAnsi"/>
        </w:rPr>
      </w:pPr>
      <w:r w:rsidRPr="00A17443">
        <w:rPr>
          <w:rFonts w:ascii="Proxima Nova" w:hAnsi="Proxima Nova"/>
          <w:b/>
          <w:color w:val="AC1F79"/>
        </w:rPr>
        <w:t xml:space="preserve">An </w:t>
      </w:r>
      <w:r w:rsidR="00EC7173" w:rsidRPr="00A17443">
        <w:rPr>
          <w:rFonts w:ascii="Proxima Nova" w:hAnsi="Proxima Nova"/>
          <w:b/>
          <w:color w:val="AC1F79"/>
        </w:rPr>
        <w:t>Une</w:t>
      </w:r>
      <w:r w:rsidRPr="00A17443">
        <w:rPr>
          <w:rFonts w:ascii="Proxima Nova" w:hAnsi="Proxima Nova"/>
          <w:b/>
          <w:color w:val="AC1F79"/>
        </w:rPr>
        <w:t xml:space="preserve">quivocal Approach to </w:t>
      </w:r>
      <w:r w:rsidR="00EE386E" w:rsidRPr="00A17443">
        <w:rPr>
          <w:rFonts w:ascii="Proxima Nova" w:hAnsi="Proxima Nova"/>
          <w:b/>
          <w:color w:val="AC1F79"/>
        </w:rPr>
        <w:t>Restrictive</w:t>
      </w:r>
      <w:r w:rsidRPr="00A17443">
        <w:rPr>
          <w:rFonts w:ascii="Proxima Nova" w:hAnsi="Proxima Nova"/>
          <w:b/>
          <w:color w:val="AC1F79"/>
        </w:rPr>
        <w:t xml:space="preserve"> Practices as Violence</w:t>
      </w:r>
    </w:p>
    <w:p w14:paraId="5ECCF2FC" w14:textId="779289B5" w:rsidR="00054BAF" w:rsidRPr="00387DF8" w:rsidRDefault="00054BAF" w:rsidP="001E30DF">
      <w:pPr>
        <w:spacing w:line="276" w:lineRule="auto"/>
        <w:rPr>
          <w:rFonts w:ascii="Proxima Nova" w:hAnsi="Proxima Nova" w:cstheme="minorHAnsi"/>
          <w:sz w:val="22"/>
          <w:szCs w:val="22"/>
        </w:rPr>
      </w:pPr>
    </w:p>
    <w:p w14:paraId="7890CA00" w14:textId="2A57CDC4" w:rsidR="00DA0132" w:rsidRPr="00387DF8" w:rsidRDefault="00DA0132" w:rsidP="000F1CFA">
      <w:pPr>
        <w:pStyle w:val="ListParagraph"/>
        <w:numPr>
          <w:ilvl w:val="1"/>
          <w:numId w:val="21"/>
        </w:numPr>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 xml:space="preserve">Third, </w:t>
      </w:r>
      <w:r w:rsidR="00EC7173" w:rsidRPr="00387DF8">
        <w:rPr>
          <w:rFonts w:ascii="Proxima Nova" w:hAnsi="Proxima Nova" w:cstheme="minorHAnsi"/>
          <w:sz w:val="22"/>
          <w:szCs w:val="22"/>
        </w:rPr>
        <w:t xml:space="preserve">in its future work it is important </w:t>
      </w:r>
      <w:r w:rsidRPr="00387DF8">
        <w:rPr>
          <w:rFonts w:ascii="Proxima Nova" w:hAnsi="Proxima Nova" w:cstheme="minorHAnsi"/>
          <w:sz w:val="22"/>
          <w:szCs w:val="22"/>
        </w:rPr>
        <w:t xml:space="preserve">the Royal Commission </w:t>
      </w:r>
      <w:r w:rsidR="00EC7173" w:rsidRPr="00387DF8">
        <w:rPr>
          <w:rFonts w:ascii="Proxima Nova" w:hAnsi="Proxima Nova" w:cstheme="minorHAnsi"/>
          <w:sz w:val="22"/>
          <w:szCs w:val="22"/>
        </w:rPr>
        <w:t xml:space="preserve">be unequivocal in its approach towards </w:t>
      </w:r>
      <w:r w:rsidR="00177A12" w:rsidRPr="00387DF8">
        <w:rPr>
          <w:rFonts w:ascii="Proxima Nova" w:hAnsi="Proxima Nova" w:cstheme="minorHAnsi"/>
          <w:sz w:val="22"/>
          <w:szCs w:val="22"/>
        </w:rPr>
        <w:t>restrictive</w:t>
      </w:r>
      <w:r w:rsidRPr="00387DF8">
        <w:rPr>
          <w:rFonts w:ascii="Proxima Nova" w:hAnsi="Proxima Nova" w:cstheme="minorHAnsi"/>
          <w:sz w:val="22"/>
          <w:szCs w:val="22"/>
        </w:rPr>
        <w:t xml:space="preserve"> practices as violence.</w:t>
      </w:r>
    </w:p>
    <w:p w14:paraId="088E1DC5" w14:textId="77777777" w:rsidR="00DA0132" w:rsidRPr="00387DF8" w:rsidRDefault="00DA0132" w:rsidP="00CC2DFC">
      <w:pPr>
        <w:spacing w:line="276" w:lineRule="auto"/>
        <w:ind w:left="720" w:hanging="720"/>
        <w:rPr>
          <w:rFonts w:ascii="Proxima Nova" w:hAnsi="Proxima Nova" w:cstheme="minorHAnsi"/>
          <w:sz w:val="22"/>
          <w:szCs w:val="22"/>
        </w:rPr>
      </w:pPr>
    </w:p>
    <w:p w14:paraId="04DACA84" w14:textId="3C8BA61A" w:rsidR="001D23E9" w:rsidRPr="00387DF8" w:rsidRDefault="008E5795" w:rsidP="000F1CFA">
      <w:pPr>
        <w:pStyle w:val="ListParagraph"/>
        <w:numPr>
          <w:ilvl w:val="1"/>
          <w:numId w:val="21"/>
        </w:numPr>
        <w:spacing w:line="276" w:lineRule="auto"/>
        <w:ind w:left="720" w:hanging="720"/>
        <w:rPr>
          <w:rFonts w:ascii="Proxima Nova" w:hAnsi="Proxima Nova" w:cstheme="minorHAnsi"/>
          <w:sz w:val="22"/>
          <w:szCs w:val="22"/>
        </w:rPr>
      </w:pPr>
      <w:r w:rsidRPr="00387DF8">
        <w:rPr>
          <w:rFonts w:ascii="Proxima Nova" w:hAnsi="Proxima Nova" w:cstheme="minorHAnsi"/>
          <w:color w:val="000000" w:themeColor="text1"/>
          <w:sz w:val="22"/>
          <w:szCs w:val="22"/>
          <w:lang w:bidi="en-US"/>
        </w:rPr>
        <w:t>T</w:t>
      </w:r>
      <w:r w:rsidR="001D23E9" w:rsidRPr="00387DF8">
        <w:rPr>
          <w:rFonts w:ascii="Proxima Nova" w:hAnsi="Proxima Nova" w:cstheme="minorHAnsi"/>
          <w:sz w:val="22"/>
          <w:szCs w:val="22"/>
        </w:rPr>
        <w:t>he Royal Commission’s working definition of ‘violence’</w:t>
      </w:r>
      <w:r w:rsidR="00DA0132" w:rsidRPr="00387DF8">
        <w:rPr>
          <w:rFonts w:ascii="Proxima Nova" w:hAnsi="Proxima Nova" w:cstheme="minorHAnsi"/>
          <w:sz w:val="22"/>
          <w:szCs w:val="22"/>
        </w:rPr>
        <w:t xml:space="preserve"> includes restrictive practices</w:t>
      </w:r>
      <w:r w:rsidR="001D23E9" w:rsidRPr="00387DF8">
        <w:rPr>
          <w:rFonts w:ascii="Proxima Nova" w:hAnsi="Proxima Nova" w:cstheme="minorHAnsi"/>
          <w:sz w:val="22"/>
          <w:szCs w:val="22"/>
        </w:rPr>
        <w:t xml:space="preserve">: </w:t>
      </w:r>
    </w:p>
    <w:p w14:paraId="5897CC7E" w14:textId="77777777" w:rsidR="001D23E9" w:rsidRPr="00387DF8" w:rsidRDefault="001D23E9" w:rsidP="00CC2DFC">
      <w:pPr>
        <w:spacing w:line="276" w:lineRule="auto"/>
        <w:ind w:left="720" w:hanging="720"/>
        <w:rPr>
          <w:rFonts w:ascii="Proxima Nova" w:hAnsi="Proxima Nova" w:cstheme="minorHAnsi"/>
          <w:sz w:val="22"/>
          <w:szCs w:val="22"/>
        </w:rPr>
      </w:pPr>
    </w:p>
    <w:p w14:paraId="02EE820A" w14:textId="16916745" w:rsidR="005A1F04" w:rsidRPr="00387DF8" w:rsidRDefault="001D23E9" w:rsidP="00CC2DFC">
      <w:pPr>
        <w:spacing w:line="276" w:lineRule="auto"/>
        <w:ind w:left="1134"/>
        <w:rPr>
          <w:rFonts w:ascii="Proxima Nova" w:hAnsi="Proxima Nova" w:cstheme="minorHAnsi"/>
          <w:sz w:val="22"/>
          <w:szCs w:val="22"/>
        </w:rPr>
      </w:pPr>
      <w:r w:rsidRPr="00387DF8">
        <w:rPr>
          <w:rFonts w:ascii="Proxima Nova" w:hAnsi="Proxima Nova" w:cstheme="minorHAnsi"/>
          <w:i/>
          <w:iCs/>
          <w:sz w:val="22"/>
          <w:szCs w:val="22"/>
        </w:rPr>
        <w:t xml:space="preserve">Violence and abuse cover a range of behaviours towards people with a disability. These could include assault, sexual assault, constraints, restrictive practices (physical and chemical), forced treatments, forced interventions, humiliation and harassment, </w:t>
      </w:r>
      <w:r w:rsidRPr="00387DF8">
        <w:rPr>
          <w:rFonts w:ascii="Proxima Nova" w:hAnsi="Proxima Nova" w:cstheme="minorHAnsi"/>
          <w:i/>
          <w:iCs/>
          <w:sz w:val="22"/>
          <w:szCs w:val="22"/>
        </w:rPr>
        <w:lastRenderedPageBreak/>
        <w:t>financial and economic abuse and significant violations of privacy and dignity on a systemic or individual basis.</w:t>
      </w:r>
      <w:r w:rsidRPr="00387DF8">
        <w:rPr>
          <w:rStyle w:val="EndnoteReference"/>
          <w:rFonts w:ascii="Proxima Nova" w:hAnsi="Proxima Nova" w:cstheme="minorHAnsi"/>
          <w:sz w:val="22"/>
          <w:szCs w:val="22"/>
        </w:rPr>
        <w:endnoteReference w:id="123"/>
      </w:r>
    </w:p>
    <w:p w14:paraId="6333825A" w14:textId="77777777" w:rsidR="002F1FC3" w:rsidRPr="00387DF8" w:rsidRDefault="002F1FC3" w:rsidP="00CC2DFC">
      <w:pPr>
        <w:spacing w:line="276" w:lineRule="auto"/>
        <w:ind w:left="720" w:hanging="720"/>
        <w:rPr>
          <w:rFonts w:ascii="Proxima Nova" w:hAnsi="Proxima Nova" w:cstheme="minorHAnsi"/>
          <w:sz w:val="22"/>
          <w:szCs w:val="22"/>
        </w:rPr>
      </w:pPr>
    </w:p>
    <w:p w14:paraId="2A524220" w14:textId="44F67470" w:rsidR="00DA0132" w:rsidRPr="00387DF8" w:rsidRDefault="003D745D" w:rsidP="000F1CFA">
      <w:pPr>
        <w:pStyle w:val="ListParagraph"/>
        <w:numPr>
          <w:ilvl w:val="1"/>
          <w:numId w:val="21"/>
        </w:numPr>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The preamble to the Royal Commission indicates it is tasked with preventing all</w:t>
      </w:r>
      <w:r w:rsidR="00DA0132" w:rsidRPr="00387DF8">
        <w:rPr>
          <w:rFonts w:ascii="Proxima Nova" w:hAnsi="Proxima Nova" w:cstheme="minorHAnsi"/>
          <w:sz w:val="22"/>
          <w:szCs w:val="22"/>
        </w:rPr>
        <w:t xml:space="preserve"> forms of violence </w:t>
      </w:r>
      <w:r w:rsidRPr="00387DF8">
        <w:rPr>
          <w:rFonts w:ascii="Proxima Nova" w:hAnsi="Proxima Nova" w:cstheme="minorHAnsi"/>
          <w:sz w:val="22"/>
          <w:szCs w:val="22"/>
        </w:rPr>
        <w:t>against people with disability (not only violence that is illegal under criminal law)</w:t>
      </w:r>
      <w:r w:rsidR="00DA0132" w:rsidRPr="00387DF8">
        <w:rPr>
          <w:rFonts w:ascii="Proxima Nova" w:hAnsi="Proxima Nova" w:cstheme="minorHAnsi"/>
          <w:sz w:val="22"/>
          <w:szCs w:val="22"/>
        </w:rPr>
        <w:t>:</w:t>
      </w:r>
    </w:p>
    <w:p w14:paraId="63ACE402" w14:textId="77777777" w:rsidR="00DA0132" w:rsidRPr="00387DF8" w:rsidRDefault="00DA0132" w:rsidP="001E30DF">
      <w:pPr>
        <w:spacing w:line="276" w:lineRule="auto"/>
        <w:rPr>
          <w:rFonts w:ascii="Proxima Nova" w:hAnsi="Proxima Nova" w:cs="Arial"/>
          <w:sz w:val="22"/>
          <w:szCs w:val="22"/>
        </w:rPr>
      </w:pPr>
    </w:p>
    <w:p w14:paraId="6452C111" w14:textId="4E85A1E9" w:rsidR="00DA0132" w:rsidRPr="00387DF8" w:rsidRDefault="00DA0132" w:rsidP="00CC2DFC">
      <w:pPr>
        <w:spacing w:line="276" w:lineRule="auto"/>
        <w:ind w:left="1134"/>
        <w:rPr>
          <w:rFonts w:ascii="Proxima Nova" w:hAnsi="Proxima Nova" w:cstheme="minorHAnsi"/>
          <w:sz w:val="22"/>
          <w:szCs w:val="22"/>
        </w:rPr>
      </w:pPr>
      <w:r w:rsidRPr="00387DF8">
        <w:rPr>
          <w:rFonts w:ascii="Proxima Nova" w:hAnsi="Proxima Nova" w:cstheme="minorHAnsi"/>
          <w:i/>
          <w:iCs/>
          <w:sz w:val="22"/>
          <w:szCs w:val="22"/>
        </w:rPr>
        <w:t>all forms of violence against, and abuse, neglect and exploitation of, people with disability are abhorrent.</w:t>
      </w:r>
      <w:r w:rsidRPr="00387DF8">
        <w:rPr>
          <w:rStyle w:val="EndnoteReference"/>
          <w:rFonts w:ascii="Proxima Nova" w:hAnsi="Proxima Nova" w:cstheme="minorHAnsi"/>
          <w:sz w:val="22"/>
          <w:szCs w:val="22"/>
        </w:rPr>
        <w:endnoteReference w:id="124"/>
      </w:r>
    </w:p>
    <w:p w14:paraId="69CCB040" w14:textId="77777777" w:rsidR="00DA0132" w:rsidRPr="00387DF8" w:rsidRDefault="00DA0132" w:rsidP="001E30DF">
      <w:pPr>
        <w:spacing w:line="276" w:lineRule="auto"/>
        <w:rPr>
          <w:rFonts w:ascii="Proxima Nova" w:hAnsi="Proxima Nova" w:cstheme="minorHAnsi"/>
          <w:sz w:val="22"/>
          <w:szCs w:val="22"/>
        </w:rPr>
      </w:pPr>
    </w:p>
    <w:p w14:paraId="6E55D649" w14:textId="0B4BD9F4" w:rsidR="00DA0132" w:rsidRPr="00387DF8" w:rsidRDefault="00DA0132" w:rsidP="00CC2DFC">
      <w:pPr>
        <w:pStyle w:val="ListParagraph"/>
        <w:spacing w:line="276" w:lineRule="auto"/>
        <w:rPr>
          <w:rFonts w:ascii="Proxima Nova" w:hAnsi="Proxima Nova" w:cstheme="minorHAnsi"/>
          <w:sz w:val="22"/>
          <w:szCs w:val="22"/>
        </w:rPr>
      </w:pPr>
      <w:proofErr w:type="gramStart"/>
      <w:r w:rsidRPr="00387DF8">
        <w:rPr>
          <w:rFonts w:ascii="Proxima Nova" w:hAnsi="Proxima Nova" w:cstheme="minorHAnsi"/>
          <w:sz w:val="22"/>
          <w:szCs w:val="22"/>
        </w:rPr>
        <w:t>And,</w:t>
      </w:r>
      <w:proofErr w:type="gramEnd"/>
      <w:r w:rsidRPr="00387DF8">
        <w:rPr>
          <w:rFonts w:ascii="Proxima Nova" w:hAnsi="Proxima Nova" w:cstheme="minorHAnsi"/>
          <w:sz w:val="22"/>
          <w:szCs w:val="22"/>
        </w:rPr>
        <w:t xml:space="preserve"> the Term of Reference A:</w:t>
      </w:r>
    </w:p>
    <w:p w14:paraId="77F5275A" w14:textId="77777777" w:rsidR="00DA0132" w:rsidRPr="00387DF8" w:rsidRDefault="00DA0132" w:rsidP="00CC2DFC">
      <w:pPr>
        <w:spacing w:line="276" w:lineRule="auto"/>
        <w:rPr>
          <w:rFonts w:ascii="Proxima Nova" w:hAnsi="Proxima Nova" w:cstheme="minorHAnsi"/>
          <w:sz w:val="22"/>
          <w:szCs w:val="22"/>
        </w:rPr>
      </w:pPr>
    </w:p>
    <w:p w14:paraId="7534314C" w14:textId="50174793" w:rsidR="00DA0132" w:rsidRPr="00387DF8" w:rsidRDefault="00DA0132" w:rsidP="00CC2DFC">
      <w:pPr>
        <w:spacing w:line="276" w:lineRule="auto"/>
        <w:ind w:left="1134"/>
        <w:rPr>
          <w:rFonts w:ascii="Proxima Nova" w:hAnsi="Proxima Nova" w:cstheme="minorHAnsi"/>
          <w:sz w:val="22"/>
          <w:szCs w:val="22"/>
        </w:rPr>
      </w:pPr>
      <w:r w:rsidRPr="00387DF8">
        <w:rPr>
          <w:rFonts w:ascii="Proxima Nova" w:hAnsi="Proxima Nova" w:cstheme="minorHAnsi"/>
          <w:i/>
          <w:iCs/>
          <w:sz w:val="22"/>
          <w:szCs w:val="22"/>
        </w:rPr>
        <w:t>what governments, institutions and the community should do to prevent, and better protect, people with disability from experiencing violence, abuse, neglect and exploitation, having regard to the extent of violence, abuse, neglect and exploitation</w:t>
      </w:r>
      <w:r w:rsidR="003D745D" w:rsidRPr="00387DF8">
        <w:rPr>
          <w:rFonts w:ascii="Proxima Nova" w:hAnsi="Proxima Nova" w:cstheme="minorHAnsi"/>
          <w:i/>
          <w:iCs/>
          <w:sz w:val="22"/>
          <w:szCs w:val="22"/>
        </w:rPr>
        <w:t xml:space="preserve"> </w:t>
      </w:r>
      <w:r w:rsidRPr="00387DF8">
        <w:rPr>
          <w:rFonts w:ascii="Proxima Nova" w:hAnsi="Proxima Nova" w:cstheme="minorHAnsi"/>
          <w:i/>
          <w:iCs/>
          <w:sz w:val="22"/>
          <w:szCs w:val="22"/>
        </w:rPr>
        <w:t>experienced by people with disability in all settings and contexts;</w:t>
      </w:r>
      <w:r w:rsidRPr="00387DF8">
        <w:rPr>
          <w:rStyle w:val="EndnoteReference"/>
          <w:rFonts w:ascii="Proxima Nova" w:hAnsi="Proxima Nova" w:cstheme="minorHAnsi"/>
          <w:sz w:val="22"/>
          <w:szCs w:val="22"/>
        </w:rPr>
        <w:endnoteReference w:id="125"/>
      </w:r>
    </w:p>
    <w:p w14:paraId="4BA1938A" w14:textId="77777777" w:rsidR="00DA0132" w:rsidRPr="00387DF8" w:rsidRDefault="00DA0132" w:rsidP="001E30DF">
      <w:pPr>
        <w:spacing w:line="276" w:lineRule="auto"/>
        <w:rPr>
          <w:rFonts w:ascii="Proxima Nova" w:hAnsi="Proxima Nova" w:cstheme="minorHAnsi"/>
          <w:sz w:val="22"/>
          <w:szCs w:val="22"/>
        </w:rPr>
      </w:pPr>
    </w:p>
    <w:p w14:paraId="15C64C1F" w14:textId="49D18D37" w:rsidR="002F1FC3" w:rsidRPr="00387DF8" w:rsidRDefault="003D745D" w:rsidP="000F1CFA">
      <w:pPr>
        <w:pStyle w:val="ListParagraph"/>
        <w:numPr>
          <w:ilvl w:val="1"/>
          <w:numId w:val="21"/>
        </w:numPr>
        <w:spacing w:line="276" w:lineRule="auto"/>
        <w:ind w:left="720" w:hanging="720"/>
        <w:rPr>
          <w:rFonts w:ascii="Proxima Nova" w:hAnsi="Proxima Nova" w:cstheme="minorHAnsi"/>
          <w:sz w:val="22"/>
          <w:szCs w:val="22"/>
        </w:rPr>
      </w:pPr>
      <w:r w:rsidRPr="00387DF8">
        <w:rPr>
          <w:rFonts w:ascii="Proxima Nova" w:hAnsi="Proxima Nova" w:cstheme="minorHAnsi"/>
          <w:color w:val="000000" w:themeColor="text1"/>
          <w:sz w:val="22"/>
          <w:szCs w:val="22"/>
          <w:lang w:bidi="en-US"/>
        </w:rPr>
        <w:t xml:space="preserve">WWDA welcomes the Royal Commission’s willingness to engage with restrictive practices in the context of violence. </w:t>
      </w:r>
      <w:r w:rsidRPr="00387DF8">
        <w:rPr>
          <w:rFonts w:ascii="Proxima Nova" w:hAnsi="Proxima Nova" w:cstheme="minorHAnsi"/>
          <w:sz w:val="22"/>
          <w:szCs w:val="22"/>
        </w:rPr>
        <w:t xml:space="preserve">However, </w:t>
      </w:r>
      <w:r w:rsidR="00DA0132" w:rsidRPr="00387DF8">
        <w:rPr>
          <w:rFonts w:ascii="Proxima Nova" w:hAnsi="Proxima Nova" w:cstheme="minorHAnsi"/>
          <w:sz w:val="22"/>
          <w:szCs w:val="22"/>
        </w:rPr>
        <w:t xml:space="preserve">the </w:t>
      </w:r>
      <w:r w:rsidR="003509C3" w:rsidRPr="00387DF8">
        <w:rPr>
          <w:rFonts w:ascii="Proxima Nova" w:hAnsi="Proxima Nova" w:cs="Calibri"/>
          <w:sz w:val="22"/>
          <w:szCs w:val="22"/>
        </w:rPr>
        <w:t xml:space="preserve">Restrictive Practices </w:t>
      </w:r>
      <w:r w:rsidR="00DA0132" w:rsidRPr="00387DF8">
        <w:rPr>
          <w:rFonts w:ascii="Proxima Nova" w:hAnsi="Proxima Nova" w:cstheme="minorHAnsi"/>
          <w:sz w:val="22"/>
          <w:szCs w:val="22"/>
        </w:rPr>
        <w:t xml:space="preserve">Issues Paper </w:t>
      </w:r>
      <w:r w:rsidR="00EC7173" w:rsidRPr="00387DF8">
        <w:rPr>
          <w:rFonts w:ascii="Proxima Nova" w:hAnsi="Proxima Nova" w:cstheme="minorHAnsi"/>
          <w:sz w:val="22"/>
          <w:szCs w:val="22"/>
        </w:rPr>
        <w:t>falls short of fully recognising restrictive practices as violence because it focuses</w:t>
      </w:r>
      <w:r w:rsidR="00550AFD" w:rsidRPr="00387DF8">
        <w:rPr>
          <w:rFonts w:ascii="Proxima Nova" w:hAnsi="Proxima Nova" w:cstheme="minorHAnsi"/>
          <w:sz w:val="22"/>
          <w:szCs w:val="22"/>
        </w:rPr>
        <w:t xml:space="preserve"> on re</w:t>
      </w:r>
      <w:r w:rsidRPr="00387DF8">
        <w:rPr>
          <w:rFonts w:ascii="Proxima Nova" w:hAnsi="Proxima Nova" w:cstheme="minorHAnsi"/>
          <w:sz w:val="22"/>
          <w:szCs w:val="22"/>
        </w:rPr>
        <w:t>gulating and minimising, rather</w:t>
      </w:r>
      <w:r w:rsidR="00550AFD" w:rsidRPr="00387DF8">
        <w:rPr>
          <w:rFonts w:ascii="Proxima Nova" w:hAnsi="Proxima Nova" w:cstheme="minorHAnsi"/>
          <w:sz w:val="22"/>
          <w:szCs w:val="22"/>
        </w:rPr>
        <w:t xml:space="preserve"> than prohibiting and redressing</w:t>
      </w:r>
      <w:r w:rsidR="00EC7173" w:rsidRPr="00387DF8">
        <w:rPr>
          <w:rFonts w:ascii="Proxima Nova" w:hAnsi="Proxima Nova" w:cstheme="minorHAnsi"/>
          <w:sz w:val="22"/>
          <w:szCs w:val="22"/>
        </w:rPr>
        <w:t xml:space="preserve"> restrictive practices</w:t>
      </w:r>
      <w:r w:rsidR="00550AFD" w:rsidRPr="00387DF8">
        <w:rPr>
          <w:rFonts w:ascii="Proxima Nova" w:hAnsi="Proxima Nova" w:cstheme="minorHAnsi"/>
          <w:sz w:val="22"/>
          <w:szCs w:val="22"/>
        </w:rPr>
        <w:t>. For example, it asks:</w:t>
      </w:r>
    </w:p>
    <w:p w14:paraId="032BC65F" w14:textId="647991D7" w:rsidR="00550AFD" w:rsidRPr="00387DF8" w:rsidRDefault="00550AFD" w:rsidP="001E30DF">
      <w:pPr>
        <w:spacing w:line="276" w:lineRule="auto"/>
        <w:rPr>
          <w:rFonts w:ascii="Proxima Nova" w:hAnsi="Proxima Nova" w:cstheme="minorHAnsi"/>
          <w:sz w:val="22"/>
          <w:szCs w:val="22"/>
        </w:rPr>
      </w:pPr>
    </w:p>
    <w:p w14:paraId="28302309" w14:textId="77777777" w:rsidR="00550AFD" w:rsidRPr="00387DF8" w:rsidRDefault="00550AFD" w:rsidP="005233E9">
      <w:pPr>
        <w:spacing w:line="276" w:lineRule="auto"/>
        <w:ind w:left="1134"/>
        <w:rPr>
          <w:rFonts w:ascii="Proxima Nova" w:hAnsi="Proxima Nova" w:cstheme="minorHAnsi"/>
          <w:i/>
          <w:iCs/>
          <w:sz w:val="22"/>
          <w:szCs w:val="22"/>
        </w:rPr>
      </w:pPr>
      <w:r w:rsidRPr="00387DF8">
        <w:rPr>
          <w:rFonts w:ascii="Proxima Nova" w:hAnsi="Proxima Nova" w:cstheme="minorHAnsi"/>
          <w:i/>
          <w:iCs/>
          <w:sz w:val="22"/>
          <w:szCs w:val="22"/>
        </w:rPr>
        <w:t xml:space="preserve">Question 10: In what circumstances may restrictive practices be needed? </w:t>
      </w:r>
    </w:p>
    <w:p w14:paraId="075B4A89" w14:textId="1855A1E2" w:rsidR="00550AFD" w:rsidRPr="00387DF8" w:rsidRDefault="00550AFD" w:rsidP="005233E9">
      <w:pPr>
        <w:spacing w:line="276" w:lineRule="auto"/>
        <w:ind w:left="1134"/>
        <w:rPr>
          <w:rFonts w:ascii="Proxima Nova" w:hAnsi="Proxima Nova" w:cstheme="minorHAnsi"/>
          <w:i/>
          <w:iCs/>
          <w:sz w:val="22"/>
          <w:szCs w:val="22"/>
        </w:rPr>
      </w:pPr>
      <w:r w:rsidRPr="00387DF8">
        <w:rPr>
          <w:rFonts w:ascii="Proxima Nova" w:hAnsi="Proxima Nova" w:cstheme="minorHAnsi"/>
          <w:i/>
          <w:iCs/>
          <w:sz w:val="22"/>
          <w:szCs w:val="22"/>
        </w:rPr>
        <w:t xml:space="preserve">A. What rules and safeguards should be </w:t>
      </w:r>
      <w:proofErr w:type="gramStart"/>
      <w:r w:rsidRPr="00387DF8">
        <w:rPr>
          <w:rFonts w:ascii="Proxima Nova" w:hAnsi="Proxima Nova" w:cstheme="minorHAnsi"/>
          <w:i/>
          <w:iCs/>
          <w:sz w:val="22"/>
          <w:szCs w:val="22"/>
        </w:rPr>
        <w:t>apply</w:t>
      </w:r>
      <w:proofErr w:type="gramEnd"/>
      <w:r w:rsidRPr="00387DF8">
        <w:rPr>
          <w:rFonts w:ascii="Proxima Nova" w:hAnsi="Proxima Nova" w:cstheme="minorHAnsi"/>
          <w:i/>
          <w:iCs/>
          <w:sz w:val="22"/>
          <w:szCs w:val="22"/>
        </w:rPr>
        <w:t xml:space="preserve">? </w:t>
      </w:r>
    </w:p>
    <w:p w14:paraId="0E664517" w14:textId="77777777" w:rsidR="00550AFD" w:rsidRPr="00387DF8" w:rsidRDefault="00550AFD" w:rsidP="005233E9">
      <w:pPr>
        <w:spacing w:line="276" w:lineRule="auto"/>
        <w:ind w:left="1134"/>
        <w:rPr>
          <w:rFonts w:ascii="Proxima Nova" w:hAnsi="Proxima Nova" w:cstheme="minorHAnsi"/>
          <w:i/>
          <w:iCs/>
          <w:sz w:val="22"/>
          <w:szCs w:val="22"/>
        </w:rPr>
      </w:pPr>
      <w:r w:rsidRPr="00387DF8">
        <w:rPr>
          <w:rFonts w:ascii="Proxima Nova" w:hAnsi="Proxima Nova" w:cstheme="minorHAnsi"/>
          <w:i/>
          <w:iCs/>
          <w:sz w:val="22"/>
          <w:szCs w:val="22"/>
        </w:rPr>
        <w:t>B. Should the same rules apply to all people?</w:t>
      </w:r>
    </w:p>
    <w:p w14:paraId="035FB02E" w14:textId="77777777" w:rsidR="00550AFD" w:rsidRPr="00387DF8" w:rsidRDefault="00550AFD" w:rsidP="005233E9">
      <w:pPr>
        <w:spacing w:line="276" w:lineRule="auto"/>
        <w:ind w:left="1134"/>
        <w:rPr>
          <w:rFonts w:ascii="Proxima Nova" w:hAnsi="Proxima Nova" w:cstheme="minorHAnsi"/>
          <w:i/>
          <w:iCs/>
          <w:sz w:val="22"/>
          <w:szCs w:val="22"/>
        </w:rPr>
      </w:pPr>
    </w:p>
    <w:p w14:paraId="2B51ABEF" w14:textId="55D910A0" w:rsidR="00550AFD" w:rsidRPr="00387DF8" w:rsidRDefault="00550AFD" w:rsidP="005233E9">
      <w:pPr>
        <w:spacing w:line="276" w:lineRule="auto"/>
        <w:ind w:left="1134"/>
        <w:rPr>
          <w:rFonts w:ascii="Proxima Nova" w:hAnsi="Proxima Nova" w:cstheme="minorHAnsi"/>
          <w:i/>
          <w:iCs/>
          <w:sz w:val="22"/>
          <w:szCs w:val="22"/>
        </w:rPr>
      </w:pPr>
      <w:r w:rsidRPr="00387DF8">
        <w:rPr>
          <w:rFonts w:ascii="Proxima Nova" w:hAnsi="Proxima Nova" w:cstheme="minorHAnsi"/>
          <w:i/>
          <w:iCs/>
          <w:sz w:val="22"/>
          <w:szCs w:val="22"/>
        </w:rPr>
        <w:t xml:space="preserve">Question 11: How can the use of restrictive practices be prevented, avoided or minimised? </w:t>
      </w:r>
    </w:p>
    <w:p w14:paraId="71811C09" w14:textId="77777777" w:rsidR="00550AFD" w:rsidRPr="00387DF8" w:rsidRDefault="00550AFD" w:rsidP="005233E9">
      <w:pPr>
        <w:spacing w:line="276" w:lineRule="auto"/>
        <w:ind w:left="1134"/>
        <w:rPr>
          <w:rFonts w:ascii="Proxima Nova" w:hAnsi="Proxima Nova" w:cstheme="minorHAnsi"/>
          <w:i/>
          <w:iCs/>
          <w:sz w:val="22"/>
          <w:szCs w:val="22"/>
        </w:rPr>
      </w:pPr>
      <w:r w:rsidRPr="00387DF8">
        <w:rPr>
          <w:rFonts w:ascii="Proxima Nova" w:hAnsi="Proxima Nova" w:cstheme="minorHAnsi"/>
          <w:i/>
          <w:iCs/>
          <w:sz w:val="22"/>
          <w:szCs w:val="22"/>
        </w:rPr>
        <w:t xml:space="preserve">A. What needs to change in laws and polices? </w:t>
      </w:r>
    </w:p>
    <w:p w14:paraId="5356BFCB" w14:textId="77777777" w:rsidR="00550AFD" w:rsidRPr="00387DF8" w:rsidRDefault="00550AFD" w:rsidP="005233E9">
      <w:pPr>
        <w:spacing w:line="276" w:lineRule="auto"/>
        <w:ind w:left="1134"/>
        <w:rPr>
          <w:rFonts w:ascii="Proxima Nova" w:hAnsi="Proxima Nova" w:cstheme="minorHAnsi"/>
          <w:i/>
          <w:iCs/>
          <w:sz w:val="22"/>
          <w:szCs w:val="22"/>
        </w:rPr>
      </w:pPr>
      <w:r w:rsidRPr="00387DF8">
        <w:rPr>
          <w:rFonts w:ascii="Proxima Nova" w:hAnsi="Proxima Nova" w:cstheme="minorHAnsi"/>
          <w:i/>
          <w:iCs/>
          <w:sz w:val="22"/>
          <w:szCs w:val="22"/>
        </w:rPr>
        <w:t xml:space="preserve">B. What needs to change in the community and within organisations? </w:t>
      </w:r>
    </w:p>
    <w:p w14:paraId="26DCC28B" w14:textId="348FFF4B" w:rsidR="00550AFD" w:rsidRPr="00387DF8" w:rsidRDefault="00550AFD" w:rsidP="005233E9">
      <w:pPr>
        <w:spacing w:line="276" w:lineRule="auto"/>
        <w:ind w:left="1134"/>
        <w:rPr>
          <w:rFonts w:ascii="Proxima Nova" w:hAnsi="Proxima Nova" w:cstheme="minorHAnsi"/>
          <w:i/>
          <w:iCs/>
          <w:sz w:val="22"/>
          <w:szCs w:val="22"/>
        </w:rPr>
      </w:pPr>
      <w:r w:rsidRPr="00387DF8">
        <w:rPr>
          <w:rFonts w:ascii="Proxima Nova" w:hAnsi="Proxima Nova" w:cstheme="minorHAnsi"/>
          <w:i/>
          <w:iCs/>
          <w:sz w:val="22"/>
          <w:szCs w:val="22"/>
        </w:rPr>
        <w:t>C. What are the barriers to this change?</w:t>
      </w:r>
      <w:r w:rsidR="00D27A13" w:rsidRPr="00387DF8">
        <w:rPr>
          <w:rStyle w:val="EndnoteReference"/>
          <w:rFonts w:ascii="Proxima Nova" w:hAnsi="Proxima Nova" w:cstheme="minorHAnsi"/>
          <w:i/>
          <w:iCs/>
          <w:sz w:val="22"/>
          <w:szCs w:val="22"/>
        </w:rPr>
        <w:endnoteReference w:id="126"/>
      </w:r>
    </w:p>
    <w:p w14:paraId="516D7A0E" w14:textId="77777777" w:rsidR="00550AFD" w:rsidRPr="00387DF8" w:rsidRDefault="00550AFD" w:rsidP="001E30DF">
      <w:pPr>
        <w:spacing w:line="276" w:lineRule="auto"/>
        <w:rPr>
          <w:rFonts w:ascii="Proxima Nova" w:hAnsi="Proxima Nova" w:cstheme="minorHAnsi"/>
          <w:sz w:val="22"/>
          <w:szCs w:val="22"/>
        </w:rPr>
      </w:pPr>
    </w:p>
    <w:p w14:paraId="71D05394" w14:textId="24A8E597" w:rsidR="003D745D" w:rsidRPr="00387DF8" w:rsidRDefault="00E27F43" w:rsidP="000F1CFA">
      <w:pPr>
        <w:pStyle w:val="ListParagraph"/>
        <w:numPr>
          <w:ilvl w:val="1"/>
          <w:numId w:val="21"/>
        </w:numPr>
        <w:spacing w:line="276" w:lineRule="auto"/>
        <w:ind w:left="720" w:hanging="720"/>
        <w:contextualSpacing w:val="0"/>
        <w:rPr>
          <w:rFonts w:ascii="Proxima Nova" w:hAnsi="Proxima Nova" w:cstheme="minorHAnsi"/>
          <w:sz w:val="22"/>
          <w:szCs w:val="22"/>
        </w:rPr>
      </w:pPr>
      <w:r w:rsidRPr="00387DF8">
        <w:rPr>
          <w:rFonts w:ascii="Proxima Nova" w:hAnsi="Proxima Nova" w:cstheme="minorHAnsi"/>
          <w:sz w:val="22"/>
          <w:szCs w:val="22"/>
        </w:rPr>
        <w:t xml:space="preserve">These questions </w:t>
      </w:r>
      <w:r w:rsidR="00EC7173" w:rsidRPr="00387DF8">
        <w:rPr>
          <w:rFonts w:ascii="Proxima Nova" w:hAnsi="Proxima Nova" w:cstheme="minorHAnsi"/>
          <w:sz w:val="22"/>
          <w:szCs w:val="22"/>
        </w:rPr>
        <w:t>do not comprehend</w:t>
      </w:r>
      <w:r w:rsidRPr="00387DF8">
        <w:rPr>
          <w:rFonts w:ascii="Proxima Nova" w:hAnsi="Proxima Nova" w:cstheme="minorHAnsi"/>
          <w:sz w:val="22"/>
          <w:szCs w:val="22"/>
        </w:rPr>
        <w:t xml:space="preserve"> prohibition through law of restrictive practices and are instead focused on modifying behaviour at the individual and organisational level within a context of the continued permissibility and regulation of restrictive practices </w:t>
      </w:r>
      <w:r w:rsidR="003D745D" w:rsidRPr="00387DF8">
        <w:rPr>
          <w:rFonts w:ascii="Proxima Nova" w:hAnsi="Proxima Nova" w:cstheme="minorHAnsi"/>
          <w:sz w:val="22"/>
          <w:szCs w:val="22"/>
        </w:rPr>
        <w:t xml:space="preserve">(as we discuss in Section 8). </w:t>
      </w:r>
    </w:p>
    <w:p w14:paraId="0A6736DD" w14:textId="77777777" w:rsidR="003D745D" w:rsidRPr="00387DF8" w:rsidRDefault="003D745D" w:rsidP="001E30DF">
      <w:pPr>
        <w:spacing w:line="276" w:lineRule="auto"/>
        <w:rPr>
          <w:rFonts w:ascii="Proxima Nova" w:hAnsi="Proxima Nova" w:cstheme="minorHAnsi"/>
          <w:sz w:val="22"/>
          <w:szCs w:val="22"/>
        </w:rPr>
      </w:pPr>
    </w:p>
    <w:p w14:paraId="3C7CF9AE" w14:textId="53E2C306" w:rsidR="00550AFD" w:rsidRPr="00387DF8" w:rsidRDefault="00550AFD" w:rsidP="000F1CFA">
      <w:pPr>
        <w:pStyle w:val="ListParagraph"/>
        <w:numPr>
          <w:ilvl w:val="1"/>
          <w:numId w:val="21"/>
        </w:numPr>
        <w:spacing w:line="276" w:lineRule="auto"/>
        <w:ind w:left="720" w:hanging="720"/>
        <w:contextualSpacing w:val="0"/>
        <w:rPr>
          <w:rFonts w:ascii="Proxima Nova" w:hAnsi="Proxima Nova" w:cstheme="minorHAnsi"/>
          <w:sz w:val="22"/>
          <w:szCs w:val="22"/>
        </w:rPr>
      </w:pPr>
      <w:r w:rsidRPr="00387DF8">
        <w:rPr>
          <w:rFonts w:ascii="Proxima Nova" w:hAnsi="Proxima Nova" w:cstheme="minorHAnsi"/>
          <w:color w:val="000000" w:themeColor="text1"/>
          <w:spacing w:val="-4"/>
          <w:sz w:val="22"/>
          <w:szCs w:val="22"/>
          <w:shd w:val="clear" w:color="auto" w:fill="FFFFFF"/>
        </w:rPr>
        <w:t xml:space="preserve">It would be a disappointing missed opportunity if the Royal Commission were to add its name to the long list of inquiries (discussed in Section </w:t>
      </w:r>
      <w:r w:rsidR="00E27F43" w:rsidRPr="00387DF8">
        <w:rPr>
          <w:rFonts w:ascii="Proxima Nova" w:hAnsi="Proxima Nova" w:cstheme="minorHAnsi"/>
          <w:color w:val="000000" w:themeColor="text1"/>
          <w:spacing w:val="-4"/>
          <w:sz w:val="22"/>
          <w:szCs w:val="22"/>
          <w:shd w:val="clear" w:color="auto" w:fill="FFFFFF"/>
        </w:rPr>
        <w:t>2</w:t>
      </w:r>
      <w:r w:rsidRPr="00387DF8">
        <w:rPr>
          <w:rFonts w:ascii="Proxima Nova" w:hAnsi="Proxima Nova" w:cstheme="minorHAnsi"/>
          <w:color w:val="000000" w:themeColor="text1"/>
          <w:spacing w:val="-4"/>
          <w:sz w:val="22"/>
          <w:szCs w:val="22"/>
          <w:shd w:val="clear" w:color="auto" w:fill="FFFFFF"/>
        </w:rPr>
        <w:t>) that have merely recommended minimising restrictive practices by tweaking regulatory frameworks.</w:t>
      </w:r>
    </w:p>
    <w:p w14:paraId="2311E428" w14:textId="1315795B" w:rsidR="002A67CD" w:rsidRPr="00387DF8" w:rsidRDefault="002A67CD" w:rsidP="001E30DF">
      <w:pPr>
        <w:spacing w:line="276" w:lineRule="auto"/>
        <w:rPr>
          <w:rFonts w:ascii="Proxima Nova" w:hAnsi="Proxima Nova" w:cstheme="minorHAnsi"/>
          <w:sz w:val="22"/>
          <w:szCs w:val="22"/>
        </w:rPr>
      </w:pPr>
    </w:p>
    <w:p w14:paraId="4144AC4F" w14:textId="62B0A5FF" w:rsidR="006A720F" w:rsidRPr="00387DF8" w:rsidRDefault="006A720F" w:rsidP="006A720F">
      <w:pPr>
        <w:spacing w:line="276" w:lineRule="auto"/>
        <w:rPr>
          <w:rFonts w:ascii="Proxima Nova" w:hAnsi="Proxima Nova" w:cstheme="minorHAnsi"/>
          <w:sz w:val="22"/>
          <w:szCs w:val="22"/>
        </w:rPr>
      </w:pPr>
      <w:r w:rsidRPr="00387DF8">
        <w:rPr>
          <w:rFonts w:ascii="Proxima Nova" w:hAnsi="Proxima Nova"/>
          <w:b/>
          <w:color w:val="AC1F79"/>
          <w:sz w:val="22"/>
          <w:szCs w:val="22"/>
        </w:rPr>
        <w:t xml:space="preserve">An </w:t>
      </w:r>
      <w:r w:rsidR="004062DE" w:rsidRPr="00387DF8">
        <w:rPr>
          <w:rFonts w:ascii="Proxima Nova" w:hAnsi="Proxima Nova"/>
          <w:b/>
          <w:color w:val="AC1F79"/>
          <w:sz w:val="22"/>
          <w:szCs w:val="22"/>
        </w:rPr>
        <w:t>Une</w:t>
      </w:r>
      <w:r w:rsidRPr="00387DF8">
        <w:rPr>
          <w:rFonts w:ascii="Proxima Nova" w:hAnsi="Proxima Nova"/>
          <w:b/>
          <w:color w:val="AC1F79"/>
          <w:sz w:val="22"/>
          <w:szCs w:val="22"/>
        </w:rPr>
        <w:t>quivocal Approach to Use and Legality of Restrictive Practices as Human Rights Violations</w:t>
      </w:r>
    </w:p>
    <w:p w14:paraId="281C3A90" w14:textId="77777777" w:rsidR="009E0F0D" w:rsidRPr="00387DF8" w:rsidRDefault="009E0F0D" w:rsidP="00387DF8">
      <w:pPr>
        <w:spacing w:line="276" w:lineRule="auto"/>
        <w:ind w:left="567" w:hanging="567"/>
        <w:rPr>
          <w:rFonts w:ascii="Proxima Nova" w:hAnsi="Proxima Nova" w:cstheme="minorHAnsi"/>
          <w:sz w:val="22"/>
          <w:szCs w:val="22"/>
        </w:rPr>
      </w:pPr>
    </w:p>
    <w:p w14:paraId="5DFF5D9C" w14:textId="3504592C" w:rsidR="009E0F0D" w:rsidRPr="00387DF8" w:rsidRDefault="009E0F0D" w:rsidP="00387DF8">
      <w:pPr>
        <w:pStyle w:val="ListParagraph"/>
        <w:numPr>
          <w:ilvl w:val="1"/>
          <w:numId w:val="21"/>
        </w:numPr>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 xml:space="preserve">Fourth, </w:t>
      </w:r>
      <w:r w:rsidR="004062DE" w:rsidRPr="00387DF8">
        <w:rPr>
          <w:rFonts w:ascii="Proxima Nova" w:hAnsi="Proxima Nova" w:cstheme="minorHAnsi"/>
          <w:sz w:val="22"/>
          <w:szCs w:val="22"/>
        </w:rPr>
        <w:t xml:space="preserve">WWDA encourages </w:t>
      </w:r>
      <w:r w:rsidRPr="00387DF8">
        <w:rPr>
          <w:rFonts w:ascii="Proxima Nova" w:hAnsi="Proxima Nova" w:cstheme="minorHAnsi"/>
          <w:sz w:val="22"/>
          <w:szCs w:val="22"/>
        </w:rPr>
        <w:t xml:space="preserve">the Royal Commission </w:t>
      </w:r>
      <w:r w:rsidR="004062DE" w:rsidRPr="00387DF8">
        <w:rPr>
          <w:rFonts w:ascii="Proxima Nova" w:hAnsi="Proxima Nova" w:cstheme="minorHAnsi"/>
          <w:sz w:val="22"/>
          <w:szCs w:val="22"/>
        </w:rPr>
        <w:t>to take a strong and clear position</w:t>
      </w:r>
      <w:r w:rsidRPr="00387DF8">
        <w:rPr>
          <w:rFonts w:ascii="Proxima Nova" w:hAnsi="Proxima Nova" w:cstheme="minorHAnsi"/>
          <w:sz w:val="22"/>
          <w:szCs w:val="22"/>
        </w:rPr>
        <w:t xml:space="preserve"> on use and legality of restrictive practices as human rights violations.</w:t>
      </w:r>
    </w:p>
    <w:p w14:paraId="28B70576" w14:textId="77777777" w:rsidR="009E0F0D" w:rsidRPr="00387DF8" w:rsidRDefault="009E0F0D" w:rsidP="00387DF8">
      <w:pPr>
        <w:spacing w:line="276" w:lineRule="auto"/>
        <w:ind w:left="720" w:hanging="720"/>
        <w:rPr>
          <w:rFonts w:ascii="Proxima Nova" w:hAnsi="Proxima Nova" w:cstheme="minorHAnsi"/>
          <w:sz w:val="22"/>
          <w:szCs w:val="22"/>
        </w:rPr>
      </w:pPr>
    </w:p>
    <w:p w14:paraId="105946E7" w14:textId="64BC8ACC" w:rsidR="009E0F0D" w:rsidRPr="00387DF8" w:rsidRDefault="009E0F0D" w:rsidP="00387DF8">
      <w:pPr>
        <w:pStyle w:val="ListParagraph"/>
        <w:numPr>
          <w:ilvl w:val="1"/>
          <w:numId w:val="21"/>
        </w:numPr>
        <w:snapToGrid w:val="0"/>
        <w:spacing w:line="276" w:lineRule="auto"/>
        <w:ind w:left="720" w:hanging="720"/>
        <w:contextualSpacing w:val="0"/>
        <w:rPr>
          <w:rFonts w:ascii="Proxima Nova" w:hAnsi="Proxima Nova" w:cstheme="minorHAnsi"/>
          <w:sz w:val="22"/>
          <w:szCs w:val="22"/>
        </w:rPr>
      </w:pPr>
      <w:r w:rsidRPr="00387DF8">
        <w:rPr>
          <w:rFonts w:ascii="Proxima Nova" w:hAnsi="Proxima Nova" w:cstheme="minorHAnsi"/>
          <w:sz w:val="22"/>
          <w:szCs w:val="22"/>
        </w:rPr>
        <w:t>The Pre</w:t>
      </w:r>
      <w:r w:rsidR="00EE386E" w:rsidRPr="00387DF8">
        <w:rPr>
          <w:rFonts w:ascii="Proxima Nova" w:hAnsi="Proxima Nova" w:cstheme="minorHAnsi"/>
          <w:sz w:val="22"/>
          <w:szCs w:val="22"/>
        </w:rPr>
        <w:t>am</w:t>
      </w:r>
      <w:r w:rsidRPr="00387DF8">
        <w:rPr>
          <w:rFonts w:ascii="Proxima Nova" w:hAnsi="Proxima Nova" w:cstheme="minorHAnsi"/>
          <w:sz w:val="22"/>
          <w:szCs w:val="22"/>
        </w:rPr>
        <w:t xml:space="preserve">ble to the Terms of Reference recognise the right to enjoyment of human rights pertaining to freedom from all </w:t>
      </w:r>
      <w:proofErr w:type="gramStart"/>
      <w:r w:rsidRPr="00387DF8">
        <w:rPr>
          <w:rFonts w:ascii="Proxima Nova" w:hAnsi="Proxima Nova" w:cstheme="minorHAnsi"/>
          <w:sz w:val="22"/>
          <w:szCs w:val="22"/>
        </w:rPr>
        <w:t>forms</w:t>
      </w:r>
      <w:proofErr w:type="gramEnd"/>
      <w:r w:rsidRPr="00387DF8">
        <w:rPr>
          <w:rFonts w:ascii="Proxima Nova" w:hAnsi="Proxima Nova" w:cstheme="minorHAnsi"/>
          <w:sz w:val="22"/>
          <w:szCs w:val="22"/>
        </w:rPr>
        <w:t xml:space="preserve"> violence:</w:t>
      </w:r>
    </w:p>
    <w:p w14:paraId="4C01C6E3" w14:textId="77777777" w:rsidR="009E0F0D" w:rsidRPr="00387DF8" w:rsidRDefault="009E0F0D" w:rsidP="00387DF8">
      <w:pPr>
        <w:spacing w:line="276" w:lineRule="auto"/>
        <w:rPr>
          <w:rFonts w:ascii="Proxima Nova" w:hAnsi="Proxima Nova" w:cstheme="minorHAnsi"/>
          <w:sz w:val="22"/>
          <w:szCs w:val="22"/>
        </w:rPr>
      </w:pPr>
    </w:p>
    <w:p w14:paraId="7B37CA6D" w14:textId="77777777" w:rsidR="009E0F0D" w:rsidRPr="00387DF8" w:rsidRDefault="009E0F0D" w:rsidP="00387DF8">
      <w:pPr>
        <w:pStyle w:val="ListParagraph"/>
        <w:snapToGrid w:val="0"/>
        <w:spacing w:line="276" w:lineRule="auto"/>
        <w:ind w:left="1134"/>
        <w:contextualSpacing w:val="0"/>
        <w:rPr>
          <w:rFonts w:ascii="Proxima Nova" w:hAnsi="Proxima Nova" w:cstheme="minorHAnsi"/>
          <w:i/>
          <w:iCs/>
          <w:sz w:val="22"/>
          <w:szCs w:val="22"/>
        </w:rPr>
      </w:pPr>
      <w:r w:rsidRPr="00387DF8">
        <w:rPr>
          <w:rFonts w:ascii="Proxima Nova" w:hAnsi="Proxima Nova" w:cstheme="minorHAnsi"/>
          <w:i/>
          <w:iCs/>
          <w:sz w:val="22"/>
          <w:szCs w:val="22"/>
        </w:rPr>
        <w:t xml:space="preserve">RECOGNISING that people with disability </w:t>
      </w:r>
      <w:proofErr w:type="gramStart"/>
      <w:r w:rsidRPr="00387DF8">
        <w:rPr>
          <w:rFonts w:ascii="Proxima Nova" w:hAnsi="Proxima Nova" w:cstheme="minorHAnsi"/>
          <w:i/>
          <w:iCs/>
          <w:sz w:val="22"/>
          <w:szCs w:val="22"/>
        </w:rPr>
        <w:t>are:</w:t>
      </w:r>
      <w:proofErr w:type="gramEnd"/>
      <w:r w:rsidRPr="00387DF8">
        <w:rPr>
          <w:rFonts w:ascii="Proxima Nova" w:hAnsi="Proxima Nova" w:cstheme="minorHAnsi"/>
          <w:i/>
          <w:iCs/>
          <w:sz w:val="22"/>
          <w:szCs w:val="22"/>
        </w:rPr>
        <w:t xml:space="preserve"> equal citizens and have the right to the full and equal enjoyment of all human rights and fundamental freedoms, including respect for their inherent dignity and individual autonomy. …</w:t>
      </w:r>
    </w:p>
    <w:p w14:paraId="265DC13E" w14:textId="77777777" w:rsidR="009E0F0D" w:rsidRPr="00387DF8" w:rsidRDefault="009E0F0D" w:rsidP="00387DF8">
      <w:pPr>
        <w:pStyle w:val="ListParagraph"/>
        <w:snapToGrid w:val="0"/>
        <w:spacing w:line="276" w:lineRule="auto"/>
        <w:ind w:left="1134"/>
        <w:contextualSpacing w:val="0"/>
        <w:rPr>
          <w:rFonts w:ascii="Proxima Nova" w:hAnsi="Proxima Nova" w:cstheme="minorHAnsi"/>
          <w:i/>
          <w:iCs/>
          <w:sz w:val="22"/>
          <w:szCs w:val="22"/>
        </w:rPr>
      </w:pPr>
    </w:p>
    <w:p w14:paraId="75CB34EC" w14:textId="77777777" w:rsidR="009E0F0D" w:rsidRPr="00387DF8" w:rsidRDefault="009E0F0D" w:rsidP="00387DF8">
      <w:pPr>
        <w:pStyle w:val="ListParagraph"/>
        <w:snapToGrid w:val="0"/>
        <w:spacing w:line="276" w:lineRule="auto"/>
        <w:ind w:left="1134"/>
        <w:contextualSpacing w:val="0"/>
        <w:rPr>
          <w:rFonts w:ascii="Proxima Nova" w:hAnsi="Proxima Nova" w:cstheme="minorHAnsi"/>
          <w:sz w:val="22"/>
          <w:szCs w:val="22"/>
        </w:rPr>
      </w:pPr>
      <w:r w:rsidRPr="00387DF8">
        <w:rPr>
          <w:rFonts w:ascii="Proxima Nova" w:hAnsi="Proxima Nova" w:cstheme="minorHAnsi"/>
          <w:i/>
          <w:iCs/>
          <w:sz w:val="22"/>
          <w:szCs w:val="22"/>
        </w:rPr>
        <w:t xml:space="preserve">AND Australia has international obligations to take appropriate legislative, administrative and other measures to promote the </w:t>
      </w:r>
      <w:r w:rsidRPr="00387DF8">
        <w:rPr>
          <w:rStyle w:val="highlight"/>
          <w:rFonts w:ascii="Proxima Nova" w:hAnsi="Proxima Nova" w:cstheme="minorHAnsi"/>
          <w:i/>
          <w:iCs/>
          <w:sz w:val="22"/>
          <w:szCs w:val="22"/>
        </w:rPr>
        <w:t>human righ</w:t>
      </w:r>
      <w:r w:rsidRPr="00387DF8">
        <w:rPr>
          <w:rFonts w:ascii="Proxima Nova" w:hAnsi="Proxima Nova" w:cstheme="minorHAnsi"/>
          <w:i/>
          <w:iCs/>
          <w:sz w:val="22"/>
          <w:szCs w:val="22"/>
        </w:rPr>
        <w:t>ts of people with disability, including to protect people with disability from all forms of exploitation, violence and abuse under the Convention on the Rights of Persons with Disabilities.</w:t>
      </w:r>
      <w:r w:rsidRPr="00387DF8">
        <w:rPr>
          <w:rStyle w:val="EndnoteReference"/>
          <w:rFonts w:ascii="Proxima Nova" w:hAnsi="Proxima Nova" w:cstheme="minorHAnsi"/>
          <w:sz w:val="22"/>
          <w:szCs w:val="22"/>
        </w:rPr>
        <w:endnoteReference w:id="127"/>
      </w:r>
    </w:p>
    <w:p w14:paraId="0FBA33EE" w14:textId="77777777" w:rsidR="009E0F0D" w:rsidRPr="00387DF8" w:rsidRDefault="009E0F0D" w:rsidP="00387DF8">
      <w:pPr>
        <w:snapToGrid w:val="0"/>
        <w:spacing w:line="276" w:lineRule="auto"/>
        <w:rPr>
          <w:rFonts w:ascii="Proxima Nova" w:hAnsi="Proxima Nova" w:cstheme="minorHAnsi"/>
          <w:sz w:val="22"/>
          <w:szCs w:val="22"/>
        </w:rPr>
      </w:pPr>
    </w:p>
    <w:p w14:paraId="7566DE0A" w14:textId="7DE55DBB" w:rsidR="009E0F0D" w:rsidRPr="00387DF8" w:rsidRDefault="009E0F0D" w:rsidP="00387DF8">
      <w:pPr>
        <w:pStyle w:val="ListParagraph"/>
        <w:numPr>
          <w:ilvl w:val="1"/>
          <w:numId w:val="21"/>
        </w:numPr>
        <w:snapToGrid w:val="0"/>
        <w:spacing w:line="276" w:lineRule="auto"/>
        <w:ind w:left="720" w:hanging="720"/>
        <w:contextualSpacing w:val="0"/>
        <w:rPr>
          <w:rFonts w:ascii="Proxima Nova" w:hAnsi="Proxima Nova" w:cstheme="minorHAnsi"/>
          <w:sz w:val="22"/>
          <w:szCs w:val="22"/>
        </w:rPr>
      </w:pPr>
      <w:r w:rsidRPr="00387DF8">
        <w:rPr>
          <w:rFonts w:ascii="Proxima Nova" w:hAnsi="Proxima Nova" w:cstheme="minorHAnsi"/>
          <w:sz w:val="22"/>
          <w:szCs w:val="22"/>
        </w:rPr>
        <w:t>However, in it</w:t>
      </w:r>
      <w:r w:rsidR="003509C3" w:rsidRPr="00387DF8">
        <w:rPr>
          <w:rFonts w:ascii="Proxima Nova" w:hAnsi="Proxima Nova" w:cstheme="minorHAnsi"/>
          <w:sz w:val="22"/>
          <w:szCs w:val="22"/>
        </w:rPr>
        <w:t xml:space="preserve">s </w:t>
      </w:r>
      <w:r w:rsidR="003509C3" w:rsidRPr="00387DF8">
        <w:rPr>
          <w:rFonts w:ascii="Proxima Nova" w:hAnsi="Proxima Nova" w:cs="Calibri"/>
          <w:sz w:val="22"/>
          <w:szCs w:val="22"/>
        </w:rPr>
        <w:t>Restrictive Practices</w:t>
      </w:r>
      <w:r w:rsidRPr="00387DF8">
        <w:rPr>
          <w:rFonts w:ascii="Proxima Nova" w:hAnsi="Proxima Nova" w:cstheme="minorHAnsi"/>
          <w:sz w:val="22"/>
          <w:szCs w:val="22"/>
        </w:rPr>
        <w:t xml:space="preserve"> Issues Paper the Royal Commission only goes so far as to suggest restrictive practices </w:t>
      </w:r>
      <w:r w:rsidRPr="00387DF8">
        <w:rPr>
          <w:rFonts w:ascii="Proxima Nova" w:hAnsi="Proxima Nova" w:cstheme="minorHAnsi"/>
          <w:sz w:val="22"/>
          <w:szCs w:val="22"/>
          <w:u w:val="single"/>
        </w:rPr>
        <w:t>might</w:t>
      </w:r>
      <w:r w:rsidRPr="00387DF8">
        <w:rPr>
          <w:rFonts w:ascii="Proxima Nova" w:hAnsi="Proxima Nova" w:cstheme="minorHAnsi"/>
          <w:sz w:val="22"/>
          <w:szCs w:val="22"/>
        </w:rPr>
        <w:t xml:space="preserve"> violate human rights:</w:t>
      </w:r>
    </w:p>
    <w:p w14:paraId="066128C3" w14:textId="77777777" w:rsidR="009E0F0D" w:rsidRPr="00387DF8" w:rsidRDefault="009E0F0D" w:rsidP="00387DF8">
      <w:pPr>
        <w:snapToGrid w:val="0"/>
        <w:spacing w:line="276" w:lineRule="auto"/>
        <w:rPr>
          <w:rFonts w:ascii="Proxima Nova" w:hAnsi="Proxima Nova" w:cstheme="minorHAnsi"/>
          <w:sz w:val="22"/>
          <w:szCs w:val="22"/>
        </w:rPr>
      </w:pPr>
    </w:p>
    <w:p w14:paraId="58656F85" w14:textId="77777777" w:rsidR="009E0F0D" w:rsidRPr="00387DF8" w:rsidRDefault="009E0F0D" w:rsidP="00387DF8">
      <w:pPr>
        <w:pStyle w:val="ListParagraph"/>
        <w:snapToGrid w:val="0"/>
        <w:spacing w:line="276" w:lineRule="auto"/>
        <w:ind w:left="1134"/>
        <w:contextualSpacing w:val="0"/>
        <w:rPr>
          <w:rFonts w:ascii="Proxima Nova" w:hAnsi="Proxima Nova" w:cstheme="minorHAnsi"/>
          <w:sz w:val="22"/>
          <w:szCs w:val="22"/>
        </w:rPr>
      </w:pPr>
      <w:r w:rsidRPr="00387DF8">
        <w:rPr>
          <w:rFonts w:ascii="Proxima Nova" w:hAnsi="Proxima Nova" w:cstheme="minorHAnsi"/>
          <w:i/>
          <w:iCs/>
          <w:sz w:val="22"/>
          <w:szCs w:val="22"/>
        </w:rPr>
        <w:t>We are committed to the rights of people with disability. Australia is required under the UN Convention on the Rights of Persons with Disability to respect, protect and fulfil the human rights of people with disability. People with disability have a right to be free from violence and abuse, and torture or cruel, inhumane or degrading treatment. People with disability also have rights to physical and mental integrity, liberty and autonomy. The use of restrictive practices may conflict with these human rights.</w:t>
      </w:r>
      <w:r w:rsidRPr="00387DF8">
        <w:rPr>
          <w:rStyle w:val="EndnoteReference"/>
          <w:rFonts w:ascii="Proxima Nova" w:hAnsi="Proxima Nova" w:cstheme="minorHAnsi"/>
          <w:sz w:val="22"/>
          <w:szCs w:val="22"/>
        </w:rPr>
        <w:endnoteReference w:id="128"/>
      </w:r>
    </w:p>
    <w:p w14:paraId="46742160" w14:textId="77777777" w:rsidR="009E0F0D" w:rsidRPr="00387DF8" w:rsidRDefault="009E0F0D" w:rsidP="00387DF8">
      <w:pPr>
        <w:snapToGrid w:val="0"/>
        <w:spacing w:line="276" w:lineRule="auto"/>
        <w:ind w:left="-300"/>
        <w:rPr>
          <w:rFonts w:ascii="Proxima Nova" w:hAnsi="Proxima Nova" w:cstheme="minorHAnsi"/>
          <w:sz w:val="22"/>
          <w:szCs w:val="22"/>
        </w:rPr>
      </w:pPr>
    </w:p>
    <w:p w14:paraId="70313477" w14:textId="282A7FCB" w:rsidR="009E0F0D" w:rsidRPr="00387DF8" w:rsidRDefault="009E0F0D" w:rsidP="00387DF8">
      <w:pPr>
        <w:pStyle w:val="ListParagraph"/>
        <w:numPr>
          <w:ilvl w:val="1"/>
          <w:numId w:val="21"/>
        </w:numPr>
        <w:spacing w:line="276" w:lineRule="auto"/>
        <w:ind w:left="720" w:hanging="720"/>
        <w:contextualSpacing w:val="0"/>
        <w:rPr>
          <w:rFonts w:ascii="Proxima Nova" w:hAnsi="Proxima Nova"/>
          <w:sz w:val="22"/>
          <w:szCs w:val="22"/>
        </w:rPr>
      </w:pPr>
      <w:r w:rsidRPr="00387DF8">
        <w:rPr>
          <w:rFonts w:ascii="Proxima Nova" w:hAnsi="Proxima Nova"/>
          <w:sz w:val="22"/>
          <w:szCs w:val="22"/>
        </w:rPr>
        <w:t xml:space="preserve">This equivocal approach to restrictive practices and human rights is deeply </w:t>
      </w:r>
      <w:proofErr w:type="gramStart"/>
      <w:r w:rsidRPr="00387DF8">
        <w:rPr>
          <w:rFonts w:ascii="Proxima Nova" w:hAnsi="Proxima Nova"/>
          <w:sz w:val="22"/>
          <w:szCs w:val="22"/>
        </w:rPr>
        <w:t>concerning, and</w:t>
      </w:r>
      <w:proofErr w:type="gramEnd"/>
      <w:r w:rsidRPr="00387DF8">
        <w:rPr>
          <w:rFonts w:ascii="Proxima Nova" w:hAnsi="Proxima Nova"/>
          <w:sz w:val="22"/>
          <w:szCs w:val="22"/>
        </w:rPr>
        <w:t xml:space="preserve"> echoes a similar approach in previous government inquiries into restrictive practices which have failed to recommend prohibition and redress of restrictive practices</w:t>
      </w:r>
      <w:r w:rsidR="00E27F43" w:rsidRPr="00387DF8">
        <w:rPr>
          <w:rFonts w:ascii="Proxima Nova" w:hAnsi="Proxima Nova"/>
          <w:sz w:val="22"/>
          <w:szCs w:val="22"/>
        </w:rPr>
        <w:t xml:space="preserve"> </w:t>
      </w:r>
      <w:r w:rsidR="00E27F43" w:rsidRPr="00387DF8">
        <w:rPr>
          <w:rFonts w:ascii="Proxima Nova" w:hAnsi="Proxima Nova" w:cstheme="minorHAnsi"/>
          <w:color w:val="000000" w:themeColor="text1"/>
          <w:spacing w:val="-4"/>
          <w:sz w:val="22"/>
          <w:szCs w:val="22"/>
          <w:shd w:val="clear" w:color="auto" w:fill="FFFFFF"/>
        </w:rPr>
        <w:t>(discussed in Section 2)</w:t>
      </w:r>
      <w:r w:rsidRPr="00387DF8">
        <w:rPr>
          <w:rFonts w:ascii="Proxima Nova" w:hAnsi="Proxima Nova"/>
          <w:sz w:val="22"/>
          <w:szCs w:val="22"/>
        </w:rPr>
        <w:t>.</w:t>
      </w:r>
    </w:p>
    <w:p w14:paraId="052BFDAD" w14:textId="77777777" w:rsidR="00372144" w:rsidRPr="00387DF8" w:rsidRDefault="00372144" w:rsidP="00387DF8">
      <w:pPr>
        <w:spacing w:line="276" w:lineRule="auto"/>
        <w:ind w:left="720" w:hanging="720"/>
        <w:rPr>
          <w:rFonts w:ascii="Proxima Nova" w:hAnsi="Proxima Nova" w:cstheme="minorHAnsi"/>
          <w:sz w:val="22"/>
          <w:szCs w:val="22"/>
        </w:rPr>
      </w:pPr>
    </w:p>
    <w:p w14:paraId="01115CDF" w14:textId="0859A766" w:rsidR="00372144" w:rsidRPr="00A17443" w:rsidRDefault="004062DE" w:rsidP="00372144">
      <w:pPr>
        <w:spacing w:line="276" w:lineRule="auto"/>
        <w:ind w:left="567" w:hanging="567"/>
        <w:rPr>
          <w:rFonts w:ascii="Proxima Nova" w:hAnsi="Proxima Nova" w:cstheme="minorHAnsi"/>
        </w:rPr>
      </w:pPr>
      <w:r w:rsidRPr="00A17443">
        <w:rPr>
          <w:rFonts w:ascii="Proxima Nova" w:hAnsi="Proxima Nova"/>
          <w:b/>
          <w:color w:val="AC1F79"/>
        </w:rPr>
        <w:t>S</w:t>
      </w:r>
      <w:r w:rsidR="00372144" w:rsidRPr="00A17443">
        <w:rPr>
          <w:rFonts w:ascii="Proxima Nova" w:hAnsi="Proxima Nova"/>
          <w:b/>
          <w:color w:val="AC1F79"/>
        </w:rPr>
        <w:t>ituating Restrictive Practices in Structural Contexts</w:t>
      </w:r>
    </w:p>
    <w:p w14:paraId="7837EB96" w14:textId="77777777" w:rsidR="002A67CD" w:rsidRPr="00387DF8" w:rsidRDefault="002A67CD" w:rsidP="00DF7116">
      <w:pPr>
        <w:spacing w:line="276" w:lineRule="auto"/>
        <w:rPr>
          <w:rFonts w:ascii="Proxima Nova" w:hAnsi="Proxima Nova" w:cstheme="minorHAnsi"/>
          <w:sz w:val="22"/>
          <w:szCs w:val="22"/>
        </w:rPr>
      </w:pPr>
    </w:p>
    <w:p w14:paraId="63D03E90" w14:textId="176DD5A3" w:rsidR="003A326B" w:rsidRPr="00387DF8" w:rsidRDefault="00D810C9" w:rsidP="00DF7116">
      <w:pPr>
        <w:pStyle w:val="ListParagraph"/>
        <w:numPr>
          <w:ilvl w:val="1"/>
          <w:numId w:val="21"/>
        </w:numPr>
        <w:snapToGrid w:val="0"/>
        <w:spacing w:line="276" w:lineRule="auto"/>
        <w:ind w:left="720" w:hanging="720"/>
        <w:contextualSpacing w:val="0"/>
        <w:rPr>
          <w:rFonts w:ascii="Proxima Nova" w:hAnsi="Proxima Nova" w:cstheme="minorHAnsi"/>
          <w:sz w:val="22"/>
          <w:szCs w:val="22"/>
        </w:rPr>
      </w:pPr>
      <w:r w:rsidRPr="00387DF8">
        <w:rPr>
          <w:rFonts w:ascii="Proxima Nova" w:hAnsi="Proxima Nova" w:cstheme="minorHAnsi"/>
          <w:sz w:val="22"/>
          <w:szCs w:val="22"/>
        </w:rPr>
        <w:t xml:space="preserve">In its future work, the </w:t>
      </w:r>
      <w:r w:rsidR="003A326B" w:rsidRPr="00387DF8">
        <w:rPr>
          <w:rFonts w:ascii="Proxima Nova" w:hAnsi="Proxima Nova" w:cstheme="minorHAnsi"/>
          <w:sz w:val="22"/>
          <w:szCs w:val="22"/>
        </w:rPr>
        <w:t xml:space="preserve">Royal Commission </w:t>
      </w:r>
      <w:r w:rsidRPr="00387DF8">
        <w:rPr>
          <w:rFonts w:ascii="Proxima Nova" w:hAnsi="Proxima Nova" w:cstheme="minorHAnsi"/>
          <w:sz w:val="22"/>
          <w:szCs w:val="22"/>
        </w:rPr>
        <w:t xml:space="preserve">should situate its exploration of restrictive practices in broader structural contexts, rather than </w:t>
      </w:r>
      <w:r w:rsidR="003A326B" w:rsidRPr="00387DF8">
        <w:rPr>
          <w:rFonts w:ascii="Proxima Nova" w:hAnsi="Proxima Nova" w:cstheme="minorHAnsi"/>
          <w:sz w:val="22"/>
          <w:szCs w:val="22"/>
        </w:rPr>
        <w:t xml:space="preserve">acutely </w:t>
      </w:r>
      <w:r w:rsidRPr="00387DF8">
        <w:rPr>
          <w:rFonts w:ascii="Proxima Nova" w:hAnsi="Proxima Nova" w:cstheme="minorHAnsi"/>
          <w:sz w:val="22"/>
          <w:szCs w:val="22"/>
        </w:rPr>
        <w:t xml:space="preserve">focusing </w:t>
      </w:r>
      <w:r w:rsidR="003A326B" w:rsidRPr="00387DF8">
        <w:rPr>
          <w:rFonts w:ascii="Proxima Nova" w:hAnsi="Proxima Nova" w:cstheme="minorHAnsi"/>
          <w:sz w:val="22"/>
          <w:szCs w:val="22"/>
        </w:rPr>
        <w:t xml:space="preserve">on restrictive practices as an isolated phenomenon.  </w:t>
      </w:r>
    </w:p>
    <w:p w14:paraId="22B8B6A5" w14:textId="77777777" w:rsidR="003A326B" w:rsidRPr="00387DF8" w:rsidRDefault="003A326B" w:rsidP="00DF7116">
      <w:pPr>
        <w:snapToGrid w:val="0"/>
        <w:spacing w:line="276" w:lineRule="auto"/>
        <w:rPr>
          <w:rFonts w:ascii="Proxima Nova" w:hAnsi="Proxima Nova" w:cstheme="minorHAnsi"/>
          <w:sz w:val="22"/>
          <w:szCs w:val="22"/>
        </w:rPr>
      </w:pPr>
    </w:p>
    <w:p w14:paraId="28228E6E" w14:textId="4A061BAF" w:rsidR="00033B3A" w:rsidRPr="00387DF8" w:rsidRDefault="00033B3A" w:rsidP="00DF7116">
      <w:pPr>
        <w:pStyle w:val="ListParagraph"/>
        <w:numPr>
          <w:ilvl w:val="1"/>
          <w:numId w:val="21"/>
        </w:numPr>
        <w:snapToGrid w:val="0"/>
        <w:spacing w:line="276" w:lineRule="auto"/>
        <w:ind w:left="720" w:hanging="720"/>
        <w:rPr>
          <w:rFonts w:ascii="Proxima Nova" w:hAnsi="Proxima Nova" w:cstheme="minorHAnsi"/>
          <w:sz w:val="22"/>
          <w:szCs w:val="22"/>
          <w:bdr w:val="none" w:sz="0" w:space="0" w:color="auto" w:frame="1"/>
        </w:rPr>
      </w:pPr>
      <w:r w:rsidRPr="00387DF8">
        <w:rPr>
          <w:rFonts w:ascii="Proxima Nova" w:hAnsi="Proxima Nova" w:cstheme="minorHAnsi"/>
          <w:color w:val="000000" w:themeColor="text1"/>
          <w:spacing w:val="-4"/>
          <w:sz w:val="22"/>
          <w:szCs w:val="22"/>
          <w:shd w:val="clear" w:color="auto" w:fill="FFFFFF"/>
        </w:rPr>
        <w:t xml:space="preserve">It is recognised that to prevent violence against women and girls, viewed as a ‘significant social problem’, there needs to be ‘a </w:t>
      </w:r>
      <w:proofErr w:type="gramStart"/>
      <w:r w:rsidRPr="00387DF8">
        <w:rPr>
          <w:rFonts w:ascii="Proxima Nova" w:hAnsi="Proxima Nova" w:cstheme="minorHAnsi"/>
          <w:color w:val="000000" w:themeColor="text1"/>
          <w:spacing w:val="-4"/>
          <w:sz w:val="22"/>
          <w:szCs w:val="22"/>
          <w:shd w:val="clear" w:color="auto" w:fill="FFFFFF"/>
        </w:rPr>
        <w:t>large scale</w:t>
      </w:r>
      <w:proofErr w:type="gramEnd"/>
      <w:r w:rsidRPr="00387DF8">
        <w:rPr>
          <w:rFonts w:ascii="Proxima Nova" w:hAnsi="Proxima Nova" w:cstheme="minorHAnsi"/>
          <w:color w:val="000000" w:themeColor="text1"/>
          <w:spacing w:val="-4"/>
          <w:sz w:val="22"/>
          <w:szCs w:val="22"/>
          <w:shd w:val="clear" w:color="auto" w:fill="FFFFFF"/>
        </w:rPr>
        <w:t xml:space="preserve"> response’ to achieve a ‘social transformation.’</w:t>
      </w:r>
      <w:r w:rsidRPr="00387DF8">
        <w:rPr>
          <w:rStyle w:val="EndnoteReference"/>
          <w:rFonts w:ascii="Proxima Nova" w:hAnsi="Proxima Nova" w:cstheme="minorHAnsi"/>
          <w:color w:val="000000" w:themeColor="text1"/>
          <w:spacing w:val="-4"/>
          <w:sz w:val="22"/>
          <w:szCs w:val="22"/>
          <w:shd w:val="clear" w:color="auto" w:fill="FFFFFF"/>
        </w:rPr>
        <w:endnoteReference w:id="129"/>
      </w:r>
      <w:r w:rsidRPr="00387DF8">
        <w:rPr>
          <w:rFonts w:ascii="Proxima Nova" w:hAnsi="Proxima Nova" w:cstheme="minorHAnsi"/>
          <w:color w:val="000000" w:themeColor="text1"/>
          <w:spacing w:val="-4"/>
          <w:sz w:val="22"/>
          <w:szCs w:val="22"/>
          <w:shd w:val="clear" w:color="auto" w:fill="FFFFFF"/>
        </w:rPr>
        <w:t xml:space="preserve"> </w:t>
      </w:r>
      <w:r w:rsidRPr="00387DF8">
        <w:rPr>
          <w:rFonts w:ascii="Proxima Nova" w:hAnsi="Proxima Nova" w:cstheme="minorHAnsi"/>
          <w:color w:val="000000" w:themeColor="text1"/>
          <w:sz w:val="22"/>
          <w:szCs w:val="22"/>
        </w:rPr>
        <w:t xml:space="preserve">It is acknowledged that beliefs, behaviours and systems </w:t>
      </w:r>
      <w:r w:rsidRPr="00387DF8">
        <w:rPr>
          <w:rFonts w:ascii="Proxima Nova" w:hAnsi="Proxima Nova" w:cstheme="minorHAnsi"/>
          <w:sz w:val="22"/>
          <w:szCs w:val="22"/>
          <w:bdr w:val="none" w:sz="0" w:space="0" w:color="auto" w:frame="1"/>
        </w:rPr>
        <w:t xml:space="preserve">that excuse, justify or condone violence and inequality must be challenged and reformed. </w:t>
      </w:r>
      <w:r w:rsidRPr="00387DF8">
        <w:rPr>
          <w:rFonts w:ascii="Proxima Nova" w:hAnsi="Proxima Nova" w:cstheme="minorHAnsi"/>
          <w:color w:val="000000" w:themeColor="text1"/>
          <w:spacing w:val="-4"/>
          <w:sz w:val="22"/>
          <w:szCs w:val="22"/>
          <w:shd w:val="clear" w:color="auto" w:fill="FFFFFF"/>
        </w:rPr>
        <w:t>While there are criticisms about the adequacy of the response to prevent violence against women, the current response in Australia includes State and national laws, national action plans, political commitments and budget allocations, national surveys, national awareness raising campaigns, inquiries, and educational programs delivered as part of the school curriculum.</w:t>
      </w:r>
      <w:r w:rsidRPr="00387DF8">
        <w:rPr>
          <w:rStyle w:val="EndnoteReference"/>
          <w:rFonts w:ascii="Proxima Nova" w:hAnsi="Proxima Nova" w:cstheme="minorHAnsi"/>
          <w:color w:val="000000" w:themeColor="text1"/>
          <w:spacing w:val="-4"/>
          <w:sz w:val="22"/>
          <w:szCs w:val="22"/>
          <w:shd w:val="clear" w:color="auto" w:fill="FFFFFF"/>
        </w:rPr>
        <w:endnoteReference w:id="130"/>
      </w:r>
      <w:r w:rsidRPr="00387DF8">
        <w:rPr>
          <w:rFonts w:ascii="Proxima Nova" w:hAnsi="Proxima Nova" w:cstheme="minorHAnsi"/>
          <w:color w:val="000000" w:themeColor="text1"/>
          <w:spacing w:val="-4"/>
          <w:sz w:val="22"/>
          <w:szCs w:val="22"/>
          <w:shd w:val="clear" w:color="auto" w:fill="FFFFFF"/>
        </w:rPr>
        <w:t xml:space="preserve"> On the other hand, violence against women with disability is more often examined only in the context of the disability service system, the imputed ‘vulnerability’ of people with disability, the failure of policies and procedures, the lack of qualified and accredited staff and the lack of rigorous oversight and protective mechanisms. While these factors are important, rarely are underlying drivers of violence, abuse, neglect and exploitation of women and girls with disability – disability inequality and discrimination, medical/health and justice/legal systems complicity in violence and segregation – identified or acknowledged. Consequently, there is no recognition of the need for a social transformation to address this situation. </w:t>
      </w:r>
    </w:p>
    <w:p w14:paraId="143954BF" w14:textId="77777777" w:rsidR="00033B3A" w:rsidRPr="00387DF8" w:rsidRDefault="00033B3A" w:rsidP="00DF7116">
      <w:pPr>
        <w:pStyle w:val="ListParagraph"/>
        <w:spacing w:line="276" w:lineRule="auto"/>
        <w:ind w:left="0"/>
        <w:rPr>
          <w:rFonts w:ascii="Proxima Nova" w:hAnsi="Proxima Nova" w:cstheme="minorHAnsi"/>
          <w:sz w:val="22"/>
          <w:szCs w:val="22"/>
        </w:rPr>
      </w:pPr>
    </w:p>
    <w:p w14:paraId="67ABFF50" w14:textId="23432F12" w:rsidR="00500FFF" w:rsidRPr="00387DF8" w:rsidRDefault="006C458A" w:rsidP="00DF7116">
      <w:pPr>
        <w:pStyle w:val="ListParagraph"/>
        <w:numPr>
          <w:ilvl w:val="1"/>
          <w:numId w:val="21"/>
        </w:numPr>
        <w:snapToGrid w:val="0"/>
        <w:spacing w:line="276" w:lineRule="auto"/>
        <w:ind w:left="720" w:hanging="720"/>
        <w:contextualSpacing w:val="0"/>
        <w:rPr>
          <w:rFonts w:ascii="Proxima Nova" w:hAnsi="Proxima Nova" w:cstheme="minorHAnsi"/>
          <w:sz w:val="22"/>
          <w:szCs w:val="22"/>
        </w:rPr>
      </w:pPr>
      <w:r w:rsidRPr="00387DF8">
        <w:rPr>
          <w:rFonts w:ascii="Proxima Nova" w:hAnsi="Proxima Nova" w:cstheme="minorHAnsi"/>
          <w:sz w:val="22"/>
          <w:szCs w:val="22"/>
        </w:rPr>
        <w:t>The Royal Commission explains in its</w:t>
      </w:r>
      <w:r w:rsidR="003509C3" w:rsidRPr="00387DF8">
        <w:rPr>
          <w:rFonts w:ascii="Proxima Nova" w:hAnsi="Proxima Nova" w:cstheme="minorHAnsi"/>
          <w:sz w:val="22"/>
          <w:szCs w:val="22"/>
        </w:rPr>
        <w:t xml:space="preserve"> </w:t>
      </w:r>
      <w:r w:rsidR="003509C3" w:rsidRPr="00387DF8">
        <w:rPr>
          <w:rFonts w:ascii="Proxima Nova" w:hAnsi="Proxima Nova" w:cs="Calibri"/>
          <w:sz w:val="22"/>
          <w:szCs w:val="22"/>
        </w:rPr>
        <w:t>Restrictive Practices</w:t>
      </w:r>
      <w:r w:rsidRPr="00387DF8">
        <w:rPr>
          <w:rFonts w:ascii="Proxima Nova" w:hAnsi="Proxima Nova" w:cstheme="minorHAnsi"/>
          <w:sz w:val="22"/>
          <w:szCs w:val="22"/>
        </w:rPr>
        <w:t xml:space="preserve"> Issues Paper that its life-course approach will consider the ongoing and intergenerational impacts of restrictive practices and use of restrictive practices at different life </w:t>
      </w:r>
      <w:r w:rsidR="008664CB" w:rsidRPr="00387DF8">
        <w:rPr>
          <w:rFonts w:ascii="Proxima Nova" w:hAnsi="Proxima Nova" w:cstheme="minorHAnsi"/>
          <w:sz w:val="22"/>
          <w:szCs w:val="22"/>
        </w:rPr>
        <w:t>stages:</w:t>
      </w:r>
    </w:p>
    <w:p w14:paraId="55F9507D" w14:textId="77777777" w:rsidR="008664CB" w:rsidRPr="00387DF8" w:rsidRDefault="008664CB" w:rsidP="00DF7116">
      <w:pPr>
        <w:pStyle w:val="ListParagraph"/>
        <w:spacing w:line="276" w:lineRule="auto"/>
        <w:ind w:left="1134"/>
        <w:rPr>
          <w:rFonts w:ascii="Proxima Nova" w:hAnsi="Proxima Nova" w:cstheme="minorHAnsi"/>
          <w:sz w:val="22"/>
          <w:szCs w:val="22"/>
        </w:rPr>
      </w:pPr>
    </w:p>
    <w:p w14:paraId="7FA99C6F" w14:textId="102D8F94" w:rsidR="008664CB" w:rsidRPr="00387DF8" w:rsidRDefault="008664CB" w:rsidP="00DF7116">
      <w:pPr>
        <w:pStyle w:val="ListParagraph"/>
        <w:snapToGrid w:val="0"/>
        <w:spacing w:line="276" w:lineRule="auto"/>
        <w:ind w:left="1134"/>
        <w:contextualSpacing w:val="0"/>
        <w:rPr>
          <w:rFonts w:ascii="Proxima Nova" w:hAnsi="Proxima Nova" w:cstheme="minorHAnsi"/>
          <w:i/>
          <w:iCs/>
          <w:sz w:val="22"/>
          <w:szCs w:val="22"/>
        </w:rPr>
      </w:pPr>
      <w:r w:rsidRPr="00387DF8">
        <w:rPr>
          <w:rFonts w:ascii="Proxima Nova" w:hAnsi="Proxima Nova" w:cstheme="minorHAnsi"/>
          <w:i/>
          <w:iCs/>
          <w:sz w:val="22"/>
          <w:szCs w:val="22"/>
        </w:rPr>
        <w:t>We want to better understand how people with disability have experienced violence, abuse, neglect and exploitation across their life. …</w:t>
      </w:r>
    </w:p>
    <w:p w14:paraId="3EE9EDB8" w14:textId="77777777" w:rsidR="008664CB" w:rsidRPr="00387DF8" w:rsidRDefault="008664CB" w:rsidP="00DF7116">
      <w:pPr>
        <w:pStyle w:val="ListParagraph"/>
        <w:snapToGrid w:val="0"/>
        <w:spacing w:line="276" w:lineRule="auto"/>
        <w:ind w:left="1134"/>
        <w:contextualSpacing w:val="0"/>
        <w:rPr>
          <w:rFonts w:ascii="Proxima Nova" w:hAnsi="Proxima Nova" w:cstheme="minorHAnsi"/>
          <w:i/>
          <w:iCs/>
          <w:sz w:val="22"/>
          <w:szCs w:val="22"/>
        </w:rPr>
      </w:pPr>
    </w:p>
    <w:p w14:paraId="03267A6B" w14:textId="58F5B976" w:rsidR="008664CB" w:rsidRPr="00387DF8" w:rsidRDefault="008664CB" w:rsidP="00DF7116">
      <w:pPr>
        <w:pStyle w:val="ListParagraph"/>
        <w:snapToGrid w:val="0"/>
        <w:spacing w:line="276" w:lineRule="auto"/>
        <w:ind w:left="1134"/>
        <w:contextualSpacing w:val="0"/>
        <w:rPr>
          <w:rFonts w:ascii="Proxima Nova" w:hAnsi="Proxima Nova" w:cstheme="minorHAnsi"/>
          <w:i/>
          <w:iCs/>
          <w:sz w:val="22"/>
          <w:szCs w:val="22"/>
        </w:rPr>
      </w:pPr>
      <w:r w:rsidRPr="00387DF8">
        <w:rPr>
          <w:rFonts w:ascii="Proxima Nova" w:hAnsi="Proxima Nova" w:cstheme="minorHAnsi"/>
          <w:i/>
          <w:iCs/>
          <w:sz w:val="22"/>
          <w:szCs w:val="22"/>
        </w:rPr>
        <w:t>Restrictive practices can have ongoing effects across their life. There may be points in a person’s life where they are at a higher risk of being subjected to restrictive practices. …</w:t>
      </w:r>
    </w:p>
    <w:p w14:paraId="65D8C832" w14:textId="77777777" w:rsidR="008664CB" w:rsidRPr="00387DF8" w:rsidRDefault="008664CB" w:rsidP="00DF7116">
      <w:pPr>
        <w:pStyle w:val="ListParagraph"/>
        <w:snapToGrid w:val="0"/>
        <w:spacing w:line="276" w:lineRule="auto"/>
        <w:ind w:left="1134"/>
        <w:contextualSpacing w:val="0"/>
        <w:rPr>
          <w:rFonts w:ascii="Proxima Nova" w:hAnsi="Proxima Nova" w:cstheme="minorHAnsi"/>
          <w:i/>
          <w:iCs/>
          <w:sz w:val="22"/>
          <w:szCs w:val="22"/>
        </w:rPr>
      </w:pPr>
    </w:p>
    <w:p w14:paraId="04D5CD57" w14:textId="3025B36A" w:rsidR="008664CB" w:rsidRPr="00387DF8" w:rsidRDefault="008664CB" w:rsidP="00DF7116">
      <w:pPr>
        <w:pStyle w:val="ListParagraph"/>
        <w:snapToGrid w:val="0"/>
        <w:spacing w:line="276" w:lineRule="auto"/>
        <w:ind w:left="1134"/>
        <w:contextualSpacing w:val="0"/>
        <w:rPr>
          <w:rFonts w:ascii="Proxima Nova" w:hAnsi="Proxima Nova" w:cstheme="minorHAnsi"/>
          <w:i/>
          <w:iCs/>
          <w:sz w:val="22"/>
          <w:szCs w:val="22"/>
        </w:rPr>
      </w:pPr>
      <w:r w:rsidRPr="00387DF8">
        <w:rPr>
          <w:rFonts w:ascii="Proxima Nova" w:hAnsi="Proxima Nova" w:cstheme="minorHAnsi"/>
          <w:i/>
          <w:iCs/>
          <w:sz w:val="22"/>
          <w:szCs w:val="22"/>
        </w:rPr>
        <w:t>A life-course approach recognises that all</w:t>
      </w:r>
      <w:r w:rsidR="00EE386E" w:rsidRPr="00387DF8">
        <w:rPr>
          <w:rFonts w:ascii="Proxima Nova" w:hAnsi="Proxima Nova" w:cstheme="minorHAnsi"/>
          <w:i/>
          <w:iCs/>
          <w:sz w:val="22"/>
          <w:szCs w:val="22"/>
        </w:rPr>
        <w:t xml:space="preserve"> </w:t>
      </w:r>
      <w:r w:rsidRPr="00387DF8">
        <w:rPr>
          <w:rFonts w:ascii="Proxima Nova" w:hAnsi="Proxima Nova" w:cstheme="minorHAnsi"/>
          <w:i/>
          <w:iCs/>
          <w:sz w:val="22"/>
          <w:szCs w:val="22"/>
        </w:rPr>
        <w:t>stages of a person’s life are connected. If a person with disability experiences violence or abuse at one point in their life, it may affect them in later parts of their life. If a person has a traumatic life experience(s) early in life, this may affect how they experience the use of restrictive practices later in life. …</w:t>
      </w:r>
    </w:p>
    <w:p w14:paraId="10ACFDF8" w14:textId="77777777" w:rsidR="008664CB" w:rsidRPr="00387DF8" w:rsidRDefault="008664CB" w:rsidP="00DF7116">
      <w:pPr>
        <w:pStyle w:val="ListParagraph"/>
        <w:snapToGrid w:val="0"/>
        <w:spacing w:line="276" w:lineRule="auto"/>
        <w:ind w:left="1134"/>
        <w:contextualSpacing w:val="0"/>
        <w:rPr>
          <w:rFonts w:ascii="Proxima Nova" w:hAnsi="Proxima Nova" w:cstheme="minorHAnsi"/>
          <w:i/>
          <w:iCs/>
          <w:sz w:val="22"/>
          <w:szCs w:val="22"/>
        </w:rPr>
      </w:pPr>
      <w:r w:rsidRPr="00387DF8">
        <w:rPr>
          <w:rFonts w:ascii="Proxima Nova" w:hAnsi="Proxima Nova" w:cstheme="minorHAnsi"/>
          <w:i/>
          <w:iCs/>
          <w:sz w:val="22"/>
          <w:szCs w:val="22"/>
        </w:rPr>
        <w:t xml:space="preserve">A life-course approach also considers life experiences across different </w:t>
      </w:r>
      <w:r w:rsidRPr="00387DF8">
        <w:rPr>
          <w:rStyle w:val="highlight"/>
          <w:rFonts w:ascii="Proxima Nova" w:hAnsi="Proxima Nova" w:cstheme="minorHAnsi"/>
          <w:i/>
          <w:iCs/>
          <w:sz w:val="22"/>
          <w:szCs w:val="22"/>
        </w:rPr>
        <w:t>genera</w:t>
      </w:r>
      <w:r w:rsidRPr="00387DF8">
        <w:rPr>
          <w:rFonts w:ascii="Proxima Nova" w:hAnsi="Proxima Nova" w:cstheme="minorHAnsi"/>
          <w:i/>
          <w:iCs/>
          <w:sz w:val="22"/>
          <w:szCs w:val="22"/>
        </w:rPr>
        <w:t xml:space="preserve">tions. … </w:t>
      </w:r>
    </w:p>
    <w:p w14:paraId="0644EAEB" w14:textId="77777777" w:rsidR="008664CB" w:rsidRPr="00387DF8" w:rsidRDefault="008664CB" w:rsidP="00DF7116">
      <w:pPr>
        <w:pStyle w:val="ListParagraph"/>
        <w:snapToGrid w:val="0"/>
        <w:spacing w:line="276" w:lineRule="auto"/>
        <w:ind w:left="1134"/>
        <w:contextualSpacing w:val="0"/>
        <w:rPr>
          <w:rFonts w:ascii="Proxima Nova" w:hAnsi="Proxima Nova" w:cstheme="minorHAnsi"/>
          <w:i/>
          <w:iCs/>
          <w:sz w:val="22"/>
          <w:szCs w:val="22"/>
        </w:rPr>
      </w:pPr>
    </w:p>
    <w:p w14:paraId="560D2086" w14:textId="21436DF1" w:rsidR="008664CB" w:rsidRPr="00387DF8" w:rsidRDefault="008664CB" w:rsidP="00DF7116">
      <w:pPr>
        <w:pStyle w:val="ListParagraph"/>
        <w:snapToGrid w:val="0"/>
        <w:spacing w:line="276" w:lineRule="auto"/>
        <w:ind w:left="1134"/>
        <w:contextualSpacing w:val="0"/>
        <w:rPr>
          <w:rFonts w:ascii="Proxima Nova" w:hAnsi="Proxima Nova" w:cstheme="minorHAnsi"/>
          <w:sz w:val="22"/>
          <w:szCs w:val="22"/>
        </w:rPr>
      </w:pPr>
      <w:r w:rsidRPr="00387DF8">
        <w:rPr>
          <w:rFonts w:ascii="Proxima Nova" w:hAnsi="Proxima Nova" w:cstheme="minorHAnsi"/>
          <w:i/>
          <w:iCs/>
          <w:sz w:val="22"/>
          <w:szCs w:val="22"/>
        </w:rPr>
        <w:t xml:space="preserve">Many people continue to feel the effects of historical practices of restriction. We will consider experiences of systemic discrimination against First Nations people with </w:t>
      </w:r>
      <w:r w:rsidRPr="00387DF8">
        <w:rPr>
          <w:rFonts w:ascii="Proxima Nova" w:hAnsi="Proxima Nova" w:cstheme="minorHAnsi"/>
          <w:i/>
          <w:iCs/>
          <w:sz w:val="22"/>
          <w:szCs w:val="22"/>
        </w:rPr>
        <w:lastRenderedPageBreak/>
        <w:t>disability. We will also consider the experiences of systemic discrimination against culturally and linguistically diverse people with disability.</w:t>
      </w:r>
      <w:r w:rsidRPr="00387DF8">
        <w:rPr>
          <w:rStyle w:val="EndnoteReference"/>
          <w:rFonts w:ascii="Proxima Nova" w:hAnsi="Proxima Nova" w:cstheme="minorHAnsi"/>
          <w:sz w:val="22"/>
          <w:szCs w:val="22"/>
        </w:rPr>
        <w:endnoteReference w:id="131"/>
      </w:r>
      <w:r w:rsidRPr="00387DF8">
        <w:rPr>
          <w:rFonts w:ascii="Proxima Nova" w:hAnsi="Proxima Nova" w:cstheme="minorHAnsi"/>
          <w:sz w:val="22"/>
          <w:szCs w:val="22"/>
        </w:rPr>
        <w:t xml:space="preserve"> </w:t>
      </w:r>
    </w:p>
    <w:p w14:paraId="6CD2D674" w14:textId="77777777" w:rsidR="00500FFF" w:rsidRPr="00387DF8" w:rsidRDefault="00500FFF" w:rsidP="00DF7116">
      <w:pPr>
        <w:pStyle w:val="ListParagraph"/>
        <w:spacing w:line="276" w:lineRule="auto"/>
        <w:ind w:left="0"/>
        <w:rPr>
          <w:rFonts w:ascii="Proxima Nova" w:hAnsi="Proxima Nova" w:cstheme="minorHAnsi"/>
          <w:sz w:val="22"/>
          <w:szCs w:val="22"/>
        </w:rPr>
      </w:pPr>
    </w:p>
    <w:p w14:paraId="0B772830" w14:textId="76138E32" w:rsidR="008664CB" w:rsidRPr="00387DF8" w:rsidRDefault="006C458A" w:rsidP="00DF7116">
      <w:pPr>
        <w:pStyle w:val="ListParagraph"/>
        <w:numPr>
          <w:ilvl w:val="1"/>
          <w:numId w:val="21"/>
        </w:numPr>
        <w:snapToGrid w:val="0"/>
        <w:spacing w:line="276" w:lineRule="auto"/>
        <w:ind w:left="720" w:hanging="720"/>
        <w:contextualSpacing w:val="0"/>
        <w:rPr>
          <w:rFonts w:ascii="Proxima Nova" w:hAnsi="Proxima Nova" w:cstheme="minorHAnsi"/>
          <w:sz w:val="22"/>
          <w:szCs w:val="22"/>
        </w:rPr>
      </w:pPr>
      <w:r w:rsidRPr="00387DF8">
        <w:rPr>
          <w:rFonts w:ascii="Proxima Nova" w:hAnsi="Proxima Nova" w:cstheme="minorHAnsi"/>
          <w:sz w:val="22"/>
          <w:szCs w:val="22"/>
        </w:rPr>
        <w:t>While this is a promising approach</w:t>
      </w:r>
      <w:r w:rsidR="008664CB" w:rsidRPr="00387DF8">
        <w:rPr>
          <w:rFonts w:ascii="Proxima Nova" w:hAnsi="Proxima Nova" w:cstheme="minorHAnsi"/>
          <w:sz w:val="22"/>
          <w:szCs w:val="22"/>
        </w:rPr>
        <w:t xml:space="preserve"> (including its recognition of the </w:t>
      </w:r>
      <w:proofErr w:type="gramStart"/>
      <w:r w:rsidR="008664CB" w:rsidRPr="00387DF8">
        <w:rPr>
          <w:rFonts w:ascii="Proxima Nova" w:hAnsi="Proxima Nova" w:cstheme="minorHAnsi"/>
          <w:sz w:val="22"/>
          <w:szCs w:val="22"/>
        </w:rPr>
        <w:t>particular impacts</w:t>
      </w:r>
      <w:proofErr w:type="gramEnd"/>
      <w:r w:rsidR="008664CB" w:rsidRPr="00387DF8">
        <w:rPr>
          <w:rFonts w:ascii="Proxima Nova" w:hAnsi="Proxima Nova" w:cstheme="minorHAnsi"/>
          <w:sz w:val="22"/>
          <w:szCs w:val="22"/>
        </w:rPr>
        <w:t xml:space="preserve"> on First Nations people with disability and people with disability from refugee communities), to date the Royal Commission’s</w:t>
      </w:r>
      <w:r w:rsidRPr="00387DF8">
        <w:rPr>
          <w:rFonts w:ascii="Proxima Nova" w:hAnsi="Proxima Nova" w:cstheme="minorHAnsi"/>
          <w:sz w:val="22"/>
          <w:szCs w:val="22"/>
        </w:rPr>
        <w:t xml:space="preserve"> consideration of restrictive practices has decontextualized them from the broader context of individuals’ life courses of violence, abuse, neglect and exploitation, and structures of oppression. This is particularly evident in the failure to </w:t>
      </w:r>
      <w:r w:rsidR="00335AD1" w:rsidRPr="00387DF8">
        <w:rPr>
          <w:rFonts w:ascii="Proxima Nova" w:hAnsi="Proxima Nova" w:cstheme="minorHAnsi"/>
          <w:sz w:val="22"/>
          <w:szCs w:val="22"/>
        </w:rPr>
        <w:t>consider</w:t>
      </w:r>
      <w:r w:rsidRPr="00387DF8">
        <w:rPr>
          <w:rFonts w:ascii="Proxima Nova" w:hAnsi="Proxima Nova" w:cstheme="minorHAnsi"/>
          <w:sz w:val="22"/>
          <w:szCs w:val="22"/>
        </w:rPr>
        <w:t xml:space="preserve"> the legal frameworks that enable restrictive practices, </w:t>
      </w:r>
      <w:r w:rsidR="008664CB" w:rsidRPr="00387DF8">
        <w:rPr>
          <w:rFonts w:ascii="Proxima Nova" w:hAnsi="Proxima Nova" w:cstheme="minorHAnsi"/>
          <w:sz w:val="22"/>
          <w:szCs w:val="22"/>
        </w:rPr>
        <w:t xml:space="preserve">how restrictive practices are situated in structural discrimination, segregation and violence (including that entrenched in law) </w:t>
      </w:r>
      <w:r w:rsidRPr="00387DF8">
        <w:rPr>
          <w:rFonts w:ascii="Proxima Nova" w:hAnsi="Proxima Nova" w:cstheme="minorHAnsi"/>
          <w:sz w:val="22"/>
          <w:szCs w:val="22"/>
        </w:rPr>
        <w:t>and how individuals experience these frameworks over their lives.</w:t>
      </w:r>
      <w:r w:rsidR="008664CB" w:rsidRPr="00387DF8">
        <w:rPr>
          <w:rFonts w:ascii="Proxima Nova" w:hAnsi="Proxima Nova" w:cstheme="minorHAnsi"/>
          <w:sz w:val="22"/>
          <w:szCs w:val="22"/>
        </w:rPr>
        <w:t xml:space="preserve"> </w:t>
      </w:r>
    </w:p>
    <w:p w14:paraId="6107BAB7" w14:textId="77777777" w:rsidR="003A326B" w:rsidRPr="00387DF8" w:rsidRDefault="003A326B" w:rsidP="00DF7116">
      <w:pPr>
        <w:spacing w:line="276" w:lineRule="auto"/>
        <w:rPr>
          <w:rFonts w:ascii="Proxima Nova" w:hAnsi="Proxima Nova" w:cstheme="minorHAnsi"/>
          <w:color w:val="000000" w:themeColor="text1"/>
          <w:spacing w:val="-4"/>
          <w:sz w:val="22"/>
          <w:szCs w:val="22"/>
          <w:shd w:val="clear" w:color="auto" w:fill="FFFFFF"/>
        </w:rPr>
      </w:pPr>
    </w:p>
    <w:p w14:paraId="03A8E9D9" w14:textId="7F6343EC" w:rsidR="002A67CD" w:rsidRPr="00387DF8" w:rsidRDefault="002A67CD" w:rsidP="00DF7116">
      <w:pPr>
        <w:pStyle w:val="ListParagraph"/>
        <w:numPr>
          <w:ilvl w:val="1"/>
          <w:numId w:val="21"/>
        </w:numPr>
        <w:snapToGrid w:val="0"/>
        <w:spacing w:line="276" w:lineRule="auto"/>
        <w:ind w:left="720" w:hanging="720"/>
        <w:contextualSpacing w:val="0"/>
        <w:rPr>
          <w:rFonts w:ascii="Proxima Nova" w:hAnsi="Proxima Nova" w:cstheme="minorHAnsi"/>
          <w:sz w:val="22"/>
          <w:szCs w:val="22"/>
        </w:rPr>
      </w:pPr>
      <w:r w:rsidRPr="00387DF8">
        <w:rPr>
          <w:rFonts w:ascii="Proxima Nova" w:hAnsi="Proxima Nova" w:cstheme="minorHAnsi"/>
          <w:color w:val="000000" w:themeColor="text1"/>
          <w:spacing w:val="-4"/>
          <w:sz w:val="22"/>
          <w:szCs w:val="22"/>
          <w:shd w:val="clear" w:color="auto" w:fill="FFFFFF"/>
        </w:rPr>
        <w:t>The risk</w:t>
      </w:r>
      <w:r w:rsidR="008664CB" w:rsidRPr="00387DF8">
        <w:rPr>
          <w:rFonts w:ascii="Proxima Nova" w:hAnsi="Proxima Nova" w:cstheme="minorHAnsi"/>
          <w:color w:val="000000" w:themeColor="text1"/>
          <w:spacing w:val="-4"/>
          <w:sz w:val="22"/>
          <w:szCs w:val="22"/>
          <w:shd w:val="clear" w:color="auto" w:fill="FFFFFF"/>
        </w:rPr>
        <w:t xml:space="preserve"> for the Royal Commission</w:t>
      </w:r>
      <w:r w:rsidRPr="00387DF8">
        <w:rPr>
          <w:rFonts w:ascii="Proxima Nova" w:hAnsi="Proxima Nova" w:cstheme="minorHAnsi"/>
          <w:color w:val="000000" w:themeColor="text1"/>
          <w:spacing w:val="-4"/>
          <w:sz w:val="22"/>
          <w:szCs w:val="22"/>
          <w:shd w:val="clear" w:color="auto" w:fill="FFFFFF"/>
        </w:rPr>
        <w:t xml:space="preserve"> is that the investigation of restrictive practices and outcomes proposed are narrowed to merely enhancing existing service systems, removing existing barriers and establishing or improving protective mechanisms, without identifying the overall social and legal transformation required to prevent violence against people with disability through restrictive practices, including against women and girls with disability. Moreover, an exploration of restrictive practices in relation to</w:t>
      </w:r>
      <w:r w:rsidRPr="00387DF8">
        <w:rPr>
          <w:rFonts w:ascii="Proxima Nova" w:hAnsi="Proxima Nova" w:cstheme="minorHAnsi"/>
          <w:sz w:val="22"/>
          <w:szCs w:val="22"/>
        </w:rPr>
        <w:t xml:space="preserve"> </w:t>
      </w:r>
      <w:proofErr w:type="gramStart"/>
      <w:r w:rsidRPr="00387DF8">
        <w:rPr>
          <w:rFonts w:ascii="Proxima Nova" w:hAnsi="Proxima Nova" w:cstheme="minorHAnsi"/>
          <w:sz w:val="22"/>
          <w:szCs w:val="22"/>
        </w:rPr>
        <w:t>particular service</w:t>
      </w:r>
      <w:proofErr w:type="gramEnd"/>
      <w:r w:rsidRPr="00387DF8">
        <w:rPr>
          <w:rFonts w:ascii="Proxima Nova" w:hAnsi="Proxima Nova" w:cstheme="minorHAnsi"/>
          <w:sz w:val="22"/>
          <w:szCs w:val="22"/>
        </w:rPr>
        <w:t xml:space="preserve"> settings and domains risks:</w:t>
      </w:r>
    </w:p>
    <w:p w14:paraId="06373F46" w14:textId="77777777" w:rsidR="006C458A" w:rsidRPr="00387DF8" w:rsidRDefault="006C458A" w:rsidP="00DF7116">
      <w:pPr>
        <w:spacing w:line="276" w:lineRule="auto"/>
        <w:rPr>
          <w:rFonts w:ascii="Proxima Nova" w:hAnsi="Proxima Nova" w:cstheme="minorHAnsi"/>
          <w:sz w:val="22"/>
          <w:szCs w:val="22"/>
        </w:rPr>
      </w:pPr>
    </w:p>
    <w:p w14:paraId="021FE70D" w14:textId="77777777" w:rsidR="002A67CD" w:rsidRPr="00387DF8" w:rsidRDefault="002A67CD" w:rsidP="00DF7116">
      <w:pPr>
        <w:pStyle w:val="ListParagraph"/>
        <w:numPr>
          <w:ilvl w:val="0"/>
          <w:numId w:val="26"/>
        </w:numPr>
        <w:snapToGrid w:val="0"/>
        <w:spacing w:line="276" w:lineRule="auto"/>
        <w:ind w:left="1077" w:hanging="357"/>
        <w:rPr>
          <w:rFonts w:ascii="Proxima Nova" w:hAnsi="Proxima Nova" w:cstheme="minorHAnsi"/>
          <w:sz w:val="22"/>
          <w:szCs w:val="22"/>
        </w:rPr>
      </w:pPr>
      <w:r w:rsidRPr="00387DF8">
        <w:rPr>
          <w:rFonts w:ascii="Proxima Nova" w:hAnsi="Proxima Nova" w:cstheme="minorHAnsi"/>
          <w:sz w:val="22"/>
          <w:szCs w:val="22"/>
        </w:rPr>
        <w:t xml:space="preserve">ignoring the reality of the pervasive nature of violence, abuse, neglect and exploitation that can be experienced by people with disability across all domains and aspects of their lives, and the specific and unique forms of this violence for women and girls with </w:t>
      </w:r>
      <w:proofErr w:type="gramStart"/>
      <w:r w:rsidRPr="00387DF8">
        <w:rPr>
          <w:rFonts w:ascii="Proxima Nova" w:hAnsi="Proxima Nova" w:cstheme="minorHAnsi"/>
          <w:sz w:val="22"/>
          <w:szCs w:val="22"/>
        </w:rPr>
        <w:t>disability;</w:t>
      </w:r>
      <w:proofErr w:type="gramEnd"/>
      <w:r w:rsidRPr="00387DF8">
        <w:rPr>
          <w:rFonts w:ascii="Proxima Nova" w:hAnsi="Proxima Nova" w:cstheme="minorHAnsi"/>
          <w:sz w:val="22"/>
          <w:szCs w:val="22"/>
        </w:rPr>
        <w:t xml:space="preserve"> </w:t>
      </w:r>
    </w:p>
    <w:p w14:paraId="1CEFA090" w14:textId="77777777" w:rsidR="002A67CD" w:rsidRPr="00387DF8" w:rsidRDefault="002A67CD" w:rsidP="00DF7116">
      <w:pPr>
        <w:pStyle w:val="ListParagraph"/>
        <w:numPr>
          <w:ilvl w:val="0"/>
          <w:numId w:val="26"/>
        </w:numPr>
        <w:snapToGrid w:val="0"/>
        <w:spacing w:line="276" w:lineRule="auto"/>
        <w:ind w:left="1077" w:hanging="357"/>
        <w:rPr>
          <w:rFonts w:ascii="Proxima Nova" w:hAnsi="Proxima Nova" w:cstheme="minorHAnsi"/>
          <w:sz w:val="22"/>
          <w:szCs w:val="22"/>
        </w:rPr>
      </w:pPr>
      <w:r w:rsidRPr="00387DF8">
        <w:rPr>
          <w:rFonts w:ascii="Proxima Nova" w:hAnsi="Proxima Nova" w:cstheme="minorHAnsi"/>
          <w:sz w:val="22"/>
          <w:szCs w:val="22"/>
        </w:rPr>
        <w:t xml:space="preserve">failing to consider intergenerational dynamics of violence, abuse, neglect and </w:t>
      </w:r>
      <w:proofErr w:type="gramStart"/>
      <w:r w:rsidRPr="00387DF8">
        <w:rPr>
          <w:rFonts w:ascii="Proxima Nova" w:hAnsi="Proxima Nova" w:cstheme="minorHAnsi"/>
          <w:sz w:val="22"/>
          <w:szCs w:val="22"/>
        </w:rPr>
        <w:t>exploitation;</w:t>
      </w:r>
      <w:proofErr w:type="gramEnd"/>
    </w:p>
    <w:p w14:paraId="2FEF68B1" w14:textId="77777777" w:rsidR="002A67CD" w:rsidRPr="00387DF8" w:rsidRDefault="002A67CD" w:rsidP="00DF7116">
      <w:pPr>
        <w:pStyle w:val="ListParagraph"/>
        <w:numPr>
          <w:ilvl w:val="0"/>
          <w:numId w:val="26"/>
        </w:numPr>
        <w:spacing w:line="276" w:lineRule="auto"/>
        <w:ind w:left="1077" w:hanging="357"/>
        <w:rPr>
          <w:rFonts w:ascii="Proxima Nova" w:hAnsi="Proxima Nova" w:cstheme="minorHAnsi"/>
          <w:sz w:val="22"/>
          <w:szCs w:val="22"/>
        </w:rPr>
      </w:pPr>
      <w:r w:rsidRPr="00387DF8">
        <w:rPr>
          <w:rFonts w:ascii="Proxima Nova" w:hAnsi="Proxima Nova" w:cstheme="minorHAnsi"/>
          <w:sz w:val="22"/>
          <w:szCs w:val="22"/>
        </w:rPr>
        <w:t xml:space="preserve">failing to address the legal and regulatory frameworks that enable violence and situate it beyond </w:t>
      </w:r>
      <w:proofErr w:type="gramStart"/>
      <w:r w:rsidRPr="00387DF8">
        <w:rPr>
          <w:rFonts w:ascii="Proxima Nova" w:hAnsi="Proxima Nova" w:cstheme="minorHAnsi"/>
          <w:sz w:val="22"/>
          <w:szCs w:val="22"/>
        </w:rPr>
        <w:t>redress;</w:t>
      </w:r>
      <w:proofErr w:type="gramEnd"/>
      <w:r w:rsidRPr="00387DF8">
        <w:rPr>
          <w:rFonts w:ascii="Proxima Nova" w:hAnsi="Proxima Nova" w:cstheme="minorHAnsi"/>
          <w:sz w:val="22"/>
          <w:szCs w:val="22"/>
        </w:rPr>
        <w:t xml:space="preserve"> </w:t>
      </w:r>
    </w:p>
    <w:p w14:paraId="0E901782" w14:textId="61B1D704" w:rsidR="002A67CD" w:rsidRPr="00387DF8" w:rsidRDefault="002A67CD" w:rsidP="00DF7116">
      <w:pPr>
        <w:pStyle w:val="ListParagraph"/>
        <w:numPr>
          <w:ilvl w:val="0"/>
          <w:numId w:val="26"/>
        </w:numPr>
        <w:spacing w:line="276" w:lineRule="auto"/>
        <w:ind w:left="1077" w:hanging="357"/>
        <w:rPr>
          <w:rFonts w:ascii="Proxima Nova" w:hAnsi="Proxima Nova" w:cstheme="minorHAnsi"/>
          <w:sz w:val="22"/>
          <w:szCs w:val="22"/>
        </w:rPr>
      </w:pPr>
      <w:r w:rsidRPr="00387DF8">
        <w:rPr>
          <w:rFonts w:ascii="Proxima Nova" w:hAnsi="Proxima Nova" w:cstheme="minorHAnsi"/>
          <w:sz w:val="22"/>
          <w:szCs w:val="22"/>
        </w:rPr>
        <w:t xml:space="preserve">failing to expose the underpinning cultural, social, legal and economic drivers or enablers of violence, abuse, neglect and exploitation in Australian law, policy and practice and within society in general. As outlined in </w:t>
      </w:r>
      <w:r w:rsidR="00D810C9" w:rsidRPr="00387DF8">
        <w:rPr>
          <w:rFonts w:ascii="Proxima Nova" w:hAnsi="Proxima Nova" w:cstheme="minorHAnsi"/>
          <w:sz w:val="22"/>
          <w:szCs w:val="22"/>
        </w:rPr>
        <w:t>this submission</w:t>
      </w:r>
      <w:r w:rsidRPr="00387DF8">
        <w:rPr>
          <w:rFonts w:ascii="Proxima Nova" w:hAnsi="Proxima Nova" w:cstheme="minorHAnsi"/>
          <w:sz w:val="22"/>
          <w:szCs w:val="22"/>
        </w:rPr>
        <w:t xml:space="preserve">, ableism, and the resulting inequality and discrimination, including intersectional discrimination, is a key driver of all forms of violence against people with disability in all settings; and </w:t>
      </w:r>
    </w:p>
    <w:p w14:paraId="48E29B76" w14:textId="77777777" w:rsidR="002A67CD" w:rsidRPr="00387DF8" w:rsidRDefault="002A67CD" w:rsidP="00DF7116">
      <w:pPr>
        <w:pStyle w:val="ListParagraph"/>
        <w:numPr>
          <w:ilvl w:val="0"/>
          <w:numId w:val="26"/>
        </w:numPr>
        <w:spacing w:line="276" w:lineRule="auto"/>
        <w:ind w:left="1077" w:hanging="357"/>
        <w:rPr>
          <w:rFonts w:ascii="Proxima Nova" w:hAnsi="Proxima Nova" w:cstheme="minorHAnsi"/>
          <w:sz w:val="22"/>
          <w:szCs w:val="22"/>
        </w:rPr>
      </w:pPr>
      <w:r w:rsidRPr="00387DF8">
        <w:rPr>
          <w:rFonts w:ascii="Proxima Nova" w:hAnsi="Proxima Nova" w:cstheme="minorHAnsi"/>
          <w:sz w:val="22"/>
          <w:szCs w:val="22"/>
        </w:rPr>
        <w:t>failing to identify and address ableism in systems of knowledge that support the use of restrictive practices, such as in disability diagnostic frameworks, and in legal, medical, health and helping professional (</w:t>
      </w:r>
      <w:proofErr w:type="gramStart"/>
      <w:r w:rsidRPr="00387DF8">
        <w:rPr>
          <w:rFonts w:ascii="Proxima Nova" w:hAnsi="Proxima Nova" w:cstheme="minorHAnsi"/>
          <w:sz w:val="22"/>
          <w:szCs w:val="22"/>
        </w:rPr>
        <w:t>e.g.</w:t>
      </w:r>
      <w:proofErr w:type="gramEnd"/>
      <w:r w:rsidRPr="00387DF8">
        <w:rPr>
          <w:rFonts w:ascii="Proxima Nova" w:hAnsi="Proxima Nova" w:cstheme="minorHAnsi"/>
          <w:sz w:val="22"/>
          <w:szCs w:val="22"/>
        </w:rPr>
        <w:t xml:space="preserve"> social work) disciplines. </w:t>
      </w:r>
    </w:p>
    <w:p w14:paraId="3872D16A" w14:textId="77777777" w:rsidR="002A67CD" w:rsidRPr="00387DF8" w:rsidRDefault="002A67CD" w:rsidP="00DF7116">
      <w:pPr>
        <w:spacing w:line="276" w:lineRule="auto"/>
        <w:rPr>
          <w:rFonts w:ascii="Proxima Nova" w:hAnsi="Proxima Nova" w:cstheme="minorHAnsi"/>
          <w:color w:val="000000" w:themeColor="text1"/>
          <w:spacing w:val="-4"/>
          <w:sz w:val="22"/>
          <w:szCs w:val="22"/>
          <w:shd w:val="clear" w:color="auto" w:fill="FFFFFF"/>
        </w:rPr>
      </w:pPr>
    </w:p>
    <w:p w14:paraId="27D8974A" w14:textId="2B700A71" w:rsidR="002A67CD" w:rsidRPr="00387DF8" w:rsidRDefault="002A67CD" w:rsidP="00DF7116">
      <w:pPr>
        <w:pStyle w:val="ListParagraph"/>
        <w:numPr>
          <w:ilvl w:val="1"/>
          <w:numId w:val="21"/>
        </w:numPr>
        <w:snapToGrid w:val="0"/>
        <w:spacing w:line="276" w:lineRule="auto"/>
        <w:ind w:left="720" w:hanging="720"/>
        <w:contextualSpacing w:val="0"/>
        <w:rPr>
          <w:rFonts w:ascii="Proxima Nova" w:hAnsi="Proxima Nova" w:cstheme="minorHAnsi"/>
          <w:sz w:val="22"/>
          <w:szCs w:val="22"/>
        </w:rPr>
      </w:pPr>
      <w:r w:rsidRPr="00387DF8">
        <w:rPr>
          <w:rFonts w:ascii="Proxima Nova" w:hAnsi="Proxima Nova" w:cstheme="minorHAnsi"/>
          <w:color w:val="000000" w:themeColor="text1"/>
          <w:spacing w:val="-4"/>
          <w:sz w:val="22"/>
          <w:szCs w:val="22"/>
          <w:shd w:val="clear" w:color="auto" w:fill="FFFFFF"/>
        </w:rPr>
        <w:t xml:space="preserve">The establishment of the Royal Commission is an opportunity to go beyond investigation of life domains, the operation of service systems, the quality of support workers, and protective mechanism responses, and to undertake a comprehensive investigation of ableism, inequality and intersectional discrimination in Australian law, policy and practice. Further, it allows for exploration of community attitudes generally in order to explicitly expose and address the underlying cultural, social, legal and economic drivers or enablers of violence against people with disability through restrictive practices. We suggest the Royal Commission </w:t>
      </w:r>
      <w:r w:rsidRPr="00387DF8">
        <w:rPr>
          <w:rFonts w:ascii="Proxima Nova" w:hAnsi="Proxima Nova" w:cstheme="minorHAnsi"/>
          <w:sz w:val="22"/>
          <w:szCs w:val="22"/>
        </w:rPr>
        <w:t>take an approach that balances in-depth, nuanced examination of restrictive practices in relation to specific contexts, sites, populations and individual case studies with a broader examination of restrictive practices in relation to epistemologies and ontologies of disability, interconnected service systems and legal frameworks, longer term dynamics of control of people with disability and lifelong and intergenerational trajectories.</w:t>
      </w:r>
    </w:p>
    <w:p w14:paraId="4A50D1FA" w14:textId="77777777" w:rsidR="009E0F0D" w:rsidRPr="00387DF8" w:rsidRDefault="009E0F0D" w:rsidP="00DF7116">
      <w:pPr>
        <w:snapToGrid w:val="0"/>
        <w:spacing w:line="276" w:lineRule="auto"/>
        <w:ind w:left="720" w:hanging="720"/>
        <w:rPr>
          <w:rFonts w:ascii="Proxima Nova" w:hAnsi="Proxima Nova" w:cstheme="minorHAnsi"/>
          <w:sz w:val="22"/>
          <w:szCs w:val="22"/>
        </w:rPr>
      </w:pPr>
    </w:p>
    <w:p w14:paraId="4A0E40F7" w14:textId="7465EEAC" w:rsidR="00D949CA" w:rsidRPr="00387DF8" w:rsidRDefault="005E2655" w:rsidP="00DF7116">
      <w:pPr>
        <w:pStyle w:val="ListParagraph"/>
        <w:numPr>
          <w:ilvl w:val="1"/>
          <w:numId w:val="21"/>
        </w:numPr>
        <w:spacing w:line="276" w:lineRule="auto"/>
        <w:ind w:left="720" w:hanging="720"/>
        <w:rPr>
          <w:rFonts w:ascii="Proxima Nova" w:hAnsi="Proxima Nova" w:cstheme="minorHAnsi"/>
          <w:sz w:val="22"/>
          <w:szCs w:val="22"/>
        </w:rPr>
      </w:pPr>
      <w:r w:rsidRPr="00387DF8">
        <w:rPr>
          <w:rFonts w:ascii="Proxima Nova" w:hAnsi="Proxima Nova"/>
          <w:sz w:val="22"/>
          <w:szCs w:val="22"/>
        </w:rPr>
        <w:t xml:space="preserve">It is also important that the Royal Commission </w:t>
      </w:r>
      <w:r w:rsidR="00D949CA" w:rsidRPr="00387DF8">
        <w:rPr>
          <w:rFonts w:ascii="Proxima Nova" w:hAnsi="Proxima Nova"/>
          <w:sz w:val="22"/>
          <w:szCs w:val="22"/>
        </w:rPr>
        <w:t xml:space="preserve">situate its exploration of </w:t>
      </w:r>
      <w:r w:rsidRPr="00387DF8">
        <w:rPr>
          <w:rFonts w:ascii="Proxima Nova" w:hAnsi="Proxima Nova"/>
          <w:sz w:val="22"/>
          <w:szCs w:val="22"/>
        </w:rPr>
        <w:t xml:space="preserve">restrictive practices in the context of cultural ideas about disability. </w:t>
      </w:r>
      <w:r w:rsidR="009E0F0D" w:rsidRPr="00387DF8">
        <w:rPr>
          <w:rFonts w:ascii="Proxima Nova" w:hAnsi="Proxima Nova"/>
          <w:sz w:val="22"/>
          <w:szCs w:val="22"/>
        </w:rPr>
        <w:t xml:space="preserve">We know from the past decade, since the coming into force of the CRPD, that the mere existence of human rights is not enough to convince law reformers and law and policy makers about the necessity of </w:t>
      </w:r>
      <w:proofErr w:type="gramStart"/>
      <w:r w:rsidR="009E0F0D" w:rsidRPr="00387DF8">
        <w:rPr>
          <w:rFonts w:ascii="Proxima Nova" w:hAnsi="Proxima Nova"/>
          <w:sz w:val="22"/>
          <w:szCs w:val="22"/>
        </w:rPr>
        <w:t>taking action</w:t>
      </w:r>
      <w:proofErr w:type="gramEnd"/>
      <w:r w:rsidR="009E0F0D" w:rsidRPr="00387DF8">
        <w:rPr>
          <w:rFonts w:ascii="Proxima Nova" w:hAnsi="Proxima Nova"/>
          <w:sz w:val="22"/>
          <w:szCs w:val="22"/>
        </w:rPr>
        <w:t xml:space="preserve"> in relation to restrictive practices (as demonstrated in the overview of past inquiries in Section </w:t>
      </w:r>
      <w:r w:rsidR="008664CB" w:rsidRPr="00387DF8">
        <w:rPr>
          <w:rFonts w:ascii="Proxima Nova" w:hAnsi="Proxima Nova"/>
          <w:sz w:val="22"/>
          <w:szCs w:val="22"/>
        </w:rPr>
        <w:t>2</w:t>
      </w:r>
      <w:r w:rsidR="009E0F0D" w:rsidRPr="00387DF8">
        <w:rPr>
          <w:rFonts w:ascii="Proxima Nova" w:hAnsi="Proxima Nova"/>
          <w:sz w:val="22"/>
          <w:szCs w:val="22"/>
        </w:rPr>
        <w:t xml:space="preserve">). In part, this inaction is attributable to deep-set and persistent ontological assumptions about what disability is, who people with disability are and how they should be in their </w:t>
      </w:r>
      <w:r w:rsidR="009E0F0D" w:rsidRPr="00387DF8">
        <w:rPr>
          <w:rFonts w:ascii="Proxima Nova" w:hAnsi="Proxima Nova"/>
          <w:sz w:val="22"/>
          <w:szCs w:val="22"/>
        </w:rPr>
        <w:lastRenderedPageBreak/>
        <w:t xml:space="preserve">bodies and in the world, and epistemological assumptions about who has the authority to make these claims. </w:t>
      </w:r>
      <w:r w:rsidR="00D949CA" w:rsidRPr="00387DF8">
        <w:rPr>
          <w:rFonts w:ascii="Proxima Nova" w:hAnsi="Proxima Nova"/>
          <w:sz w:val="22"/>
          <w:szCs w:val="22"/>
        </w:rPr>
        <w:t>These assumptions do not merely inform community opinions about disability</w:t>
      </w:r>
      <w:r w:rsidR="00D810C9" w:rsidRPr="00387DF8">
        <w:rPr>
          <w:rFonts w:ascii="Proxima Nova" w:hAnsi="Proxima Nova"/>
          <w:sz w:val="22"/>
          <w:szCs w:val="22"/>
        </w:rPr>
        <w:t xml:space="preserve"> (</w:t>
      </w:r>
      <w:proofErr w:type="gramStart"/>
      <w:r w:rsidR="00D810C9" w:rsidRPr="00387DF8">
        <w:rPr>
          <w:rFonts w:ascii="Proxima Nova" w:hAnsi="Proxima Nova"/>
          <w:sz w:val="22"/>
          <w:szCs w:val="22"/>
        </w:rPr>
        <w:t>i.e.</w:t>
      </w:r>
      <w:proofErr w:type="gramEnd"/>
      <w:r w:rsidR="00D810C9" w:rsidRPr="00387DF8">
        <w:rPr>
          <w:rFonts w:ascii="Proxima Nova" w:hAnsi="Proxima Nova"/>
          <w:sz w:val="22"/>
          <w:szCs w:val="22"/>
        </w:rPr>
        <w:t xml:space="preserve"> the views of the person on the street)</w:t>
      </w:r>
      <w:r w:rsidR="00D949CA" w:rsidRPr="00387DF8">
        <w:rPr>
          <w:rFonts w:ascii="Proxima Nova" w:hAnsi="Proxima Nova"/>
          <w:sz w:val="22"/>
          <w:szCs w:val="22"/>
        </w:rPr>
        <w:t xml:space="preserve">, they also set the parameters for the privileging of academic, bureaucratic and professional expertise on disability and </w:t>
      </w:r>
      <w:r w:rsidR="009E0F0D" w:rsidRPr="00387DF8">
        <w:rPr>
          <w:rFonts w:ascii="Proxima Nova" w:hAnsi="Proxima Nova"/>
          <w:sz w:val="22"/>
          <w:szCs w:val="22"/>
        </w:rPr>
        <w:t xml:space="preserve">restrictive practices. </w:t>
      </w:r>
      <w:r w:rsidR="006F4120" w:rsidRPr="00387DF8">
        <w:rPr>
          <w:rFonts w:ascii="Proxima Nova" w:hAnsi="Proxima Nova"/>
          <w:sz w:val="22"/>
          <w:szCs w:val="22"/>
        </w:rPr>
        <w:t>D</w:t>
      </w:r>
      <w:r w:rsidR="001979F1" w:rsidRPr="00387DF8">
        <w:rPr>
          <w:rFonts w:ascii="Proxima Nova" w:hAnsi="Proxima Nova"/>
          <w:sz w:val="22"/>
          <w:szCs w:val="22"/>
        </w:rPr>
        <w:t>ebates around triaging and rationing in the current COVID-19 pandemic</w:t>
      </w:r>
      <w:r w:rsidR="001979F1" w:rsidRPr="00387DF8">
        <w:rPr>
          <w:rStyle w:val="EndnoteReference"/>
          <w:rFonts w:ascii="Proxima Nova" w:hAnsi="Proxima Nova"/>
          <w:sz w:val="22"/>
          <w:szCs w:val="22"/>
        </w:rPr>
        <w:endnoteReference w:id="132"/>
      </w:r>
      <w:r w:rsidR="006F4120" w:rsidRPr="00387DF8">
        <w:rPr>
          <w:rFonts w:ascii="Proxima Nova" w:hAnsi="Proxima Nova"/>
          <w:sz w:val="22"/>
          <w:szCs w:val="22"/>
        </w:rPr>
        <w:t xml:space="preserve"> are but one iteration in a longer history of systemic ableism in health/medicine. Indeed, </w:t>
      </w:r>
      <w:r w:rsidR="007A44A8" w:rsidRPr="00387DF8">
        <w:rPr>
          <w:rFonts w:ascii="Proxima Nova" w:hAnsi="Proxima Nova"/>
          <w:sz w:val="22"/>
          <w:szCs w:val="22"/>
        </w:rPr>
        <w:t>the issue of discrimination in the health system and by medical/health professionals was considered</w:t>
      </w:r>
      <w:r w:rsidR="006F4120" w:rsidRPr="00387DF8">
        <w:rPr>
          <w:rFonts w:ascii="Proxima Nova" w:hAnsi="Proxima Nova"/>
          <w:sz w:val="22"/>
          <w:szCs w:val="22"/>
        </w:rPr>
        <w:t xml:space="preserve"> the Royal Commission’s public hearings on healthcare: </w:t>
      </w:r>
      <w:r w:rsidR="006F4120" w:rsidRPr="00387DF8">
        <w:rPr>
          <w:rFonts w:ascii="Proxima Nova" w:hAnsi="Proxima Nova"/>
          <w:i/>
          <w:iCs/>
          <w:sz w:val="22"/>
          <w:szCs w:val="22"/>
        </w:rPr>
        <w:t xml:space="preserve">Public Hearing 10: Education and Training of Health Professionals in </w:t>
      </w:r>
      <w:r w:rsidR="001C1DAA" w:rsidRPr="00387DF8">
        <w:rPr>
          <w:rFonts w:ascii="Proxima Nova" w:hAnsi="Proxima Nova"/>
          <w:i/>
          <w:iCs/>
          <w:sz w:val="22"/>
          <w:szCs w:val="22"/>
        </w:rPr>
        <w:t>Relation</w:t>
      </w:r>
      <w:r w:rsidR="006F4120" w:rsidRPr="00387DF8">
        <w:rPr>
          <w:rFonts w:ascii="Proxima Nova" w:hAnsi="Proxima Nova"/>
          <w:i/>
          <w:iCs/>
          <w:sz w:val="22"/>
          <w:szCs w:val="22"/>
        </w:rPr>
        <w:t xml:space="preserve"> to People with Cognitive Disability</w:t>
      </w:r>
      <w:r w:rsidR="006F4120" w:rsidRPr="00387DF8">
        <w:rPr>
          <w:rFonts w:ascii="Proxima Nova" w:hAnsi="Proxima Nova"/>
          <w:sz w:val="22"/>
          <w:szCs w:val="22"/>
        </w:rPr>
        <w:t xml:space="preserve"> and </w:t>
      </w:r>
      <w:r w:rsidR="006F4120" w:rsidRPr="00387DF8">
        <w:rPr>
          <w:rFonts w:ascii="Proxima Nova" w:hAnsi="Proxima Nova"/>
          <w:i/>
          <w:iCs/>
          <w:sz w:val="22"/>
          <w:szCs w:val="22"/>
        </w:rPr>
        <w:t>Public Hearing 4: Health Care and Services for People with Cognitive Disability</w:t>
      </w:r>
      <w:r w:rsidR="006F4120" w:rsidRPr="00387DF8">
        <w:rPr>
          <w:rFonts w:ascii="Proxima Nova" w:hAnsi="Proxima Nova"/>
          <w:sz w:val="22"/>
          <w:szCs w:val="22"/>
        </w:rPr>
        <w:t xml:space="preserve">. </w:t>
      </w:r>
      <w:r w:rsidR="00D949CA" w:rsidRPr="00387DF8">
        <w:rPr>
          <w:rFonts w:ascii="Proxima Nova" w:hAnsi="Proxima Nova"/>
          <w:sz w:val="22"/>
          <w:szCs w:val="22"/>
        </w:rPr>
        <w:t>As such, the Royal Commission must carefully analyse the specific attitudes towards disability and people with disability in the epistemic and ethical frameworks of medical/health, caring (</w:t>
      </w:r>
      <w:proofErr w:type="gramStart"/>
      <w:r w:rsidR="00D949CA" w:rsidRPr="00387DF8">
        <w:rPr>
          <w:rFonts w:ascii="Proxima Nova" w:hAnsi="Proxima Nova"/>
          <w:sz w:val="22"/>
          <w:szCs w:val="22"/>
        </w:rPr>
        <w:t>e.g.</w:t>
      </w:r>
      <w:proofErr w:type="gramEnd"/>
      <w:r w:rsidR="00D949CA" w:rsidRPr="00387DF8">
        <w:rPr>
          <w:rFonts w:ascii="Proxima Nova" w:hAnsi="Proxima Nova"/>
          <w:sz w:val="22"/>
          <w:szCs w:val="22"/>
        </w:rPr>
        <w:t xml:space="preserve"> social work) and legal disciplines and professions (even if these are framed in terms of scientific objectivity</w:t>
      </w:r>
      <w:r w:rsidR="00D810C9" w:rsidRPr="00387DF8">
        <w:rPr>
          <w:rFonts w:ascii="Proxima Nova" w:hAnsi="Proxima Nova"/>
          <w:sz w:val="22"/>
          <w:szCs w:val="22"/>
        </w:rPr>
        <w:t xml:space="preserve"> or humane benevolence</w:t>
      </w:r>
      <w:r w:rsidR="00D949CA" w:rsidRPr="00387DF8">
        <w:rPr>
          <w:rFonts w:ascii="Proxima Nova" w:hAnsi="Proxima Nova"/>
          <w:sz w:val="22"/>
          <w:szCs w:val="22"/>
        </w:rPr>
        <w:t>).</w:t>
      </w:r>
    </w:p>
    <w:p w14:paraId="23EAECB7" w14:textId="77777777" w:rsidR="00D949CA" w:rsidRPr="00387DF8" w:rsidRDefault="00D949CA" w:rsidP="00DF7116">
      <w:pPr>
        <w:pStyle w:val="ListParagraph"/>
        <w:spacing w:line="276" w:lineRule="auto"/>
        <w:ind w:hanging="720"/>
        <w:rPr>
          <w:rFonts w:ascii="Proxima Nova" w:hAnsi="Proxima Nova" w:cstheme="minorHAnsi"/>
          <w:sz w:val="22"/>
          <w:szCs w:val="22"/>
        </w:rPr>
      </w:pPr>
    </w:p>
    <w:p w14:paraId="466FF285" w14:textId="228B7F7D" w:rsidR="009E0F0D" w:rsidRPr="00387DF8" w:rsidRDefault="009E0F0D" w:rsidP="00DF7116">
      <w:pPr>
        <w:pStyle w:val="ListParagraph"/>
        <w:numPr>
          <w:ilvl w:val="1"/>
          <w:numId w:val="21"/>
        </w:numPr>
        <w:spacing w:line="276" w:lineRule="auto"/>
        <w:ind w:left="720" w:hanging="720"/>
        <w:rPr>
          <w:rFonts w:ascii="Proxima Nova" w:hAnsi="Proxima Nova" w:cstheme="minorHAnsi"/>
          <w:sz w:val="22"/>
          <w:szCs w:val="22"/>
        </w:rPr>
      </w:pPr>
      <w:r w:rsidRPr="00387DF8">
        <w:rPr>
          <w:rFonts w:ascii="Proxima Nova" w:hAnsi="Proxima Nova" w:cstheme="minorHAnsi"/>
          <w:sz w:val="22"/>
          <w:szCs w:val="22"/>
        </w:rPr>
        <w:t>Without a sound understanding of how society constructs disability, and the ways in which different systems and structures of oppression intersect to shape the experiences of discrimination and violence, it is more likely that those tasked with shaping or implementing policies will develop solutions better suited for short-term fixes instead of long-term structural change.</w:t>
      </w:r>
      <w:r w:rsidRPr="00387DF8">
        <w:rPr>
          <w:rFonts w:ascii="Proxima Nova" w:hAnsi="Proxima Nova" w:cstheme="minorHAnsi"/>
          <w:color w:val="000000" w:themeColor="text1"/>
          <w:spacing w:val="-4"/>
          <w:sz w:val="22"/>
          <w:szCs w:val="22"/>
          <w:shd w:val="clear" w:color="auto" w:fill="FFFFFF"/>
        </w:rPr>
        <w:t xml:space="preserve"> </w:t>
      </w:r>
    </w:p>
    <w:p w14:paraId="3BFE3A55" w14:textId="2EBD61FB" w:rsidR="00550AFD" w:rsidRPr="00387DF8" w:rsidRDefault="00550AFD" w:rsidP="00DF7116">
      <w:pPr>
        <w:spacing w:line="276" w:lineRule="auto"/>
        <w:rPr>
          <w:rFonts w:ascii="Proxima Nova" w:hAnsi="Proxima Nova" w:cstheme="minorHAnsi"/>
          <w:sz w:val="22"/>
          <w:szCs w:val="22"/>
        </w:rPr>
      </w:pPr>
    </w:p>
    <w:p w14:paraId="3264B4A0" w14:textId="5E1F273E" w:rsidR="00A22348" w:rsidRPr="00387DF8" w:rsidRDefault="00A22348" w:rsidP="00DF7116">
      <w:pPr>
        <w:spacing w:line="276" w:lineRule="auto"/>
        <w:rPr>
          <w:rFonts w:ascii="Proxima Nova" w:hAnsi="Proxima Nova" w:cstheme="minorHAnsi"/>
          <w:sz w:val="22"/>
          <w:szCs w:val="22"/>
        </w:rPr>
      </w:pPr>
    </w:p>
    <w:bookmarkEnd w:id="50"/>
    <w:bookmarkEnd w:id="51"/>
    <w:bookmarkEnd w:id="52"/>
    <w:p w14:paraId="5D0FB349" w14:textId="4285C9C0" w:rsidR="00D949CA" w:rsidRDefault="00D949CA" w:rsidP="00C92D1C">
      <w:pPr>
        <w:rPr>
          <w:rFonts w:ascii="Proxima Nova" w:hAnsi="Proxima Nova"/>
          <w:sz w:val="22"/>
          <w:szCs w:val="22"/>
        </w:rPr>
      </w:pPr>
      <w:r w:rsidRPr="00BD5E1A">
        <w:rPr>
          <w:rFonts w:ascii="Proxima Nova" w:hAnsi="Proxima Nova"/>
          <w:sz w:val="22"/>
          <w:szCs w:val="22"/>
        </w:rPr>
        <w:br w:type="page"/>
      </w:r>
    </w:p>
    <w:p w14:paraId="0A8A1E39" w14:textId="08599B89" w:rsidR="00A22348" w:rsidRPr="0086467F" w:rsidRDefault="00A22348" w:rsidP="00A22348">
      <w:pPr>
        <w:ind w:left="720" w:hanging="720"/>
        <w:rPr>
          <w:rFonts w:ascii="League Spartan" w:hAnsi="League Spartan"/>
          <w:color w:val="004479"/>
          <w:sz w:val="28"/>
          <w:szCs w:val="28"/>
        </w:rPr>
      </w:pPr>
      <w:r>
        <w:rPr>
          <w:rFonts w:ascii="League Spartan" w:hAnsi="League Spartan" w:cs="Calibri"/>
          <w:b/>
          <w:bCs/>
          <w:color w:val="004479"/>
          <w:sz w:val="28"/>
          <w:szCs w:val="28"/>
        </w:rPr>
        <w:lastRenderedPageBreak/>
        <w:t>4</w:t>
      </w:r>
      <w:r w:rsidRPr="0086467F">
        <w:rPr>
          <w:rFonts w:ascii="League Spartan" w:hAnsi="League Spartan" w:cs="Calibri"/>
          <w:b/>
          <w:bCs/>
          <w:color w:val="004479"/>
          <w:sz w:val="28"/>
          <w:szCs w:val="28"/>
        </w:rPr>
        <w:t>.</w:t>
      </w:r>
      <w:r w:rsidRPr="0086467F">
        <w:rPr>
          <w:rFonts w:ascii="League Spartan" w:hAnsi="League Spartan" w:cs="Calibri"/>
          <w:b/>
          <w:bCs/>
          <w:color w:val="004479"/>
          <w:sz w:val="28"/>
          <w:szCs w:val="28"/>
        </w:rPr>
        <w:tab/>
      </w:r>
      <w:r w:rsidRPr="00A22348">
        <w:rPr>
          <w:rFonts w:ascii="League Spartan" w:hAnsi="League Spartan"/>
          <w:color w:val="004479"/>
          <w:sz w:val="28"/>
          <w:szCs w:val="28"/>
        </w:rPr>
        <w:t>A GENDER-INCLUSIVE DEFINITION OF RESTRICTIVE PRACTICES</w:t>
      </w:r>
    </w:p>
    <w:p w14:paraId="219990F6" w14:textId="631E556C" w:rsidR="00A22348" w:rsidRPr="00DF7116" w:rsidRDefault="00A22348" w:rsidP="00DF7116">
      <w:pPr>
        <w:spacing w:line="276" w:lineRule="auto"/>
        <w:rPr>
          <w:rFonts w:ascii="Proxima Nova" w:hAnsi="Proxima Nova"/>
          <w:sz w:val="22"/>
          <w:szCs w:val="22"/>
        </w:rPr>
      </w:pPr>
    </w:p>
    <w:p w14:paraId="1DC0044D" w14:textId="6B9B106B" w:rsidR="00A22348" w:rsidRPr="00DF7116" w:rsidRDefault="000B1AD4" w:rsidP="00DF7116">
      <w:pPr>
        <w:spacing w:line="276" w:lineRule="auto"/>
        <w:ind w:left="720" w:hanging="720"/>
        <w:rPr>
          <w:rFonts w:ascii="Proxima Nova" w:hAnsi="Proxima Nova" w:cstheme="minorHAnsi"/>
          <w:sz w:val="22"/>
          <w:szCs w:val="22"/>
        </w:rPr>
      </w:pPr>
      <w:r w:rsidRPr="00DF7116">
        <w:rPr>
          <w:rFonts w:ascii="Proxima Nova" w:hAnsi="Proxima Nova"/>
          <w:sz w:val="22"/>
          <w:szCs w:val="22"/>
        </w:rPr>
        <w:t>4.1.</w:t>
      </w:r>
      <w:r w:rsidRPr="00DF7116">
        <w:rPr>
          <w:rFonts w:ascii="Proxima Nova" w:hAnsi="Proxima Nova"/>
          <w:sz w:val="22"/>
          <w:szCs w:val="22"/>
        </w:rPr>
        <w:tab/>
      </w:r>
      <w:r w:rsidRPr="00DF7116">
        <w:rPr>
          <w:rFonts w:ascii="Proxima Nova" w:hAnsi="Proxima Nova" w:cstheme="minorHAnsi"/>
          <w:color w:val="000000"/>
          <w:sz w:val="22"/>
          <w:szCs w:val="22"/>
          <w:shd w:val="clear" w:color="auto" w:fill="FFFFFF"/>
        </w:rPr>
        <w:t xml:space="preserve">This section </w:t>
      </w:r>
      <w:r w:rsidR="001B5BE3" w:rsidRPr="00DF7116">
        <w:rPr>
          <w:rFonts w:ascii="Proxima Nova" w:hAnsi="Proxima Nova" w:cstheme="minorHAnsi"/>
          <w:color w:val="000000"/>
          <w:sz w:val="22"/>
          <w:szCs w:val="22"/>
          <w:shd w:val="clear" w:color="auto" w:fill="FFFFFF"/>
        </w:rPr>
        <w:t>of WWDA’s S</w:t>
      </w:r>
      <w:r w:rsidR="006C303F" w:rsidRPr="00DF7116">
        <w:rPr>
          <w:rFonts w:ascii="Proxima Nova" w:hAnsi="Proxima Nova" w:cstheme="minorHAnsi"/>
          <w:color w:val="000000"/>
          <w:sz w:val="22"/>
          <w:szCs w:val="22"/>
          <w:shd w:val="clear" w:color="auto" w:fill="FFFFFF"/>
        </w:rPr>
        <w:t xml:space="preserve">ubmission </w:t>
      </w:r>
      <w:r w:rsidRPr="00DF7116">
        <w:rPr>
          <w:rFonts w:ascii="Proxima Nova" w:hAnsi="Proxima Nova" w:cstheme="minorHAnsi"/>
          <w:color w:val="000000"/>
          <w:sz w:val="22"/>
          <w:szCs w:val="22"/>
          <w:shd w:val="clear" w:color="auto" w:fill="FFFFFF"/>
        </w:rPr>
        <w:t xml:space="preserve">introduces </w:t>
      </w:r>
      <w:r w:rsidRPr="00DF7116">
        <w:rPr>
          <w:rFonts w:ascii="Proxima Nova" w:hAnsi="Proxima Nova" w:cstheme="minorHAnsi"/>
          <w:sz w:val="22"/>
          <w:szCs w:val="22"/>
        </w:rPr>
        <w:t>a gender-inclusive definition of restrictive practices which is central to our Submission.</w:t>
      </w:r>
    </w:p>
    <w:p w14:paraId="0DDA2F9E" w14:textId="56188E24" w:rsidR="00A22348" w:rsidRPr="00DF7116" w:rsidRDefault="00A22348" w:rsidP="00DF7116">
      <w:pPr>
        <w:spacing w:line="276" w:lineRule="auto"/>
        <w:ind w:left="720" w:hanging="720"/>
        <w:rPr>
          <w:rFonts w:ascii="Proxima Nova" w:hAnsi="Proxima Nova"/>
          <w:sz w:val="22"/>
          <w:szCs w:val="22"/>
        </w:rPr>
      </w:pPr>
    </w:p>
    <w:p w14:paraId="4ED08A4E" w14:textId="7DEAE14F" w:rsidR="002E62E4" w:rsidRPr="00DF7116" w:rsidRDefault="000B1AD4" w:rsidP="00DF7116">
      <w:pPr>
        <w:snapToGrid w:val="0"/>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4.2.</w:t>
      </w:r>
      <w:r w:rsidRPr="00DF7116">
        <w:rPr>
          <w:rFonts w:ascii="Proxima Nova" w:hAnsi="Proxima Nova" w:cstheme="minorHAnsi"/>
          <w:sz w:val="22"/>
          <w:szCs w:val="22"/>
        </w:rPr>
        <w:tab/>
      </w:r>
      <w:r w:rsidR="002E62E4" w:rsidRPr="00DF7116">
        <w:rPr>
          <w:rFonts w:ascii="Proxima Nova" w:hAnsi="Proxima Nova" w:cstheme="minorHAnsi"/>
          <w:sz w:val="22"/>
          <w:szCs w:val="22"/>
        </w:rPr>
        <w:t>The Royal Commission defines ‘restrictive practices’ as ‘</w:t>
      </w:r>
      <w:r w:rsidR="002E62E4" w:rsidRPr="00DF7116">
        <w:rPr>
          <w:rFonts w:ascii="Proxima Nova" w:hAnsi="Proxima Nova"/>
          <w:sz w:val="22"/>
          <w:szCs w:val="22"/>
        </w:rPr>
        <w:t>any action, approach or intervention that has the effect of limiting the rights or freedom of movement of a person’</w:t>
      </w:r>
      <w:r w:rsidR="00C8218E" w:rsidRPr="00DF7116">
        <w:rPr>
          <w:rFonts w:ascii="Proxima Nova" w:hAnsi="Proxima Nova"/>
          <w:sz w:val="22"/>
          <w:szCs w:val="22"/>
        </w:rPr>
        <w:t>,</w:t>
      </w:r>
      <w:r w:rsidR="002E62E4" w:rsidRPr="00DF7116">
        <w:rPr>
          <w:rStyle w:val="EndnoteReference"/>
          <w:rFonts w:ascii="Proxima Nova" w:hAnsi="Proxima Nova"/>
          <w:sz w:val="22"/>
          <w:szCs w:val="22"/>
        </w:rPr>
        <w:endnoteReference w:id="133"/>
      </w:r>
      <w:r w:rsidR="00C8218E" w:rsidRPr="00DF7116">
        <w:rPr>
          <w:rFonts w:ascii="Proxima Nova" w:hAnsi="Proxima Nova"/>
          <w:sz w:val="22"/>
          <w:szCs w:val="22"/>
        </w:rPr>
        <w:t xml:space="preserve"> this being </w:t>
      </w:r>
      <w:proofErr w:type="gramStart"/>
      <w:r w:rsidR="00C8218E" w:rsidRPr="00DF7116">
        <w:rPr>
          <w:rFonts w:ascii="Proxima Nova" w:hAnsi="Proxima Nova"/>
          <w:sz w:val="22"/>
          <w:szCs w:val="22"/>
        </w:rPr>
        <w:t>similar to</w:t>
      </w:r>
      <w:proofErr w:type="gramEnd"/>
      <w:r w:rsidR="00C8218E" w:rsidRPr="00DF7116">
        <w:rPr>
          <w:rFonts w:ascii="Proxima Nova" w:hAnsi="Proxima Nova"/>
          <w:sz w:val="22"/>
          <w:szCs w:val="22"/>
        </w:rPr>
        <w:t xml:space="preserve"> the definition of ‘restrictive practice’ in the NDIS.</w:t>
      </w:r>
      <w:r w:rsidR="00C8218E" w:rsidRPr="00DF7116">
        <w:rPr>
          <w:rStyle w:val="EndnoteReference"/>
          <w:rFonts w:ascii="Proxima Nova" w:hAnsi="Proxima Nova"/>
          <w:sz w:val="22"/>
          <w:szCs w:val="22"/>
        </w:rPr>
        <w:endnoteReference w:id="134"/>
      </w:r>
    </w:p>
    <w:p w14:paraId="16AA83DB" w14:textId="77777777" w:rsidR="002429C9" w:rsidRPr="00DF7116" w:rsidRDefault="002429C9" w:rsidP="00DF7116">
      <w:pPr>
        <w:spacing w:line="276" w:lineRule="auto"/>
        <w:ind w:left="720" w:hanging="720"/>
        <w:rPr>
          <w:rFonts w:ascii="Proxima Nova" w:hAnsi="Proxima Nova"/>
          <w:sz w:val="22"/>
          <w:szCs w:val="22"/>
        </w:rPr>
      </w:pPr>
    </w:p>
    <w:p w14:paraId="0142E07C" w14:textId="39E7B43D" w:rsidR="00606B4A" w:rsidRPr="00DF7116" w:rsidRDefault="00933A16" w:rsidP="00DF7116">
      <w:pPr>
        <w:spacing w:line="276" w:lineRule="auto"/>
        <w:ind w:left="720" w:hanging="720"/>
        <w:rPr>
          <w:rFonts w:ascii="Proxima Nova" w:hAnsi="Proxima Nova"/>
          <w:sz w:val="22"/>
          <w:szCs w:val="22"/>
        </w:rPr>
      </w:pPr>
      <w:r w:rsidRPr="00DF7116">
        <w:rPr>
          <w:rFonts w:ascii="Proxima Nova" w:hAnsi="Proxima Nova"/>
          <w:sz w:val="22"/>
          <w:szCs w:val="22"/>
        </w:rPr>
        <w:t>4.3.</w:t>
      </w:r>
      <w:r w:rsidRPr="00DF7116">
        <w:rPr>
          <w:rFonts w:ascii="Proxima Nova" w:hAnsi="Proxima Nova"/>
          <w:sz w:val="22"/>
          <w:szCs w:val="22"/>
        </w:rPr>
        <w:tab/>
      </w:r>
      <w:r w:rsidR="008274E6" w:rsidRPr="00DF7116">
        <w:rPr>
          <w:rFonts w:ascii="Proxima Nova" w:hAnsi="Proxima Nova"/>
          <w:sz w:val="22"/>
          <w:szCs w:val="22"/>
        </w:rPr>
        <w:t>WWDA defines r</w:t>
      </w:r>
      <w:r w:rsidR="004052BD" w:rsidRPr="00DF7116">
        <w:rPr>
          <w:rFonts w:ascii="Proxima Nova" w:hAnsi="Proxima Nova"/>
          <w:sz w:val="22"/>
          <w:szCs w:val="22"/>
        </w:rPr>
        <w:t xml:space="preserve">estrictive practices </w:t>
      </w:r>
      <w:r w:rsidR="008274E6" w:rsidRPr="00DF7116">
        <w:rPr>
          <w:rFonts w:ascii="Proxima Nova" w:hAnsi="Proxima Nova"/>
          <w:sz w:val="22"/>
          <w:szCs w:val="22"/>
        </w:rPr>
        <w:t>as extending to</w:t>
      </w:r>
      <w:r w:rsidR="004052BD" w:rsidRPr="00DF7116">
        <w:rPr>
          <w:rFonts w:ascii="Proxima Nova" w:hAnsi="Proxima Nova"/>
          <w:sz w:val="22"/>
          <w:szCs w:val="22"/>
        </w:rPr>
        <w:t xml:space="preserve"> </w:t>
      </w:r>
      <w:r w:rsidR="009E3FD3" w:rsidRPr="00DF7116">
        <w:rPr>
          <w:rFonts w:ascii="Proxima Nova" w:hAnsi="Proxima Nova"/>
          <w:sz w:val="22"/>
          <w:szCs w:val="22"/>
        </w:rPr>
        <w:t xml:space="preserve">interventions that are exclusively or primarily perpetrated on women and girls with disability. These </w:t>
      </w:r>
      <w:proofErr w:type="gramStart"/>
      <w:r w:rsidR="009E3FD3" w:rsidRPr="00DF7116">
        <w:rPr>
          <w:rFonts w:ascii="Proxima Nova" w:hAnsi="Proxima Nova"/>
          <w:sz w:val="22"/>
          <w:szCs w:val="22"/>
        </w:rPr>
        <w:t>include:</w:t>
      </w:r>
      <w:proofErr w:type="gramEnd"/>
      <w:r w:rsidR="009E3FD3" w:rsidRPr="00DF7116">
        <w:rPr>
          <w:rFonts w:ascii="Proxima Nova" w:hAnsi="Proxima Nova"/>
          <w:sz w:val="22"/>
          <w:szCs w:val="22"/>
        </w:rPr>
        <w:t xml:space="preserve"> </w:t>
      </w:r>
      <w:r w:rsidR="004052BD" w:rsidRPr="00DF7116">
        <w:rPr>
          <w:rFonts w:ascii="Proxima Nova" w:hAnsi="Proxima Nova" w:cstheme="minorHAnsi"/>
          <w:sz w:val="22"/>
          <w:szCs w:val="22"/>
        </w:rPr>
        <w:t>non-consensual and coercive sterilisation, menstrual suppression</w:t>
      </w:r>
      <w:r w:rsidR="009871E3" w:rsidRPr="00DF7116">
        <w:rPr>
          <w:rFonts w:ascii="Proxima Nova" w:hAnsi="Proxima Nova" w:cstheme="minorHAnsi"/>
          <w:sz w:val="22"/>
          <w:szCs w:val="22"/>
        </w:rPr>
        <w:t>, contraception</w:t>
      </w:r>
      <w:r w:rsidR="004052BD" w:rsidRPr="00DF7116">
        <w:rPr>
          <w:rFonts w:ascii="Proxima Nova" w:hAnsi="Proxima Nova" w:cstheme="minorHAnsi"/>
          <w:sz w:val="22"/>
          <w:szCs w:val="22"/>
        </w:rPr>
        <w:t xml:space="preserve"> and abortion</w:t>
      </w:r>
      <w:r w:rsidR="008274E6" w:rsidRPr="00DF7116">
        <w:rPr>
          <w:rFonts w:ascii="Proxima Nova" w:hAnsi="Proxima Nova" w:cstheme="minorHAnsi"/>
          <w:sz w:val="22"/>
          <w:szCs w:val="22"/>
        </w:rPr>
        <w:t>,</w:t>
      </w:r>
      <w:r w:rsidR="004052BD" w:rsidRPr="00DF7116">
        <w:rPr>
          <w:rFonts w:ascii="Proxima Nova" w:hAnsi="Proxima Nova"/>
          <w:sz w:val="22"/>
          <w:szCs w:val="22"/>
        </w:rPr>
        <w:t xml:space="preserve"> forced child removal and denial of support for sexual activity and intimate relationships. </w:t>
      </w:r>
      <w:r w:rsidR="00632309" w:rsidRPr="00DF7116">
        <w:rPr>
          <w:rFonts w:ascii="Proxima Nova" w:hAnsi="Proxima Nova" w:cstheme="minorHAnsi"/>
          <w:sz w:val="22"/>
          <w:szCs w:val="22"/>
        </w:rPr>
        <w:t xml:space="preserve">We reiterate that these have not been identified as restrictive practices in the </w:t>
      </w:r>
      <w:r w:rsidR="003509C3" w:rsidRPr="00DF7116">
        <w:rPr>
          <w:rFonts w:ascii="Proxima Nova" w:hAnsi="Proxima Nova" w:cs="Calibri"/>
          <w:sz w:val="22"/>
          <w:szCs w:val="22"/>
        </w:rPr>
        <w:t xml:space="preserve">Restrictive Practices </w:t>
      </w:r>
      <w:r w:rsidR="00632309" w:rsidRPr="00DF7116">
        <w:rPr>
          <w:rFonts w:ascii="Proxima Nova" w:hAnsi="Proxima Nova" w:cstheme="minorHAnsi"/>
          <w:sz w:val="22"/>
          <w:szCs w:val="22"/>
        </w:rPr>
        <w:t>Issues Paper.</w:t>
      </w:r>
    </w:p>
    <w:p w14:paraId="508DF48B" w14:textId="77777777" w:rsidR="00606B4A" w:rsidRPr="00DF7116" w:rsidRDefault="00606B4A" w:rsidP="00DF7116">
      <w:pPr>
        <w:spacing w:line="276" w:lineRule="auto"/>
        <w:ind w:left="720" w:hanging="720"/>
        <w:rPr>
          <w:rFonts w:ascii="Proxima Nova" w:hAnsi="Proxima Nova"/>
          <w:sz w:val="22"/>
          <w:szCs w:val="22"/>
        </w:rPr>
      </w:pPr>
    </w:p>
    <w:p w14:paraId="297515D1" w14:textId="461AF2EF" w:rsidR="00F445E6" w:rsidRPr="00DF7116" w:rsidRDefault="00933A16" w:rsidP="00DF7116">
      <w:pPr>
        <w:spacing w:line="276" w:lineRule="auto"/>
        <w:ind w:left="720" w:hanging="720"/>
        <w:rPr>
          <w:rFonts w:ascii="Proxima Nova" w:hAnsi="Proxima Nova"/>
          <w:sz w:val="22"/>
          <w:szCs w:val="22"/>
        </w:rPr>
      </w:pPr>
      <w:r w:rsidRPr="00DF7116">
        <w:rPr>
          <w:rFonts w:ascii="Proxima Nova" w:hAnsi="Proxima Nova"/>
          <w:sz w:val="22"/>
          <w:szCs w:val="22"/>
        </w:rPr>
        <w:t>4.4.</w:t>
      </w:r>
      <w:r w:rsidRPr="00DF7116">
        <w:rPr>
          <w:rFonts w:ascii="Proxima Nova" w:hAnsi="Proxima Nova"/>
          <w:sz w:val="22"/>
          <w:szCs w:val="22"/>
        </w:rPr>
        <w:tab/>
      </w:r>
      <w:r w:rsidR="00A51B03" w:rsidRPr="00DF7116">
        <w:rPr>
          <w:rFonts w:ascii="Proxima Nova" w:hAnsi="Proxima Nova"/>
          <w:sz w:val="22"/>
          <w:szCs w:val="22"/>
        </w:rPr>
        <w:t>T</w:t>
      </w:r>
      <w:r w:rsidR="002E62E4" w:rsidRPr="00DF7116">
        <w:rPr>
          <w:rFonts w:ascii="Proxima Nova" w:hAnsi="Proxima Nova"/>
          <w:sz w:val="22"/>
          <w:szCs w:val="22"/>
        </w:rPr>
        <w:t>hese interventions fit within the Royal Commission’s definition of ‘restrictive practices’ because they limit rights to autonomy, personal integrity and freedom from violence and torture (in being non-consensual and coercive), as well rights to family, health and community inclusion (by limiting their capacity to reproduce, parent and have intimate relationships).</w:t>
      </w:r>
      <w:r w:rsidR="00606B4A" w:rsidRPr="00DF7116">
        <w:rPr>
          <w:rFonts w:ascii="Proxima Nova" w:hAnsi="Proxima Nova"/>
          <w:sz w:val="22"/>
          <w:szCs w:val="22"/>
        </w:rPr>
        <w:t xml:space="preserve"> </w:t>
      </w:r>
    </w:p>
    <w:p w14:paraId="34851397" w14:textId="77777777" w:rsidR="00F445E6" w:rsidRPr="00DF7116" w:rsidRDefault="00F445E6" w:rsidP="00DF7116">
      <w:pPr>
        <w:spacing w:line="276" w:lineRule="auto"/>
        <w:ind w:left="720" w:hanging="720"/>
        <w:rPr>
          <w:rFonts w:ascii="Proxima Nova" w:hAnsi="Proxima Nova"/>
          <w:sz w:val="22"/>
          <w:szCs w:val="22"/>
        </w:rPr>
      </w:pPr>
    </w:p>
    <w:p w14:paraId="4580D01F" w14:textId="025A313F" w:rsidR="001B0E3E" w:rsidRPr="00DF7116" w:rsidRDefault="00933A16" w:rsidP="00DF7116">
      <w:pPr>
        <w:spacing w:line="276" w:lineRule="auto"/>
        <w:ind w:left="720" w:hanging="720"/>
        <w:rPr>
          <w:rFonts w:ascii="Proxima Nova" w:hAnsi="Proxima Nova"/>
          <w:sz w:val="22"/>
          <w:szCs w:val="22"/>
        </w:rPr>
      </w:pPr>
      <w:r w:rsidRPr="00DF7116">
        <w:rPr>
          <w:rFonts w:ascii="Proxima Nova" w:hAnsi="Proxima Nova"/>
          <w:sz w:val="22"/>
          <w:szCs w:val="22"/>
        </w:rPr>
        <w:t>4.5.</w:t>
      </w:r>
      <w:r w:rsidRPr="00DF7116">
        <w:rPr>
          <w:rFonts w:ascii="Proxima Nova" w:hAnsi="Proxima Nova"/>
          <w:sz w:val="22"/>
          <w:szCs w:val="22"/>
        </w:rPr>
        <w:tab/>
      </w:r>
      <w:r w:rsidR="00606B4A" w:rsidRPr="00DF7116">
        <w:rPr>
          <w:rFonts w:ascii="Proxima Nova" w:hAnsi="Proxima Nova"/>
          <w:sz w:val="22"/>
          <w:szCs w:val="22"/>
        </w:rPr>
        <w:t>However, these interventions might not be readily viewed as restrictive practices</w:t>
      </w:r>
      <w:r w:rsidR="00F445E6" w:rsidRPr="00DF7116">
        <w:rPr>
          <w:rFonts w:ascii="Proxima Nova" w:hAnsi="Proxima Nova"/>
          <w:sz w:val="22"/>
          <w:szCs w:val="22"/>
        </w:rPr>
        <w:t>, and arguably they do not currently fit within the definition of a ‘regulated restrictive practice’ under the NDIS</w:t>
      </w:r>
      <w:r w:rsidR="00595305" w:rsidRPr="00DF7116">
        <w:rPr>
          <w:rFonts w:ascii="Proxima Nova" w:hAnsi="Proxima Nova"/>
          <w:sz w:val="22"/>
          <w:szCs w:val="22"/>
        </w:rPr>
        <w:t>.</w:t>
      </w:r>
      <w:r w:rsidR="00595305" w:rsidRPr="00DF7116">
        <w:rPr>
          <w:rStyle w:val="EndnoteReference"/>
          <w:rFonts w:ascii="Proxima Nova" w:hAnsi="Proxima Nova"/>
          <w:sz w:val="22"/>
          <w:szCs w:val="22"/>
        </w:rPr>
        <w:endnoteReference w:id="135"/>
      </w:r>
      <w:r w:rsidR="00595305" w:rsidRPr="00DF7116">
        <w:rPr>
          <w:rFonts w:ascii="Proxima Nova" w:hAnsi="Proxima Nova"/>
          <w:sz w:val="22"/>
          <w:szCs w:val="22"/>
        </w:rPr>
        <w:t xml:space="preserve"> </w:t>
      </w:r>
      <w:r w:rsidR="00716598" w:rsidRPr="00DF7116">
        <w:rPr>
          <w:rFonts w:ascii="Proxima Nova" w:hAnsi="Proxima Nova"/>
          <w:sz w:val="22"/>
          <w:szCs w:val="22"/>
        </w:rPr>
        <w:t>Even so, t</w:t>
      </w:r>
      <w:r w:rsidR="00F445E6" w:rsidRPr="00DF7116">
        <w:rPr>
          <w:rFonts w:ascii="Proxima Nova" w:hAnsi="Proxima Nova"/>
          <w:sz w:val="22"/>
          <w:szCs w:val="22"/>
        </w:rPr>
        <w:t>here is no justification for not including them within the meaning of ‘restrictive practice’</w:t>
      </w:r>
      <w:r w:rsidR="00716598" w:rsidRPr="00DF7116">
        <w:rPr>
          <w:rFonts w:ascii="Proxima Nova" w:hAnsi="Proxima Nova"/>
          <w:sz w:val="22"/>
          <w:szCs w:val="22"/>
        </w:rPr>
        <w:t xml:space="preserve"> for the purposes of the Royal Commission’s work</w:t>
      </w:r>
      <w:r w:rsidR="00F445E6" w:rsidRPr="00DF7116">
        <w:rPr>
          <w:rFonts w:ascii="Proxima Nova" w:hAnsi="Proxima Nova"/>
          <w:sz w:val="22"/>
          <w:szCs w:val="22"/>
        </w:rPr>
        <w:t>. Rather, it is likely the</w:t>
      </w:r>
      <w:r w:rsidR="00716598" w:rsidRPr="00DF7116">
        <w:rPr>
          <w:rFonts w:ascii="Proxima Nova" w:hAnsi="Proxima Nova"/>
          <w:sz w:val="22"/>
          <w:szCs w:val="22"/>
        </w:rPr>
        <w:t>se interventions</w:t>
      </w:r>
      <w:r w:rsidR="00F445E6" w:rsidRPr="00DF7116">
        <w:rPr>
          <w:rFonts w:ascii="Proxima Nova" w:hAnsi="Proxima Nova"/>
          <w:sz w:val="22"/>
          <w:szCs w:val="22"/>
        </w:rPr>
        <w:t xml:space="preserve"> have been excluded from understandings of restrictive practices</w:t>
      </w:r>
      <w:r w:rsidR="00606B4A" w:rsidRPr="00DF7116">
        <w:rPr>
          <w:rFonts w:ascii="Proxima Nova" w:hAnsi="Proxima Nova"/>
          <w:sz w:val="22"/>
          <w:szCs w:val="22"/>
        </w:rPr>
        <w:t xml:space="preserve"> because </w:t>
      </w:r>
      <w:r w:rsidR="005943CB" w:rsidRPr="00DF7116">
        <w:rPr>
          <w:rFonts w:ascii="Proxima Nova" w:hAnsi="Proxima Nova"/>
          <w:sz w:val="22"/>
          <w:szCs w:val="22"/>
        </w:rPr>
        <w:t>of the intersection of gendered and abled norms. By this we mean that</w:t>
      </w:r>
      <w:r w:rsidR="00606B4A" w:rsidRPr="00DF7116">
        <w:rPr>
          <w:rFonts w:ascii="Proxima Nova" w:hAnsi="Proxima Nova" w:cstheme="minorHAnsi"/>
          <w:sz w:val="22"/>
          <w:szCs w:val="22"/>
        </w:rPr>
        <w:t xml:space="preserve"> </w:t>
      </w:r>
      <w:r w:rsidR="00606B4A" w:rsidRPr="00DF7116">
        <w:rPr>
          <w:rFonts w:ascii="Proxima Nova" w:hAnsi="Proxima Nova"/>
          <w:sz w:val="22"/>
          <w:szCs w:val="22"/>
        </w:rPr>
        <w:t>exclusion of women and girls with disability from normative gendered roles of mother, menstruator, sexual being, coupled with the devaluing and stigmatising of their embodied experiences are often the target of restrictive practices in relation to women and girls with disability (e.g., menstruation, sexual activity, reproduction, parenting, trauma from sexual violence and abuse), means that it is self-evident</w:t>
      </w:r>
      <w:r w:rsidR="00716598" w:rsidRPr="00DF7116">
        <w:rPr>
          <w:rFonts w:ascii="Proxima Nova" w:hAnsi="Proxima Nova"/>
          <w:sz w:val="22"/>
          <w:szCs w:val="22"/>
        </w:rPr>
        <w:t>, necessary and beyond politicisation</w:t>
      </w:r>
      <w:r w:rsidR="00606B4A" w:rsidRPr="00DF7116">
        <w:rPr>
          <w:rFonts w:ascii="Proxima Nova" w:hAnsi="Proxima Nova"/>
          <w:sz w:val="22"/>
          <w:szCs w:val="22"/>
        </w:rPr>
        <w:t xml:space="preserve"> that women and girls with disability would have their autonomy overridden and their capacity to reproduce, parent and have intimate relationships limited.</w:t>
      </w:r>
      <w:r w:rsidR="005943CB" w:rsidRPr="00DF7116">
        <w:rPr>
          <w:rFonts w:ascii="Proxima Nova" w:hAnsi="Proxima Nova"/>
          <w:sz w:val="22"/>
          <w:szCs w:val="22"/>
        </w:rPr>
        <w:t xml:space="preserve"> </w:t>
      </w:r>
    </w:p>
    <w:p w14:paraId="5BCAA2E9" w14:textId="77777777" w:rsidR="00F445E6" w:rsidRPr="00DF7116" w:rsidRDefault="00F445E6" w:rsidP="00DF7116">
      <w:pPr>
        <w:spacing w:line="276" w:lineRule="auto"/>
        <w:ind w:left="720" w:hanging="720"/>
        <w:rPr>
          <w:rFonts w:ascii="Proxima Nova" w:hAnsi="Proxima Nova"/>
          <w:sz w:val="22"/>
          <w:szCs w:val="22"/>
        </w:rPr>
      </w:pPr>
    </w:p>
    <w:p w14:paraId="21A0E789" w14:textId="31F76C26" w:rsidR="00F445E6" w:rsidRPr="00DF7116" w:rsidRDefault="00933A16" w:rsidP="00DF7116">
      <w:pPr>
        <w:spacing w:line="276" w:lineRule="auto"/>
        <w:ind w:left="720" w:hanging="720"/>
        <w:rPr>
          <w:rFonts w:ascii="Proxima Nova" w:hAnsi="Proxima Nova"/>
          <w:sz w:val="22"/>
          <w:szCs w:val="22"/>
        </w:rPr>
      </w:pPr>
      <w:r w:rsidRPr="00DF7116">
        <w:rPr>
          <w:rFonts w:ascii="Proxima Nova" w:hAnsi="Proxima Nova"/>
          <w:sz w:val="22"/>
          <w:szCs w:val="22"/>
        </w:rPr>
        <w:t>4.6.</w:t>
      </w:r>
      <w:r w:rsidRPr="00DF7116">
        <w:rPr>
          <w:rFonts w:ascii="Proxima Nova" w:hAnsi="Proxima Nova"/>
          <w:sz w:val="22"/>
          <w:szCs w:val="22"/>
        </w:rPr>
        <w:tab/>
      </w:r>
      <w:r w:rsidR="00F445E6" w:rsidRPr="00DF7116">
        <w:rPr>
          <w:rFonts w:ascii="Proxima Nova" w:hAnsi="Proxima Nova"/>
          <w:sz w:val="22"/>
          <w:szCs w:val="22"/>
        </w:rPr>
        <w:t xml:space="preserve">The current exclusion of </w:t>
      </w:r>
      <w:r w:rsidR="00F445E6" w:rsidRPr="00DF7116">
        <w:rPr>
          <w:rFonts w:ascii="Proxima Nova" w:hAnsi="Proxima Nova" w:cstheme="minorHAnsi"/>
          <w:sz w:val="22"/>
          <w:szCs w:val="22"/>
        </w:rPr>
        <w:t>non-consensual and coercive sterilisation, menstrual suppression, contraception and abortion,</w:t>
      </w:r>
      <w:r w:rsidR="00F445E6" w:rsidRPr="00DF7116">
        <w:rPr>
          <w:rFonts w:ascii="Proxima Nova" w:hAnsi="Proxima Nova"/>
          <w:sz w:val="22"/>
          <w:szCs w:val="22"/>
        </w:rPr>
        <w:t xml:space="preserve"> forced child removal and denial of support for sexual activity and intimate relationships from the meaning of restrictive practices matters</w:t>
      </w:r>
      <w:r w:rsidR="00872808" w:rsidRPr="00DF7116">
        <w:rPr>
          <w:rFonts w:ascii="Proxima Nova" w:hAnsi="Proxima Nova"/>
          <w:sz w:val="22"/>
          <w:szCs w:val="22"/>
        </w:rPr>
        <w:t>. This is</w:t>
      </w:r>
      <w:r w:rsidR="00F445E6" w:rsidRPr="00DF7116">
        <w:rPr>
          <w:rFonts w:ascii="Proxima Nova" w:hAnsi="Proxima Nova"/>
          <w:sz w:val="22"/>
          <w:szCs w:val="22"/>
        </w:rPr>
        <w:t xml:space="preserve"> because</w:t>
      </w:r>
      <w:r w:rsidR="00872808" w:rsidRPr="00DF7116">
        <w:rPr>
          <w:rFonts w:ascii="Proxima Nova" w:hAnsi="Proxima Nova"/>
          <w:sz w:val="22"/>
          <w:szCs w:val="22"/>
        </w:rPr>
        <w:t>,</w:t>
      </w:r>
      <w:r w:rsidR="00F445E6" w:rsidRPr="00DF7116">
        <w:rPr>
          <w:rFonts w:ascii="Proxima Nova" w:hAnsi="Proxima Nova"/>
          <w:sz w:val="22"/>
          <w:szCs w:val="22"/>
        </w:rPr>
        <w:t xml:space="preserve"> in a context where these interventions are legally permitted</w:t>
      </w:r>
      <w:r w:rsidR="00872808" w:rsidRPr="00DF7116">
        <w:rPr>
          <w:rFonts w:ascii="Proxima Nova" w:hAnsi="Proxima Nova"/>
          <w:sz w:val="22"/>
          <w:szCs w:val="22"/>
        </w:rPr>
        <w:t>,</w:t>
      </w:r>
      <w:r w:rsidR="00F445E6" w:rsidRPr="00DF7116">
        <w:rPr>
          <w:rFonts w:ascii="Proxima Nova" w:hAnsi="Proxima Nova"/>
          <w:sz w:val="22"/>
          <w:szCs w:val="22"/>
        </w:rPr>
        <w:t xml:space="preserve"> the failure to categorise them as restrictive practices means they are subject to less regulatory oversight.</w:t>
      </w:r>
    </w:p>
    <w:p w14:paraId="7343AF40" w14:textId="77777777" w:rsidR="001B0E3E" w:rsidRPr="00DF7116" w:rsidRDefault="001B0E3E" w:rsidP="00DF7116">
      <w:pPr>
        <w:spacing w:line="276" w:lineRule="auto"/>
        <w:ind w:left="720" w:hanging="720"/>
        <w:rPr>
          <w:rFonts w:ascii="Proxima Nova" w:hAnsi="Proxima Nova"/>
          <w:sz w:val="22"/>
          <w:szCs w:val="22"/>
        </w:rPr>
      </w:pPr>
    </w:p>
    <w:p w14:paraId="57C898F0" w14:textId="1D27EC5A" w:rsidR="005943CB" w:rsidRPr="00DF7116" w:rsidRDefault="00933A16" w:rsidP="00DF7116">
      <w:pPr>
        <w:spacing w:line="276" w:lineRule="auto"/>
        <w:ind w:left="720" w:hanging="720"/>
        <w:rPr>
          <w:rFonts w:ascii="Proxima Nova" w:hAnsi="Proxima Nova"/>
          <w:sz w:val="22"/>
          <w:szCs w:val="22"/>
        </w:rPr>
      </w:pPr>
      <w:r w:rsidRPr="00DF7116">
        <w:rPr>
          <w:rFonts w:ascii="Proxima Nova" w:hAnsi="Proxima Nova" w:cstheme="minorHAnsi"/>
          <w:sz w:val="22"/>
          <w:szCs w:val="22"/>
        </w:rPr>
        <w:t>4.7.</w:t>
      </w:r>
      <w:r w:rsidRPr="00DF7116">
        <w:rPr>
          <w:rFonts w:ascii="Proxima Nova" w:hAnsi="Proxima Nova" w:cstheme="minorHAnsi"/>
          <w:sz w:val="22"/>
          <w:szCs w:val="22"/>
        </w:rPr>
        <w:tab/>
      </w:r>
      <w:r w:rsidR="005943CB" w:rsidRPr="00DF7116">
        <w:rPr>
          <w:rFonts w:ascii="Proxima Nova" w:hAnsi="Proxima Nova" w:cstheme="minorHAnsi"/>
          <w:sz w:val="22"/>
          <w:szCs w:val="22"/>
        </w:rPr>
        <w:t>Non-consensual and coercive sterilisation, menstrual suppression, contraception and abortion,</w:t>
      </w:r>
      <w:r w:rsidR="005943CB" w:rsidRPr="00DF7116">
        <w:rPr>
          <w:rFonts w:ascii="Proxima Nova" w:hAnsi="Proxima Nova"/>
          <w:sz w:val="22"/>
          <w:szCs w:val="22"/>
        </w:rPr>
        <w:t xml:space="preserve"> forced child removal and denial of support for sexual activity and intimate relationships</w:t>
      </w:r>
      <w:r w:rsidR="00C70A45" w:rsidRPr="00DF7116">
        <w:rPr>
          <w:rFonts w:ascii="Proxima Nova" w:hAnsi="Proxima Nova"/>
          <w:sz w:val="22"/>
          <w:szCs w:val="22"/>
        </w:rPr>
        <w:t xml:space="preserve"> not only violate personal integrity and autonomy when done non-consensually or coercively but have additional physical and psychological impacts. </w:t>
      </w:r>
    </w:p>
    <w:p w14:paraId="4C6D628C" w14:textId="77777777" w:rsidR="005943CB" w:rsidRPr="00DF7116" w:rsidRDefault="005943CB" w:rsidP="00DF7116">
      <w:pPr>
        <w:spacing w:line="276" w:lineRule="auto"/>
        <w:ind w:left="720" w:hanging="720"/>
        <w:rPr>
          <w:rFonts w:ascii="Proxima Nova" w:hAnsi="Proxima Nova"/>
          <w:sz w:val="22"/>
          <w:szCs w:val="22"/>
        </w:rPr>
      </w:pPr>
    </w:p>
    <w:p w14:paraId="497ACC33" w14:textId="0B837E8F" w:rsidR="00C70A45" w:rsidRPr="00DF7116" w:rsidRDefault="00C70A45" w:rsidP="00DF7116">
      <w:pPr>
        <w:pStyle w:val="ListParagraph"/>
        <w:numPr>
          <w:ilvl w:val="1"/>
          <w:numId w:val="27"/>
        </w:numPr>
        <w:spacing w:line="276" w:lineRule="auto"/>
        <w:ind w:left="720" w:hanging="720"/>
        <w:rPr>
          <w:rFonts w:ascii="Proxima Nova" w:hAnsi="Proxima Nova"/>
          <w:sz w:val="22"/>
          <w:szCs w:val="22"/>
        </w:rPr>
      </w:pPr>
      <w:r w:rsidRPr="00DF7116">
        <w:rPr>
          <w:rFonts w:ascii="Proxima Nova" w:hAnsi="Proxima Nova"/>
          <w:sz w:val="22"/>
          <w:szCs w:val="22"/>
        </w:rPr>
        <w:t>Sterilisation includes a range of practices that have a permanent impact on reproductive capacity:</w:t>
      </w:r>
    </w:p>
    <w:p w14:paraId="60950BFA" w14:textId="77777777" w:rsidR="00C70A45" w:rsidRPr="00DF7116" w:rsidRDefault="00C70A45" w:rsidP="00DF7116">
      <w:pPr>
        <w:autoSpaceDE w:val="0"/>
        <w:autoSpaceDN w:val="0"/>
        <w:adjustRightInd w:val="0"/>
        <w:spacing w:line="276" w:lineRule="auto"/>
        <w:rPr>
          <w:rFonts w:ascii="Proxima Nova" w:eastAsiaTheme="minorHAnsi" w:hAnsi="Proxima Nova" w:cs="MrEavesXLModOT-Reg"/>
          <w:sz w:val="22"/>
          <w:szCs w:val="22"/>
        </w:rPr>
      </w:pPr>
    </w:p>
    <w:p w14:paraId="7357C5C3" w14:textId="55BCF4F8" w:rsidR="00C70A45" w:rsidRPr="00DF7116" w:rsidRDefault="00C70A45" w:rsidP="00DF7116">
      <w:pPr>
        <w:autoSpaceDE w:val="0"/>
        <w:autoSpaceDN w:val="0"/>
        <w:adjustRightInd w:val="0"/>
        <w:spacing w:line="276" w:lineRule="auto"/>
        <w:ind w:left="1134"/>
        <w:rPr>
          <w:rFonts w:ascii="Proxima Nova" w:eastAsiaTheme="minorHAnsi" w:hAnsi="Proxima Nova" w:cstheme="minorHAnsi"/>
          <w:sz w:val="22"/>
          <w:szCs w:val="22"/>
        </w:rPr>
      </w:pPr>
      <w:r w:rsidRPr="00DF7116">
        <w:rPr>
          <w:rFonts w:ascii="Proxima Nova" w:eastAsiaTheme="minorHAnsi" w:hAnsi="Proxima Nova" w:cstheme="minorHAnsi"/>
          <w:i/>
          <w:iCs/>
          <w:sz w:val="22"/>
          <w:szCs w:val="22"/>
        </w:rPr>
        <w:t xml:space="preserve">Sterilisation is a surgical operation or any other process that induces the permanent loss of reproductive capacity. For women, the most common and effective procedures are the hysterectomy, bilateral oophorectomy, tubal ligation and endometrial ablation. The most common procedure for girls with disability is the hysterectomy – removing the uterus and ceasing </w:t>
      </w:r>
      <w:proofErr w:type="gramStart"/>
      <w:r w:rsidRPr="00DF7116">
        <w:rPr>
          <w:rFonts w:ascii="Proxima Nova" w:eastAsiaTheme="minorHAnsi" w:hAnsi="Proxima Nova" w:cstheme="minorHAnsi"/>
          <w:i/>
          <w:iCs/>
          <w:sz w:val="22"/>
          <w:szCs w:val="22"/>
        </w:rPr>
        <w:t>menstruation, yet</w:t>
      </w:r>
      <w:proofErr w:type="gramEnd"/>
      <w:r w:rsidRPr="00DF7116">
        <w:rPr>
          <w:rFonts w:ascii="Proxima Nova" w:eastAsiaTheme="minorHAnsi" w:hAnsi="Proxima Nova" w:cstheme="minorHAnsi"/>
          <w:i/>
          <w:iCs/>
          <w:sz w:val="22"/>
          <w:szCs w:val="22"/>
        </w:rPr>
        <w:t xml:space="preserve"> continuing ovulation. Both bilateral oophorectomy </w:t>
      </w:r>
      <w:r w:rsidRPr="00DF7116">
        <w:rPr>
          <w:rFonts w:ascii="Proxima Nova" w:eastAsiaTheme="minorHAnsi" w:hAnsi="Proxima Nova" w:cstheme="minorHAnsi"/>
          <w:i/>
          <w:iCs/>
          <w:sz w:val="22"/>
          <w:szCs w:val="22"/>
        </w:rPr>
        <w:lastRenderedPageBreak/>
        <w:t>and tubal ligation may be used in conjunction with a hysterectomy. A</w:t>
      </w:r>
      <w:r w:rsidRPr="00DF7116">
        <w:rPr>
          <w:rFonts w:ascii="Proxima Nova" w:hAnsi="Proxima Nova" w:cstheme="minorHAnsi"/>
          <w:i/>
          <w:iCs/>
          <w:sz w:val="22"/>
          <w:szCs w:val="22"/>
        </w:rPr>
        <w:t xml:space="preserve"> </w:t>
      </w:r>
      <w:r w:rsidRPr="00DF7116">
        <w:rPr>
          <w:rFonts w:ascii="Proxima Nova" w:eastAsiaTheme="minorHAnsi" w:hAnsi="Proxima Nova" w:cstheme="minorHAnsi"/>
          <w:i/>
          <w:iCs/>
          <w:sz w:val="22"/>
          <w:szCs w:val="22"/>
        </w:rPr>
        <w:t>bilateral oophorectomy removes both ovaries. For a young woman with functioning ovaries this is a particularly serious operation, as it will cause a sudden termination of hormone production and commence menopause. She will need to undertake long-term hormone replacement therapy. Tubal ligation – blocking the female egg from proceeding down the fallopian tube - is less common as ovulation and menstruation will continue. A total hysterectomy may also be utilised, removing the uterus, ovaries, fallopian tube, cervix and upper vagina.</w:t>
      </w:r>
      <w:r w:rsidRPr="00DF7116">
        <w:rPr>
          <w:rStyle w:val="EndnoteReference"/>
          <w:rFonts w:ascii="Proxima Nova" w:eastAsiaTheme="minorHAnsi" w:hAnsi="Proxima Nova" w:cstheme="minorHAnsi"/>
          <w:sz w:val="22"/>
          <w:szCs w:val="22"/>
        </w:rPr>
        <w:endnoteReference w:id="136"/>
      </w:r>
    </w:p>
    <w:p w14:paraId="3ED20C54" w14:textId="77777777" w:rsidR="00C70A45" w:rsidRPr="00DF7116" w:rsidRDefault="00C70A45" w:rsidP="00DF7116">
      <w:pPr>
        <w:spacing w:line="276" w:lineRule="auto"/>
        <w:rPr>
          <w:rFonts w:ascii="Proxima Nova" w:hAnsi="Proxima Nova" w:cstheme="minorHAnsi"/>
          <w:sz w:val="22"/>
          <w:szCs w:val="22"/>
        </w:rPr>
      </w:pPr>
    </w:p>
    <w:p w14:paraId="4B5DAF91" w14:textId="10189270" w:rsidR="0025539F" w:rsidRPr="00DF7116" w:rsidRDefault="0089050D" w:rsidP="00DF7116">
      <w:pPr>
        <w:pStyle w:val="BodyText"/>
        <w:numPr>
          <w:ilvl w:val="1"/>
          <w:numId w:val="27"/>
        </w:numPr>
        <w:spacing w:line="276" w:lineRule="auto"/>
        <w:ind w:left="720" w:hanging="720"/>
        <w:rPr>
          <w:rFonts w:ascii="Proxima Nova" w:hAnsi="Proxima Nova"/>
          <w:sz w:val="22"/>
          <w:szCs w:val="22"/>
        </w:rPr>
      </w:pPr>
      <w:r w:rsidRPr="00DF7116">
        <w:rPr>
          <w:rFonts w:ascii="Proxima Nova" w:hAnsi="Proxima Nova" w:cstheme="minorHAnsi"/>
          <w:sz w:val="22"/>
          <w:szCs w:val="22"/>
        </w:rPr>
        <w:t>There are</w:t>
      </w:r>
      <w:r w:rsidR="00AB21D4" w:rsidRPr="00DF7116">
        <w:rPr>
          <w:rFonts w:ascii="Proxima Nova" w:hAnsi="Proxima Nova" w:cstheme="minorHAnsi"/>
          <w:sz w:val="22"/>
          <w:szCs w:val="22"/>
        </w:rPr>
        <w:t xml:space="preserve"> no </w:t>
      </w:r>
      <w:r w:rsidR="00E94F27" w:rsidRPr="00DF7116">
        <w:rPr>
          <w:rFonts w:ascii="Proxima Nova" w:hAnsi="Proxima Nova" w:cstheme="minorHAnsi"/>
          <w:sz w:val="22"/>
          <w:szCs w:val="22"/>
        </w:rPr>
        <w:t>rel</w:t>
      </w:r>
      <w:r w:rsidR="008E0522" w:rsidRPr="00DF7116">
        <w:rPr>
          <w:rFonts w:ascii="Proxima Nova" w:hAnsi="Proxima Nova" w:cstheme="minorHAnsi"/>
          <w:sz w:val="22"/>
          <w:szCs w:val="22"/>
        </w:rPr>
        <w:t>ia</w:t>
      </w:r>
      <w:r w:rsidR="00E94F27" w:rsidRPr="00DF7116">
        <w:rPr>
          <w:rFonts w:ascii="Proxima Nova" w:hAnsi="Proxima Nova" w:cstheme="minorHAnsi"/>
          <w:sz w:val="22"/>
          <w:szCs w:val="22"/>
        </w:rPr>
        <w:t>ble</w:t>
      </w:r>
      <w:r w:rsidR="00221B56" w:rsidRPr="00DF7116">
        <w:rPr>
          <w:rFonts w:ascii="Proxima Nova" w:hAnsi="Proxima Nova" w:cstheme="minorHAnsi"/>
          <w:sz w:val="22"/>
          <w:szCs w:val="22"/>
        </w:rPr>
        <w:t xml:space="preserve"> </w:t>
      </w:r>
      <w:r w:rsidR="00E94F27" w:rsidRPr="00DF7116">
        <w:rPr>
          <w:rFonts w:ascii="Proxima Nova" w:hAnsi="Proxima Nova" w:cstheme="minorHAnsi"/>
          <w:sz w:val="22"/>
          <w:szCs w:val="22"/>
        </w:rPr>
        <w:t xml:space="preserve">or </w:t>
      </w:r>
      <w:r w:rsidR="003D0E5D" w:rsidRPr="00DF7116">
        <w:rPr>
          <w:rFonts w:ascii="Proxima Nova" w:hAnsi="Proxima Nova" w:cstheme="minorHAnsi"/>
          <w:sz w:val="22"/>
          <w:szCs w:val="22"/>
        </w:rPr>
        <w:t xml:space="preserve">consistent </w:t>
      </w:r>
      <w:r w:rsidR="00221B56" w:rsidRPr="00DF7116">
        <w:rPr>
          <w:rFonts w:ascii="Proxima Nova" w:hAnsi="Proxima Nova" w:cstheme="minorHAnsi"/>
          <w:sz w:val="22"/>
          <w:szCs w:val="22"/>
        </w:rPr>
        <w:t>data on sterilisation.</w:t>
      </w:r>
      <w:r w:rsidR="00A05567" w:rsidRPr="00DF7116">
        <w:rPr>
          <w:rStyle w:val="EndnoteReference"/>
          <w:rFonts w:ascii="Proxima Nova" w:hAnsi="Proxima Nova" w:cstheme="minorHAnsi"/>
          <w:sz w:val="22"/>
          <w:szCs w:val="22"/>
        </w:rPr>
        <w:endnoteReference w:id="137"/>
      </w:r>
      <w:r w:rsidR="00787649" w:rsidRPr="00DF7116">
        <w:rPr>
          <w:rFonts w:ascii="Proxima Nova" w:hAnsi="Proxima Nova" w:cstheme="minorHAnsi"/>
          <w:sz w:val="22"/>
          <w:szCs w:val="22"/>
        </w:rPr>
        <w:t xml:space="preserve"> </w:t>
      </w:r>
      <w:r w:rsidR="00E94F27" w:rsidRPr="00DF7116">
        <w:rPr>
          <w:rFonts w:ascii="Proxima Nova" w:hAnsi="Proxima Nova" w:cstheme="minorHAnsi"/>
          <w:sz w:val="22"/>
          <w:szCs w:val="22"/>
        </w:rPr>
        <w:t>I</w:t>
      </w:r>
      <w:r w:rsidR="00244E70" w:rsidRPr="00DF7116">
        <w:rPr>
          <w:rFonts w:ascii="Proxima Nova" w:hAnsi="Proxima Nova" w:cstheme="minorHAnsi"/>
          <w:sz w:val="22"/>
          <w:szCs w:val="22"/>
        </w:rPr>
        <w:t xml:space="preserve">n 2015, </w:t>
      </w:r>
      <w:r w:rsidR="00E94F27" w:rsidRPr="00DF7116">
        <w:rPr>
          <w:rFonts w:ascii="Proxima Nova" w:hAnsi="Proxima Nova" w:cstheme="minorHAnsi"/>
          <w:sz w:val="22"/>
          <w:szCs w:val="22"/>
        </w:rPr>
        <w:t xml:space="preserve">as an outcome of the Senate </w:t>
      </w:r>
      <w:r w:rsidR="00153365" w:rsidRPr="00DF7116">
        <w:rPr>
          <w:rFonts w:ascii="Proxima Nova" w:hAnsi="Proxima Nova" w:cstheme="minorHAnsi"/>
          <w:sz w:val="22"/>
          <w:szCs w:val="22"/>
        </w:rPr>
        <w:t xml:space="preserve">Sterilisation </w:t>
      </w:r>
      <w:r w:rsidR="00E94F27" w:rsidRPr="00DF7116">
        <w:rPr>
          <w:rFonts w:ascii="Proxima Nova" w:hAnsi="Proxima Nova" w:cstheme="minorHAnsi"/>
          <w:sz w:val="22"/>
          <w:szCs w:val="22"/>
        </w:rPr>
        <w:t>Inquiry,</w:t>
      </w:r>
      <w:r w:rsidR="00E94F27" w:rsidRPr="00DF7116">
        <w:rPr>
          <w:rStyle w:val="EndnoteReference"/>
          <w:rFonts w:ascii="Proxima Nova" w:hAnsi="Proxima Nova" w:cstheme="minorHAnsi"/>
          <w:sz w:val="22"/>
          <w:szCs w:val="22"/>
        </w:rPr>
        <w:endnoteReference w:id="138"/>
      </w:r>
      <w:r w:rsidR="00E94F27" w:rsidRPr="00DF7116">
        <w:rPr>
          <w:rFonts w:ascii="Proxima Nova" w:hAnsi="Proxima Nova" w:cstheme="minorHAnsi"/>
          <w:sz w:val="22"/>
          <w:szCs w:val="22"/>
        </w:rPr>
        <w:t xml:space="preserve"> the </w:t>
      </w:r>
      <w:r w:rsidR="00244E70" w:rsidRPr="00DF7116">
        <w:rPr>
          <w:rFonts w:ascii="Proxima Nova" w:hAnsi="Proxima Nova" w:cstheme="minorHAnsi"/>
          <w:sz w:val="22"/>
          <w:szCs w:val="22"/>
        </w:rPr>
        <w:t>Australian Government commissioned the Office of the Public Advocate (</w:t>
      </w:r>
      <w:r w:rsidR="00652883" w:rsidRPr="00DF7116">
        <w:rPr>
          <w:rFonts w:ascii="Proxima Nova" w:hAnsi="Proxima Nova" w:cstheme="minorHAnsi"/>
          <w:sz w:val="22"/>
          <w:szCs w:val="22"/>
        </w:rPr>
        <w:t>Victoria</w:t>
      </w:r>
      <w:r w:rsidR="00244E70" w:rsidRPr="00DF7116">
        <w:rPr>
          <w:rFonts w:ascii="Proxima Nova" w:hAnsi="Proxima Nova" w:cstheme="minorHAnsi"/>
          <w:sz w:val="22"/>
          <w:szCs w:val="22"/>
        </w:rPr>
        <w:t xml:space="preserve">) to undertake a national project </w:t>
      </w:r>
      <w:r w:rsidR="00CE7519" w:rsidRPr="00DF7116">
        <w:rPr>
          <w:rFonts w:ascii="Proxima Nova" w:hAnsi="Proxima Nova" w:cstheme="minorHAnsi"/>
          <w:sz w:val="22"/>
          <w:szCs w:val="22"/>
        </w:rPr>
        <w:t>on ‘sterilisation data collection practices’</w:t>
      </w:r>
      <w:r w:rsidR="00090922" w:rsidRPr="00DF7116">
        <w:rPr>
          <w:rFonts w:ascii="Proxima Nova" w:hAnsi="Proxima Nova" w:cstheme="minorHAnsi"/>
          <w:sz w:val="22"/>
          <w:szCs w:val="22"/>
        </w:rPr>
        <w:t>.</w:t>
      </w:r>
      <w:r w:rsidR="00090922" w:rsidRPr="00DF7116">
        <w:rPr>
          <w:rStyle w:val="EndnoteReference"/>
          <w:rFonts w:ascii="Proxima Nova" w:hAnsi="Proxima Nova" w:cstheme="minorHAnsi"/>
          <w:sz w:val="22"/>
          <w:szCs w:val="22"/>
        </w:rPr>
        <w:endnoteReference w:id="139"/>
      </w:r>
      <w:r w:rsidR="00244E70" w:rsidRPr="00DF7116">
        <w:rPr>
          <w:rFonts w:ascii="Proxima Nova" w:hAnsi="Proxima Nova" w:cstheme="minorHAnsi"/>
          <w:sz w:val="22"/>
          <w:szCs w:val="22"/>
        </w:rPr>
        <w:t xml:space="preserve"> </w:t>
      </w:r>
      <w:r w:rsidR="00606EC1" w:rsidRPr="00DF7116">
        <w:rPr>
          <w:rFonts w:ascii="Proxima Nova" w:hAnsi="Proxima Nova" w:cstheme="minorHAnsi"/>
          <w:sz w:val="22"/>
          <w:szCs w:val="22"/>
        </w:rPr>
        <w:t>The national Project</w:t>
      </w:r>
      <w:r w:rsidR="002768A6" w:rsidRPr="00DF7116">
        <w:rPr>
          <w:rFonts w:ascii="Proxima Nova" w:hAnsi="Proxima Nova" w:cstheme="minorHAnsi"/>
          <w:sz w:val="22"/>
          <w:szCs w:val="22"/>
        </w:rPr>
        <w:t xml:space="preserve"> was focused on </w:t>
      </w:r>
      <w:r w:rsidR="0025539F" w:rsidRPr="00DF7116">
        <w:rPr>
          <w:rFonts w:ascii="Proxima Nova" w:hAnsi="Proxima Nova" w:cstheme="minorHAnsi"/>
          <w:sz w:val="22"/>
          <w:szCs w:val="22"/>
        </w:rPr>
        <w:t>‘</w:t>
      </w:r>
      <w:r w:rsidR="002768A6" w:rsidRPr="00DF7116">
        <w:rPr>
          <w:rFonts w:ascii="Proxima Nova" w:hAnsi="Proxima Nova"/>
          <w:sz w:val="22"/>
          <w:szCs w:val="22"/>
        </w:rPr>
        <w:t xml:space="preserve">sterilisation applications and medical procedures that result in sterilisation of </w:t>
      </w:r>
      <w:r w:rsidR="0025539F" w:rsidRPr="00DF7116">
        <w:rPr>
          <w:rFonts w:ascii="Proxima Nova" w:hAnsi="Proxima Nova"/>
          <w:sz w:val="22"/>
          <w:szCs w:val="22"/>
        </w:rPr>
        <w:t>adults</w:t>
      </w:r>
      <w:r w:rsidR="002768A6" w:rsidRPr="00DF7116">
        <w:rPr>
          <w:rFonts w:ascii="Proxima Nova" w:hAnsi="Proxima Nova"/>
          <w:sz w:val="22"/>
          <w:szCs w:val="22"/>
        </w:rPr>
        <w:t xml:space="preserve"> with cognitive impairment across all state and territory jurisdictions’ and</w:t>
      </w:r>
      <w:r w:rsidR="00606EC1" w:rsidRPr="00DF7116">
        <w:rPr>
          <w:rFonts w:ascii="Proxima Nova" w:hAnsi="Proxima Nova" w:cstheme="minorHAnsi"/>
          <w:sz w:val="22"/>
          <w:szCs w:val="22"/>
        </w:rPr>
        <w:t xml:space="preserve"> involved the ‘development of indicators to standardise the collection of data across jurisdictions.’ </w:t>
      </w:r>
      <w:r w:rsidR="0025539F" w:rsidRPr="00DF7116">
        <w:rPr>
          <w:rFonts w:ascii="Proxima Nova" w:hAnsi="Proxima Nova" w:cstheme="minorHAnsi"/>
          <w:sz w:val="22"/>
          <w:szCs w:val="22"/>
        </w:rPr>
        <w:t>An outcome of the Project was the development of an agreed set of data indicators, and an excel data record template to assist Tribunals</w:t>
      </w:r>
      <w:r w:rsidR="0025539F" w:rsidRPr="00DF7116">
        <w:rPr>
          <w:rStyle w:val="EndnoteReference"/>
          <w:rFonts w:ascii="Proxima Nova" w:hAnsi="Proxima Nova" w:cstheme="minorHAnsi"/>
          <w:sz w:val="22"/>
          <w:szCs w:val="22"/>
        </w:rPr>
        <w:endnoteReference w:id="140"/>
      </w:r>
      <w:r w:rsidR="0025539F" w:rsidRPr="00DF7116">
        <w:rPr>
          <w:rFonts w:ascii="Proxima Nova" w:hAnsi="Proxima Nova" w:cstheme="minorHAnsi"/>
          <w:sz w:val="22"/>
          <w:szCs w:val="22"/>
        </w:rPr>
        <w:t xml:space="preserve"> to record and report on the endorsed data indicators.</w:t>
      </w:r>
      <w:r w:rsidR="00652883" w:rsidRPr="00DF7116">
        <w:rPr>
          <w:rFonts w:ascii="Proxima Nova" w:hAnsi="Proxima Nova" w:cstheme="minorHAnsi"/>
          <w:sz w:val="22"/>
          <w:szCs w:val="22"/>
        </w:rPr>
        <w:t xml:space="preserve"> Tribunals commenced the data recording in 2016. Since then, the Australian Guardianship and Administration Council (AGAC) has released the ‘Australian Sterilisation Data Report’</w:t>
      </w:r>
      <w:r w:rsidR="005C6E05" w:rsidRPr="00DF7116">
        <w:rPr>
          <w:rStyle w:val="EndnoteReference"/>
          <w:rFonts w:ascii="Proxima Nova" w:hAnsi="Proxima Nova" w:cstheme="minorHAnsi"/>
          <w:sz w:val="22"/>
          <w:szCs w:val="22"/>
        </w:rPr>
        <w:endnoteReference w:id="141"/>
      </w:r>
      <w:r w:rsidR="00652883" w:rsidRPr="00DF7116">
        <w:rPr>
          <w:rFonts w:ascii="Proxima Nova" w:hAnsi="Proxima Nova" w:cstheme="minorHAnsi"/>
          <w:sz w:val="22"/>
          <w:szCs w:val="22"/>
        </w:rPr>
        <w:t xml:space="preserve"> each year. The ‘Report’ is in the form of a </w:t>
      </w:r>
      <w:r w:rsidR="00335AD1" w:rsidRPr="00DF7116">
        <w:rPr>
          <w:rFonts w:ascii="Proxima Nova" w:hAnsi="Proxima Nova" w:cstheme="minorHAnsi"/>
          <w:sz w:val="22"/>
          <w:szCs w:val="22"/>
        </w:rPr>
        <w:t>one-page</w:t>
      </w:r>
      <w:r w:rsidR="00652883" w:rsidRPr="00DF7116">
        <w:rPr>
          <w:rFonts w:ascii="Proxima Nova" w:hAnsi="Proxima Nova" w:cstheme="minorHAnsi"/>
          <w:sz w:val="22"/>
          <w:szCs w:val="22"/>
        </w:rPr>
        <w:t xml:space="preserve"> table listing the ‘number’ of tribunal and board-approved sterilisation of adults with cognitive impairment</w:t>
      </w:r>
      <w:r w:rsidR="002679F8" w:rsidRPr="00DF7116">
        <w:rPr>
          <w:rFonts w:ascii="Proxima Nova" w:hAnsi="Proxima Nova" w:cstheme="minorHAnsi"/>
          <w:sz w:val="22"/>
          <w:szCs w:val="22"/>
        </w:rPr>
        <w:t xml:space="preserve">, by jurisdiction, in each financial year. </w:t>
      </w:r>
      <w:r w:rsidR="000C7299" w:rsidRPr="00DF7116">
        <w:rPr>
          <w:rFonts w:ascii="Proxima Nova" w:hAnsi="Proxima Nova" w:cstheme="minorHAnsi"/>
          <w:sz w:val="22"/>
          <w:szCs w:val="22"/>
        </w:rPr>
        <w:t xml:space="preserve">It does not include </w:t>
      </w:r>
      <w:r w:rsidR="000C7299" w:rsidRPr="00DF7116">
        <w:rPr>
          <w:rFonts w:ascii="Proxima Nova" w:hAnsi="Proxima Nova"/>
          <w:sz w:val="22"/>
          <w:szCs w:val="22"/>
        </w:rPr>
        <w:t xml:space="preserve">applications and </w:t>
      </w:r>
      <w:r w:rsidR="000C7299" w:rsidRPr="00DF7116">
        <w:rPr>
          <w:rFonts w:ascii="Proxima Nova" w:hAnsi="Proxima Nova" w:cstheme="minorHAnsi"/>
          <w:sz w:val="22"/>
          <w:szCs w:val="22"/>
        </w:rPr>
        <w:t xml:space="preserve">approvals for sterilisation made by the Family Court. It </w:t>
      </w:r>
      <w:r w:rsidR="000A27A2" w:rsidRPr="00DF7116">
        <w:rPr>
          <w:rFonts w:ascii="Proxima Nova" w:hAnsi="Proxima Nova" w:cstheme="minorHAnsi"/>
          <w:sz w:val="22"/>
          <w:szCs w:val="22"/>
        </w:rPr>
        <w:t>remains</w:t>
      </w:r>
      <w:r w:rsidR="000C7299" w:rsidRPr="00DF7116">
        <w:rPr>
          <w:rFonts w:ascii="Proxima Nova" w:hAnsi="Proxima Nova" w:cstheme="minorHAnsi"/>
          <w:sz w:val="22"/>
          <w:szCs w:val="22"/>
        </w:rPr>
        <w:t xml:space="preserve"> unclear as to whether Tribunals are required to provide the data to be included in the </w:t>
      </w:r>
      <w:r w:rsidR="000A27A2" w:rsidRPr="00DF7116">
        <w:rPr>
          <w:rFonts w:ascii="Proxima Nova" w:hAnsi="Proxima Nova" w:cstheme="minorHAnsi"/>
          <w:sz w:val="22"/>
          <w:szCs w:val="22"/>
        </w:rPr>
        <w:t>‘</w:t>
      </w:r>
      <w:r w:rsidR="000C7299" w:rsidRPr="00DF7116">
        <w:rPr>
          <w:rFonts w:ascii="Proxima Nova" w:hAnsi="Proxima Nova" w:cstheme="minorHAnsi"/>
          <w:sz w:val="22"/>
          <w:szCs w:val="22"/>
        </w:rPr>
        <w:t xml:space="preserve">Australian Sterilisation Data Report’, or whether this is a voluntary process. The Final Report of the ‘sterilisation data collection practices’ national Project, </w:t>
      </w:r>
      <w:r w:rsidR="00EE3CCA" w:rsidRPr="00DF7116">
        <w:rPr>
          <w:rFonts w:ascii="Proxima Nova" w:hAnsi="Proxima Nova" w:cstheme="minorHAnsi"/>
          <w:sz w:val="22"/>
          <w:szCs w:val="22"/>
        </w:rPr>
        <w:t>stated that:</w:t>
      </w:r>
    </w:p>
    <w:p w14:paraId="56007EEF" w14:textId="6C127635" w:rsidR="00EE3CCA" w:rsidRPr="00DF7116" w:rsidRDefault="00EE3CCA" w:rsidP="00DF7116">
      <w:pPr>
        <w:pStyle w:val="BodyText"/>
        <w:spacing w:line="276" w:lineRule="auto"/>
        <w:rPr>
          <w:rFonts w:ascii="Proxima Nova" w:hAnsi="Proxima Nova" w:cstheme="minorHAnsi"/>
          <w:sz w:val="22"/>
          <w:szCs w:val="22"/>
        </w:rPr>
      </w:pPr>
    </w:p>
    <w:p w14:paraId="1B4DB1DD" w14:textId="0DB905FE" w:rsidR="00EE3CCA" w:rsidRPr="00DF7116" w:rsidRDefault="00EE3CCA" w:rsidP="00DF7116">
      <w:pPr>
        <w:pStyle w:val="BodyText"/>
        <w:spacing w:line="276" w:lineRule="auto"/>
        <w:ind w:left="1134"/>
        <w:rPr>
          <w:rFonts w:ascii="Proxima Nova" w:hAnsi="Proxima Nova" w:cstheme="minorHAnsi"/>
          <w:sz w:val="22"/>
          <w:szCs w:val="22"/>
        </w:rPr>
      </w:pPr>
      <w:r w:rsidRPr="00DF7116">
        <w:rPr>
          <w:rFonts w:ascii="Proxima Nova" w:hAnsi="Proxima Nova" w:cstheme="minorHAnsi"/>
          <w:i/>
          <w:iCs/>
          <w:sz w:val="22"/>
          <w:szCs w:val="22"/>
        </w:rPr>
        <w:t>Questions remain around how and when the Federal Attorney-General’s Department expects Tribunals to record and report on data and the authority for issuing any requirement to collect data, as well as who will be responsible for data collection and analysis.</w:t>
      </w:r>
      <w:r w:rsidR="005C6E05" w:rsidRPr="00DF7116">
        <w:rPr>
          <w:rStyle w:val="EndnoteReference"/>
          <w:rFonts w:ascii="Proxima Nova" w:hAnsi="Proxima Nova" w:cstheme="minorHAnsi"/>
          <w:sz w:val="22"/>
          <w:szCs w:val="22"/>
        </w:rPr>
        <w:endnoteReference w:id="142"/>
      </w:r>
    </w:p>
    <w:p w14:paraId="495CD43D" w14:textId="09470E97" w:rsidR="00652883" w:rsidRPr="00DF7116" w:rsidRDefault="00652883" w:rsidP="00DF7116">
      <w:pPr>
        <w:pStyle w:val="BodyText"/>
        <w:spacing w:line="276" w:lineRule="auto"/>
        <w:rPr>
          <w:rFonts w:ascii="Proxima Nova" w:hAnsi="Proxima Nova" w:cstheme="minorHAnsi"/>
          <w:sz w:val="22"/>
          <w:szCs w:val="22"/>
        </w:rPr>
      </w:pPr>
    </w:p>
    <w:p w14:paraId="1D2BAA2B" w14:textId="3E6BD5CD" w:rsidR="00D54A09" w:rsidRPr="00DF7116" w:rsidRDefault="000A27A2"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Whilst there are obvious and clear limitations in the ‘Australian Sterilisation Data Report’</w:t>
      </w:r>
      <w:r w:rsidR="00573F56" w:rsidRPr="00DF7116">
        <w:rPr>
          <w:rFonts w:ascii="Proxima Nova" w:hAnsi="Proxima Nova" w:cstheme="minorHAnsi"/>
          <w:sz w:val="22"/>
          <w:szCs w:val="22"/>
        </w:rPr>
        <w:t xml:space="preserve"> (including that it applies only to adults with cognitive impairment and it only counts decisions made by guardianship tribunals)</w:t>
      </w:r>
      <w:r w:rsidRPr="00DF7116">
        <w:rPr>
          <w:rFonts w:ascii="Proxima Nova" w:hAnsi="Proxima Nova" w:cstheme="minorHAnsi"/>
          <w:sz w:val="22"/>
          <w:szCs w:val="22"/>
        </w:rPr>
        <w:t xml:space="preserve">, the data provided by </w:t>
      </w:r>
      <w:r w:rsidR="00132921" w:rsidRPr="00DF7116">
        <w:rPr>
          <w:rFonts w:ascii="Proxima Nova" w:hAnsi="Proxima Nova" w:cstheme="minorHAnsi"/>
          <w:sz w:val="22"/>
          <w:szCs w:val="22"/>
        </w:rPr>
        <w:t xml:space="preserve">State and Territory </w:t>
      </w:r>
      <w:r w:rsidRPr="00DF7116">
        <w:rPr>
          <w:rFonts w:ascii="Proxima Nova" w:hAnsi="Proxima Nova" w:cstheme="minorHAnsi"/>
          <w:sz w:val="22"/>
          <w:szCs w:val="22"/>
        </w:rPr>
        <w:t xml:space="preserve">Tribunals between </w:t>
      </w:r>
      <w:r w:rsidR="00D54A09" w:rsidRPr="00DF7116">
        <w:rPr>
          <w:rFonts w:ascii="Proxima Nova" w:hAnsi="Proxima Nova" w:cstheme="minorHAnsi"/>
          <w:sz w:val="22"/>
          <w:szCs w:val="22"/>
        </w:rPr>
        <w:t xml:space="preserve">June </w:t>
      </w:r>
      <w:r w:rsidRPr="00DF7116">
        <w:rPr>
          <w:rFonts w:ascii="Proxima Nova" w:hAnsi="Proxima Nova" w:cstheme="minorHAnsi"/>
          <w:sz w:val="22"/>
          <w:szCs w:val="22"/>
        </w:rPr>
        <w:t>2016-</w:t>
      </w:r>
      <w:r w:rsidR="00D54A09" w:rsidRPr="00DF7116">
        <w:rPr>
          <w:rFonts w:ascii="Proxima Nova" w:hAnsi="Proxima Nova" w:cstheme="minorHAnsi"/>
          <w:sz w:val="22"/>
          <w:szCs w:val="22"/>
        </w:rPr>
        <w:t xml:space="preserve">June 2020, show that </w:t>
      </w:r>
      <w:r w:rsidR="00D54A09" w:rsidRPr="00DF7116">
        <w:rPr>
          <w:rFonts w:ascii="Proxima Nova" w:hAnsi="Proxima Nova" w:cstheme="minorHAnsi"/>
          <w:b/>
          <w:bCs/>
          <w:sz w:val="22"/>
          <w:szCs w:val="22"/>
        </w:rPr>
        <w:t>31</w:t>
      </w:r>
      <w:r w:rsidR="00D54A09" w:rsidRPr="00DF7116">
        <w:rPr>
          <w:rFonts w:ascii="Proxima Nova" w:hAnsi="Proxima Nova" w:cstheme="minorHAnsi"/>
          <w:sz w:val="22"/>
          <w:szCs w:val="22"/>
        </w:rPr>
        <w:t xml:space="preserve"> applications for </w:t>
      </w:r>
      <w:r w:rsidR="00D54A09" w:rsidRPr="00DF7116">
        <w:rPr>
          <w:rFonts w:ascii="Proxima Nova" w:hAnsi="Proxima Nova"/>
          <w:sz w:val="22"/>
          <w:szCs w:val="22"/>
        </w:rPr>
        <w:t xml:space="preserve">sterilisation of adults with cognitive impairment were </w:t>
      </w:r>
      <w:r w:rsidR="00D54A09" w:rsidRPr="00DF7116">
        <w:rPr>
          <w:rFonts w:ascii="Proxima Nova" w:hAnsi="Proxima Nova"/>
          <w:b/>
          <w:bCs/>
          <w:sz w:val="22"/>
          <w:szCs w:val="22"/>
        </w:rPr>
        <w:t>approved</w:t>
      </w:r>
      <w:r w:rsidR="00D54A09" w:rsidRPr="00DF7116">
        <w:rPr>
          <w:rFonts w:ascii="Proxima Nova" w:hAnsi="Proxima Nova"/>
          <w:sz w:val="22"/>
          <w:szCs w:val="22"/>
        </w:rPr>
        <w:t xml:space="preserve">. </w:t>
      </w:r>
      <w:r w:rsidR="00132921" w:rsidRPr="00DF7116">
        <w:rPr>
          <w:rFonts w:ascii="Proxima Nova" w:hAnsi="Proxima Nova" w:cstheme="minorHAnsi"/>
          <w:sz w:val="22"/>
          <w:szCs w:val="22"/>
        </w:rPr>
        <w:t xml:space="preserve">This figure is likely to be significantly higher. The 31 </w:t>
      </w:r>
      <w:r w:rsidR="001C5655" w:rsidRPr="00DF7116">
        <w:rPr>
          <w:rFonts w:ascii="Proxima Nova" w:hAnsi="Proxima Nova" w:cstheme="minorHAnsi"/>
          <w:sz w:val="22"/>
          <w:szCs w:val="22"/>
        </w:rPr>
        <w:t>‘</w:t>
      </w:r>
      <w:r w:rsidR="00132921" w:rsidRPr="00DF7116">
        <w:rPr>
          <w:rFonts w:ascii="Proxima Nova" w:hAnsi="Proxima Nova" w:cstheme="minorHAnsi"/>
          <w:sz w:val="22"/>
          <w:szCs w:val="22"/>
        </w:rPr>
        <w:t xml:space="preserve">recorded approvals’ relate only to ‘adults </w:t>
      </w:r>
      <w:r w:rsidR="00132921" w:rsidRPr="00DF7116">
        <w:rPr>
          <w:rFonts w:ascii="Proxima Nova" w:hAnsi="Proxima Nova"/>
          <w:sz w:val="22"/>
          <w:szCs w:val="22"/>
        </w:rPr>
        <w:t xml:space="preserve">with cognitive impairment’. The </w:t>
      </w:r>
      <w:r w:rsidR="00132921" w:rsidRPr="00DF7116">
        <w:rPr>
          <w:rFonts w:ascii="Proxima Nova" w:hAnsi="Proxima Nova" w:cstheme="minorHAnsi"/>
          <w:sz w:val="22"/>
          <w:szCs w:val="22"/>
        </w:rPr>
        <w:t>‘Australian Sterilisation Data Report’ does not include any data related to children. In addition, as re-iterated in the Final Report of the ‘sterilisation data collection practices’ National Project:</w:t>
      </w:r>
    </w:p>
    <w:p w14:paraId="514C151F" w14:textId="6ED32EA2" w:rsidR="00132921" w:rsidRPr="00DF7116" w:rsidRDefault="00132921" w:rsidP="00DF7116">
      <w:pPr>
        <w:pStyle w:val="BodyText"/>
        <w:spacing w:line="276" w:lineRule="auto"/>
        <w:rPr>
          <w:rFonts w:ascii="Proxima Nova" w:hAnsi="Proxima Nova" w:cstheme="minorHAnsi"/>
          <w:sz w:val="22"/>
          <w:szCs w:val="22"/>
        </w:rPr>
      </w:pPr>
    </w:p>
    <w:p w14:paraId="1173659B" w14:textId="605947D2" w:rsidR="00132921" w:rsidRPr="00DF7116" w:rsidRDefault="00132921" w:rsidP="00DF7116">
      <w:pPr>
        <w:pStyle w:val="BodyText"/>
        <w:spacing w:line="276" w:lineRule="auto"/>
        <w:ind w:left="1134"/>
        <w:rPr>
          <w:rFonts w:ascii="Proxima Nova" w:hAnsi="Proxima Nova"/>
          <w:sz w:val="22"/>
          <w:szCs w:val="22"/>
        </w:rPr>
      </w:pPr>
      <w:r w:rsidRPr="00DF7116">
        <w:rPr>
          <w:rFonts w:ascii="Proxima Nova" w:hAnsi="Proxima Nova" w:cstheme="minorHAnsi"/>
          <w:i/>
          <w:iCs/>
          <w:sz w:val="22"/>
          <w:szCs w:val="22"/>
        </w:rPr>
        <w:t xml:space="preserve">[We] </w:t>
      </w:r>
      <w:r w:rsidRPr="00DF7116">
        <w:rPr>
          <w:rFonts w:ascii="Proxima Nova" w:hAnsi="Proxima Nova"/>
          <w:i/>
          <w:iCs/>
          <w:sz w:val="22"/>
          <w:szCs w:val="22"/>
        </w:rPr>
        <w:t>acknowledge the reality that involuntary and forced sterilisation of people with disability, particularly woman and children, still occurs outside of lawful authorisation processes, which likely constitutes a violation of the person’s human rights.</w:t>
      </w:r>
      <w:r w:rsidR="005C6E05" w:rsidRPr="00DF7116">
        <w:rPr>
          <w:rStyle w:val="EndnoteReference"/>
          <w:rFonts w:ascii="Proxima Nova" w:hAnsi="Proxima Nova" w:cstheme="minorHAnsi"/>
          <w:sz w:val="22"/>
          <w:szCs w:val="22"/>
        </w:rPr>
        <w:endnoteReference w:id="143"/>
      </w:r>
    </w:p>
    <w:p w14:paraId="36B0FE07" w14:textId="58253834" w:rsidR="00132921" w:rsidRPr="00DF7116" w:rsidRDefault="00132921" w:rsidP="00DF7116">
      <w:pPr>
        <w:pStyle w:val="BodyText"/>
        <w:spacing w:line="276" w:lineRule="auto"/>
        <w:rPr>
          <w:rFonts w:ascii="Proxima Nova" w:hAnsi="Proxima Nova" w:cstheme="minorHAnsi"/>
          <w:sz w:val="22"/>
          <w:szCs w:val="22"/>
        </w:rPr>
      </w:pPr>
    </w:p>
    <w:p w14:paraId="45611852" w14:textId="24E4B65F" w:rsidR="00D54A09" w:rsidRPr="00DF7116" w:rsidRDefault="0062792C" w:rsidP="00DF7116">
      <w:pPr>
        <w:pStyle w:val="BodyText"/>
        <w:spacing w:line="276" w:lineRule="auto"/>
        <w:ind w:left="720"/>
        <w:rPr>
          <w:rFonts w:ascii="Proxima Nova" w:hAnsi="Proxima Nova" w:cstheme="minorHAnsi"/>
          <w:sz w:val="22"/>
          <w:szCs w:val="22"/>
        </w:rPr>
      </w:pPr>
      <w:r w:rsidRPr="00DF7116">
        <w:rPr>
          <w:rFonts w:ascii="Proxima Nova" w:hAnsi="Proxima Nova" w:cstheme="minorHAnsi"/>
          <w:sz w:val="22"/>
          <w:szCs w:val="22"/>
        </w:rPr>
        <w:t xml:space="preserve">AGAC </w:t>
      </w:r>
      <w:r w:rsidR="00CA064D" w:rsidRPr="00DF7116">
        <w:rPr>
          <w:rFonts w:ascii="Proxima Nova" w:hAnsi="Proxima Nova" w:cstheme="minorHAnsi"/>
          <w:sz w:val="22"/>
          <w:szCs w:val="22"/>
        </w:rPr>
        <w:t xml:space="preserve">has, itself, acknowledged that the </w:t>
      </w:r>
      <w:r w:rsidR="00573F56" w:rsidRPr="00DF7116">
        <w:rPr>
          <w:rFonts w:ascii="Proxima Nova" w:hAnsi="Proxima Nova" w:cstheme="minorHAnsi"/>
          <w:sz w:val="22"/>
          <w:szCs w:val="22"/>
        </w:rPr>
        <w:t>‘</w:t>
      </w:r>
      <w:r w:rsidR="00CA064D" w:rsidRPr="00DF7116">
        <w:rPr>
          <w:rFonts w:ascii="Proxima Nova" w:hAnsi="Proxima Nova" w:cstheme="minorHAnsi"/>
          <w:i/>
          <w:sz w:val="22"/>
          <w:szCs w:val="22"/>
        </w:rPr>
        <w:t>reporting of forced sterilisation is not considered robust</w:t>
      </w:r>
      <w:r w:rsidR="00573F56" w:rsidRPr="00DF7116">
        <w:rPr>
          <w:rFonts w:ascii="Proxima Nova" w:hAnsi="Proxima Nova" w:cstheme="minorHAnsi"/>
          <w:sz w:val="22"/>
          <w:szCs w:val="22"/>
        </w:rPr>
        <w:t>’</w:t>
      </w:r>
      <w:r w:rsidR="00CA064D" w:rsidRPr="00DF7116">
        <w:rPr>
          <w:rFonts w:ascii="Proxima Nova" w:hAnsi="Proxima Nova" w:cstheme="minorHAnsi"/>
          <w:sz w:val="22"/>
          <w:szCs w:val="22"/>
        </w:rPr>
        <w:t>.</w:t>
      </w:r>
      <w:r w:rsidR="00CA064D" w:rsidRPr="00DF7116">
        <w:rPr>
          <w:rStyle w:val="EndnoteReference"/>
          <w:rFonts w:ascii="Proxima Nova" w:hAnsi="Proxima Nova" w:cstheme="minorHAnsi"/>
          <w:sz w:val="22"/>
          <w:szCs w:val="22"/>
        </w:rPr>
        <w:endnoteReference w:id="144"/>
      </w:r>
      <w:r w:rsidR="00CA064D" w:rsidRPr="00DF7116">
        <w:rPr>
          <w:rFonts w:ascii="Proxima Nova" w:hAnsi="Proxima Nova" w:cstheme="minorHAnsi"/>
          <w:sz w:val="22"/>
          <w:szCs w:val="22"/>
        </w:rPr>
        <w:t xml:space="preserve"> </w:t>
      </w:r>
      <w:r w:rsidR="00754EBE" w:rsidRPr="00DF7116">
        <w:rPr>
          <w:rFonts w:ascii="Proxima Nova" w:hAnsi="Proxima Nova"/>
          <w:sz w:val="22"/>
          <w:szCs w:val="22"/>
        </w:rPr>
        <w:t xml:space="preserve">The </w:t>
      </w:r>
      <w:r w:rsidR="00754EBE" w:rsidRPr="00DF7116">
        <w:rPr>
          <w:rFonts w:ascii="Proxima Nova" w:hAnsi="Proxima Nova" w:cstheme="minorHAnsi"/>
          <w:sz w:val="22"/>
          <w:szCs w:val="22"/>
        </w:rPr>
        <w:t xml:space="preserve">‘Australian Sterilisation Data Report’ does not address the key Recommendation made by the Community Affairs References Committee in its Final Report of the </w:t>
      </w:r>
      <w:r w:rsidR="00153365" w:rsidRPr="00DF7116">
        <w:rPr>
          <w:rFonts w:ascii="Proxima Nova" w:hAnsi="Proxima Nova" w:cstheme="minorHAnsi"/>
          <w:sz w:val="22"/>
          <w:szCs w:val="22"/>
        </w:rPr>
        <w:t xml:space="preserve">Senate Sterilisation </w:t>
      </w:r>
      <w:r w:rsidR="00754EBE" w:rsidRPr="00DF7116">
        <w:rPr>
          <w:rFonts w:ascii="Proxima Nova" w:hAnsi="Proxima Nova" w:cstheme="minorHAnsi"/>
          <w:sz w:val="22"/>
          <w:szCs w:val="22"/>
        </w:rPr>
        <w:t>Inquiry:</w:t>
      </w:r>
    </w:p>
    <w:p w14:paraId="3BDD1EA6" w14:textId="77777777" w:rsidR="00D54A09" w:rsidRPr="00DF7116" w:rsidRDefault="00D54A09" w:rsidP="00DF7116">
      <w:pPr>
        <w:pStyle w:val="BodyText"/>
        <w:spacing w:line="276" w:lineRule="auto"/>
        <w:rPr>
          <w:rFonts w:ascii="Proxima Nova" w:hAnsi="Proxima Nova" w:cstheme="minorHAnsi"/>
          <w:sz w:val="22"/>
          <w:szCs w:val="22"/>
        </w:rPr>
      </w:pPr>
    </w:p>
    <w:p w14:paraId="11C64A7E" w14:textId="0FFECDBB" w:rsidR="00754EBE" w:rsidRPr="00DF7116" w:rsidRDefault="00754EBE" w:rsidP="00DF7116">
      <w:pPr>
        <w:pStyle w:val="NormalWeb"/>
        <w:spacing w:before="0" w:beforeAutospacing="0" w:after="0" w:afterAutospacing="0" w:line="276" w:lineRule="auto"/>
        <w:ind w:left="1134"/>
        <w:rPr>
          <w:rFonts w:ascii="Proxima Nova" w:hAnsi="Proxima Nova"/>
          <w:sz w:val="22"/>
          <w:szCs w:val="22"/>
        </w:rPr>
      </w:pPr>
      <w:r w:rsidRPr="00DF7116">
        <w:rPr>
          <w:rFonts w:ascii="Proxima Nova" w:hAnsi="Proxima Nova"/>
          <w:i/>
          <w:iCs/>
          <w:sz w:val="22"/>
          <w:szCs w:val="22"/>
        </w:rPr>
        <w:t>The Committee recommends that data about adult and child sterilisation cases be recorded, and reported, in the same way in each jurisdiction. Data records should include the number of applications made for a special medical procedure, the kind of special medical procedures specified in the application, the categories of parties to the proceedings (for example, parents,</w:t>
      </w:r>
      <w:r w:rsidR="0062792C" w:rsidRPr="00DF7116">
        <w:rPr>
          <w:rFonts w:ascii="Proxima Nova" w:hAnsi="Proxima Nova"/>
          <w:i/>
          <w:iCs/>
          <w:sz w:val="22"/>
          <w:szCs w:val="22"/>
        </w:rPr>
        <w:t xml:space="preserve"> </w:t>
      </w:r>
      <w:r w:rsidRPr="00DF7116">
        <w:rPr>
          <w:rFonts w:ascii="Proxima Nova" w:hAnsi="Proxima Nova"/>
          <w:i/>
          <w:iCs/>
          <w:sz w:val="22"/>
          <w:szCs w:val="22"/>
        </w:rPr>
        <w:t>medical experts, public advocates), and the outcome of the case.</w:t>
      </w:r>
      <w:r w:rsidRPr="00DF7116">
        <w:rPr>
          <w:rStyle w:val="EndnoteReference"/>
          <w:rFonts w:ascii="Proxima Nova" w:hAnsi="Proxima Nova" w:cstheme="minorHAnsi"/>
          <w:sz w:val="22"/>
          <w:szCs w:val="22"/>
        </w:rPr>
        <w:endnoteReference w:id="145"/>
      </w:r>
    </w:p>
    <w:p w14:paraId="406EFC42" w14:textId="77777777" w:rsidR="00787649" w:rsidRPr="00DF7116" w:rsidRDefault="00787649" w:rsidP="00DF7116">
      <w:pPr>
        <w:pStyle w:val="BodyText"/>
        <w:spacing w:line="276" w:lineRule="auto"/>
        <w:ind w:left="0"/>
        <w:rPr>
          <w:rFonts w:ascii="Proxima Nova" w:hAnsi="Proxima Nova" w:cstheme="minorHAnsi"/>
          <w:sz w:val="22"/>
          <w:szCs w:val="22"/>
        </w:rPr>
      </w:pPr>
    </w:p>
    <w:p w14:paraId="5BC52769" w14:textId="4A957ED8" w:rsidR="00C70A45" w:rsidRPr="00DF7116" w:rsidRDefault="00C70A45"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lastRenderedPageBreak/>
        <w:t>There are</w:t>
      </w:r>
      <w:r w:rsidR="009202DC" w:rsidRPr="00DF7116">
        <w:rPr>
          <w:rFonts w:ascii="Proxima Nova" w:hAnsi="Proxima Nova" w:cstheme="minorHAnsi"/>
          <w:sz w:val="22"/>
          <w:szCs w:val="22"/>
        </w:rPr>
        <w:t xml:space="preserve"> numerous impacts of sterilisation on women and girls with disability, although the full range and extent of these is unknown due to a lack of research:</w:t>
      </w:r>
    </w:p>
    <w:p w14:paraId="0AA13A49" w14:textId="77777777" w:rsidR="00C70A45" w:rsidRPr="00DF7116" w:rsidRDefault="00C70A45" w:rsidP="00DF7116">
      <w:pPr>
        <w:pStyle w:val="BodyText"/>
        <w:spacing w:line="276" w:lineRule="auto"/>
        <w:rPr>
          <w:rFonts w:ascii="Proxima Nova" w:hAnsi="Proxima Nova" w:cstheme="minorHAnsi"/>
          <w:sz w:val="22"/>
          <w:szCs w:val="22"/>
        </w:rPr>
      </w:pPr>
    </w:p>
    <w:p w14:paraId="3DACB5D5" w14:textId="77777777" w:rsidR="009202DC" w:rsidRPr="00DF7116" w:rsidRDefault="00C70A45" w:rsidP="00DF7116">
      <w:pPr>
        <w:pStyle w:val="BodyText"/>
        <w:spacing w:line="276" w:lineRule="auto"/>
        <w:ind w:left="1134"/>
        <w:rPr>
          <w:rFonts w:ascii="Proxima Nova" w:hAnsi="Proxima Nova" w:cstheme="minorHAnsi"/>
          <w:i/>
          <w:iCs/>
          <w:sz w:val="22"/>
          <w:szCs w:val="22"/>
        </w:rPr>
      </w:pPr>
      <w:r w:rsidRPr="00DF7116">
        <w:rPr>
          <w:rFonts w:ascii="Proxima Nova" w:hAnsi="Proxima Nova" w:cstheme="minorHAnsi"/>
          <w:i/>
          <w:iCs/>
          <w:sz w:val="22"/>
          <w:szCs w:val="22"/>
        </w:rPr>
        <w:t xml:space="preserve">Forced sterilisation permanently robs women of their reproductive capacity, violates their physical integrity and bodily autonomy, and leads to profound and long-term physical and psychological effects, </w:t>
      </w:r>
      <w:proofErr w:type="gramStart"/>
      <w:r w:rsidRPr="00DF7116">
        <w:rPr>
          <w:rFonts w:ascii="Proxima Nova" w:hAnsi="Proxima Nova" w:cstheme="minorHAnsi"/>
          <w:i/>
          <w:iCs/>
          <w:sz w:val="22"/>
          <w:szCs w:val="22"/>
        </w:rPr>
        <w:t>including:</w:t>
      </w:r>
      <w:proofErr w:type="gramEnd"/>
      <w:r w:rsidRPr="00DF7116">
        <w:rPr>
          <w:rFonts w:ascii="Proxima Nova" w:hAnsi="Proxima Nova" w:cstheme="minorHAnsi"/>
          <w:i/>
          <w:iCs/>
          <w:sz w:val="22"/>
          <w:szCs w:val="22"/>
        </w:rPr>
        <w:t xml:space="preserve"> psychological pain, suffering, lifelong grief and </w:t>
      </w:r>
      <w:r w:rsidRPr="00DF7116">
        <w:rPr>
          <w:rStyle w:val="highlight"/>
          <w:rFonts w:ascii="Proxima Nova" w:hAnsi="Proxima Nova" w:cstheme="minorHAnsi"/>
          <w:i/>
          <w:iCs/>
          <w:sz w:val="22"/>
          <w:szCs w:val="22"/>
        </w:rPr>
        <w:t>trauma</w:t>
      </w:r>
      <w:r w:rsidRPr="00DF7116">
        <w:rPr>
          <w:rFonts w:ascii="Proxima Nova" w:hAnsi="Proxima Nova" w:cstheme="minorHAnsi"/>
          <w:i/>
          <w:iCs/>
          <w:sz w:val="22"/>
          <w:szCs w:val="22"/>
        </w:rPr>
        <w:t xml:space="preserve">, extreme social isolation, family discord or breakdown, fear of medical professionals, social stigma, and shame. </w:t>
      </w:r>
    </w:p>
    <w:p w14:paraId="01F6378A" w14:textId="77777777" w:rsidR="009202DC" w:rsidRPr="00DF7116" w:rsidRDefault="009202DC" w:rsidP="00DF7116">
      <w:pPr>
        <w:pStyle w:val="BodyText"/>
        <w:spacing w:line="276" w:lineRule="auto"/>
        <w:ind w:left="1134"/>
        <w:rPr>
          <w:rFonts w:ascii="Proxima Nova" w:hAnsi="Proxima Nova" w:cstheme="minorHAnsi"/>
          <w:i/>
          <w:iCs/>
          <w:sz w:val="22"/>
          <w:szCs w:val="22"/>
        </w:rPr>
      </w:pPr>
    </w:p>
    <w:p w14:paraId="6D80CB4D" w14:textId="78DB8026" w:rsidR="00C70A45" w:rsidRPr="00DF7116" w:rsidRDefault="00C70A45" w:rsidP="00DF7116">
      <w:pPr>
        <w:pStyle w:val="BodyText"/>
        <w:spacing w:line="276" w:lineRule="auto"/>
        <w:ind w:left="1134"/>
        <w:rPr>
          <w:rFonts w:ascii="Proxima Nova" w:hAnsi="Proxima Nova" w:cstheme="minorHAnsi"/>
          <w:sz w:val="22"/>
          <w:szCs w:val="22"/>
        </w:rPr>
      </w:pPr>
      <w:r w:rsidRPr="00DF7116">
        <w:rPr>
          <w:rFonts w:ascii="Proxima Nova" w:hAnsi="Proxima Nova" w:cstheme="minorHAnsi"/>
          <w:i/>
          <w:iCs/>
          <w:sz w:val="22"/>
          <w:szCs w:val="22"/>
        </w:rPr>
        <w:t>The long-term consequences of forced and coerced sterilisation practices commonly used on women and girls with disability remain under-researched. There are very few research studies, including longitudinal studies that investigate the physical, psychological, sexual and other social impacts of these procedures for women and girls with disability.</w:t>
      </w:r>
      <w:r w:rsidRPr="00DF7116">
        <w:rPr>
          <w:rStyle w:val="EndnoteReference"/>
          <w:rFonts w:ascii="Proxima Nova" w:hAnsi="Proxima Nova" w:cstheme="minorHAnsi"/>
          <w:sz w:val="22"/>
          <w:szCs w:val="22"/>
        </w:rPr>
        <w:endnoteReference w:id="146"/>
      </w:r>
      <w:r w:rsidRPr="00DF7116">
        <w:rPr>
          <w:rFonts w:ascii="Proxima Nova" w:hAnsi="Proxima Nova" w:cstheme="minorHAnsi"/>
          <w:sz w:val="22"/>
          <w:szCs w:val="22"/>
        </w:rPr>
        <w:t xml:space="preserve"> </w:t>
      </w:r>
    </w:p>
    <w:p w14:paraId="5344960F" w14:textId="77777777" w:rsidR="009202DC" w:rsidRPr="00DF7116" w:rsidRDefault="009202DC" w:rsidP="00DF7116">
      <w:pPr>
        <w:pStyle w:val="BodyText"/>
        <w:spacing w:line="276" w:lineRule="auto"/>
        <w:rPr>
          <w:rFonts w:ascii="Proxima Nova" w:hAnsi="Proxima Nova" w:cstheme="minorHAnsi"/>
          <w:sz w:val="22"/>
          <w:szCs w:val="22"/>
        </w:rPr>
      </w:pPr>
    </w:p>
    <w:p w14:paraId="788E654F" w14:textId="0A335F17" w:rsidR="009202DC" w:rsidRPr="00DF7116" w:rsidRDefault="009202DC"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Sterilisation m</w:t>
      </w:r>
      <w:r w:rsidR="00712CA7" w:rsidRPr="00DF7116">
        <w:rPr>
          <w:rFonts w:ascii="Proxima Nova" w:hAnsi="Proxima Nova" w:cstheme="minorHAnsi"/>
          <w:sz w:val="22"/>
          <w:szCs w:val="22"/>
        </w:rPr>
        <w:t>ay</w:t>
      </w:r>
      <w:r w:rsidRPr="00DF7116">
        <w:rPr>
          <w:rFonts w:ascii="Proxima Nova" w:hAnsi="Proxima Nova" w:cstheme="minorHAnsi"/>
          <w:sz w:val="22"/>
          <w:szCs w:val="22"/>
        </w:rPr>
        <w:t xml:space="preserve"> also lead to certain gynaecological cancers</w:t>
      </w:r>
      <w:r w:rsidR="00712CA7" w:rsidRPr="00DF7116">
        <w:rPr>
          <w:rFonts w:ascii="Proxima Nova" w:hAnsi="Proxima Nova" w:cstheme="minorHAnsi"/>
          <w:sz w:val="22"/>
          <w:szCs w:val="22"/>
        </w:rPr>
        <w:t>,</w:t>
      </w:r>
      <w:r w:rsidR="00CC6C73" w:rsidRPr="00DF7116">
        <w:rPr>
          <w:rStyle w:val="EndnoteReference"/>
          <w:rFonts w:ascii="Proxima Nova" w:hAnsi="Proxima Nova" w:cstheme="minorHAnsi"/>
          <w:sz w:val="22"/>
          <w:szCs w:val="22"/>
        </w:rPr>
        <w:endnoteReference w:id="147"/>
      </w:r>
      <w:r w:rsidR="00CC6C73" w:rsidRPr="00DF7116">
        <w:rPr>
          <w:rFonts w:ascii="Proxima Nova" w:hAnsi="Proxima Nova" w:cstheme="minorHAnsi"/>
          <w:sz w:val="22"/>
          <w:szCs w:val="22"/>
        </w:rPr>
        <w:t xml:space="preserve"> </w:t>
      </w:r>
      <w:r w:rsidR="00712CA7" w:rsidRPr="00DF7116">
        <w:rPr>
          <w:rFonts w:ascii="Proxima Nova" w:hAnsi="Proxima Nova" w:cstheme="minorHAnsi"/>
          <w:sz w:val="22"/>
          <w:szCs w:val="22"/>
        </w:rPr>
        <w:t>however there remains a dearth of research in this area.</w:t>
      </w:r>
      <w:r w:rsidR="00CC6C73" w:rsidRPr="00DF7116">
        <w:rPr>
          <w:rFonts w:ascii="Proxima Nova" w:hAnsi="Proxima Nova" w:cstheme="minorHAnsi"/>
          <w:sz w:val="22"/>
          <w:szCs w:val="22"/>
        </w:rPr>
        <w:t xml:space="preserve"> </w:t>
      </w:r>
    </w:p>
    <w:p w14:paraId="0B4D0484" w14:textId="77777777" w:rsidR="009202DC" w:rsidRPr="00DF7116" w:rsidRDefault="009202DC" w:rsidP="00DF7116">
      <w:pPr>
        <w:pStyle w:val="BodyText"/>
        <w:spacing w:line="276" w:lineRule="auto"/>
        <w:ind w:left="0"/>
        <w:rPr>
          <w:rFonts w:ascii="Proxima Nova" w:hAnsi="Proxima Nova" w:cstheme="minorHAnsi"/>
          <w:sz w:val="22"/>
          <w:szCs w:val="22"/>
        </w:rPr>
      </w:pPr>
    </w:p>
    <w:p w14:paraId="534B9964" w14:textId="380870C5" w:rsidR="009202DC" w:rsidRPr="00DF7116" w:rsidRDefault="00A51B03"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 xml:space="preserve">Restrictive practices also take the form of </w:t>
      </w:r>
      <w:r w:rsidR="005943CB" w:rsidRPr="00DF7116">
        <w:rPr>
          <w:rFonts w:ascii="Proxima Nova" w:hAnsi="Proxima Nova" w:cstheme="minorHAnsi"/>
          <w:sz w:val="22"/>
          <w:szCs w:val="22"/>
        </w:rPr>
        <w:t>menstrual suppression and contracepti</w:t>
      </w:r>
      <w:r w:rsidR="002326E1" w:rsidRPr="00DF7116">
        <w:rPr>
          <w:rFonts w:ascii="Proxima Nova" w:hAnsi="Proxima Nova" w:cstheme="minorHAnsi"/>
          <w:sz w:val="22"/>
          <w:szCs w:val="22"/>
        </w:rPr>
        <w:t xml:space="preserve">ve </w:t>
      </w:r>
      <w:r w:rsidR="005943CB" w:rsidRPr="00DF7116">
        <w:rPr>
          <w:rFonts w:ascii="Proxima Nova" w:hAnsi="Proxima Nova" w:cstheme="minorHAnsi"/>
          <w:sz w:val="22"/>
          <w:szCs w:val="22"/>
        </w:rPr>
        <w:t>known collectively as ‘</w:t>
      </w:r>
      <w:proofErr w:type="gramStart"/>
      <w:r w:rsidR="005943CB" w:rsidRPr="00DF7116">
        <w:rPr>
          <w:rFonts w:ascii="Proxima Nova" w:hAnsi="Proxima Nova" w:cstheme="minorHAnsi"/>
          <w:sz w:val="22"/>
          <w:szCs w:val="22"/>
        </w:rPr>
        <w:t>long acting</w:t>
      </w:r>
      <w:proofErr w:type="gramEnd"/>
      <w:r w:rsidR="005943CB" w:rsidRPr="00DF7116">
        <w:rPr>
          <w:rFonts w:ascii="Proxima Nova" w:hAnsi="Proxima Nova" w:cstheme="minorHAnsi"/>
          <w:sz w:val="22"/>
          <w:szCs w:val="22"/>
        </w:rPr>
        <w:t xml:space="preserve"> reversible contraception’ (LARC). </w:t>
      </w:r>
      <w:r w:rsidR="00823FE8" w:rsidRPr="00DF7116">
        <w:rPr>
          <w:rFonts w:ascii="Proxima Nova" w:hAnsi="Proxima Nova" w:cstheme="minorHAnsi"/>
          <w:sz w:val="22"/>
          <w:szCs w:val="22"/>
        </w:rPr>
        <w:t>LARC</w:t>
      </w:r>
      <w:r w:rsidR="005943CB" w:rsidRPr="00DF7116">
        <w:rPr>
          <w:rFonts w:ascii="Proxima Nova" w:hAnsi="Proxima Nova" w:cstheme="minorHAnsi"/>
          <w:sz w:val="22"/>
          <w:szCs w:val="22"/>
        </w:rPr>
        <w:t xml:space="preserve"> involve</w:t>
      </w:r>
      <w:r w:rsidR="00823FE8" w:rsidRPr="00DF7116">
        <w:rPr>
          <w:rFonts w:ascii="Proxima Nova" w:hAnsi="Proxima Nova" w:cstheme="minorHAnsi"/>
          <w:sz w:val="22"/>
          <w:szCs w:val="22"/>
        </w:rPr>
        <w:t>s</w:t>
      </w:r>
      <w:r w:rsidR="005943CB" w:rsidRPr="00DF7116">
        <w:rPr>
          <w:rFonts w:ascii="Proxima Nova" w:hAnsi="Proxima Nova" w:cstheme="minorHAnsi"/>
          <w:sz w:val="22"/>
          <w:szCs w:val="22"/>
        </w:rPr>
        <w:t xml:space="preserve"> use of drugs to prevent menstruation and/or reproduction. While </w:t>
      </w:r>
      <w:r w:rsidR="00823FE8" w:rsidRPr="00DF7116">
        <w:rPr>
          <w:rFonts w:ascii="Proxima Nova" w:hAnsi="Proxima Nova" w:cstheme="minorHAnsi"/>
          <w:sz w:val="22"/>
          <w:szCs w:val="22"/>
        </w:rPr>
        <w:t xml:space="preserve">LARC is </w:t>
      </w:r>
      <w:r w:rsidR="005943CB" w:rsidRPr="00DF7116">
        <w:rPr>
          <w:rFonts w:ascii="Proxima Nova" w:hAnsi="Proxima Nova" w:cstheme="minorHAnsi"/>
          <w:sz w:val="22"/>
          <w:szCs w:val="22"/>
        </w:rPr>
        <w:t>‘temporary’ in the sense that there is always the possibility for the drugs to be ceased and their impacts reversed, in practice they are often administered for years and decades</w:t>
      </w:r>
      <w:r w:rsidR="00823FE8" w:rsidRPr="00DF7116">
        <w:rPr>
          <w:rFonts w:ascii="Proxima Nova" w:hAnsi="Proxima Nova" w:cstheme="minorHAnsi"/>
          <w:sz w:val="22"/>
          <w:szCs w:val="22"/>
        </w:rPr>
        <w:t xml:space="preserve"> with little medical review and scrutiny of their purpose, necessity and side effects on those to whom they are prescribed</w:t>
      </w:r>
      <w:r w:rsidR="005943CB" w:rsidRPr="00DF7116">
        <w:rPr>
          <w:rFonts w:ascii="Proxima Nova" w:hAnsi="Proxima Nova" w:cstheme="minorHAnsi"/>
          <w:sz w:val="22"/>
          <w:szCs w:val="22"/>
        </w:rPr>
        <w:t>.</w:t>
      </w:r>
      <w:r w:rsidR="00723AE2" w:rsidRPr="00DF7116">
        <w:rPr>
          <w:rStyle w:val="EndnoteReference"/>
          <w:rFonts w:ascii="Proxima Nova" w:hAnsi="Proxima Nova" w:cs="Arial"/>
          <w:sz w:val="22"/>
          <w:szCs w:val="22"/>
        </w:rPr>
        <w:endnoteReference w:id="148"/>
      </w:r>
      <w:r w:rsidR="00723AE2" w:rsidRPr="00DF7116">
        <w:rPr>
          <w:rFonts w:ascii="Proxima Nova" w:hAnsi="Proxima Nova" w:cstheme="minorHAnsi"/>
          <w:sz w:val="22"/>
          <w:szCs w:val="22"/>
        </w:rPr>
        <w:t xml:space="preserve"> </w:t>
      </w:r>
      <w:r w:rsidR="00AB21D4" w:rsidRPr="00DF7116">
        <w:rPr>
          <w:rFonts w:ascii="Proxima Nova" w:hAnsi="Proxima Nova" w:cstheme="minorHAnsi"/>
          <w:sz w:val="22"/>
          <w:szCs w:val="22"/>
        </w:rPr>
        <w:t>Furthermore, if women and girls with disability are deprescribed LARC, they can experience side effects such as physical pain which can provide perverse incentives to resume prescription.</w:t>
      </w:r>
      <w:r w:rsidR="00C73ED3" w:rsidRPr="00DF7116">
        <w:rPr>
          <w:rStyle w:val="EndnoteReference"/>
          <w:rFonts w:ascii="Proxima Nova" w:hAnsi="Proxima Nova" w:cstheme="minorHAnsi"/>
          <w:sz w:val="22"/>
          <w:szCs w:val="22"/>
        </w:rPr>
        <w:endnoteReference w:id="149"/>
      </w:r>
      <w:r w:rsidR="00AB21D4" w:rsidRPr="00DF7116">
        <w:rPr>
          <w:rFonts w:ascii="Proxima Nova" w:hAnsi="Proxima Nova" w:cstheme="minorHAnsi"/>
          <w:sz w:val="22"/>
          <w:szCs w:val="22"/>
        </w:rPr>
        <w:t xml:space="preserve"> </w:t>
      </w:r>
    </w:p>
    <w:p w14:paraId="477837B5" w14:textId="77777777" w:rsidR="005943CB" w:rsidRPr="00DF7116" w:rsidRDefault="005943CB" w:rsidP="00DF7116">
      <w:pPr>
        <w:pStyle w:val="ListParagraph"/>
        <w:spacing w:line="276" w:lineRule="auto"/>
        <w:ind w:left="0"/>
        <w:rPr>
          <w:rFonts w:ascii="Proxima Nova" w:hAnsi="Proxima Nova" w:cstheme="minorHAnsi"/>
          <w:sz w:val="22"/>
          <w:szCs w:val="22"/>
        </w:rPr>
      </w:pPr>
    </w:p>
    <w:p w14:paraId="51425C07" w14:textId="0B511EE8" w:rsidR="00FA1FC5" w:rsidRPr="00DF7116" w:rsidRDefault="0089050D" w:rsidP="00DF7116">
      <w:pPr>
        <w:pStyle w:val="BodyText"/>
        <w:numPr>
          <w:ilvl w:val="1"/>
          <w:numId w:val="27"/>
        </w:numPr>
        <w:spacing w:line="276" w:lineRule="auto"/>
        <w:ind w:left="720" w:hanging="720"/>
        <w:jc w:val="both"/>
        <w:rPr>
          <w:rFonts w:ascii="Proxima Nova" w:hAnsi="Proxima Nova" w:cstheme="minorHAnsi"/>
          <w:sz w:val="22"/>
          <w:szCs w:val="22"/>
        </w:rPr>
      </w:pPr>
      <w:r w:rsidRPr="00DF7116">
        <w:rPr>
          <w:rFonts w:ascii="Proxima Nova" w:hAnsi="Proxima Nova" w:cstheme="minorHAnsi"/>
          <w:sz w:val="22"/>
          <w:szCs w:val="22"/>
        </w:rPr>
        <w:t>There are no available data on LARC.</w:t>
      </w:r>
      <w:r w:rsidR="0086532E" w:rsidRPr="00DF7116">
        <w:rPr>
          <w:rStyle w:val="EndnoteReference"/>
          <w:rFonts w:ascii="Proxima Nova" w:hAnsi="Proxima Nova" w:cstheme="minorHAnsi"/>
          <w:sz w:val="22"/>
          <w:szCs w:val="22"/>
        </w:rPr>
        <w:endnoteReference w:id="150"/>
      </w:r>
      <w:r w:rsidR="00EA4504" w:rsidRPr="00DF7116">
        <w:rPr>
          <w:rFonts w:ascii="Proxima Nova" w:hAnsi="Proxima Nova" w:cstheme="minorHAnsi"/>
          <w:sz w:val="22"/>
          <w:szCs w:val="22"/>
        </w:rPr>
        <w:t xml:space="preserve"> As we discuss in Section 5</w:t>
      </w:r>
      <w:r w:rsidR="007B2436" w:rsidRPr="00DF7116">
        <w:rPr>
          <w:rFonts w:ascii="Proxima Nova" w:hAnsi="Proxima Nova" w:cstheme="minorHAnsi"/>
          <w:sz w:val="22"/>
          <w:szCs w:val="22"/>
        </w:rPr>
        <w:t xml:space="preserve">, these are widely used in disability services but </w:t>
      </w:r>
      <w:r w:rsidR="008F06C3" w:rsidRPr="00DF7116">
        <w:rPr>
          <w:rFonts w:ascii="Proxima Nova" w:hAnsi="Proxima Nova" w:cstheme="minorHAnsi"/>
          <w:sz w:val="22"/>
          <w:szCs w:val="22"/>
        </w:rPr>
        <w:t>are subject to incomplete regulation by the NDISQSC</w:t>
      </w:r>
      <w:r w:rsidR="007B2436" w:rsidRPr="00DF7116">
        <w:rPr>
          <w:rFonts w:ascii="Proxima Nova" w:hAnsi="Proxima Nova" w:cstheme="minorHAnsi"/>
          <w:sz w:val="22"/>
          <w:szCs w:val="22"/>
        </w:rPr>
        <w:t>.</w:t>
      </w:r>
      <w:r w:rsidR="008F06C3" w:rsidRPr="00DF7116">
        <w:rPr>
          <w:rFonts w:ascii="Proxima Nova" w:hAnsi="Proxima Nova" w:cstheme="minorHAnsi"/>
          <w:sz w:val="22"/>
          <w:szCs w:val="22"/>
        </w:rPr>
        <w:t xml:space="preserve"> M</w:t>
      </w:r>
      <w:r w:rsidR="008F06C3" w:rsidRPr="00DF7116">
        <w:rPr>
          <w:rFonts w:ascii="Proxima Nova" w:eastAsia="Calibri" w:hAnsi="Proxima Nova" w:cstheme="minorHAnsi"/>
          <w:color w:val="000000"/>
          <w:sz w:val="22"/>
          <w:szCs w:val="22"/>
        </w:rPr>
        <w:t>edication for menstrual suppression is only considered a form of chemical restraint and thus a regulated restrictive practice where it is used ‘</w:t>
      </w:r>
      <w:r w:rsidR="008F06C3" w:rsidRPr="00DF7116">
        <w:rPr>
          <w:rFonts w:ascii="Proxima Nova" w:eastAsia="Calibri" w:hAnsi="Proxima Nova" w:cstheme="minorHAnsi"/>
          <w:i/>
          <w:color w:val="000000"/>
          <w:sz w:val="22"/>
          <w:szCs w:val="22"/>
        </w:rPr>
        <w:t>d</w:t>
      </w:r>
      <w:r w:rsidR="008F06C3" w:rsidRPr="00DF7116">
        <w:rPr>
          <w:rFonts w:ascii="Proxima Nova" w:hAnsi="Proxima Nova" w:cs="Calibri"/>
          <w:i/>
          <w:color w:val="000000"/>
          <w:sz w:val="22"/>
          <w:szCs w:val="22"/>
        </w:rPr>
        <w:t>ue to behaviours of concern for example, distress and hygiene (e.g. smearing)</w:t>
      </w:r>
      <w:r w:rsidR="008F06C3" w:rsidRPr="00DF7116">
        <w:rPr>
          <w:rFonts w:ascii="Proxima Nova" w:hAnsi="Proxima Nova" w:cs="Calibri"/>
          <w:color w:val="000000"/>
          <w:sz w:val="22"/>
          <w:szCs w:val="22"/>
        </w:rPr>
        <w:t>’, and it will not be a chemical restraint when ‘</w:t>
      </w:r>
      <w:r w:rsidR="008F06C3" w:rsidRPr="00DF7116">
        <w:rPr>
          <w:rFonts w:ascii="Proxima Nova" w:hAnsi="Proxima Nova" w:cs="Calibri"/>
          <w:i/>
          <w:color w:val="000000"/>
          <w:sz w:val="22"/>
          <w:szCs w:val="22"/>
        </w:rPr>
        <w:t>prescribed for the treatment of a diagnosed medical condition</w:t>
      </w:r>
      <w:r w:rsidR="008F06C3" w:rsidRPr="00DF7116">
        <w:rPr>
          <w:rFonts w:ascii="Proxima Nova" w:hAnsi="Proxima Nova" w:cs="Calibri"/>
          <w:color w:val="000000"/>
          <w:sz w:val="22"/>
          <w:szCs w:val="22"/>
        </w:rPr>
        <w:t>’.</w:t>
      </w:r>
      <w:r w:rsidR="008F06C3" w:rsidRPr="00DF7116">
        <w:rPr>
          <w:rStyle w:val="EndnoteReference"/>
          <w:rFonts w:ascii="Proxima Nova" w:hAnsi="Proxima Nova" w:cs="Calibri"/>
          <w:color w:val="000000"/>
          <w:sz w:val="22"/>
          <w:szCs w:val="22"/>
        </w:rPr>
        <w:endnoteReference w:id="151"/>
      </w:r>
      <w:r w:rsidR="008F06C3" w:rsidRPr="00DF7116">
        <w:rPr>
          <w:rFonts w:ascii="Proxima Nova" w:hAnsi="Proxima Nova" w:cs="Calibri"/>
          <w:color w:val="000000"/>
          <w:sz w:val="22"/>
          <w:szCs w:val="22"/>
        </w:rPr>
        <w:t xml:space="preserve"> </w:t>
      </w:r>
      <w:r w:rsidR="008F06C3" w:rsidRPr="00DF7116">
        <w:rPr>
          <w:rFonts w:ascii="Proxima Nova" w:hAnsi="Proxima Nova" w:cstheme="minorHAnsi"/>
          <w:sz w:val="22"/>
          <w:szCs w:val="22"/>
        </w:rPr>
        <w:t>In contrast, there are stricter limitations on use of anti-libidinal medications in the context of NDIS-funded services, including that ‘[a]</w:t>
      </w:r>
      <w:r w:rsidR="008F06C3" w:rsidRPr="00DF7116">
        <w:rPr>
          <w:rFonts w:ascii="Proxima Nova" w:hAnsi="Proxima Nova"/>
          <w:sz w:val="22"/>
          <w:szCs w:val="22"/>
        </w:rPr>
        <w:t>nti-libidinal medications must not be used in males under the age of 18 years, or in other instances where bone and testicular development is not yet complete’.</w:t>
      </w:r>
      <w:r w:rsidR="008F06C3" w:rsidRPr="00DF7116">
        <w:rPr>
          <w:rStyle w:val="EndnoteReference"/>
          <w:rFonts w:ascii="Proxima Nova" w:hAnsi="Proxima Nova" w:cs="Calibri"/>
          <w:color w:val="000000"/>
          <w:sz w:val="22"/>
          <w:szCs w:val="22"/>
        </w:rPr>
        <w:endnoteReference w:id="152"/>
      </w:r>
      <w:r w:rsidR="0072286B" w:rsidRPr="00DF7116">
        <w:rPr>
          <w:rFonts w:ascii="Proxima Nova" w:hAnsi="Proxima Nova"/>
          <w:sz w:val="22"/>
          <w:szCs w:val="22"/>
        </w:rPr>
        <w:t xml:space="preserve"> </w:t>
      </w:r>
      <w:r w:rsidR="00AC20BF" w:rsidRPr="00DF7116">
        <w:rPr>
          <w:rFonts w:ascii="Proxima Nova" w:hAnsi="Proxima Nova"/>
          <w:sz w:val="22"/>
          <w:szCs w:val="22"/>
        </w:rPr>
        <w:t xml:space="preserve">The lower threshold for use of LARC in </w:t>
      </w:r>
      <w:r w:rsidR="00335AD1" w:rsidRPr="00DF7116">
        <w:rPr>
          <w:rFonts w:ascii="Proxima Nova" w:hAnsi="Proxima Nova"/>
          <w:sz w:val="22"/>
          <w:szCs w:val="22"/>
        </w:rPr>
        <w:t>relation</w:t>
      </w:r>
      <w:r w:rsidR="00AC20BF" w:rsidRPr="00DF7116">
        <w:rPr>
          <w:rFonts w:ascii="Proxima Nova" w:hAnsi="Proxima Nova"/>
          <w:sz w:val="22"/>
          <w:szCs w:val="22"/>
        </w:rPr>
        <w:t xml:space="preserve"> to women and girls with disability is of significant concern. Moreover, WWDA is concerned with the division in NDISQSC approach to LARC between LARC for medical condition as opposed to for behaviours of concern. WWDA is concerned because women and girls</w:t>
      </w:r>
      <w:r w:rsidR="00AC20BF" w:rsidRPr="00DF7116">
        <w:rPr>
          <w:rFonts w:ascii="Proxima Nova" w:hAnsi="Proxima Nova" w:cstheme="minorHAnsi"/>
          <w:sz w:val="22"/>
          <w:szCs w:val="22"/>
        </w:rPr>
        <w:t xml:space="preserve"> with disability are often viewed through a medical model and have their behaviour pathologised and this is compounded with the pathologisation of female experiences of menstruation and reproduction, such that it is arguably quite easy to frame LARC use as being related to a medical condition rather than behaviours of concern. This division between medical conditions and behaviours of concern is not scientifically objective – it is socially and economically contingent and gendered.</w:t>
      </w:r>
    </w:p>
    <w:p w14:paraId="41E96E81" w14:textId="77777777" w:rsidR="00AC20BF" w:rsidRPr="00DF7116" w:rsidRDefault="00AC20BF" w:rsidP="00DF7116">
      <w:pPr>
        <w:pStyle w:val="BodyText"/>
        <w:spacing w:line="276" w:lineRule="auto"/>
        <w:ind w:left="720"/>
        <w:jc w:val="both"/>
        <w:rPr>
          <w:rFonts w:ascii="Proxima Nova" w:hAnsi="Proxima Nova" w:cstheme="minorHAnsi"/>
          <w:sz w:val="22"/>
          <w:szCs w:val="22"/>
        </w:rPr>
      </w:pPr>
    </w:p>
    <w:p w14:paraId="332DCCAA" w14:textId="1B2FAA0E" w:rsidR="009202DC" w:rsidRPr="00DF7116" w:rsidRDefault="005855CF"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Additional to the impacts on personal integrity and autonomy, t</w:t>
      </w:r>
      <w:r w:rsidR="005943CB" w:rsidRPr="00DF7116">
        <w:rPr>
          <w:rFonts w:ascii="Proxima Nova" w:hAnsi="Proxima Nova" w:cstheme="minorHAnsi"/>
          <w:sz w:val="22"/>
          <w:szCs w:val="22"/>
        </w:rPr>
        <w:t xml:space="preserve">he impacts of </w:t>
      </w:r>
      <w:r w:rsidR="00823FE8" w:rsidRPr="00DF7116">
        <w:rPr>
          <w:rFonts w:ascii="Proxima Nova" w:hAnsi="Proxima Nova" w:cstheme="minorHAnsi"/>
          <w:sz w:val="22"/>
          <w:szCs w:val="22"/>
        </w:rPr>
        <w:t xml:space="preserve">LARC </w:t>
      </w:r>
      <w:r w:rsidR="00CC1842" w:rsidRPr="00DF7116">
        <w:rPr>
          <w:rFonts w:ascii="Proxima Nova" w:hAnsi="Proxima Nova" w:cstheme="minorHAnsi"/>
          <w:sz w:val="22"/>
          <w:szCs w:val="22"/>
        </w:rPr>
        <w:t xml:space="preserve">can </w:t>
      </w:r>
      <w:r w:rsidR="00823FE8" w:rsidRPr="00DF7116">
        <w:rPr>
          <w:rFonts w:ascii="Proxima Nova" w:hAnsi="Proxima Nova" w:cstheme="minorHAnsi"/>
          <w:sz w:val="22"/>
          <w:szCs w:val="22"/>
        </w:rPr>
        <w:t>include certain gynaecological cancers</w:t>
      </w:r>
      <w:r w:rsidR="003855AB" w:rsidRPr="00DF7116">
        <w:rPr>
          <w:rFonts w:ascii="Proxima Nova" w:hAnsi="Proxima Nova" w:cstheme="minorHAnsi"/>
          <w:sz w:val="22"/>
          <w:szCs w:val="22"/>
        </w:rPr>
        <w:t xml:space="preserve">, </w:t>
      </w:r>
      <w:r w:rsidR="00823FE8" w:rsidRPr="00DF7116">
        <w:rPr>
          <w:rFonts w:ascii="Proxima Nova" w:hAnsi="Proxima Nova" w:cstheme="minorHAnsi"/>
          <w:sz w:val="22"/>
          <w:szCs w:val="22"/>
        </w:rPr>
        <w:t>osteoporosis</w:t>
      </w:r>
      <w:r w:rsidR="003855AB" w:rsidRPr="00DF7116">
        <w:rPr>
          <w:rFonts w:ascii="Proxima Nova" w:hAnsi="Proxima Nova" w:cstheme="minorHAnsi"/>
          <w:sz w:val="22"/>
          <w:szCs w:val="22"/>
        </w:rPr>
        <w:t>, increased weight gain, elevated prolactin concentrations (which can cause infertility, menopausal symptoms, milk discharge from the breasts, hyperprolactinemia; hypothyroidism).</w:t>
      </w:r>
      <w:r w:rsidR="00E704D1" w:rsidRPr="00DF7116">
        <w:rPr>
          <w:rStyle w:val="EndnoteReference"/>
          <w:rFonts w:ascii="Proxima Nova" w:hAnsi="Proxima Nova" w:cstheme="minorHAnsi"/>
          <w:sz w:val="22"/>
          <w:szCs w:val="22"/>
        </w:rPr>
        <w:endnoteReference w:id="153"/>
      </w:r>
      <w:r w:rsidR="00E704D1" w:rsidRPr="00DF7116">
        <w:rPr>
          <w:rFonts w:ascii="Proxima Nova" w:hAnsi="Proxima Nova" w:cstheme="minorHAnsi"/>
          <w:sz w:val="22"/>
          <w:szCs w:val="22"/>
        </w:rPr>
        <w:t xml:space="preserve"> </w:t>
      </w:r>
      <w:r w:rsidR="00823FE8" w:rsidRPr="00DF7116">
        <w:rPr>
          <w:rFonts w:ascii="Proxima Nova" w:hAnsi="Proxima Nova" w:cstheme="minorHAnsi"/>
          <w:sz w:val="22"/>
          <w:szCs w:val="22"/>
        </w:rPr>
        <w:t>Moreover, because LARC prevent menstruation, they can also mask the onset of menopause which can then mean physical and psychological experiences associated with menopause are ignored</w:t>
      </w:r>
      <w:r w:rsidR="0021563F" w:rsidRPr="00DF7116">
        <w:rPr>
          <w:rStyle w:val="EndnoteReference"/>
          <w:rFonts w:ascii="Proxima Nova" w:hAnsi="Proxima Nova" w:cstheme="minorHAnsi"/>
          <w:sz w:val="22"/>
          <w:szCs w:val="22"/>
        </w:rPr>
        <w:endnoteReference w:id="154"/>
      </w:r>
      <w:r w:rsidR="008F06C3" w:rsidRPr="00DF7116">
        <w:rPr>
          <w:rFonts w:ascii="Proxima Nova" w:hAnsi="Proxima Nova" w:cstheme="minorHAnsi"/>
          <w:sz w:val="22"/>
          <w:szCs w:val="22"/>
        </w:rPr>
        <w:t xml:space="preserve"> </w:t>
      </w:r>
      <w:r w:rsidR="00956526" w:rsidRPr="00DF7116">
        <w:rPr>
          <w:rFonts w:ascii="Proxima Nova" w:hAnsi="Proxima Nova" w:cstheme="minorHAnsi"/>
          <w:sz w:val="22"/>
          <w:szCs w:val="22"/>
        </w:rPr>
        <w:t>and potentially</w:t>
      </w:r>
      <w:r w:rsidR="008F06C3" w:rsidRPr="00DF7116">
        <w:rPr>
          <w:rFonts w:ascii="Proxima Nova" w:hAnsi="Proxima Nova" w:cstheme="minorHAnsi"/>
          <w:sz w:val="22"/>
          <w:szCs w:val="22"/>
        </w:rPr>
        <w:t xml:space="preserve"> a basis on which women with disability are subject to further coercive interventions to manage</w:t>
      </w:r>
      <w:r w:rsidR="004475EB" w:rsidRPr="00DF7116">
        <w:rPr>
          <w:rFonts w:ascii="Proxima Nova" w:hAnsi="Proxima Nova" w:cstheme="minorHAnsi"/>
          <w:sz w:val="22"/>
          <w:szCs w:val="22"/>
        </w:rPr>
        <w:t xml:space="preserve"> their</w:t>
      </w:r>
      <w:r w:rsidR="008F06C3" w:rsidRPr="00DF7116">
        <w:rPr>
          <w:rFonts w:ascii="Proxima Nova" w:hAnsi="Proxima Nova" w:cstheme="minorHAnsi"/>
          <w:sz w:val="22"/>
          <w:szCs w:val="22"/>
        </w:rPr>
        <w:t xml:space="preserve"> ‘challenging behaviour’</w:t>
      </w:r>
      <w:r w:rsidR="0072286B" w:rsidRPr="00DF7116">
        <w:rPr>
          <w:rFonts w:ascii="Proxima Nova" w:hAnsi="Proxima Nova" w:cstheme="minorHAnsi"/>
          <w:sz w:val="22"/>
          <w:szCs w:val="22"/>
        </w:rPr>
        <w:t xml:space="preserve"> associated with onset of menopause or the pain of undiagnosed cancer or osteoporosis</w:t>
      </w:r>
      <w:r w:rsidR="008F06C3" w:rsidRPr="00DF7116">
        <w:rPr>
          <w:rFonts w:ascii="Proxima Nova" w:hAnsi="Proxima Nova" w:cstheme="minorHAnsi"/>
          <w:sz w:val="22"/>
          <w:szCs w:val="22"/>
        </w:rPr>
        <w:t>.</w:t>
      </w:r>
      <w:r w:rsidR="00823FE8" w:rsidRPr="00DF7116">
        <w:rPr>
          <w:rFonts w:ascii="Proxima Nova" w:hAnsi="Proxima Nova" w:cstheme="minorHAnsi"/>
          <w:sz w:val="22"/>
          <w:szCs w:val="22"/>
        </w:rPr>
        <w:t xml:space="preserve"> </w:t>
      </w:r>
    </w:p>
    <w:p w14:paraId="1B3DBAA0" w14:textId="77777777" w:rsidR="00056ACF" w:rsidRPr="00DF7116" w:rsidRDefault="00056ACF" w:rsidP="00DF7116">
      <w:pPr>
        <w:pStyle w:val="BodyText"/>
        <w:spacing w:line="276" w:lineRule="auto"/>
        <w:ind w:left="0"/>
        <w:rPr>
          <w:rFonts w:ascii="Proxima Nova" w:hAnsi="Proxima Nova" w:cstheme="minorHAnsi"/>
          <w:sz w:val="22"/>
          <w:szCs w:val="22"/>
        </w:rPr>
      </w:pPr>
    </w:p>
    <w:p w14:paraId="69F2E379" w14:textId="11D1A626" w:rsidR="003E70B3" w:rsidRPr="00DF7116" w:rsidRDefault="003E70B3"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lastRenderedPageBreak/>
        <w:t>Restrictive practices also extend to non-consensual and coercive abortio</w:t>
      </w:r>
      <w:r w:rsidR="0051010E" w:rsidRPr="00DF7116">
        <w:rPr>
          <w:rFonts w:ascii="Proxima Nova" w:hAnsi="Proxima Nova" w:cstheme="minorHAnsi"/>
          <w:sz w:val="22"/>
          <w:szCs w:val="22"/>
        </w:rPr>
        <w:t xml:space="preserve">n, </w:t>
      </w:r>
      <w:proofErr w:type="gramStart"/>
      <w:r w:rsidR="0051010E" w:rsidRPr="00DF7116">
        <w:rPr>
          <w:rFonts w:ascii="Proxima Nova" w:hAnsi="Proxima Nova" w:cstheme="minorHAnsi"/>
          <w:sz w:val="22"/>
          <w:szCs w:val="22"/>
        </w:rPr>
        <w:t>i.e.</w:t>
      </w:r>
      <w:proofErr w:type="gramEnd"/>
      <w:r w:rsidR="0051010E" w:rsidRPr="00DF7116">
        <w:rPr>
          <w:rFonts w:ascii="Proxima Nova" w:hAnsi="Proxima Nova" w:cstheme="minorHAnsi"/>
          <w:sz w:val="22"/>
          <w:szCs w:val="22"/>
        </w:rPr>
        <w:t xml:space="preserve"> the termination of a pregnancy. </w:t>
      </w:r>
    </w:p>
    <w:p w14:paraId="4D2BC3A2" w14:textId="77777777" w:rsidR="0051010E" w:rsidRPr="00DF7116" w:rsidRDefault="0051010E" w:rsidP="00DF7116">
      <w:pPr>
        <w:spacing w:line="276" w:lineRule="auto"/>
        <w:rPr>
          <w:rFonts w:ascii="Proxima Nova" w:hAnsi="Proxima Nova" w:cstheme="minorHAnsi"/>
          <w:sz w:val="22"/>
          <w:szCs w:val="22"/>
        </w:rPr>
      </w:pPr>
    </w:p>
    <w:p w14:paraId="32DFBD19" w14:textId="3F5729B7" w:rsidR="0051010E" w:rsidRPr="00DF7116" w:rsidRDefault="0051010E"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 xml:space="preserve">There are no available data on </w:t>
      </w:r>
      <w:r w:rsidR="0028213B" w:rsidRPr="00DF7116">
        <w:rPr>
          <w:rFonts w:ascii="Proxima Nova" w:hAnsi="Proxima Nova" w:cstheme="minorHAnsi"/>
          <w:sz w:val="22"/>
          <w:szCs w:val="22"/>
        </w:rPr>
        <w:t>non-consensual and coercive abortion</w:t>
      </w:r>
      <w:r w:rsidRPr="00DF7116">
        <w:rPr>
          <w:rFonts w:ascii="Proxima Nova" w:hAnsi="Proxima Nova" w:cstheme="minorHAnsi"/>
          <w:sz w:val="22"/>
          <w:szCs w:val="22"/>
        </w:rPr>
        <w:t>.</w:t>
      </w:r>
      <w:r w:rsidR="00461B4C" w:rsidRPr="00DF7116">
        <w:rPr>
          <w:rStyle w:val="EndnoteReference"/>
          <w:rFonts w:ascii="Proxima Nova" w:hAnsi="Proxima Nova" w:cstheme="minorHAnsi"/>
          <w:sz w:val="22"/>
          <w:szCs w:val="22"/>
        </w:rPr>
        <w:endnoteReference w:id="155"/>
      </w:r>
      <w:r w:rsidRPr="00DF7116">
        <w:rPr>
          <w:rFonts w:ascii="Proxima Nova" w:hAnsi="Proxima Nova" w:cstheme="minorHAnsi"/>
          <w:sz w:val="22"/>
          <w:szCs w:val="22"/>
        </w:rPr>
        <w:t xml:space="preserve"> </w:t>
      </w:r>
    </w:p>
    <w:p w14:paraId="4FB1E901" w14:textId="77777777" w:rsidR="003E70B3" w:rsidRPr="00DF7116" w:rsidRDefault="003E70B3" w:rsidP="00DF7116">
      <w:pPr>
        <w:spacing w:line="276" w:lineRule="auto"/>
        <w:rPr>
          <w:rFonts w:ascii="Proxima Nova" w:hAnsi="Proxima Nova" w:cstheme="minorHAnsi"/>
          <w:sz w:val="22"/>
          <w:szCs w:val="22"/>
        </w:rPr>
      </w:pPr>
    </w:p>
    <w:p w14:paraId="58A26AF8" w14:textId="05CC9E9A" w:rsidR="005855CF" w:rsidRPr="00DF7116" w:rsidRDefault="005855CF"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Additional to the impacts on personal integrity and autonomy, the impacts of non-consensual and coercive abortion include psychological pain, grief and suffering.</w:t>
      </w:r>
      <w:r w:rsidR="006F1C20" w:rsidRPr="00DF7116">
        <w:rPr>
          <w:rStyle w:val="EndnoteReference"/>
          <w:rFonts w:ascii="Proxima Nova" w:hAnsi="Proxima Nova" w:cstheme="minorHAnsi"/>
          <w:sz w:val="22"/>
          <w:szCs w:val="22"/>
        </w:rPr>
        <w:endnoteReference w:id="156"/>
      </w:r>
      <w:r w:rsidR="00F20F66" w:rsidRPr="00DF7116">
        <w:rPr>
          <w:rFonts w:ascii="Proxima Nova" w:hAnsi="Proxima Nova" w:cstheme="minorHAnsi"/>
          <w:sz w:val="22"/>
          <w:szCs w:val="22"/>
        </w:rPr>
        <w:t xml:space="preserve"> </w:t>
      </w:r>
    </w:p>
    <w:p w14:paraId="7D703F9C" w14:textId="77777777" w:rsidR="005855CF" w:rsidRPr="00DF7116" w:rsidRDefault="005855CF" w:rsidP="00DF7116">
      <w:pPr>
        <w:spacing w:line="276" w:lineRule="auto"/>
        <w:rPr>
          <w:rFonts w:ascii="Proxima Nova" w:hAnsi="Proxima Nova" w:cstheme="minorHAnsi"/>
          <w:sz w:val="22"/>
          <w:szCs w:val="22"/>
        </w:rPr>
      </w:pPr>
    </w:p>
    <w:p w14:paraId="0D62194F" w14:textId="1784B726" w:rsidR="00C70A45" w:rsidRPr="00DF7116" w:rsidRDefault="009202DC"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The psychological and physical impacts of non-consensual and coercive sterilisation, menstrual suppression, contraception and abortion are compounded by lack of access to safe and non-discriminatory health and medical services including counselling, cancer screening</w:t>
      </w:r>
      <w:r w:rsidR="00823FE8" w:rsidRPr="00DF7116">
        <w:rPr>
          <w:rFonts w:ascii="Proxima Nova" w:hAnsi="Proxima Nova" w:cstheme="minorHAnsi"/>
          <w:sz w:val="22"/>
          <w:szCs w:val="22"/>
        </w:rPr>
        <w:t>,</w:t>
      </w:r>
      <w:r w:rsidRPr="00DF7116">
        <w:rPr>
          <w:rFonts w:ascii="Proxima Nova" w:hAnsi="Proxima Nova" w:cstheme="minorHAnsi"/>
          <w:sz w:val="22"/>
          <w:szCs w:val="22"/>
        </w:rPr>
        <w:t xml:space="preserve"> </w:t>
      </w:r>
      <w:r w:rsidR="00C15C20" w:rsidRPr="00DF7116">
        <w:rPr>
          <w:rFonts w:ascii="Proxima Nova" w:hAnsi="Proxima Nova" w:cstheme="minorHAnsi"/>
          <w:sz w:val="22"/>
          <w:szCs w:val="22"/>
        </w:rPr>
        <w:t xml:space="preserve">bone-density screening, </w:t>
      </w:r>
      <w:r w:rsidRPr="00DF7116">
        <w:rPr>
          <w:rFonts w:ascii="Proxima Nova" w:hAnsi="Proxima Nova" w:cstheme="minorHAnsi"/>
          <w:sz w:val="22"/>
          <w:szCs w:val="22"/>
        </w:rPr>
        <w:t>pain management</w:t>
      </w:r>
      <w:r w:rsidR="00823FE8" w:rsidRPr="00DF7116">
        <w:rPr>
          <w:rFonts w:ascii="Proxima Nova" w:hAnsi="Proxima Nova" w:cstheme="minorHAnsi"/>
          <w:sz w:val="22"/>
          <w:szCs w:val="22"/>
        </w:rPr>
        <w:t>, and menopause support</w:t>
      </w:r>
      <w:r w:rsidRPr="00DF7116">
        <w:rPr>
          <w:rFonts w:ascii="Proxima Nova" w:hAnsi="Proxima Nova" w:cstheme="minorHAnsi"/>
          <w:sz w:val="22"/>
          <w:szCs w:val="22"/>
        </w:rPr>
        <w:t>,</w:t>
      </w:r>
      <w:r w:rsidRPr="00DF7116">
        <w:rPr>
          <w:rStyle w:val="EndnoteReference"/>
          <w:rFonts w:ascii="Proxima Nova" w:hAnsi="Proxima Nova" w:cstheme="minorHAnsi"/>
          <w:sz w:val="22"/>
          <w:szCs w:val="22"/>
        </w:rPr>
        <w:endnoteReference w:id="157"/>
      </w:r>
      <w:r w:rsidRPr="00DF7116">
        <w:rPr>
          <w:rFonts w:ascii="Proxima Nova" w:hAnsi="Proxima Nova" w:cstheme="minorHAnsi"/>
          <w:sz w:val="22"/>
          <w:szCs w:val="22"/>
        </w:rPr>
        <w:t xml:space="preserve"> which is in turn compounded by use of restrictive practices in response to ‘challenging </w:t>
      </w:r>
      <w:r w:rsidR="000E2EFE" w:rsidRPr="00DF7116">
        <w:rPr>
          <w:rFonts w:ascii="Proxima Nova" w:hAnsi="Proxima Nova" w:cstheme="minorHAnsi"/>
          <w:sz w:val="22"/>
          <w:szCs w:val="22"/>
        </w:rPr>
        <w:t>behaviours</w:t>
      </w:r>
      <w:r w:rsidRPr="00DF7116">
        <w:rPr>
          <w:rFonts w:ascii="Proxima Nova" w:hAnsi="Proxima Nova" w:cstheme="minorHAnsi"/>
          <w:sz w:val="22"/>
          <w:szCs w:val="22"/>
        </w:rPr>
        <w:t>’ which are in fact expressions of untreated trauma</w:t>
      </w:r>
      <w:r w:rsidR="00823FE8" w:rsidRPr="00DF7116">
        <w:rPr>
          <w:rFonts w:ascii="Proxima Nova" w:hAnsi="Proxima Nova" w:cstheme="minorHAnsi"/>
          <w:sz w:val="22"/>
          <w:szCs w:val="22"/>
        </w:rPr>
        <w:t>,</w:t>
      </w:r>
      <w:r w:rsidRPr="00DF7116">
        <w:rPr>
          <w:rFonts w:ascii="Proxima Nova" w:hAnsi="Proxima Nova" w:cstheme="minorHAnsi"/>
          <w:sz w:val="22"/>
          <w:szCs w:val="22"/>
        </w:rPr>
        <w:t xml:space="preserve"> physical illness and disease</w:t>
      </w:r>
      <w:r w:rsidR="00823FE8" w:rsidRPr="00DF7116">
        <w:rPr>
          <w:rFonts w:ascii="Proxima Nova" w:hAnsi="Proxima Nova" w:cstheme="minorHAnsi"/>
          <w:sz w:val="22"/>
          <w:szCs w:val="22"/>
        </w:rPr>
        <w:t>, and hormonal changes</w:t>
      </w:r>
      <w:r w:rsidRPr="00DF7116">
        <w:rPr>
          <w:rFonts w:ascii="Proxima Nova" w:hAnsi="Proxima Nova" w:cstheme="minorHAnsi"/>
          <w:sz w:val="22"/>
          <w:szCs w:val="22"/>
        </w:rPr>
        <w:t>.</w:t>
      </w:r>
    </w:p>
    <w:p w14:paraId="52C3E6AB" w14:textId="77777777" w:rsidR="002D42AA" w:rsidRPr="00DF7116" w:rsidRDefault="002D42AA" w:rsidP="00DF7116">
      <w:pPr>
        <w:spacing w:line="276" w:lineRule="auto"/>
        <w:ind w:left="720" w:hanging="720"/>
        <w:rPr>
          <w:rFonts w:ascii="Proxima Nova" w:hAnsi="Proxima Nova" w:cstheme="minorHAnsi"/>
          <w:sz w:val="22"/>
          <w:szCs w:val="22"/>
        </w:rPr>
      </w:pPr>
    </w:p>
    <w:p w14:paraId="66440CE5" w14:textId="77777777" w:rsidR="00817B6F" w:rsidRPr="00DF7116" w:rsidRDefault="00F20F66"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Restrictive practices in relation to women and girls with disability also take the form of forced child removal. This can be</w:t>
      </w:r>
      <w:r w:rsidR="00270ED7" w:rsidRPr="00DF7116">
        <w:rPr>
          <w:rFonts w:ascii="Proxima Nova" w:hAnsi="Proxima Nova" w:cstheme="minorHAnsi"/>
          <w:sz w:val="22"/>
          <w:szCs w:val="22"/>
        </w:rPr>
        <w:t xml:space="preserve">: </w:t>
      </w:r>
    </w:p>
    <w:p w14:paraId="5BAF950A" w14:textId="77777777" w:rsidR="00817B6F" w:rsidRPr="00DF7116" w:rsidRDefault="00817B6F" w:rsidP="00DF7116">
      <w:pPr>
        <w:pStyle w:val="ListParagraph"/>
        <w:spacing w:line="276" w:lineRule="auto"/>
        <w:rPr>
          <w:rFonts w:ascii="Proxima Nova" w:hAnsi="Proxima Nova" w:cstheme="minorHAnsi"/>
          <w:sz w:val="22"/>
          <w:szCs w:val="22"/>
        </w:rPr>
      </w:pPr>
    </w:p>
    <w:p w14:paraId="5DBDD3B5" w14:textId="5D4433A9" w:rsidR="00817B6F" w:rsidRPr="00DF7116" w:rsidRDefault="00F20F66" w:rsidP="00DF7116">
      <w:pPr>
        <w:pStyle w:val="BodyText"/>
        <w:numPr>
          <w:ilvl w:val="0"/>
          <w:numId w:val="45"/>
        </w:numPr>
        <w:spacing w:line="276" w:lineRule="auto"/>
        <w:rPr>
          <w:rFonts w:ascii="Proxima Nova" w:hAnsi="Proxima Nova" w:cstheme="minorHAnsi"/>
          <w:sz w:val="22"/>
          <w:szCs w:val="22"/>
        </w:rPr>
      </w:pPr>
      <w:r w:rsidRPr="00DF7116">
        <w:rPr>
          <w:rFonts w:ascii="Proxima Nova" w:hAnsi="Proxima Nova" w:cstheme="minorHAnsi"/>
          <w:sz w:val="22"/>
          <w:szCs w:val="22"/>
        </w:rPr>
        <w:t xml:space="preserve">informal removal by the mother’s family members or the child’s </w:t>
      </w:r>
      <w:r w:rsidR="00270ED7" w:rsidRPr="00DF7116">
        <w:rPr>
          <w:rFonts w:ascii="Proxima Nova" w:hAnsi="Proxima Nova" w:cstheme="minorHAnsi"/>
          <w:sz w:val="22"/>
          <w:szCs w:val="22"/>
        </w:rPr>
        <w:t>other parent</w:t>
      </w:r>
      <w:r w:rsidRPr="00DF7116">
        <w:rPr>
          <w:rFonts w:ascii="Proxima Nova" w:hAnsi="Proxima Nova" w:cstheme="minorHAnsi"/>
          <w:sz w:val="22"/>
          <w:szCs w:val="22"/>
        </w:rPr>
        <w:t xml:space="preserve"> and </w:t>
      </w:r>
      <w:r w:rsidR="00270ED7" w:rsidRPr="00DF7116">
        <w:rPr>
          <w:rFonts w:ascii="Proxima Nova" w:hAnsi="Proxima Nova" w:cstheme="minorHAnsi"/>
          <w:sz w:val="22"/>
          <w:szCs w:val="22"/>
        </w:rPr>
        <w:t>that other parent’s</w:t>
      </w:r>
      <w:r w:rsidRPr="00DF7116">
        <w:rPr>
          <w:rFonts w:ascii="Proxima Nova" w:hAnsi="Proxima Nova" w:cstheme="minorHAnsi"/>
          <w:sz w:val="22"/>
          <w:szCs w:val="22"/>
        </w:rPr>
        <w:t xml:space="preserve"> family,</w:t>
      </w:r>
      <w:r w:rsidR="00270ED7" w:rsidRPr="00DF7116">
        <w:rPr>
          <w:rFonts w:ascii="Proxima Nova" w:hAnsi="Proxima Nova" w:cstheme="minorHAnsi"/>
          <w:sz w:val="22"/>
          <w:szCs w:val="22"/>
        </w:rPr>
        <w:t xml:space="preserve"> </w:t>
      </w:r>
    </w:p>
    <w:p w14:paraId="140D4CB3" w14:textId="77777777" w:rsidR="007F0850" w:rsidRPr="00DF7116" w:rsidRDefault="007F0850" w:rsidP="00DF7116">
      <w:pPr>
        <w:pStyle w:val="BodyText"/>
        <w:spacing w:line="276" w:lineRule="auto"/>
        <w:rPr>
          <w:rFonts w:ascii="Proxima Nova" w:hAnsi="Proxima Nova" w:cstheme="minorHAnsi"/>
          <w:sz w:val="22"/>
          <w:szCs w:val="22"/>
        </w:rPr>
      </w:pPr>
    </w:p>
    <w:p w14:paraId="1673163C" w14:textId="3FECA0DA" w:rsidR="00817B6F" w:rsidRPr="00DF7116" w:rsidRDefault="00F20F66" w:rsidP="00DF7116">
      <w:pPr>
        <w:pStyle w:val="BodyText"/>
        <w:numPr>
          <w:ilvl w:val="0"/>
          <w:numId w:val="45"/>
        </w:numPr>
        <w:spacing w:line="276" w:lineRule="auto"/>
        <w:rPr>
          <w:rFonts w:ascii="Proxima Nova" w:hAnsi="Proxima Nova" w:cstheme="minorHAnsi"/>
          <w:sz w:val="22"/>
          <w:szCs w:val="22"/>
        </w:rPr>
      </w:pPr>
      <w:r w:rsidRPr="00DF7116">
        <w:rPr>
          <w:rFonts w:ascii="Proxima Nova" w:hAnsi="Proxima Nova" w:cstheme="minorHAnsi"/>
          <w:sz w:val="22"/>
          <w:szCs w:val="22"/>
        </w:rPr>
        <w:t xml:space="preserve">formal removal by child protection services, or </w:t>
      </w:r>
    </w:p>
    <w:p w14:paraId="7D22ED0A" w14:textId="77777777" w:rsidR="007F0850" w:rsidRPr="00DF7116" w:rsidRDefault="007F0850" w:rsidP="00DF7116">
      <w:pPr>
        <w:pStyle w:val="BodyText"/>
        <w:spacing w:line="276" w:lineRule="auto"/>
        <w:ind w:left="0"/>
        <w:rPr>
          <w:rFonts w:ascii="Proxima Nova" w:hAnsi="Proxima Nova" w:cstheme="minorHAnsi"/>
          <w:sz w:val="22"/>
          <w:szCs w:val="22"/>
        </w:rPr>
      </w:pPr>
    </w:p>
    <w:p w14:paraId="1971DAFE" w14:textId="15EF1330" w:rsidR="002D42AA" w:rsidRPr="00DF7116" w:rsidRDefault="00F20F66" w:rsidP="00DF7116">
      <w:pPr>
        <w:pStyle w:val="BodyText"/>
        <w:numPr>
          <w:ilvl w:val="0"/>
          <w:numId w:val="45"/>
        </w:numPr>
        <w:spacing w:line="276" w:lineRule="auto"/>
        <w:rPr>
          <w:rFonts w:ascii="Proxima Nova" w:hAnsi="Proxima Nova" w:cstheme="minorHAnsi"/>
          <w:sz w:val="22"/>
          <w:szCs w:val="22"/>
        </w:rPr>
      </w:pPr>
      <w:r w:rsidRPr="00DF7116">
        <w:rPr>
          <w:rFonts w:ascii="Proxima Nova" w:hAnsi="Proxima Nova" w:cstheme="minorHAnsi"/>
          <w:sz w:val="22"/>
          <w:szCs w:val="22"/>
        </w:rPr>
        <w:t xml:space="preserve">formal removal by the mother’s family members or the child’s </w:t>
      </w:r>
      <w:r w:rsidR="00270ED7" w:rsidRPr="00DF7116">
        <w:rPr>
          <w:rFonts w:ascii="Proxima Nova" w:hAnsi="Proxima Nova" w:cstheme="minorHAnsi"/>
          <w:sz w:val="22"/>
          <w:szCs w:val="22"/>
        </w:rPr>
        <w:t xml:space="preserve">other parent and that other parent’s family </w:t>
      </w:r>
      <w:r w:rsidRPr="00DF7116">
        <w:rPr>
          <w:rFonts w:ascii="Proxima Nova" w:hAnsi="Proxima Nova" w:cstheme="minorHAnsi"/>
          <w:sz w:val="22"/>
          <w:szCs w:val="22"/>
        </w:rPr>
        <w:t>pursuant to a family law order.</w:t>
      </w:r>
      <w:r w:rsidR="00270ED7" w:rsidRPr="00DF7116">
        <w:rPr>
          <w:rFonts w:ascii="Proxima Nova" w:hAnsi="Proxima Nova" w:cstheme="minorHAnsi"/>
          <w:sz w:val="22"/>
          <w:szCs w:val="22"/>
        </w:rPr>
        <w:t xml:space="preserve"> This form of restrictive practice has a particular impact on women who give birth to children and are often primary or sole caregivers.</w:t>
      </w:r>
    </w:p>
    <w:p w14:paraId="46F4D158" w14:textId="77777777" w:rsidR="00F20F66" w:rsidRPr="00DF7116" w:rsidRDefault="00F20F66" w:rsidP="00DF7116">
      <w:pPr>
        <w:pStyle w:val="ListParagraph"/>
        <w:spacing w:line="276" w:lineRule="auto"/>
        <w:ind w:hanging="720"/>
        <w:rPr>
          <w:rFonts w:ascii="Proxima Nova" w:hAnsi="Proxima Nova" w:cstheme="minorHAnsi"/>
          <w:sz w:val="22"/>
          <w:szCs w:val="22"/>
        </w:rPr>
      </w:pPr>
    </w:p>
    <w:p w14:paraId="1F2121DF" w14:textId="2E994E9E" w:rsidR="00F20F66" w:rsidRPr="00DF7116" w:rsidRDefault="00F20F66"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There is no available data on informal forced child removal. There is no comprehensive data on formal child removal because data is not consistently collected on parental disability. However, there is a higher incidence of forced child removal by child protection services</w:t>
      </w:r>
      <w:r w:rsidR="004010A8" w:rsidRPr="00DF7116">
        <w:rPr>
          <w:rFonts w:ascii="Proxima Nova" w:hAnsi="Proxima Nova" w:cstheme="minorHAnsi"/>
          <w:sz w:val="22"/>
          <w:szCs w:val="22"/>
        </w:rPr>
        <w:t>, and this is inextricably linked to discrimination in the child welfare system and care and protection justice system:</w:t>
      </w:r>
    </w:p>
    <w:p w14:paraId="4259E72D" w14:textId="77777777" w:rsidR="00CC1961" w:rsidRPr="00DF7116" w:rsidRDefault="00CC1961" w:rsidP="00DF7116">
      <w:pPr>
        <w:pStyle w:val="ListParagraph"/>
        <w:spacing w:line="276" w:lineRule="auto"/>
        <w:rPr>
          <w:rFonts w:ascii="Proxima Nova" w:hAnsi="Proxima Nova" w:cstheme="minorHAnsi"/>
          <w:sz w:val="22"/>
          <w:szCs w:val="22"/>
        </w:rPr>
      </w:pPr>
    </w:p>
    <w:p w14:paraId="5E68F18B" w14:textId="77777777" w:rsidR="00A22B2D" w:rsidRPr="00DF7116" w:rsidRDefault="00A22B2D" w:rsidP="00DF7116">
      <w:pPr>
        <w:pStyle w:val="BodyText"/>
        <w:spacing w:line="276" w:lineRule="auto"/>
        <w:ind w:left="1134"/>
        <w:rPr>
          <w:rFonts w:ascii="Proxima Nova" w:hAnsi="Proxima Nova" w:cstheme="minorHAnsi"/>
          <w:i/>
          <w:iCs/>
          <w:sz w:val="22"/>
          <w:szCs w:val="22"/>
        </w:rPr>
      </w:pPr>
      <w:r w:rsidRPr="00DF7116">
        <w:rPr>
          <w:rFonts w:ascii="Proxima Nova" w:hAnsi="Proxima Nova" w:cstheme="minorHAnsi"/>
          <w:i/>
          <w:iCs/>
          <w:sz w:val="22"/>
          <w:szCs w:val="22"/>
        </w:rPr>
        <w:t>Women with disability the world over are discouraged or denied the opportunity, to bear and raise children.</w:t>
      </w:r>
    </w:p>
    <w:p w14:paraId="55AA290C" w14:textId="77777777" w:rsidR="00A22B2D" w:rsidRPr="00DF7116" w:rsidRDefault="00A22B2D" w:rsidP="00DF7116">
      <w:pPr>
        <w:pStyle w:val="BodyText"/>
        <w:spacing w:line="276" w:lineRule="auto"/>
        <w:ind w:left="1134"/>
        <w:rPr>
          <w:rFonts w:ascii="Proxima Nova" w:hAnsi="Proxima Nova" w:cstheme="minorHAnsi"/>
          <w:i/>
          <w:iCs/>
          <w:sz w:val="22"/>
          <w:szCs w:val="22"/>
        </w:rPr>
      </w:pPr>
    </w:p>
    <w:p w14:paraId="217F4A47" w14:textId="77777777" w:rsidR="00A22B2D" w:rsidRPr="00DF7116" w:rsidRDefault="00A22B2D" w:rsidP="00DF7116">
      <w:pPr>
        <w:pStyle w:val="BodyText"/>
        <w:spacing w:line="276" w:lineRule="auto"/>
        <w:ind w:left="1134"/>
        <w:rPr>
          <w:rFonts w:ascii="Proxima Nova" w:hAnsi="Proxima Nova" w:cstheme="minorHAnsi"/>
          <w:i/>
          <w:iCs/>
          <w:sz w:val="22"/>
          <w:szCs w:val="22"/>
        </w:rPr>
      </w:pPr>
      <w:r w:rsidRPr="00DF7116">
        <w:rPr>
          <w:rFonts w:ascii="Proxima Nova" w:hAnsi="Proxima Nova" w:cstheme="minorHAnsi"/>
          <w:i/>
          <w:iCs/>
          <w:sz w:val="22"/>
          <w:szCs w:val="22"/>
        </w:rPr>
        <w:t xml:space="preserve">They have </w:t>
      </w:r>
      <w:proofErr w:type="gramStart"/>
      <w:r w:rsidRPr="00DF7116">
        <w:rPr>
          <w:rFonts w:ascii="Proxima Nova" w:hAnsi="Proxima Nova" w:cstheme="minorHAnsi"/>
          <w:i/>
          <w:iCs/>
          <w:sz w:val="22"/>
          <w:szCs w:val="22"/>
        </w:rPr>
        <w:t>been, and</w:t>
      </w:r>
      <w:proofErr w:type="gramEnd"/>
      <w:r w:rsidRPr="00DF7116">
        <w:rPr>
          <w:rFonts w:ascii="Proxima Nova" w:hAnsi="Proxima Nova" w:cstheme="minorHAnsi"/>
          <w:i/>
          <w:iCs/>
          <w:sz w:val="22"/>
          <w:szCs w:val="22"/>
        </w:rPr>
        <w:t xml:space="preserve"> continue to be perceived as not having a sexuality, dependent, recipients of care rather than mutual care-givers, and incapable of looking after children. Conversely, women with intellectual disability </w:t>
      </w:r>
      <w:proofErr w:type="gramStart"/>
      <w:r w:rsidRPr="00DF7116">
        <w:rPr>
          <w:rFonts w:ascii="Proxima Nova" w:hAnsi="Proxima Nova" w:cstheme="minorHAnsi"/>
          <w:i/>
          <w:iCs/>
          <w:sz w:val="22"/>
          <w:szCs w:val="22"/>
        </w:rPr>
        <w:t>in particular are</w:t>
      </w:r>
      <w:proofErr w:type="gramEnd"/>
      <w:r w:rsidRPr="00DF7116">
        <w:rPr>
          <w:rFonts w:ascii="Proxima Nova" w:hAnsi="Proxima Nova" w:cstheme="minorHAnsi"/>
          <w:i/>
          <w:iCs/>
          <w:sz w:val="22"/>
          <w:szCs w:val="22"/>
        </w:rPr>
        <w:t xml:space="preserve"> often regarded as overly sexual, creating a fear of profligacy. These perceptions, although very different, result in women with disability being denied the right to reproductive autonomy and self-determination.</w:t>
      </w:r>
    </w:p>
    <w:p w14:paraId="168F05FA" w14:textId="77777777" w:rsidR="00A22B2D" w:rsidRPr="00DF7116" w:rsidRDefault="00A22B2D" w:rsidP="00DF7116">
      <w:pPr>
        <w:pStyle w:val="BodyText"/>
        <w:spacing w:line="276" w:lineRule="auto"/>
        <w:ind w:left="1134"/>
        <w:rPr>
          <w:rFonts w:ascii="Proxima Nova" w:hAnsi="Proxima Nova" w:cstheme="minorHAnsi"/>
          <w:i/>
          <w:iCs/>
          <w:sz w:val="22"/>
          <w:szCs w:val="22"/>
        </w:rPr>
      </w:pPr>
    </w:p>
    <w:p w14:paraId="78487D7B" w14:textId="62F2A184" w:rsidR="00A22B2D" w:rsidRPr="00DF7116" w:rsidRDefault="00A22B2D" w:rsidP="00DF7116">
      <w:pPr>
        <w:pStyle w:val="BodyText"/>
        <w:spacing w:line="276" w:lineRule="auto"/>
        <w:ind w:left="1134"/>
        <w:rPr>
          <w:rFonts w:ascii="Proxima Nova" w:hAnsi="Proxima Nova" w:cstheme="minorHAnsi"/>
          <w:i/>
          <w:iCs/>
          <w:sz w:val="22"/>
          <w:szCs w:val="22"/>
        </w:rPr>
      </w:pPr>
      <w:r w:rsidRPr="00DF7116">
        <w:rPr>
          <w:rFonts w:ascii="Proxima Nova" w:hAnsi="Proxima Nova" w:cstheme="minorHAnsi"/>
          <w:i/>
          <w:iCs/>
          <w:sz w:val="22"/>
          <w:szCs w:val="22"/>
        </w:rPr>
        <w:t xml:space="preserve">Women with disability considering having and/or raising a child are often subjected to the </w:t>
      </w:r>
      <w:r w:rsidR="0067702C" w:rsidRPr="00DF7116">
        <w:rPr>
          <w:rFonts w:ascii="Proxima Nova" w:hAnsi="Proxima Nova" w:cstheme="minorHAnsi"/>
          <w:i/>
          <w:iCs/>
          <w:sz w:val="22"/>
          <w:szCs w:val="22"/>
        </w:rPr>
        <w:t>sceptical</w:t>
      </w:r>
      <w:r w:rsidRPr="00DF7116">
        <w:rPr>
          <w:rFonts w:ascii="Proxima Nova" w:hAnsi="Proxima Nova" w:cstheme="minorHAnsi"/>
          <w:i/>
          <w:iCs/>
          <w:sz w:val="22"/>
          <w:szCs w:val="22"/>
        </w:rPr>
        <w:t xml:space="preserve"> beliefs of family members, health workers, and even complete strangers, regarding their ability to care for a child.</w:t>
      </w:r>
    </w:p>
    <w:p w14:paraId="118F5F87" w14:textId="77777777" w:rsidR="00A22B2D" w:rsidRPr="00DF7116" w:rsidRDefault="00A22B2D" w:rsidP="00DF7116">
      <w:pPr>
        <w:pStyle w:val="BodyText"/>
        <w:spacing w:line="276" w:lineRule="auto"/>
        <w:ind w:left="1134"/>
        <w:rPr>
          <w:rFonts w:ascii="Proxima Nova" w:hAnsi="Proxima Nova" w:cstheme="minorHAnsi"/>
          <w:i/>
          <w:iCs/>
          <w:sz w:val="22"/>
          <w:szCs w:val="22"/>
        </w:rPr>
      </w:pPr>
    </w:p>
    <w:p w14:paraId="35AE24C1" w14:textId="4100FA4E" w:rsidR="00A22B2D" w:rsidRPr="00DF7116" w:rsidRDefault="00A22B2D" w:rsidP="00DF7116">
      <w:pPr>
        <w:pStyle w:val="BodyText"/>
        <w:spacing w:line="276" w:lineRule="auto"/>
        <w:ind w:left="1134"/>
        <w:rPr>
          <w:rFonts w:ascii="Proxima Nova" w:hAnsi="Proxima Nova" w:cstheme="minorHAnsi"/>
          <w:i/>
          <w:iCs/>
          <w:sz w:val="22"/>
          <w:szCs w:val="22"/>
        </w:rPr>
      </w:pPr>
      <w:r w:rsidRPr="00DF7116">
        <w:rPr>
          <w:rFonts w:ascii="Proxima Nova" w:hAnsi="Proxima Nova" w:cstheme="minorHAnsi"/>
          <w:i/>
          <w:iCs/>
          <w:sz w:val="22"/>
          <w:szCs w:val="22"/>
        </w:rPr>
        <w:t>In Australia, children of people with disability are subject to removal from their parents by authorities at a rate up to ten times higher than other parents.</w:t>
      </w:r>
      <w:r w:rsidR="00C15C20" w:rsidRPr="00DF7116">
        <w:rPr>
          <w:rFonts w:ascii="Proxima Nova" w:hAnsi="Proxima Nova" w:cstheme="minorHAnsi"/>
          <w:i/>
          <w:iCs/>
          <w:sz w:val="22"/>
          <w:szCs w:val="22"/>
        </w:rPr>
        <w:t xml:space="preserve"> </w:t>
      </w:r>
      <w:r w:rsidRPr="00DF7116">
        <w:rPr>
          <w:rFonts w:ascii="Proxima Nova" w:hAnsi="Proxima Nova" w:cstheme="minorHAnsi"/>
          <w:i/>
          <w:iCs/>
          <w:sz w:val="22"/>
          <w:szCs w:val="22"/>
        </w:rPr>
        <w:t xml:space="preserve">In many circumstances children are removed pre-emptively solely </w:t>
      </w:r>
      <w:proofErr w:type="gramStart"/>
      <w:r w:rsidRPr="00DF7116">
        <w:rPr>
          <w:rFonts w:ascii="Proxima Nova" w:hAnsi="Proxima Nova" w:cstheme="minorHAnsi"/>
          <w:i/>
          <w:iCs/>
          <w:sz w:val="22"/>
          <w:szCs w:val="22"/>
        </w:rPr>
        <w:t>on the basis of</w:t>
      </w:r>
      <w:proofErr w:type="gramEnd"/>
      <w:r w:rsidRPr="00DF7116">
        <w:rPr>
          <w:rFonts w:ascii="Proxima Nova" w:hAnsi="Proxima Nova" w:cstheme="minorHAnsi"/>
          <w:i/>
          <w:iCs/>
          <w:sz w:val="22"/>
          <w:szCs w:val="22"/>
        </w:rPr>
        <w:t xml:space="preserve"> the </w:t>
      </w:r>
      <w:r w:rsidR="00335AD1" w:rsidRPr="00DF7116">
        <w:rPr>
          <w:rFonts w:ascii="Proxima Nova" w:hAnsi="Proxima Nova" w:cstheme="minorHAnsi"/>
          <w:i/>
          <w:iCs/>
          <w:sz w:val="22"/>
          <w:szCs w:val="22"/>
        </w:rPr>
        <w:t>parent’s</w:t>
      </w:r>
      <w:r w:rsidRPr="00DF7116">
        <w:rPr>
          <w:rFonts w:ascii="Proxima Nova" w:hAnsi="Proxima Nova" w:cstheme="minorHAnsi"/>
          <w:i/>
          <w:iCs/>
          <w:sz w:val="22"/>
          <w:szCs w:val="22"/>
        </w:rPr>
        <w:t xml:space="preserve"> disability (most often the mother), despite there being no evidence of any neglect, abuse and/or parental incompetence.</w:t>
      </w:r>
    </w:p>
    <w:p w14:paraId="1E225090" w14:textId="77777777" w:rsidR="00A22B2D" w:rsidRPr="00DF7116" w:rsidRDefault="00A22B2D" w:rsidP="00DF7116">
      <w:pPr>
        <w:pStyle w:val="BodyText"/>
        <w:spacing w:line="276" w:lineRule="auto"/>
        <w:ind w:left="1134"/>
        <w:rPr>
          <w:rFonts w:ascii="Proxima Nova" w:hAnsi="Proxima Nova" w:cstheme="minorHAnsi"/>
          <w:i/>
          <w:iCs/>
          <w:sz w:val="22"/>
          <w:szCs w:val="22"/>
        </w:rPr>
      </w:pPr>
    </w:p>
    <w:p w14:paraId="3DD02737" w14:textId="77777777" w:rsidR="00A22B2D" w:rsidRPr="00DF7116" w:rsidRDefault="00A22B2D" w:rsidP="00DF7116">
      <w:pPr>
        <w:pStyle w:val="BodyText"/>
        <w:spacing w:line="276" w:lineRule="auto"/>
        <w:ind w:left="1134"/>
        <w:rPr>
          <w:rFonts w:ascii="Proxima Nova" w:hAnsi="Proxima Nova" w:cstheme="minorHAnsi"/>
          <w:i/>
          <w:iCs/>
          <w:sz w:val="22"/>
          <w:szCs w:val="22"/>
        </w:rPr>
      </w:pPr>
      <w:r w:rsidRPr="00DF7116">
        <w:rPr>
          <w:rFonts w:ascii="Proxima Nova" w:hAnsi="Proxima Nova" w:cstheme="minorHAnsi"/>
          <w:i/>
          <w:iCs/>
          <w:sz w:val="22"/>
          <w:szCs w:val="22"/>
        </w:rPr>
        <w:t>Women with intellectual disability who are parents, are scrutinised by health and welfare workers and held to higher standards than those that are applied to non-</w:t>
      </w:r>
      <w:r w:rsidRPr="00DF7116">
        <w:rPr>
          <w:rFonts w:ascii="Proxima Nova" w:hAnsi="Proxima Nova" w:cstheme="minorHAnsi"/>
          <w:i/>
          <w:iCs/>
          <w:sz w:val="22"/>
          <w:szCs w:val="22"/>
        </w:rPr>
        <w:lastRenderedPageBreak/>
        <w:t>disabled women who are parents. The evidence used to judge potential for parental inadequacy is often based on unfair and invalid assessment procedures that are often carried out in unsupportive environments.</w:t>
      </w:r>
    </w:p>
    <w:p w14:paraId="32DE0B20" w14:textId="77777777" w:rsidR="00A22B2D" w:rsidRPr="00DF7116" w:rsidRDefault="00A22B2D" w:rsidP="00DF7116">
      <w:pPr>
        <w:pStyle w:val="BodyText"/>
        <w:spacing w:line="276" w:lineRule="auto"/>
        <w:ind w:left="1134"/>
        <w:rPr>
          <w:rFonts w:ascii="Proxima Nova" w:hAnsi="Proxima Nova" w:cstheme="minorHAnsi"/>
          <w:i/>
          <w:iCs/>
          <w:sz w:val="22"/>
          <w:szCs w:val="22"/>
        </w:rPr>
      </w:pPr>
    </w:p>
    <w:p w14:paraId="666D377F" w14:textId="77777777" w:rsidR="00A22B2D" w:rsidRPr="00DF7116" w:rsidRDefault="00A22B2D" w:rsidP="00DF7116">
      <w:pPr>
        <w:pStyle w:val="BodyText"/>
        <w:spacing w:line="276" w:lineRule="auto"/>
        <w:ind w:left="1134"/>
        <w:rPr>
          <w:rFonts w:ascii="Proxima Nova" w:hAnsi="Proxima Nova" w:cstheme="minorHAnsi"/>
          <w:i/>
          <w:iCs/>
          <w:sz w:val="22"/>
          <w:szCs w:val="22"/>
        </w:rPr>
      </w:pPr>
      <w:r w:rsidRPr="00DF7116">
        <w:rPr>
          <w:rFonts w:ascii="Proxima Nova" w:hAnsi="Proxima Nova" w:cstheme="minorHAnsi"/>
          <w:i/>
          <w:iCs/>
          <w:sz w:val="22"/>
          <w:szCs w:val="22"/>
        </w:rPr>
        <w:t>Mothers with disability are significantly overrepresented in child protection systems in Australia despite having the same capacity as other women to be effective parents.</w:t>
      </w:r>
    </w:p>
    <w:p w14:paraId="09E6C8FF" w14:textId="77777777" w:rsidR="00A22B2D" w:rsidRPr="00DF7116" w:rsidRDefault="00A22B2D" w:rsidP="00DF7116">
      <w:pPr>
        <w:pStyle w:val="BodyText"/>
        <w:spacing w:line="276" w:lineRule="auto"/>
        <w:ind w:left="1134"/>
        <w:rPr>
          <w:rFonts w:ascii="Proxima Nova" w:hAnsi="Proxima Nova" w:cstheme="minorHAnsi"/>
          <w:i/>
          <w:iCs/>
          <w:sz w:val="22"/>
          <w:szCs w:val="22"/>
        </w:rPr>
      </w:pPr>
    </w:p>
    <w:p w14:paraId="2CACA0B6" w14:textId="77777777" w:rsidR="00A22B2D" w:rsidRPr="00DF7116" w:rsidRDefault="00A22B2D" w:rsidP="00DF7116">
      <w:pPr>
        <w:pStyle w:val="BodyText"/>
        <w:spacing w:line="276" w:lineRule="auto"/>
        <w:ind w:left="1134"/>
        <w:rPr>
          <w:rFonts w:ascii="Proxima Nova" w:hAnsi="Proxima Nova" w:cstheme="minorHAnsi"/>
          <w:i/>
          <w:iCs/>
          <w:sz w:val="22"/>
          <w:szCs w:val="22"/>
        </w:rPr>
      </w:pPr>
      <w:r w:rsidRPr="00DF7116">
        <w:rPr>
          <w:rFonts w:ascii="Proxima Nova" w:hAnsi="Proxima Nova" w:cstheme="minorHAnsi"/>
          <w:i/>
          <w:iCs/>
          <w:sz w:val="22"/>
          <w:szCs w:val="22"/>
        </w:rPr>
        <w:t>Evidence demonstrates that parents with disability are no more likely to maltreat or neglect children than non-disabled parents.</w:t>
      </w:r>
    </w:p>
    <w:p w14:paraId="749A307F" w14:textId="77777777" w:rsidR="00A22B2D" w:rsidRPr="00DF7116" w:rsidRDefault="00A22B2D" w:rsidP="00DF7116">
      <w:pPr>
        <w:pStyle w:val="BodyText"/>
        <w:spacing w:line="276" w:lineRule="auto"/>
        <w:ind w:left="1134"/>
        <w:rPr>
          <w:rFonts w:ascii="Proxima Nova" w:hAnsi="Proxima Nova" w:cstheme="minorHAnsi"/>
          <w:i/>
          <w:iCs/>
          <w:sz w:val="22"/>
          <w:szCs w:val="22"/>
        </w:rPr>
      </w:pPr>
    </w:p>
    <w:p w14:paraId="4A69D1EC" w14:textId="6CD2BE38" w:rsidR="00CC1961" w:rsidRPr="00DF7116" w:rsidRDefault="00A22B2D" w:rsidP="00DF7116">
      <w:pPr>
        <w:pStyle w:val="BodyText"/>
        <w:spacing w:line="276" w:lineRule="auto"/>
        <w:ind w:left="1134"/>
        <w:rPr>
          <w:rFonts w:ascii="Proxima Nova" w:hAnsi="Proxima Nova" w:cstheme="minorHAnsi"/>
          <w:sz w:val="22"/>
          <w:szCs w:val="22"/>
        </w:rPr>
      </w:pPr>
      <w:r w:rsidRPr="00DF7116">
        <w:rPr>
          <w:rFonts w:ascii="Proxima Nova" w:hAnsi="Proxima Nova" w:cstheme="minorHAnsi"/>
          <w:i/>
          <w:iCs/>
          <w:sz w:val="22"/>
          <w:szCs w:val="22"/>
        </w:rPr>
        <w:t xml:space="preserve">Women with disability experience extensive discrimination in the justice system. A common impact of violence perpetrated against women with disability (particularly domestic and family violence) is the removal of their children by authorities </w:t>
      </w:r>
      <w:proofErr w:type="gramStart"/>
      <w:r w:rsidRPr="00DF7116">
        <w:rPr>
          <w:rFonts w:ascii="Proxima Nova" w:hAnsi="Proxima Nova" w:cstheme="minorHAnsi"/>
          <w:i/>
          <w:iCs/>
          <w:sz w:val="22"/>
          <w:szCs w:val="22"/>
        </w:rPr>
        <w:t>on the basis of</w:t>
      </w:r>
      <w:proofErr w:type="gramEnd"/>
      <w:r w:rsidRPr="00DF7116">
        <w:rPr>
          <w:rFonts w:ascii="Proxima Nova" w:hAnsi="Proxima Nova" w:cstheme="minorHAnsi"/>
          <w:i/>
          <w:iCs/>
          <w:sz w:val="22"/>
          <w:szCs w:val="22"/>
        </w:rPr>
        <w:t xml:space="preserve"> parental disability.</w:t>
      </w:r>
      <w:r w:rsidR="001939C2" w:rsidRPr="00DF7116">
        <w:rPr>
          <w:rStyle w:val="EndnoteReference"/>
          <w:rFonts w:ascii="Proxima Nova" w:hAnsi="Proxima Nova" w:cstheme="minorHAnsi"/>
          <w:sz w:val="22"/>
          <w:szCs w:val="22"/>
        </w:rPr>
        <w:endnoteReference w:id="158"/>
      </w:r>
    </w:p>
    <w:p w14:paraId="49A4E6D1" w14:textId="2E8785BC" w:rsidR="00F20F66" w:rsidRPr="00DF7116" w:rsidRDefault="00F20F66" w:rsidP="00DF7116">
      <w:pPr>
        <w:pStyle w:val="ListParagraph"/>
        <w:spacing w:line="276" w:lineRule="auto"/>
        <w:ind w:left="0"/>
        <w:rPr>
          <w:rFonts w:ascii="Proxima Nova" w:hAnsi="Proxima Nova" w:cstheme="minorHAnsi"/>
          <w:sz w:val="22"/>
          <w:szCs w:val="22"/>
        </w:rPr>
      </w:pPr>
    </w:p>
    <w:p w14:paraId="23381885" w14:textId="021DAA99" w:rsidR="00EA5865" w:rsidRPr="00DF7116" w:rsidRDefault="0005095D" w:rsidP="00DF7116">
      <w:pPr>
        <w:pStyle w:val="ListParagraph"/>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 xml:space="preserve">In 2013, the Australian Council of Human Rights Authorities (ACHRA) identified discrimination against ‘potential and actual parents with disability’ as “one of three most urgent and pressing human rights issues in Australia today.” </w:t>
      </w:r>
      <w:r w:rsidR="008F7FDC" w:rsidRPr="00DF7116">
        <w:rPr>
          <w:rFonts w:ascii="Proxima Nova" w:hAnsi="Proxima Nova" w:cstheme="minorHAnsi"/>
          <w:sz w:val="22"/>
          <w:szCs w:val="22"/>
        </w:rPr>
        <w:t xml:space="preserve">ACHRA recommended the Australian Government take urgent action on this discrimination against parents with disability, however this recommendation has not been implemented. </w:t>
      </w:r>
      <w:r w:rsidRPr="00DF7116">
        <w:rPr>
          <w:rFonts w:ascii="Proxima Nova" w:hAnsi="Proxima Nova" w:cstheme="minorHAnsi"/>
          <w:sz w:val="22"/>
          <w:szCs w:val="22"/>
        </w:rPr>
        <w:t>The Communiqué from the ACHRA 2013 annual meeting stated</w:t>
      </w:r>
      <w:r w:rsidR="00EA5865" w:rsidRPr="00DF7116">
        <w:rPr>
          <w:rFonts w:ascii="Proxima Nova" w:hAnsi="Proxima Nova" w:cstheme="minorHAnsi"/>
          <w:sz w:val="22"/>
          <w:szCs w:val="22"/>
        </w:rPr>
        <w:t>, in part</w:t>
      </w:r>
      <w:r w:rsidRPr="00DF7116">
        <w:rPr>
          <w:rFonts w:ascii="Proxima Nova" w:hAnsi="Proxima Nova" w:cstheme="minorHAnsi"/>
          <w:sz w:val="22"/>
          <w:szCs w:val="22"/>
        </w:rPr>
        <w:t xml:space="preserve">: </w:t>
      </w:r>
    </w:p>
    <w:p w14:paraId="5F6E2E4A" w14:textId="337B9257" w:rsidR="00EA5865" w:rsidRPr="00DF7116" w:rsidRDefault="00EA5865" w:rsidP="00DF7116">
      <w:pPr>
        <w:spacing w:line="276" w:lineRule="auto"/>
        <w:rPr>
          <w:rFonts w:ascii="Proxima Nova" w:hAnsi="Proxima Nova" w:cstheme="minorHAnsi"/>
          <w:sz w:val="22"/>
          <w:szCs w:val="22"/>
        </w:rPr>
      </w:pPr>
    </w:p>
    <w:p w14:paraId="27B6D475" w14:textId="6E79BC73" w:rsidR="00C15C20" w:rsidRPr="00DF7116" w:rsidRDefault="0005095D" w:rsidP="00DF7116">
      <w:pPr>
        <w:spacing w:line="276" w:lineRule="auto"/>
        <w:ind w:left="1134"/>
        <w:rPr>
          <w:rFonts w:ascii="Proxima Nova" w:hAnsi="Proxima Nova" w:cstheme="minorHAnsi"/>
          <w:sz w:val="22"/>
          <w:szCs w:val="22"/>
        </w:rPr>
      </w:pPr>
      <w:r w:rsidRPr="00DF7116">
        <w:rPr>
          <w:rFonts w:ascii="Proxima Nova" w:hAnsi="Proxima Nova" w:cstheme="minorHAnsi"/>
          <w:i/>
          <w:iCs/>
          <w:sz w:val="22"/>
          <w:szCs w:val="22"/>
        </w:rPr>
        <w:t>Finally, having regard to evidence: (a) that parents with disability are significantly overrepresented in child protection systems in Australia despite having the same capacity to be effective parents; (b) that there is a lack of systematic data collection and analysis; (c) that there is a lack of appropriate supports to potential and actual parents with disability, - ACHRA calls for better data collection and better research into negative presumptions being made about people with disabilities being able to effectively parent. ACHRA calls for better support for these parents to fulfil their parenting roles and has identified that this as a priority given the discriminatory impact of negative presumptions.</w:t>
      </w:r>
      <w:r w:rsidRPr="00DF7116">
        <w:rPr>
          <w:rStyle w:val="EndnoteReference"/>
          <w:rFonts w:ascii="Proxima Nova" w:hAnsi="Proxima Nova" w:cstheme="minorHAnsi"/>
          <w:sz w:val="22"/>
          <w:szCs w:val="22"/>
        </w:rPr>
        <w:endnoteReference w:id="159"/>
      </w:r>
    </w:p>
    <w:p w14:paraId="4BF9B890" w14:textId="2F5C0F66" w:rsidR="00C15C20" w:rsidRPr="00DF7116" w:rsidRDefault="00C15C20" w:rsidP="00DF7116">
      <w:pPr>
        <w:pStyle w:val="ListParagraph"/>
        <w:spacing w:line="276" w:lineRule="auto"/>
        <w:ind w:left="0"/>
        <w:rPr>
          <w:rFonts w:ascii="Proxima Nova" w:hAnsi="Proxima Nova" w:cstheme="minorHAnsi"/>
          <w:sz w:val="22"/>
          <w:szCs w:val="22"/>
        </w:rPr>
      </w:pPr>
    </w:p>
    <w:p w14:paraId="445FD7CF" w14:textId="5CCB4F8C" w:rsidR="0058060C" w:rsidRPr="00DF7116" w:rsidRDefault="0058060C" w:rsidP="00DF7116">
      <w:pPr>
        <w:pStyle w:val="ListParagraph"/>
        <w:numPr>
          <w:ilvl w:val="1"/>
          <w:numId w:val="27"/>
        </w:numPr>
        <w:spacing w:line="276" w:lineRule="auto"/>
        <w:ind w:left="720" w:hanging="720"/>
        <w:rPr>
          <w:rFonts w:ascii="Proxima Nova" w:eastAsia="Calibri" w:hAnsi="Proxima Nova" w:cs="Calibri Light"/>
          <w:sz w:val="22"/>
          <w:szCs w:val="22"/>
        </w:rPr>
      </w:pPr>
      <w:r w:rsidRPr="00DF7116">
        <w:rPr>
          <w:rFonts w:ascii="Proxima Nova" w:eastAsia="Calibri" w:hAnsi="Proxima Nova" w:cs="Calibri Light"/>
          <w:sz w:val="22"/>
          <w:szCs w:val="22"/>
        </w:rPr>
        <w:t>In its 2019 Concluding Observations of Australia,</w:t>
      </w:r>
      <w:r w:rsidRPr="00DF7116">
        <w:rPr>
          <w:rFonts w:ascii="Proxima Nova" w:eastAsia="Calibri" w:hAnsi="Proxima Nova" w:cs="Calibri Light"/>
          <w:sz w:val="22"/>
          <w:szCs w:val="22"/>
          <w:vertAlign w:val="superscript"/>
        </w:rPr>
        <w:endnoteReference w:id="160"/>
      </w:r>
      <w:r w:rsidRPr="00DF7116">
        <w:rPr>
          <w:rFonts w:ascii="Proxima Nova" w:eastAsia="Calibri" w:hAnsi="Proxima Nova" w:cs="Calibri Light"/>
          <w:sz w:val="22"/>
          <w:szCs w:val="22"/>
        </w:rPr>
        <w:t xml:space="preserve"> the </w:t>
      </w:r>
      <w:r w:rsidR="00995B5B" w:rsidRPr="00DF7116">
        <w:rPr>
          <w:rFonts w:ascii="Proxima Nova" w:eastAsia="Calibri" w:hAnsi="Proxima Nova" w:cs="Calibri Light"/>
          <w:sz w:val="22"/>
          <w:szCs w:val="22"/>
        </w:rPr>
        <w:t xml:space="preserve">UN CRPD </w:t>
      </w:r>
      <w:r w:rsidRPr="00DF7116">
        <w:rPr>
          <w:rFonts w:ascii="Proxima Nova" w:eastAsia="Calibri" w:hAnsi="Proxima Nova" w:cs="Calibri Light"/>
          <w:sz w:val="22"/>
          <w:szCs w:val="22"/>
        </w:rPr>
        <w:t xml:space="preserve">Committee expressed its serious concerns about: ‘Parents with disabilities having their child more likely removed, often </w:t>
      </w:r>
      <w:proofErr w:type="gramStart"/>
      <w:r w:rsidRPr="00DF7116">
        <w:rPr>
          <w:rFonts w:ascii="Proxima Nova" w:eastAsia="Calibri" w:hAnsi="Proxima Nova" w:cs="Calibri Light"/>
          <w:sz w:val="22"/>
          <w:szCs w:val="22"/>
        </w:rPr>
        <w:t>on the basis of</w:t>
      </w:r>
      <w:proofErr w:type="gramEnd"/>
      <w:r w:rsidRPr="00DF7116">
        <w:rPr>
          <w:rFonts w:ascii="Proxima Nova" w:eastAsia="Calibri" w:hAnsi="Proxima Nova" w:cs="Calibri Light"/>
          <w:sz w:val="22"/>
          <w:szCs w:val="22"/>
        </w:rPr>
        <w:t xml:space="preserve"> disability</w:t>
      </w:r>
      <w:r w:rsidR="00564D49" w:rsidRPr="00DF7116">
        <w:rPr>
          <w:rFonts w:ascii="Proxima Nova" w:eastAsia="Calibri" w:hAnsi="Proxima Nova" w:cs="Calibri Light"/>
          <w:sz w:val="22"/>
          <w:szCs w:val="22"/>
        </w:rPr>
        <w:t>’</w:t>
      </w:r>
      <w:r w:rsidRPr="00DF7116">
        <w:rPr>
          <w:rFonts w:ascii="Proxima Nova" w:eastAsia="Calibri" w:hAnsi="Proxima Nova" w:cs="Calibri Light"/>
          <w:sz w:val="22"/>
          <w:szCs w:val="22"/>
        </w:rPr>
        <w:t xml:space="preserve"> and </w:t>
      </w:r>
      <w:r w:rsidR="00564D49" w:rsidRPr="00DF7116">
        <w:rPr>
          <w:rFonts w:ascii="Proxima Nova" w:eastAsia="Calibri" w:hAnsi="Proxima Nova" w:cs="Calibri Light"/>
          <w:sz w:val="22"/>
          <w:szCs w:val="22"/>
        </w:rPr>
        <w:t>‘</w:t>
      </w:r>
      <w:r w:rsidRPr="00DF7116">
        <w:rPr>
          <w:rFonts w:ascii="Proxima Nova" w:eastAsia="Calibri" w:hAnsi="Proxima Nova" w:cs="Calibri Light"/>
          <w:sz w:val="22"/>
          <w:szCs w:val="22"/>
        </w:rPr>
        <w:t>the lack of support in their exercise of parental responsibilities for their children’ and recommended that Australia:</w:t>
      </w:r>
    </w:p>
    <w:p w14:paraId="18CB021B" w14:textId="77777777" w:rsidR="00594A9B" w:rsidRPr="00DF7116" w:rsidRDefault="00594A9B" w:rsidP="00DF7116">
      <w:pPr>
        <w:pStyle w:val="ListParagraph"/>
        <w:spacing w:line="276" w:lineRule="auto"/>
        <w:ind w:left="0"/>
        <w:rPr>
          <w:rFonts w:ascii="Proxima Nova" w:eastAsia="Calibri" w:hAnsi="Proxima Nova" w:cs="Calibri Light"/>
          <w:sz w:val="22"/>
          <w:szCs w:val="22"/>
        </w:rPr>
      </w:pPr>
    </w:p>
    <w:p w14:paraId="185DCDDA" w14:textId="77777777" w:rsidR="0028238E" w:rsidRPr="00DF7116" w:rsidRDefault="0058060C" w:rsidP="00DF7116">
      <w:pPr>
        <w:pStyle w:val="ListParagraph"/>
        <w:spacing w:line="276" w:lineRule="auto"/>
        <w:ind w:left="1134"/>
        <w:rPr>
          <w:rFonts w:ascii="Proxima Nova" w:eastAsia="Calibri" w:hAnsi="Proxima Nova" w:cs="Calibri Light"/>
          <w:i/>
          <w:iCs/>
          <w:sz w:val="22"/>
          <w:szCs w:val="22"/>
        </w:rPr>
      </w:pPr>
      <w:r w:rsidRPr="00DF7116">
        <w:rPr>
          <w:rFonts w:ascii="Proxima Nova" w:eastAsia="Calibri" w:hAnsi="Proxima Nova" w:cs="Calibri Light"/>
          <w:i/>
          <w:iCs/>
          <w:sz w:val="22"/>
          <w:szCs w:val="22"/>
        </w:rPr>
        <w:t xml:space="preserve">Ensure no separation of children from parents </w:t>
      </w:r>
      <w:proofErr w:type="gramStart"/>
      <w:r w:rsidRPr="00DF7116">
        <w:rPr>
          <w:rFonts w:ascii="Proxima Nova" w:eastAsia="Calibri" w:hAnsi="Proxima Nova" w:cs="Calibri Light"/>
          <w:i/>
          <w:iCs/>
          <w:sz w:val="22"/>
          <w:szCs w:val="22"/>
        </w:rPr>
        <w:t>on the basis of</w:t>
      </w:r>
      <w:proofErr w:type="gramEnd"/>
      <w:r w:rsidRPr="00DF7116">
        <w:rPr>
          <w:rFonts w:ascii="Proxima Nova" w:eastAsia="Calibri" w:hAnsi="Proxima Nova" w:cs="Calibri Light"/>
          <w:i/>
          <w:iCs/>
          <w:sz w:val="22"/>
          <w:szCs w:val="22"/>
        </w:rPr>
        <w:t xml:space="preserve"> the disability of either the child or one or both of the parents;</w:t>
      </w:r>
      <w:r w:rsidR="00594A9B" w:rsidRPr="00DF7116">
        <w:rPr>
          <w:rFonts w:ascii="Proxima Nova" w:eastAsia="Calibri" w:hAnsi="Proxima Nova" w:cs="Calibri Light"/>
          <w:i/>
          <w:iCs/>
          <w:sz w:val="22"/>
          <w:szCs w:val="22"/>
        </w:rPr>
        <w:t xml:space="preserve"> and</w:t>
      </w:r>
    </w:p>
    <w:p w14:paraId="6B0C6EEF" w14:textId="61AED0C7" w:rsidR="0058060C" w:rsidRPr="00DF7116" w:rsidRDefault="0058060C" w:rsidP="00DF7116">
      <w:pPr>
        <w:spacing w:line="276" w:lineRule="auto"/>
        <w:rPr>
          <w:rFonts w:ascii="Proxima Nova" w:eastAsia="Calibri" w:hAnsi="Proxima Nova" w:cs="Calibri Light"/>
          <w:sz w:val="22"/>
          <w:szCs w:val="22"/>
        </w:rPr>
      </w:pPr>
    </w:p>
    <w:p w14:paraId="59520970" w14:textId="6CB1969F" w:rsidR="0058060C" w:rsidRPr="00DF7116" w:rsidRDefault="0058060C" w:rsidP="00DF7116">
      <w:pPr>
        <w:pStyle w:val="ListParagraph"/>
        <w:spacing w:line="276" w:lineRule="auto"/>
        <w:ind w:left="1134"/>
        <w:rPr>
          <w:rFonts w:ascii="Proxima Nova" w:eastAsia="Calibri" w:hAnsi="Proxima Nova" w:cs="Calibri Light"/>
          <w:sz w:val="22"/>
          <w:szCs w:val="22"/>
        </w:rPr>
      </w:pPr>
      <w:r w:rsidRPr="00DF7116">
        <w:rPr>
          <w:rFonts w:ascii="Proxima Nova" w:eastAsia="Calibri" w:hAnsi="Proxima Nova" w:cs="Calibri Light"/>
          <w:i/>
          <w:iCs/>
          <w:sz w:val="22"/>
          <w:szCs w:val="22"/>
        </w:rPr>
        <w:t>Adopt comprehensive and gender and culturally specific parenting and family support measures for parents with disabilities.</w:t>
      </w:r>
    </w:p>
    <w:p w14:paraId="73EC4992" w14:textId="4ACF50F6" w:rsidR="0058060C" w:rsidRPr="00DF7116" w:rsidRDefault="0058060C" w:rsidP="00DF7116">
      <w:pPr>
        <w:pStyle w:val="ListParagraph"/>
        <w:spacing w:line="276" w:lineRule="auto"/>
        <w:ind w:left="0"/>
        <w:rPr>
          <w:rFonts w:ascii="Proxima Nova" w:eastAsia="Calibri" w:hAnsi="Proxima Nova" w:cs="Calibri Light"/>
          <w:sz w:val="22"/>
          <w:szCs w:val="22"/>
        </w:rPr>
      </w:pPr>
    </w:p>
    <w:p w14:paraId="0E61CF01" w14:textId="62023FE2" w:rsidR="0058060C" w:rsidRPr="00DF7116" w:rsidRDefault="0058060C" w:rsidP="00DF7116">
      <w:pPr>
        <w:pStyle w:val="ListParagraph"/>
        <w:spacing w:line="276" w:lineRule="auto"/>
        <w:contextualSpacing w:val="0"/>
        <w:rPr>
          <w:rFonts w:ascii="Proxima Nova" w:eastAsia="Calibri" w:hAnsi="Proxima Nova" w:cs="Calibri Light"/>
          <w:sz w:val="22"/>
          <w:szCs w:val="22"/>
        </w:rPr>
      </w:pPr>
      <w:r w:rsidRPr="00DF7116">
        <w:rPr>
          <w:rFonts w:ascii="Proxima Nova" w:eastAsia="Calibri" w:hAnsi="Proxima Nova" w:cs="Calibri Light"/>
          <w:sz w:val="22"/>
          <w:szCs w:val="22"/>
        </w:rPr>
        <w:t>The CRPD Committee also expressed concern at ‘the reported discrimination, particularly of women with disabilities and LGBTIQ+ persons with disabilities in accessing assisted reproductive technologies’ and recommended that Australia implement all necessary measures to ‘ensure that women with disabilities and LGBTIQ+ persons with disabilities have equal access to assisted reproductive technologies.’</w:t>
      </w:r>
      <w:r w:rsidR="00564D49" w:rsidRPr="00DF7116">
        <w:rPr>
          <w:rFonts w:ascii="Proxima Nova" w:eastAsia="Calibri" w:hAnsi="Proxima Nova" w:cs="Calibri Light"/>
          <w:sz w:val="22"/>
          <w:szCs w:val="22"/>
          <w:vertAlign w:val="superscript"/>
        </w:rPr>
        <w:t xml:space="preserve"> </w:t>
      </w:r>
      <w:r w:rsidR="00564D49" w:rsidRPr="00DF7116">
        <w:rPr>
          <w:rFonts w:ascii="Proxima Nova" w:eastAsia="Calibri" w:hAnsi="Proxima Nova" w:cs="Calibri Light"/>
          <w:sz w:val="22"/>
          <w:szCs w:val="22"/>
          <w:vertAlign w:val="superscript"/>
        </w:rPr>
        <w:endnoteReference w:id="161"/>
      </w:r>
    </w:p>
    <w:p w14:paraId="46E49659" w14:textId="77777777" w:rsidR="0058060C" w:rsidRPr="00DF7116" w:rsidRDefault="0058060C" w:rsidP="00DF7116">
      <w:pPr>
        <w:pStyle w:val="ListParagraph"/>
        <w:spacing w:line="276" w:lineRule="auto"/>
        <w:ind w:left="0"/>
        <w:rPr>
          <w:rFonts w:ascii="Proxima Nova" w:eastAsia="Calibri" w:hAnsi="Proxima Nova" w:cs="Calibri Light"/>
          <w:sz w:val="22"/>
          <w:szCs w:val="22"/>
        </w:rPr>
      </w:pPr>
    </w:p>
    <w:p w14:paraId="7BD89879" w14:textId="34964E29" w:rsidR="00F20F66" w:rsidRPr="00DF7116" w:rsidRDefault="004010A8"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The impacts of forced chil</w:t>
      </w:r>
      <w:r w:rsidR="00CC1961" w:rsidRPr="00DF7116">
        <w:rPr>
          <w:rFonts w:ascii="Proxima Nova" w:hAnsi="Proxima Nova" w:cstheme="minorHAnsi"/>
          <w:sz w:val="22"/>
          <w:szCs w:val="22"/>
        </w:rPr>
        <w:t>d removal include ongoing grief and trauma. Removal can also be associated with further use of restrictive practices, such as sterilisation:</w:t>
      </w:r>
    </w:p>
    <w:p w14:paraId="613B605B" w14:textId="77777777" w:rsidR="00CC1961" w:rsidRPr="00DF7116" w:rsidRDefault="00CC1961" w:rsidP="00DF7116">
      <w:pPr>
        <w:pStyle w:val="ListParagraph"/>
        <w:spacing w:line="276" w:lineRule="auto"/>
        <w:ind w:left="0"/>
        <w:rPr>
          <w:rFonts w:ascii="Proxima Nova" w:hAnsi="Proxima Nova" w:cstheme="minorHAnsi"/>
          <w:sz w:val="22"/>
          <w:szCs w:val="22"/>
        </w:rPr>
      </w:pPr>
    </w:p>
    <w:p w14:paraId="455810ED" w14:textId="10057179" w:rsidR="001939C2" w:rsidRPr="00DF7116" w:rsidRDefault="001939C2" w:rsidP="00DF7116">
      <w:pPr>
        <w:pStyle w:val="BodyText"/>
        <w:spacing w:line="276" w:lineRule="auto"/>
        <w:ind w:left="1134"/>
        <w:rPr>
          <w:rFonts w:ascii="Proxima Nova" w:hAnsi="Proxima Nova" w:cstheme="minorHAnsi"/>
          <w:sz w:val="22"/>
          <w:szCs w:val="22"/>
        </w:rPr>
      </w:pPr>
      <w:r w:rsidRPr="00DF7116">
        <w:rPr>
          <w:rFonts w:ascii="Proxima Nova" w:hAnsi="Proxima Nova" w:cstheme="minorHAnsi"/>
          <w:i/>
          <w:iCs/>
          <w:sz w:val="22"/>
          <w:szCs w:val="22"/>
        </w:rPr>
        <w:t>Women with disability have been coerced to have hysterectomies after they have given birth to one or more children, who have usually been taken from their care; or as a condition of having access to their child who has been taken from their care.</w:t>
      </w:r>
      <w:r w:rsidR="0033334F" w:rsidRPr="00DF7116">
        <w:rPr>
          <w:rStyle w:val="EndnoteReference"/>
          <w:rFonts w:ascii="Proxima Nova" w:hAnsi="Proxima Nova" w:cstheme="minorHAnsi"/>
          <w:sz w:val="22"/>
          <w:szCs w:val="22"/>
        </w:rPr>
        <w:endnoteReference w:id="162"/>
      </w:r>
    </w:p>
    <w:p w14:paraId="505C9C1A" w14:textId="77777777" w:rsidR="00504E9D" w:rsidRPr="00DF7116" w:rsidRDefault="00504E9D" w:rsidP="00DF7116">
      <w:pPr>
        <w:pStyle w:val="BodyText"/>
        <w:spacing w:line="276" w:lineRule="auto"/>
        <w:rPr>
          <w:rFonts w:ascii="Proxima Nova" w:hAnsi="Proxima Nova" w:cstheme="minorHAnsi"/>
          <w:sz w:val="22"/>
          <w:szCs w:val="22"/>
        </w:rPr>
      </w:pPr>
    </w:p>
    <w:p w14:paraId="6BCC0977" w14:textId="225BD970" w:rsidR="003701AE" w:rsidRPr="00DF7116" w:rsidRDefault="00632309"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lastRenderedPageBreak/>
        <w:t>Restrictive practices against women and girls with disability can also extend to denial of support for sexual activity and intimate r</w:t>
      </w:r>
      <w:r w:rsidR="004A3968" w:rsidRPr="00DF7116">
        <w:rPr>
          <w:rFonts w:ascii="Proxima Nova" w:hAnsi="Proxima Nova" w:cstheme="minorHAnsi"/>
          <w:sz w:val="22"/>
          <w:szCs w:val="22"/>
        </w:rPr>
        <w:t>elationships</w:t>
      </w:r>
      <w:r w:rsidRPr="00DF7116">
        <w:rPr>
          <w:rFonts w:ascii="Proxima Nova" w:hAnsi="Proxima Nova" w:cstheme="minorHAnsi"/>
          <w:sz w:val="22"/>
          <w:szCs w:val="22"/>
        </w:rPr>
        <w:t>.</w:t>
      </w:r>
      <w:r w:rsidR="00F341F6" w:rsidRPr="00DF7116">
        <w:rPr>
          <w:rFonts w:ascii="Proxima Nova" w:hAnsi="Proxima Nova" w:cstheme="minorHAnsi"/>
          <w:sz w:val="22"/>
          <w:szCs w:val="22"/>
        </w:rPr>
        <w:t xml:space="preserve"> </w:t>
      </w:r>
      <w:r w:rsidR="005B710B" w:rsidRPr="00DF7116">
        <w:rPr>
          <w:rFonts w:ascii="Proxima Nova" w:hAnsi="Proxima Nova" w:cstheme="minorHAnsi"/>
          <w:sz w:val="22"/>
          <w:szCs w:val="22"/>
        </w:rPr>
        <w:t>Women and girls with disability might be more impacted by these sexual/relationship restrictive practices because they are less likely seen as sexual beings and are infantilised.</w:t>
      </w:r>
      <w:r w:rsidR="005B710B" w:rsidRPr="00DF7116">
        <w:rPr>
          <w:rStyle w:val="EndnoteReference"/>
          <w:rFonts w:ascii="Proxima Nova" w:hAnsi="Proxima Nova" w:cstheme="minorHAnsi"/>
          <w:sz w:val="22"/>
          <w:szCs w:val="22"/>
        </w:rPr>
        <w:endnoteReference w:id="163"/>
      </w:r>
    </w:p>
    <w:p w14:paraId="74B05F2A" w14:textId="77777777" w:rsidR="003701AE" w:rsidRPr="00DF7116" w:rsidRDefault="003701AE" w:rsidP="00DF7116">
      <w:pPr>
        <w:pStyle w:val="BodyText"/>
        <w:spacing w:line="276" w:lineRule="auto"/>
        <w:ind w:left="0"/>
        <w:rPr>
          <w:rFonts w:ascii="Proxima Nova" w:hAnsi="Proxima Nova" w:cstheme="minorHAnsi"/>
          <w:sz w:val="22"/>
          <w:szCs w:val="22"/>
        </w:rPr>
      </w:pPr>
    </w:p>
    <w:p w14:paraId="73837668" w14:textId="5E0410B6" w:rsidR="003701AE" w:rsidRPr="00DF7116" w:rsidRDefault="00F341F6"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D</w:t>
      </w:r>
      <w:r w:rsidR="00504E9D" w:rsidRPr="00DF7116">
        <w:rPr>
          <w:rFonts w:ascii="Proxima Nova" w:hAnsi="Proxima Nova" w:cstheme="minorHAnsi"/>
          <w:sz w:val="22"/>
          <w:szCs w:val="22"/>
        </w:rPr>
        <w:t xml:space="preserve">enial of support for sexual activity </w:t>
      </w:r>
      <w:r w:rsidRPr="00DF7116">
        <w:rPr>
          <w:rFonts w:ascii="Proxima Nova" w:hAnsi="Proxima Nova" w:cstheme="minorHAnsi"/>
          <w:sz w:val="22"/>
          <w:szCs w:val="22"/>
        </w:rPr>
        <w:t>includes disability support workers</w:t>
      </w:r>
      <w:r w:rsidR="0044750D" w:rsidRPr="00DF7116">
        <w:rPr>
          <w:rFonts w:ascii="Proxima Nova" w:hAnsi="Proxima Nova" w:cstheme="minorHAnsi"/>
          <w:sz w:val="22"/>
          <w:szCs w:val="22"/>
        </w:rPr>
        <w:t>,</w:t>
      </w:r>
      <w:r w:rsidRPr="00DF7116">
        <w:rPr>
          <w:rFonts w:ascii="Proxima Nova" w:hAnsi="Proxima Nova" w:cstheme="minorHAnsi"/>
          <w:sz w:val="22"/>
          <w:szCs w:val="22"/>
        </w:rPr>
        <w:t xml:space="preserve"> family members</w:t>
      </w:r>
      <w:r w:rsidR="0044750D" w:rsidRPr="00DF7116">
        <w:rPr>
          <w:rFonts w:ascii="Proxima Nova" w:hAnsi="Proxima Nova" w:cstheme="minorHAnsi"/>
          <w:sz w:val="22"/>
          <w:szCs w:val="22"/>
        </w:rPr>
        <w:t xml:space="preserve"> or informal carers</w:t>
      </w:r>
      <w:r w:rsidRPr="00DF7116">
        <w:rPr>
          <w:rFonts w:ascii="Proxima Nova" w:hAnsi="Proxima Nova" w:cstheme="minorHAnsi"/>
          <w:sz w:val="22"/>
          <w:szCs w:val="22"/>
        </w:rPr>
        <w:t xml:space="preserve"> refusing to assist a </w:t>
      </w:r>
      <w:r w:rsidR="00335AD1" w:rsidRPr="00DF7116">
        <w:rPr>
          <w:rFonts w:ascii="Proxima Nova" w:hAnsi="Proxima Nova" w:cstheme="minorHAnsi"/>
          <w:sz w:val="22"/>
          <w:szCs w:val="22"/>
        </w:rPr>
        <w:t>woman</w:t>
      </w:r>
      <w:r w:rsidRPr="00DF7116">
        <w:rPr>
          <w:rFonts w:ascii="Proxima Nova" w:hAnsi="Proxima Nova" w:cstheme="minorHAnsi"/>
          <w:sz w:val="22"/>
          <w:szCs w:val="22"/>
        </w:rPr>
        <w:t xml:space="preserve"> with disability to access what they need to learn </w:t>
      </w:r>
      <w:r w:rsidR="005B73BA" w:rsidRPr="00DF7116">
        <w:rPr>
          <w:rFonts w:ascii="Proxima Nova" w:hAnsi="Proxima Nova" w:cstheme="minorHAnsi"/>
          <w:sz w:val="22"/>
          <w:szCs w:val="22"/>
        </w:rPr>
        <w:t xml:space="preserve">about </w:t>
      </w:r>
      <w:r w:rsidRPr="00DF7116">
        <w:rPr>
          <w:rFonts w:ascii="Proxima Nova" w:hAnsi="Proxima Nova" w:cstheme="minorHAnsi"/>
          <w:sz w:val="22"/>
          <w:szCs w:val="22"/>
        </w:rPr>
        <w:t>and engage in se</w:t>
      </w:r>
      <w:r w:rsidR="005B73BA" w:rsidRPr="00DF7116">
        <w:rPr>
          <w:rFonts w:ascii="Proxima Nova" w:hAnsi="Proxima Nova" w:cstheme="minorHAnsi"/>
          <w:sz w:val="22"/>
          <w:szCs w:val="22"/>
        </w:rPr>
        <w:t>x</w:t>
      </w:r>
      <w:r w:rsidRPr="00DF7116">
        <w:rPr>
          <w:rFonts w:ascii="Proxima Nova" w:hAnsi="Proxima Nova" w:cstheme="minorHAnsi"/>
          <w:sz w:val="22"/>
          <w:szCs w:val="22"/>
        </w:rPr>
        <w:t>ual activity, including</w:t>
      </w:r>
      <w:r w:rsidR="00504E9D" w:rsidRPr="00DF7116">
        <w:rPr>
          <w:rFonts w:ascii="Proxima Nova" w:hAnsi="Proxima Nova" w:cstheme="minorHAnsi"/>
          <w:sz w:val="22"/>
          <w:szCs w:val="22"/>
        </w:rPr>
        <w:t xml:space="preserve"> </w:t>
      </w:r>
      <w:r w:rsidR="0076180D" w:rsidRPr="00DF7116">
        <w:rPr>
          <w:rFonts w:ascii="Proxima Nova" w:hAnsi="Proxima Nova" w:cstheme="minorHAnsi"/>
          <w:sz w:val="22"/>
          <w:szCs w:val="22"/>
        </w:rPr>
        <w:t xml:space="preserve">access to </w:t>
      </w:r>
      <w:r w:rsidR="00504E9D" w:rsidRPr="00DF7116">
        <w:rPr>
          <w:rFonts w:ascii="Proxima Nova" w:hAnsi="Proxima Nova" w:cstheme="minorHAnsi"/>
          <w:sz w:val="22"/>
          <w:szCs w:val="22"/>
        </w:rPr>
        <w:t xml:space="preserve">sex workers trained in </w:t>
      </w:r>
      <w:r w:rsidR="0076180D" w:rsidRPr="00DF7116">
        <w:rPr>
          <w:rFonts w:ascii="Proxima Nova" w:hAnsi="Proxima Nova" w:cstheme="minorHAnsi"/>
          <w:sz w:val="22"/>
          <w:szCs w:val="22"/>
        </w:rPr>
        <w:t xml:space="preserve">working with women with disability and women experiencing </w:t>
      </w:r>
      <w:r w:rsidR="00504E9D" w:rsidRPr="00DF7116">
        <w:rPr>
          <w:rFonts w:ascii="Proxima Nova" w:hAnsi="Proxima Nova" w:cstheme="minorHAnsi"/>
          <w:sz w:val="22"/>
          <w:szCs w:val="22"/>
        </w:rPr>
        <w:t>trauma</w:t>
      </w:r>
      <w:r w:rsidRPr="00DF7116">
        <w:rPr>
          <w:rFonts w:ascii="Proxima Nova" w:hAnsi="Proxima Nova" w:cstheme="minorHAnsi"/>
          <w:sz w:val="22"/>
          <w:szCs w:val="22"/>
        </w:rPr>
        <w:t>, sex therapists, or sex education.</w:t>
      </w:r>
      <w:r w:rsidR="003701AE" w:rsidRPr="00DF7116">
        <w:rPr>
          <w:rFonts w:ascii="Proxima Nova" w:hAnsi="Proxima Nova" w:cstheme="minorHAnsi"/>
          <w:sz w:val="22"/>
          <w:szCs w:val="22"/>
        </w:rPr>
        <w:t xml:space="preserve"> Denial of support for sexual activity is also facilitated at a systemic level by the denial of government funding to learn about and engage in sexual activity, such as the </w:t>
      </w:r>
      <w:r w:rsidR="0076180D" w:rsidRPr="00DF7116">
        <w:rPr>
          <w:rFonts w:ascii="Proxima Nova" w:hAnsi="Proxima Nova" w:cstheme="minorHAnsi"/>
          <w:sz w:val="22"/>
          <w:szCs w:val="22"/>
        </w:rPr>
        <w:t xml:space="preserve">ongoing resistance of </w:t>
      </w:r>
      <w:r w:rsidR="003701AE" w:rsidRPr="00DF7116">
        <w:rPr>
          <w:rFonts w:ascii="Proxima Nova" w:hAnsi="Proxima Nova" w:cstheme="minorHAnsi"/>
          <w:sz w:val="22"/>
          <w:szCs w:val="22"/>
        </w:rPr>
        <w:t xml:space="preserve">the Commonwealth government to </w:t>
      </w:r>
      <w:r w:rsidR="0076180D" w:rsidRPr="00DF7116">
        <w:rPr>
          <w:rFonts w:ascii="Proxima Nova" w:hAnsi="Proxima Nova" w:cstheme="minorHAnsi"/>
          <w:sz w:val="22"/>
          <w:szCs w:val="22"/>
        </w:rPr>
        <w:t>support</w:t>
      </w:r>
      <w:r w:rsidR="003701AE" w:rsidRPr="00DF7116">
        <w:rPr>
          <w:rFonts w:ascii="Proxima Nova" w:hAnsi="Proxima Nova" w:cstheme="minorHAnsi"/>
          <w:sz w:val="22"/>
          <w:szCs w:val="22"/>
        </w:rPr>
        <w:t xml:space="preserve"> NDIS funding for sex</w:t>
      </w:r>
      <w:r w:rsidR="0027388D" w:rsidRPr="00DF7116">
        <w:rPr>
          <w:rFonts w:ascii="Proxima Nova" w:hAnsi="Proxima Nova" w:cstheme="minorHAnsi"/>
          <w:sz w:val="22"/>
          <w:szCs w:val="22"/>
        </w:rPr>
        <w:t>ual services, as demonstrated by recent media statements by Minister Stuart Robert trivialising the issue as disabled people wanting to spend public money on ‘prostitutes’</w:t>
      </w:r>
      <w:r w:rsidR="0027388D" w:rsidRPr="00DF7116">
        <w:rPr>
          <w:rStyle w:val="EndnoteReference"/>
          <w:rFonts w:ascii="Proxima Nova" w:hAnsi="Proxima Nova" w:cstheme="minorHAnsi"/>
          <w:sz w:val="22"/>
          <w:szCs w:val="22"/>
        </w:rPr>
        <w:endnoteReference w:id="164"/>
      </w:r>
      <w:r w:rsidR="0027388D" w:rsidRPr="00DF7116">
        <w:rPr>
          <w:rFonts w:ascii="Proxima Nova" w:hAnsi="Proxima Nova" w:cstheme="minorHAnsi"/>
          <w:sz w:val="22"/>
          <w:szCs w:val="22"/>
        </w:rPr>
        <w:t xml:space="preserve"> and NDIS litigation on this issue.</w:t>
      </w:r>
      <w:r w:rsidR="00722E72" w:rsidRPr="00DF7116">
        <w:rPr>
          <w:rStyle w:val="EndnoteReference"/>
          <w:rFonts w:ascii="Proxima Nova" w:hAnsi="Proxima Nova" w:cstheme="minorHAnsi"/>
          <w:sz w:val="22"/>
          <w:szCs w:val="22"/>
        </w:rPr>
        <w:endnoteReference w:id="165"/>
      </w:r>
    </w:p>
    <w:p w14:paraId="6C49BE92" w14:textId="77777777" w:rsidR="003701AE" w:rsidRPr="00DF7116" w:rsidRDefault="003701AE" w:rsidP="00DF7116">
      <w:pPr>
        <w:pStyle w:val="BodyText"/>
        <w:spacing w:line="276" w:lineRule="auto"/>
        <w:ind w:left="720" w:hanging="720"/>
        <w:rPr>
          <w:rFonts w:ascii="Proxima Nova" w:hAnsi="Proxima Nova" w:cstheme="minorHAnsi"/>
          <w:sz w:val="22"/>
          <w:szCs w:val="22"/>
        </w:rPr>
      </w:pPr>
    </w:p>
    <w:p w14:paraId="1D5A7C05" w14:textId="2F62100A" w:rsidR="00F341F6" w:rsidRPr="00DF7116" w:rsidRDefault="00F341F6"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D</w:t>
      </w:r>
      <w:r w:rsidR="00504E9D" w:rsidRPr="00DF7116">
        <w:rPr>
          <w:rFonts w:ascii="Proxima Nova" w:hAnsi="Proxima Nova" w:cstheme="minorHAnsi"/>
          <w:sz w:val="22"/>
          <w:szCs w:val="22"/>
        </w:rPr>
        <w:t>enial of support for intimate relationships</w:t>
      </w:r>
      <w:r w:rsidRPr="00DF7116">
        <w:rPr>
          <w:rFonts w:ascii="Proxima Nova" w:hAnsi="Proxima Nova" w:cstheme="minorHAnsi"/>
          <w:sz w:val="22"/>
          <w:szCs w:val="22"/>
        </w:rPr>
        <w:t xml:space="preserve"> includes </w:t>
      </w:r>
      <w:r w:rsidR="0044750D" w:rsidRPr="00DF7116">
        <w:rPr>
          <w:rFonts w:ascii="Proxima Nova" w:hAnsi="Proxima Nova" w:cstheme="minorHAnsi"/>
          <w:sz w:val="22"/>
          <w:szCs w:val="22"/>
        </w:rPr>
        <w:t>disability support workers,</w:t>
      </w:r>
      <w:r w:rsidRPr="00DF7116">
        <w:rPr>
          <w:rFonts w:ascii="Proxima Nova" w:hAnsi="Proxima Nova" w:cstheme="minorHAnsi"/>
          <w:sz w:val="22"/>
          <w:szCs w:val="22"/>
        </w:rPr>
        <w:t xml:space="preserve"> family members </w:t>
      </w:r>
      <w:r w:rsidR="0044750D" w:rsidRPr="00DF7116">
        <w:rPr>
          <w:rFonts w:ascii="Proxima Nova" w:hAnsi="Proxima Nova" w:cstheme="minorHAnsi"/>
          <w:sz w:val="22"/>
          <w:szCs w:val="22"/>
        </w:rPr>
        <w:t xml:space="preserve">or informal carers </w:t>
      </w:r>
      <w:r w:rsidRPr="00DF7116">
        <w:rPr>
          <w:rFonts w:ascii="Proxima Nova" w:hAnsi="Proxima Nova" w:cstheme="minorHAnsi"/>
          <w:sz w:val="22"/>
          <w:szCs w:val="22"/>
        </w:rPr>
        <w:t xml:space="preserve">refusing to assist a </w:t>
      </w:r>
      <w:r w:rsidR="00335AD1" w:rsidRPr="00DF7116">
        <w:rPr>
          <w:rFonts w:ascii="Proxima Nova" w:hAnsi="Proxima Nova" w:cstheme="minorHAnsi"/>
          <w:sz w:val="22"/>
          <w:szCs w:val="22"/>
        </w:rPr>
        <w:t>woman</w:t>
      </w:r>
      <w:r w:rsidRPr="00DF7116">
        <w:rPr>
          <w:rFonts w:ascii="Proxima Nova" w:hAnsi="Proxima Nova" w:cstheme="minorHAnsi"/>
          <w:sz w:val="22"/>
          <w:szCs w:val="22"/>
        </w:rPr>
        <w:t xml:space="preserve"> with disability </w:t>
      </w:r>
      <w:r w:rsidR="005B73BA" w:rsidRPr="00DF7116">
        <w:rPr>
          <w:rFonts w:ascii="Proxima Nova" w:hAnsi="Proxima Nova" w:cstheme="minorHAnsi"/>
          <w:sz w:val="22"/>
          <w:szCs w:val="22"/>
        </w:rPr>
        <w:t xml:space="preserve">to access what they need to learn about and engage in an intimate relationship, including </w:t>
      </w:r>
      <w:r w:rsidR="00504E9D" w:rsidRPr="00DF7116">
        <w:rPr>
          <w:rFonts w:ascii="Proxima Nova" w:hAnsi="Proxima Nova" w:cstheme="minorHAnsi"/>
          <w:sz w:val="22"/>
          <w:szCs w:val="22"/>
        </w:rPr>
        <w:t>preventing cohabitation</w:t>
      </w:r>
      <w:r w:rsidR="00836286" w:rsidRPr="00DF7116">
        <w:rPr>
          <w:rFonts w:ascii="Proxima Nova" w:hAnsi="Proxima Nova" w:cstheme="minorHAnsi"/>
          <w:sz w:val="22"/>
          <w:szCs w:val="22"/>
        </w:rPr>
        <w:t xml:space="preserve"> with or preventing contact with an intimate partner and </w:t>
      </w:r>
      <w:r w:rsidR="00504E9D" w:rsidRPr="00DF7116">
        <w:rPr>
          <w:rFonts w:ascii="Proxima Nova" w:hAnsi="Proxima Nova" w:cstheme="minorHAnsi"/>
          <w:sz w:val="22"/>
          <w:szCs w:val="22"/>
        </w:rPr>
        <w:t xml:space="preserve">not supporting opportunities to meet potential partners. </w:t>
      </w:r>
    </w:p>
    <w:p w14:paraId="6A5B30B7" w14:textId="77777777" w:rsidR="00F341F6" w:rsidRPr="00DF7116" w:rsidRDefault="00F341F6" w:rsidP="00DF7116">
      <w:pPr>
        <w:pStyle w:val="BodyText"/>
        <w:spacing w:line="276" w:lineRule="auto"/>
        <w:ind w:left="720" w:hanging="720"/>
        <w:rPr>
          <w:rFonts w:ascii="Proxima Nova" w:hAnsi="Proxima Nova" w:cstheme="minorHAnsi"/>
          <w:sz w:val="22"/>
          <w:szCs w:val="22"/>
        </w:rPr>
      </w:pPr>
    </w:p>
    <w:p w14:paraId="5B846380" w14:textId="3D06137F" w:rsidR="004B30B1" w:rsidRPr="00DF7116" w:rsidRDefault="00722E72"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 xml:space="preserve">It is also important to note the gendered dimensions of other restrictive practices that shape the perpetration, incidence and impacts of these. </w:t>
      </w:r>
      <w:r w:rsidR="004B30B1" w:rsidRPr="00DF7116">
        <w:rPr>
          <w:rFonts w:ascii="Proxima Nova" w:hAnsi="Proxima Nova" w:cstheme="minorHAnsi"/>
          <w:sz w:val="22"/>
          <w:szCs w:val="22"/>
        </w:rPr>
        <w:t>This</w:t>
      </w:r>
      <w:r w:rsidR="00B70D54" w:rsidRPr="00DF7116">
        <w:rPr>
          <w:rFonts w:ascii="Proxima Nova" w:hAnsi="Proxima Nova" w:cstheme="minorHAnsi"/>
          <w:sz w:val="22"/>
          <w:szCs w:val="22"/>
        </w:rPr>
        <w:t xml:space="preserve"> is demonstrated by three</w:t>
      </w:r>
      <w:r w:rsidR="004B30B1" w:rsidRPr="00DF7116">
        <w:rPr>
          <w:rFonts w:ascii="Proxima Nova" w:hAnsi="Proxima Nova" w:cstheme="minorHAnsi"/>
          <w:sz w:val="22"/>
          <w:szCs w:val="22"/>
        </w:rPr>
        <w:t xml:space="preserve"> examples.</w:t>
      </w:r>
    </w:p>
    <w:p w14:paraId="7ADF26CC" w14:textId="77777777" w:rsidR="004B30B1" w:rsidRPr="00DF7116" w:rsidRDefault="004B30B1" w:rsidP="00DF7116">
      <w:pPr>
        <w:pStyle w:val="ListParagraph"/>
        <w:spacing w:line="276" w:lineRule="auto"/>
        <w:ind w:hanging="720"/>
        <w:rPr>
          <w:rFonts w:ascii="Proxima Nova" w:hAnsi="Proxima Nova" w:cstheme="minorHAnsi"/>
          <w:sz w:val="22"/>
          <w:szCs w:val="22"/>
        </w:rPr>
      </w:pPr>
    </w:p>
    <w:p w14:paraId="7EE45B08" w14:textId="7E6307FC" w:rsidR="004B30B1" w:rsidRPr="00DF7116" w:rsidRDefault="004B30B1"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One</w:t>
      </w:r>
      <w:r w:rsidR="00722E72" w:rsidRPr="00DF7116">
        <w:rPr>
          <w:rFonts w:ascii="Proxima Nova" w:hAnsi="Proxima Nova" w:cstheme="minorHAnsi"/>
          <w:sz w:val="22"/>
          <w:szCs w:val="22"/>
        </w:rPr>
        <w:t xml:space="preserve"> example</w:t>
      </w:r>
      <w:r w:rsidRPr="00DF7116">
        <w:rPr>
          <w:rFonts w:ascii="Proxima Nova" w:hAnsi="Proxima Nova" w:cstheme="minorHAnsi"/>
          <w:sz w:val="22"/>
          <w:szCs w:val="22"/>
        </w:rPr>
        <w:t xml:space="preserve"> is the use of psychotropic medication. There is </w:t>
      </w:r>
      <w:r w:rsidR="00504E9D" w:rsidRPr="00DF7116">
        <w:rPr>
          <w:rFonts w:ascii="Proxima Nova" w:hAnsi="Proxima Nova" w:cstheme="minorHAnsi"/>
          <w:sz w:val="22"/>
          <w:szCs w:val="22"/>
        </w:rPr>
        <w:t>a higher incide</w:t>
      </w:r>
      <w:r w:rsidR="002429C9" w:rsidRPr="00DF7116">
        <w:rPr>
          <w:rFonts w:ascii="Proxima Nova" w:hAnsi="Proxima Nova" w:cstheme="minorHAnsi"/>
          <w:sz w:val="22"/>
          <w:szCs w:val="22"/>
        </w:rPr>
        <w:t>nce of ECT in rela</w:t>
      </w:r>
      <w:r w:rsidRPr="00DF7116">
        <w:rPr>
          <w:rFonts w:ascii="Proxima Nova" w:hAnsi="Proxima Nova" w:cstheme="minorHAnsi"/>
          <w:sz w:val="22"/>
          <w:szCs w:val="22"/>
        </w:rPr>
        <w:t>tion to women.</w:t>
      </w:r>
      <w:r w:rsidR="00504E9D" w:rsidRPr="00DF7116">
        <w:rPr>
          <w:rStyle w:val="EndnoteReference"/>
          <w:rFonts w:ascii="Proxima Nova" w:hAnsi="Proxima Nova" w:cstheme="minorHAnsi"/>
          <w:sz w:val="22"/>
          <w:szCs w:val="22"/>
        </w:rPr>
        <w:endnoteReference w:id="166"/>
      </w:r>
      <w:r w:rsidR="002429C9" w:rsidRPr="00DF7116">
        <w:rPr>
          <w:rFonts w:ascii="Proxima Nova" w:hAnsi="Proxima Nova" w:cstheme="minorHAnsi"/>
          <w:sz w:val="22"/>
          <w:szCs w:val="22"/>
        </w:rPr>
        <w:t xml:space="preserve"> </w:t>
      </w:r>
      <w:r w:rsidRPr="00DF7116">
        <w:rPr>
          <w:rFonts w:ascii="Proxima Nova" w:hAnsi="Proxima Nova" w:cstheme="minorHAnsi"/>
          <w:sz w:val="22"/>
          <w:szCs w:val="22"/>
        </w:rPr>
        <w:t>W</w:t>
      </w:r>
      <w:r w:rsidR="002429C9" w:rsidRPr="00DF7116">
        <w:rPr>
          <w:rFonts w:ascii="Proxima Nova" w:hAnsi="Proxima Nova" w:cstheme="minorHAnsi"/>
          <w:sz w:val="22"/>
          <w:szCs w:val="22"/>
        </w:rPr>
        <w:t>omen and girls might be more subject to certain diagnoses (such as bipolar, borderline personality disorder, anxiety and depression) that are associated with involuntary mental health detention and treatment</w:t>
      </w:r>
      <w:r w:rsidRPr="00DF7116">
        <w:rPr>
          <w:rFonts w:ascii="Proxima Nova" w:hAnsi="Proxima Nova" w:cstheme="minorHAnsi"/>
          <w:sz w:val="22"/>
          <w:szCs w:val="22"/>
        </w:rPr>
        <w:t>, for such reasons as gendered norms of behaviour and the failure to recognise trauma related to sexual and physical violence.</w:t>
      </w:r>
      <w:r w:rsidR="00942D04" w:rsidRPr="00DF7116">
        <w:rPr>
          <w:rStyle w:val="EndnoteReference"/>
          <w:rFonts w:ascii="Proxima Nova" w:hAnsi="Proxima Nova" w:cstheme="minorHAnsi"/>
          <w:sz w:val="22"/>
          <w:szCs w:val="22"/>
        </w:rPr>
        <w:endnoteReference w:id="167"/>
      </w:r>
      <w:r w:rsidRPr="00DF7116">
        <w:rPr>
          <w:rFonts w:ascii="Proxima Nova" w:hAnsi="Proxima Nova" w:cstheme="minorHAnsi"/>
          <w:sz w:val="22"/>
          <w:szCs w:val="22"/>
        </w:rPr>
        <w:t xml:space="preserve"> </w:t>
      </w:r>
      <w:r w:rsidR="005114B2" w:rsidRPr="00DF7116">
        <w:rPr>
          <w:rFonts w:ascii="Proxima Nova" w:hAnsi="Proxima Nova" w:cstheme="minorHAnsi"/>
          <w:sz w:val="22"/>
          <w:szCs w:val="22"/>
        </w:rPr>
        <w:t xml:space="preserve">It is important to note that </w:t>
      </w:r>
      <w:r w:rsidR="00C31313" w:rsidRPr="00DF7116">
        <w:rPr>
          <w:rFonts w:ascii="Proxima Nova" w:hAnsi="Proxima Nova" w:cstheme="minorHAnsi"/>
          <w:sz w:val="22"/>
          <w:szCs w:val="22"/>
        </w:rPr>
        <w:t>psychotropic</w:t>
      </w:r>
      <w:r w:rsidR="005114B2" w:rsidRPr="00DF7116">
        <w:rPr>
          <w:rFonts w:ascii="Proxima Nova" w:hAnsi="Proxima Nova" w:cstheme="minorHAnsi"/>
          <w:sz w:val="22"/>
          <w:szCs w:val="22"/>
        </w:rPr>
        <w:t xml:space="preserve"> medication prescribed for </w:t>
      </w:r>
      <w:r w:rsidR="00221B56" w:rsidRPr="00DF7116">
        <w:rPr>
          <w:rFonts w:ascii="Proxima Nova" w:hAnsi="Proxima Nova" w:cstheme="minorHAnsi"/>
          <w:sz w:val="22"/>
          <w:szCs w:val="22"/>
        </w:rPr>
        <w:t>treatment</w:t>
      </w:r>
      <w:r w:rsidR="005114B2" w:rsidRPr="00DF7116">
        <w:rPr>
          <w:rFonts w:ascii="Proxima Nova" w:hAnsi="Proxima Nova" w:cstheme="minorHAnsi"/>
          <w:sz w:val="22"/>
          <w:szCs w:val="22"/>
        </w:rPr>
        <w:t xml:space="preserve"> rather than </w:t>
      </w:r>
      <w:r w:rsidR="00221B56" w:rsidRPr="00DF7116">
        <w:rPr>
          <w:rFonts w:ascii="Proxima Nova" w:hAnsi="Proxima Nova" w:cstheme="minorHAnsi"/>
          <w:sz w:val="22"/>
          <w:szCs w:val="22"/>
        </w:rPr>
        <w:t xml:space="preserve">influencing </w:t>
      </w:r>
      <w:r w:rsidR="005114B2" w:rsidRPr="00DF7116">
        <w:rPr>
          <w:rFonts w:ascii="Proxima Nova" w:hAnsi="Proxima Nova" w:cstheme="minorHAnsi"/>
          <w:sz w:val="22"/>
          <w:szCs w:val="22"/>
        </w:rPr>
        <w:t>behaviour is not recognised as ‘chemical restraint’ in the context of NDIS funded disability services</w:t>
      </w:r>
      <w:r w:rsidR="005114B2" w:rsidRPr="00DF7116">
        <w:rPr>
          <w:rStyle w:val="EndnoteReference"/>
          <w:rFonts w:ascii="Proxima Nova" w:hAnsi="Proxima Nova" w:cstheme="minorHAnsi"/>
          <w:sz w:val="22"/>
          <w:szCs w:val="22"/>
        </w:rPr>
        <w:endnoteReference w:id="168"/>
      </w:r>
      <w:r w:rsidR="005114B2" w:rsidRPr="00DF7116">
        <w:rPr>
          <w:rFonts w:ascii="Proxima Nova" w:hAnsi="Proxima Nova" w:cstheme="minorHAnsi"/>
          <w:sz w:val="22"/>
          <w:szCs w:val="22"/>
        </w:rPr>
        <w:t xml:space="preserve"> and RACFs.</w:t>
      </w:r>
      <w:r w:rsidR="005114B2" w:rsidRPr="00DF7116">
        <w:rPr>
          <w:rStyle w:val="EndnoteReference"/>
          <w:rFonts w:ascii="Proxima Nova" w:hAnsi="Proxima Nova" w:cstheme="minorHAnsi"/>
          <w:sz w:val="22"/>
          <w:szCs w:val="22"/>
        </w:rPr>
        <w:endnoteReference w:id="169"/>
      </w:r>
      <w:r w:rsidR="00221B56" w:rsidRPr="00DF7116">
        <w:rPr>
          <w:rFonts w:ascii="Proxima Nova" w:hAnsi="Proxima Nova" w:cstheme="minorHAnsi"/>
          <w:sz w:val="22"/>
          <w:szCs w:val="22"/>
        </w:rPr>
        <w:t xml:space="preserve"> </w:t>
      </w:r>
      <w:r w:rsidR="001713D3" w:rsidRPr="00DF7116">
        <w:rPr>
          <w:rFonts w:ascii="Proxima Nova" w:hAnsi="Proxima Nova" w:cstheme="minorHAnsi"/>
          <w:sz w:val="22"/>
          <w:szCs w:val="22"/>
        </w:rPr>
        <w:t>As we also noted in the context of LARCs, t</w:t>
      </w:r>
      <w:r w:rsidR="00221B56" w:rsidRPr="00DF7116">
        <w:rPr>
          <w:rFonts w:ascii="Proxima Nova" w:hAnsi="Proxima Nova" w:cstheme="minorHAnsi"/>
          <w:sz w:val="22"/>
          <w:szCs w:val="22"/>
        </w:rPr>
        <w:t xml:space="preserve">he line between </w:t>
      </w:r>
      <w:r w:rsidR="001713D3" w:rsidRPr="00DF7116">
        <w:rPr>
          <w:rFonts w:ascii="Proxima Nova" w:hAnsi="Proxima Nova" w:cstheme="minorHAnsi"/>
          <w:sz w:val="22"/>
          <w:szCs w:val="22"/>
        </w:rPr>
        <w:t xml:space="preserve">psychotropic </w:t>
      </w:r>
      <w:r w:rsidR="00221B56" w:rsidRPr="00DF7116">
        <w:rPr>
          <w:rFonts w:ascii="Proxima Nova" w:hAnsi="Proxima Nova" w:cstheme="minorHAnsi"/>
          <w:sz w:val="22"/>
          <w:szCs w:val="22"/>
        </w:rPr>
        <w:t>medication for treatment</w:t>
      </w:r>
      <w:r w:rsidR="001713D3" w:rsidRPr="00DF7116">
        <w:rPr>
          <w:rFonts w:ascii="Proxima Nova" w:hAnsi="Proxima Nova" w:cstheme="minorHAnsi"/>
          <w:sz w:val="22"/>
          <w:szCs w:val="22"/>
        </w:rPr>
        <w:t xml:space="preserve"> of a medical condition as opposed to behaviour</w:t>
      </w:r>
      <w:r w:rsidR="00221B56" w:rsidRPr="00DF7116">
        <w:rPr>
          <w:rFonts w:ascii="Proxima Nova" w:hAnsi="Proxima Nova" w:cstheme="minorHAnsi"/>
          <w:sz w:val="22"/>
          <w:szCs w:val="22"/>
        </w:rPr>
        <w:t xml:space="preserve"> </w:t>
      </w:r>
      <w:r w:rsidR="001713D3" w:rsidRPr="00DF7116">
        <w:rPr>
          <w:rFonts w:ascii="Proxima Nova" w:hAnsi="Proxima Nova" w:cstheme="minorHAnsi"/>
          <w:sz w:val="22"/>
          <w:szCs w:val="22"/>
        </w:rPr>
        <w:t>is inherently problematic in the context of people with disability who are often viewed through a medical model and have their behaviour pathologised, this being exacerbated for individuals diagnosed with disabilities that have a behavioural component</w:t>
      </w:r>
      <w:r w:rsidR="00221B56" w:rsidRPr="00DF7116">
        <w:rPr>
          <w:rFonts w:ascii="Proxima Nova" w:hAnsi="Proxima Nova" w:cstheme="minorHAnsi"/>
          <w:sz w:val="22"/>
          <w:szCs w:val="22"/>
        </w:rPr>
        <w:t>.</w:t>
      </w:r>
    </w:p>
    <w:p w14:paraId="458EACD4" w14:textId="385D2DCD" w:rsidR="005114B2" w:rsidRPr="00DF7116" w:rsidRDefault="005114B2" w:rsidP="00DF7116">
      <w:pPr>
        <w:pStyle w:val="BodyText"/>
        <w:spacing w:line="276" w:lineRule="auto"/>
        <w:ind w:left="720" w:hanging="720"/>
        <w:rPr>
          <w:rFonts w:ascii="Proxima Nova" w:hAnsi="Proxima Nova" w:cstheme="minorHAnsi"/>
          <w:sz w:val="22"/>
          <w:szCs w:val="22"/>
        </w:rPr>
      </w:pPr>
    </w:p>
    <w:p w14:paraId="3457FA46" w14:textId="5F430F82" w:rsidR="009E688F" w:rsidRPr="00DF7116" w:rsidRDefault="004B30B1"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 xml:space="preserve">A second example is restrictive practices in the form of denial of access to food and drink (such as locking fridges and kitchen cupboards in group homes). These might be guided by gendered ideas of ideal bodies and the greater emphasis on slimness as beauty in relation to females. The denial of access to food and drink </w:t>
      </w:r>
      <w:r w:rsidR="005114B2" w:rsidRPr="00DF7116">
        <w:rPr>
          <w:rFonts w:ascii="Proxima Nova" w:hAnsi="Proxima Nova" w:cstheme="minorHAnsi"/>
          <w:sz w:val="22"/>
          <w:szCs w:val="22"/>
        </w:rPr>
        <w:t xml:space="preserve">to women and girls with disability </w:t>
      </w:r>
      <w:r w:rsidRPr="00DF7116">
        <w:rPr>
          <w:rFonts w:ascii="Proxima Nova" w:hAnsi="Proxima Nova" w:cstheme="minorHAnsi"/>
          <w:sz w:val="22"/>
          <w:szCs w:val="22"/>
        </w:rPr>
        <w:t>is particularly problematic given weight gain caused by psychotropic drugs or lack of exercise and recreation options in institutional settings.</w:t>
      </w:r>
      <w:r w:rsidR="005B0668" w:rsidRPr="00DF7116">
        <w:rPr>
          <w:rStyle w:val="EndnoteReference"/>
          <w:rFonts w:ascii="Proxima Nova" w:hAnsi="Proxima Nova" w:cstheme="minorHAnsi"/>
          <w:sz w:val="22"/>
          <w:szCs w:val="22"/>
        </w:rPr>
        <w:endnoteReference w:id="170"/>
      </w:r>
      <w:r w:rsidRPr="00DF7116">
        <w:rPr>
          <w:rFonts w:ascii="Proxima Nova" w:hAnsi="Proxima Nova" w:cstheme="minorHAnsi"/>
          <w:sz w:val="22"/>
          <w:szCs w:val="22"/>
        </w:rPr>
        <w:t xml:space="preserve"> </w:t>
      </w:r>
    </w:p>
    <w:p w14:paraId="020FEBB9" w14:textId="77777777" w:rsidR="00B70D54" w:rsidRPr="00DF7116" w:rsidRDefault="00B70D54" w:rsidP="00DF7116">
      <w:pPr>
        <w:pStyle w:val="ListParagraph"/>
        <w:spacing w:line="276" w:lineRule="auto"/>
        <w:rPr>
          <w:rFonts w:ascii="Proxima Nova" w:hAnsi="Proxima Nova" w:cstheme="minorHAnsi"/>
          <w:sz w:val="22"/>
          <w:szCs w:val="22"/>
        </w:rPr>
      </w:pPr>
    </w:p>
    <w:p w14:paraId="01AE75A4" w14:textId="15485D15" w:rsidR="00B70D54" w:rsidRPr="00DF7116" w:rsidRDefault="00B70D54"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 xml:space="preserve">A third example is the use of restrictive practices in institutional and segregated settings. Many women and girls with disability are subject to restrictive practices in institutional and segregated settings where they have limited access to police, support services, lawyers or advocates, and are trapped within the entrenched sub-culture of violence and abuse prevalent in institutional and segregated settings. In these settings they experience social isolation and lack of access to learning environments; are often economically, physically and psychologically dependent on others; and are socialised or compelled to tolerate a high degree of personal indignity, mishandling, and violence, abuse, exploitation and neglect as an incident of service delivery to them. For example, drawing on restrictive practices research from </w:t>
      </w:r>
      <w:r w:rsidR="00AA6F38" w:rsidRPr="00DF7116">
        <w:rPr>
          <w:rFonts w:ascii="Proxima Nova" w:hAnsi="Proxima Nova" w:cstheme="minorHAnsi"/>
          <w:sz w:val="22"/>
          <w:szCs w:val="22"/>
        </w:rPr>
        <w:t xml:space="preserve">the </w:t>
      </w:r>
      <w:r w:rsidRPr="00DF7116">
        <w:rPr>
          <w:rFonts w:ascii="Proxima Nova" w:hAnsi="Proxima Nova" w:cstheme="minorHAnsi"/>
          <w:sz w:val="22"/>
          <w:szCs w:val="22"/>
        </w:rPr>
        <w:t xml:space="preserve">UK, Maker identified four key areas of concern. The first is that staff decisions about use of restrictive practices and their broader interactions with service users are ‘implicitly or explicitly influenced by gendered expectations and stereotypes’, such as </w:t>
      </w:r>
      <w:r w:rsidRPr="00DF7116">
        <w:rPr>
          <w:rFonts w:ascii="Proxima Nova" w:hAnsi="Proxima Nova" w:cstheme="minorHAnsi"/>
          <w:sz w:val="22"/>
          <w:szCs w:val="22"/>
        </w:rPr>
        <w:lastRenderedPageBreak/>
        <w:t>‘women with intellectual disability and women with certain mental health diagnoses are manipulative and attention seeking.’</w:t>
      </w:r>
      <w:r w:rsidRPr="00DF7116">
        <w:rPr>
          <w:rStyle w:val="EndnoteReference"/>
          <w:rFonts w:ascii="Proxima Nova" w:hAnsi="Proxima Nova" w:cstheme="minorHAnsi"/>
          <w:sz w:val="22"/>
          <w:szCs w:val="22"/>
        </w:rPr>
        <w:endnoteReference w:id="171"/>
      </w:r>
      <w:r w:rsidRPr="00DF7116">
        <w:rPr>
          <w:rFonts w:ascii="Proxima Nova" w:hAnsi="Proxima Nova" w:cstheme="minorHAnsi"/>
          <w:sz w:val="22"/>
          <w:szCs w:val="22"/>
        </w:rPr>
        <w:t xml:space="preserve"> Second, there is a focus on ‘approaches that downplay relationships and emotions and instead focus on “technological” solutions such as medication or treatment programmes.’</w:t>
      </w:r>
      <w:r w:rsidRPr="00DF7116">
        <w:rPr>
          <w:rStyle w:val="EndnoteReference"/>
          <w:rFonts w:ascii="Proxima Nova" w:hAnsi="Proxima Nova" w:cstheme="minorHAnsi"/>
          <w:sz w:val="22"/>
          <w:szCs w:val="22"/>
        </w:rPr>
        <w:endnoteReference w:id="172"/>
      </w:r>
      <w:r w:rsidRPr="00DF7116">
        <w:rPr>
          <w:rFonts w:ascii="Proxima Nova" w:hAnsi="Proxima Nova" w:cstheme="minorHAnsi"/>
          <w:sz w:val="22"/>
          <w:szCs w:val="22"/>
        </w:rPr>
        <w:t xml:space="preserve"> Third, ‘the gender of staff, including those involved in restraint, is not considered to be relevant to the planning or delivery of services. This ignores the discomfort or concerns that both service users and staff may have about men’s involvement in restraining women, and the reality that men are more likely than women to commit sexual assault or other abuse on women.’</w:t>
      </w:r>
      <w:r w:rsidRPr="00DF7116">
        <w:rPr>
          <w:rStyle w:val="EndnoteReference"/>
          <w:rFonts w:ascii="Proxima Nova" w:hAnsi="Proxima Nova" w:cstheme="minorHAnsi"/>
          <w:sz w:val="22"/>
          <w:szCs w:val="22"/>
        </w:rPr>
        <w:endnoteReference w:id="173"/>
      </w:r>
      <w:r w:rsidRPr="00DF7116">
        <w:rPr>
          <w:rFonts w:ascii="Proxima Nova" w:hAnsi="Proxima Nova" w:cstheme="minorHAnsi"/>
          <w:sz w:val="22"/>
          <w:szCs w:val="22"/>
        </w:rPr>
        <w:t xml:space="preserve"> Fourth, women experience restraint as a form of punishment and control, and as physically and psychologically harmful, and as interrelated with pre-existing trauma.</w:t>
      </w:r>
      <w:r w:rsidRPr="00DF7116">
        <w:rPr>
          <w:rStyle w:val="EndnoteReference"/>
          <w:rFonts w:ascii="Proxima Nova" w:hAnsi="Proxima Nova" w:cstheme="minorHAnsi"/>
          <w:sz w:val="22"/>
          <w:szCs w:val="22"/>
        </w:rPr>
        <w:endnoteReference w:id="174"/>
      </w:r>
      <w:r w:rsidRPr="00DF7116">
        <w:rPr>
          <w:rFonts w:ascii="Proxima Nova" w:hAnsi="Proxima Nova" w:cstheme="minorHAnsi"/>
          <w:sz w:val="22"/>
          <w:szCs w:val="22"/>
        </w:rPr>
        <w:t xml:space="preserve"> It is also important to note that in relation to the institutional setting of RACFs where restrictive practices are endemic, there are more women than men.</w:t>
      </w:r>
      <w:r w:rsidRPr="00DF7116">
        <w:rPr>
          <w:rStyle w:val="EndnoteReference"/>
          <w:rFonts w:ascii="Proxima Nova" w:hAnsi="Proxima Nova" w:cstheme="minorHAnsi"/>
          <w:sz w:val="22"/>
          <w:szCs w:val="22"/>
        </w:rPr>
        <w:endnoteReference w:id="175"/>
      </w:r>
    </w:p>
    <w:p w14:paraId="50268A45" w14:textId="77777777" w:rsidR="009E688F" w:rsidRPr="00DF7116" w:rsidRDefault="009E688F" w:rsidP="00DF7116">
      <w:pPr>
        <w:pStyle w:val="ListParagraph"/>
        <w:spacing w:line="276" w:lineRule="auto"/>
        <w:ind w:left="0"/>
        <w:rPr>
          <w:rFonts w:ascii="Proxima Nova" w:hAnsi="Proxima Nova"/>
          <w:sz w:val="22"/>
          <w:szCs w:val="22"/>
        </w:rPr>
      </w:pPr>
    </w:p>
    <w:p w14:paraId="69450027" w14:textId="7ADBF7CE" w:rsidR="009E688F" w:rsidRPr="00DF7116" w:rsidRDefault="009E688F" w:rsidP="00DF7116">
      <w:pPr>
        <w:pStyle w:val="BodyText"/>
        <w:numPr>
          <w:ilvl w:val="1"/>
          <w:numId w:val="27"/>
        </w:numPr>
        <w:spacing w:line="276" w:lineRule="auto"/>
        <w:ind w:left="720" w:hanging="720"/>
        <w:rPr>
          <w:rFonts w:ascii="Proxima Nova" w:hAnsi="Proxima Nova" w:cstheme="minorHAnsi"/>
          <w:sz w:val="22"/>
          <w:szCs w:val="22"/>
        </w:rPr>
      </w:pPr>
      <w:r w:rsidRPr="00DF7116">
        <w:rPr>
          <w:rFonts w:ascii="Proxima Nova" w:hAnsi="Proxima Nova" w:cstheme="minorHAnsi"/>
          <w:sz w:val="22"/>
          <w:szCs w:val="22"/>
        </w:rPr>
        <w:t xml:space="preserve">Having introduced our broadened gendered definition of restrictive practices, we now turn to discuss how </w:t>
      </w:r>
      <w:r w:rsidR="00D31EEC" w:rsidRPr="00DF7116">
        <w:rPr>
          <w:rFonts w:ascii="Proxima Nova" w:hAnsi="Proxima Nova" w:cstheme="minorHAnsi"/>
          <w:sz w:val="22"/>
          <w:szCs w:val="22"/>
        </w:rPr>
        <w:t xml:space="preserve">restrictive practices </w:t>
      </w:r>
      <w:r w:rsidRPr="00DF7116">
        <w:rPr>
          <w:rFonts w:ascii="Proxima Nova" w:hAnsi="Proxima Nova" w:cstheme="minorHAnsi"/>
          <w:sz w:val="22"/>
          <w:szCs w:val="22"/>
        </w:rPr>
        <w:t>constitute violence against women and girls with disability through an exploration of the use and legality of restrictive practices.</w:t>
      </w:r>
    </w:p>
    <w:p w14:paraId="7D3B7769" w14:textId="760A93E2" w:rsidR="009E688F" w:rsidRPr="00DF7116" w:rsidRDefault="009E688F" w:rsidP="00DF7116">
      <w:pPr>
        <w:pStyle w:val="ListParagraph"/>
        <w:spacing w:line="276" w:lineRule="auto"/>
        <w:ind w:left="0"/>
        <w:rPr>
          <w:rFonts w:ascii="Proxima Nova" w:hAnsi="Proxima Nova"/>
          <w:sz w:val="22"/>
          <w:szCs w:val="22"/>
        </w:rPr>
      </w:pPr>
    </w:p>
    <w:p w14:paraId="0ED84DC6" w14:textId="1B2C6466" w:rsidR="00FF1B0A" w:rsidRPr="00DF7116" w:rsidRDefault="00FF1B0A" w:rsidP="00DF7116">
      <w:pPr>
        <w:pStyle w:val="ListParagraph"/>
        <w:spacing w:line="276" w:lineRule="auto"/>
        <w:ind w:left="0"/>
        <w:rPr>
          <w:rFonts w:ascii="Proxima Nova" w:hAnsi="Proxima Nova"/>
          <w:sz w:val="22"/>
          <w:szCs w:val="22"/>
        </w:rPr>
      </w:pPr>
    </w:p>
    <w:p w14:paraId="11144AC4" w14:textId="6E732688" w:rsidR="007B7D27" w:rsidRDefault="007B7D27">
      <w:pPr>
        <w:rPr>
          <w:rFonts w:ascii="Proxima Nova" w:eastAsiaTheme="minorHAnsi" w:hAnsi="Proxima Nova" w:cstheme="minorBidi"/>
          <w:sz w:val="20"/>
          <w:szCs w:val="20"/>
          <w:lang w:val="en-GB"/>
        </w:rPr>
      </w:pPr>
      <w:r>
        <w:rPr>
          <w:rFonts w:ascii="Proxima Nova" w:hAnsi="Proxima Nova"/>
          <w:sz w:val="20"/>
          <w:szCs w:val="20"/>
        </w:rPr>
        <w:br w:type="page"/>
      </w:r>
    </w:p>
    <w:p w14:paraId="7C4471E7" w14:textId="100A5E4D" w:rsidR="007B7D27" w:rsidRPr="0086467F" w:rsidRDefault="007B7D27" w:rsidP="007B7D27">
      <w:pPr>
        <w:ind w:left="720" w:hanging="720"/>
        <w:rPr>
          <w:rFonts w:ascii="League Spartan" w:hAnsi="League Spartan"/>
          <w:color w:val="004479"/>
          <w:sz w:val="28"/>
          <w:szCs w:val="28"/>
        </w:rPr>
      </w:pPr>
      <w:r>
        <w:rPr>
          <w:rFonts w:ascii="League Spartan" w:hAnsi="League Spartan" w:cs="Calibri"/>
          <w:b/>
          <w:bCs/>
          <w:color w:val="004479"/>
          <w:sz w:val="28"/>
          <w:szCs w:val="28"/>
        </w:rPr>
        <w:lastRenderedPageBreak/>
        <w:t>5</w:t>
      </w:r>
      <w:r w:rsidRPr="0086467F">
        <w:rPr>
          <w:rFonts w:ascii="League Spartan" w:hAnsi="League Spartan" w:cs="Calibri"/>
          <w:b/>
          <w:bCs/>
          <w:color w:val="004479"/>
          <w:sz w:val="28"/>
          <w:szCs w:val="28"/>
        </w:rPr>
        <w:t>.</w:t>
      </w:r>
      <w:r w:rsidRPr="0086467F">
        <w:rPr>
          <w:rFonts w:ascii="League Spartan" w:hAnsi="League Spartan" w:cs="Calibri"/>
          <w:b/>
          <w:bCs/>
          <w:color w:val="004479"/>
          <w:sz w:val="28"/>
          <w:szCs w:val="28"/>
        </w:rPr>
        <w:tab/>
      </w:r>
      <w:r>
        <w:rPr>
          <w:rFonts w:ascii="League Spartan" w:hAnsi="League Spartan"/>
          <w:color w:val="004479"/>
          <w:sz w:val="28"/>
          <w:szCs w:val="28"/>
        </w:rPr>
        <w:t>USE</w:t>
      </w:r>
      <w:r w:rsidRPr="00A22348">
        <w:rPr>
          <w:rFonts w:ascii="League Spartan" w:hAnsi="League Spartan"/>
          <w:color w:val="004479"/>
          <w:sz w:val="28"/>
          <w:szCs w:val="28"/>
        </w:rPr>
        <w:t xml:space="preserve"> OF RESTRICTIVE PRACTICES</w:t>
      </w:r>
    </w:p>
    <w:p w14:paraId="529A15D5" w14:textId="77777777" w:rsidR="00FF1B0A" w:rsidRPr="00DF7116" w:rsidRDefault="00FF1B0A" w:rsidP="003F271C">
      <w:pPr>
        <w:pStyle w:val="ListParagraph"/>
        <w:spacing w:line="276" w:lineRule="auto"/>
        <w:ind w:hanging="720"/>
        <w:rPr>
          <w:rFonts w:ascii="Proxima Nova" w:hAnsi="Proxima Nova"/>
          <w:sz w:val="22"/>
          <w:szCs w:val="22"/>
        </w:rPr>
      </w:pPr>
    </w:p>
    <w:p w14:paraId="6974F5FF" w14:textId="403D7BE3" w:rsidR="003F271C" w:rsidRPr="00DF7116" w:rsidRDefault="003F271C" w:rsidP="003F271C">
      <w:pPr>
        <w:pStyle w:val="ListParagraph"/>
        <w:numPr>
          <w:ilvl w:val="1"/>
          <w:numId w:val="28"/>
        </w:numPr>
        <w:spacing w:line="276" w:lineRule="auto"/>
        <w:ind w:left="720" w:hanging="720"/>
        <w:rPr>
          <w:rFonts w:ascii="Proxima Nova" w:hAnsi="Proxima Nova"/>
          <w:sz w:val="22"/>
          <w:szCs w:val="22"/>
        </w:rPr>
      </w:pPr>
      <w:r w:rsidRPr="00DF7116">
        <w:rPr>
          <w:rFonts w:ascii="Proxima Nova" w:hAnsi="Proxima Nova"/>
          <w:sz w:val="22"/>
          <w:szCs w:val="22"/>
        </w:rPr>
        <w:t xml:space="preserve">In this section we explore </w:t>
      </w:r>
      <w:r w:rsidRPr="00DF7116">
        <w:rPr>
          <w:rFonts w:ascii="Proxima Nova" w:hAnsi="Proxima Nova" w:cstheme="minorHAnsi"/>
          <w:sz w:val="22"/>
          <w:szCs w:val="22"/>
        </w:rPr>
        <w:t>the violence arising from use of restrictive practices on women and girls with disability. We explain that this is a form of gendered ableist violence. By this we mean</w:t>
      </w:r>
      <w:r w:rsidRPr="00DF7116">
        <w:rPr>
          <w:rFonts w:ascii="Proxima Nova" w:hAnsi="Proxima Nova"/>
          <w:sz w:val="22"/>
          <w:szCs w:val="22"/>
        </w:rPr>
        <w:t xml:space="preserve"> use of restrictive practices violate, harm, dehumanise and segregate </w:t>
      </w:r>
      <w:r w:rsidRPr="00DF7116">
        <w:rPr>
          <w:rFonts w:ascii="Proxima Nova" w:hAnsi="Proxima Nova" w:cstheme="minorHAnsi"/>
          <w:sz w:val="22"/>
          <w:szCs w:val="22"/>
          <w:bdr w:val="none" w:sz="0" w:space="0" w:color="auto" w:frame="1"/>
        </w:rPr>
        <w:t xml:space="preserve">women and girls </w:t>
      </w:r>
      <w:r w:rsidR="0092319E" w:rsidRPr="00DF7116">
        <w:rPr>
          <w:rFonts w:ascii="Proxima Nova" w:hAnsi="Proxima Nova" w:cstheme="minorHAnsi"/>
          <w:sz w:val="22"/>
          <w:szCs w:val="22"/>
          <w:bdr w:val="none" w:sz="0" w:space="0" w:color="auto" w:frame="1"/>
        </w:rPr>
        <w:t xml:space="preserve">who are </w:t>
      </w:r>
      <w:r w:rsidRPr="00DF7116">
        <w:rPr>
          <w:rFonts w:ascii="Proxima Nova" w:hAnsi="Proxima Nova" w:cstheme="minorHAnsi"/>
          <w:sz w:val="22"/>
          <w:szCs w:val="22"/>
          <w:bdr w:val="none" w:sz="0" w:space="0" w:color="auto" w:frame="1"/>
        </w:rPr>
        <w:t>subjected to them, negates their</w:t>
      </w:r>
      <w:r w:rsidRPr="00DF7116">
        <w:rPr>
          <w:rFonts w:ascii="Proxima Nova" w:hAnsi="Proxima Nova"/>
          <w:sz w:val="22"/>
          <w:szCs w:val="22"/>
        </w:rPr>
        <w:t xml:space="preserve"> ways of being and knowing, and affirms gendered and abled norms that situate women and girls with disability outside girlhood and womanhood and full humanness.</w:t>
      </w:r>
    </w:p>
    <w:p w14:paraId="030297C8" w14:textId="77777777" w:rsidR="00525188" w:rsidRPr="00DF7116" w:rsidRDefault="00525188" w:rsidP="00525188">
      <w:pPr>
        <w:spacing w:line="276" w:lineRule="auto"/>
        <w:rPr>
          <w:rFonts w:ascii="Proxima Nova" w:hAnsi="Proxima Nova" w:cstheme="minorHAnsi"/>
          <w:sz w:val="22"/>
          <w:szCs w:val="22"/>
        </w:rPr>
      </w:pPr>
    </w:p>
    <w:p w14:paraId="3F222F14" w14:textId="35BAB6EE" w:rsidR="00525188" w:rsidRPr="00EE386E" w:rsidRDefault="00525188" w:rsidP="00525188">
      <w:pPr>
        <w:spacing w:line="276" w:lineRule="auto"/>
        <w:rPr>
          <w:rFonts w:ascii="Proxima Nova" w:hAnsi="Proxima Nova" w:cstheme="minorHAnsi"/>
        </w:rPr>
      </w:pPr>
      <w:r w:rsidRPr="00EE386E">
        <w:rPr>
          <w:rFonts w:ascii="Proxima Nova" w:hAnsi="Proxima Nova"/>
          <w:b/>
          <w:color w:val="AC1F79"/>
        </w:rPr>
        <w:t>Questioning the Conventional Rationales for Use of Restrictive Practices</w:t>
      </w:r>
    </w:p>
    <w:p w14:paraId="74BBB219" w14:textId="5FAC4FF5" w:rsidR="00525188" w:rsidRPr="009D5459" w:rsidRDefault="00525188" w:rsidP="003F271C">
      <w:pPr>
        <w:pStyle w:val="ListParagraph"/>
        <w:spacing w:line="276" w:lineRule="auto"/>
        <w:ind w:hanging="720"/>
        <w:rPr>
          <w:rFonts w:ascii="Proxima Nova" w:hAnsi="Proxima Nova"/>
          <w:sz w:val="22"/>
          <w:szCs w:val="22"/>
        </w:rPr>
      </w:pPr>
    </w:p>
    <w:p w14:paraId="1E291A14" w14:textId="7D7F18CA" w:rsidR="006C4F07" w:rsidRPr="009D5459" w:rsidRDefault="00537C80" w:rsidP="0085163A">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 xml:space="preserve">The Royal Commission identifies two interrelated reasons for use of </w:t>
      </w:r>
      <w:r w:rsidR="006C4F07" w:rsidRPr="009D5459">
        <w:rPr>
          <w:rFonts w:ascii="Proxima Nova" w:hAnsi="Proxima Nova"/>
          <w:sz w:val="22"/>
          <w:szCs w:val="22"/>
        </w:rPr>
        <w:t>restrictive practices</w:t>
      </w:r>
      <w:r w:rsidRPr="009D5459">
        <w:rPr>
          <w:rFonts w:ascii="Proxima Nova" w:hAnsi="Proxima Nova"/>
          <w:sz w:val="22"/>
          <w:szCs w:val="22"/>
        </w:rPr>
        <w:t>: to protect from harm and to control behaviour:</w:t>
      </w:r>
    </w:p>
    <w:p w14:paraId="78D0A954" w14:textId="32650F58" w:rsidR="00537C80" w:rsidRPr="009D5459" w:rsidRDefault="00537C80" w:rsidP="0085163A">
      <w:pPr>
        <w:spacing w:line="276" w:lineRule="auto"/>
        <w:rPr>
          <w:rFonts w:ascii="Proxima Nova" w:hAnsi="Proxima Nova"/>
          <w:sz w:val="22"/>
          <w:szCs w:val="22"/>
        </w:rPr>
      </w:pPr>
    </w:p>
    <w:p w14:paraId="6A0A6128" w14:textId="37587340" w:rsidR="00537C80" w:rsidRPr="009D5459" w:rsidRDefault="00537C80" w:rsidP="0085163A">
      <w:pPr>
        <w:pStyle w:val="ListParagraph"/>
        <w:spacing w:line="276" w:lineRule="auto"/>
        <w:ind w:left="1134"/>
        <w:rPr>
          <w:rFonts w:ascii="Proxima Nova" w:hAnsi="Proxima Nova" w:cstheme="minorHAnsi"/>
          <w:sz w:val="22"/>
          <w:szCs w:val="22"/>
        </w:rPr>
      </w:pPr>
      <w:r w:rsidRPr="009D5459">
        <w:rPr>
          <w:rFonts w:ascii="Proxima Nova" w:hAnsi="Proxima Nova" w:cstheme="minorHAnsi"/>
          <w:i/>
          <w:iCs/>
          <w:sz w:val="22"/>
          <w:szCs w:val="22"/>
        </w:rPr>
        <w:t>Restrictive practices can be used across Australia, as a last resort, to prevent or protect people from harm. This includes a perceived risk of harm. This may include preventing or protecting an individual or others from behaviours referred to as ‘challenging behaviours’ or ‘behaviours of concern’</w:t>
      </w:r>
      <w:r w:rsidRPr="009D5459">
        <w:rPr>
          <w:rFonts w:ascii="Proxima Nova" w:hAnsi="Proxima Nova" w:cstheme="minorHAnsi"/>
          <w:sz w:val="22"/>
          <w:szCs w:val="22"/>
        </w:rPr>
        <w:t>.</w:t>
      </w:r>
      <w:r w:rsidRPr="009D5459">
        <w:rPr>
          <w:rStyle w:val="EndnoteReference"/>
          <w:rFonts w:ascii="Proxima Nova" w:hAnsi="Proxima Nova" w:cstheme="minorHAnsi"/>
          <w:sz w:val="22"/>
          <w:szCs w:val="22"/>
        </w:rPr>
        <w:endnoteReference w:id="176"/>
      </w:r>
    </w:p>
    <w:p w14:paraId="2561E89D" w14:textId="77777777" w:rsidR="00537C80" w:rsidRPr="009D5459" w:rsidRDefault="00537C80" w:rsidP="0085163A">
      <w:pPr>
        <w:spacing w:line="276" w:lineRule="auto"/>
        <w:rPr>
          <w:rFonts w:ascii="Proxima Nova" w:hAnsi="Proxima Nova"/>
          <w:sz w:val="22"/>
          <w:szCs w:val="22"/>
        </w:rPr>
      </w:pPr>
    </w:p>
    <w:p w14:paraId="0FE70801" w14:textId="3F91E5C7" w:rsidR="00537C80" w:rsidRPr="009D5459" w:rsidRDefault="00C8218E" w:rsidP="0085163A">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This rationale for use is also reflected in the definition of ‘</w:t>
      </w:r>
      <w:r w:rsidR="005E652D" w:rsidRPr="009D5459">
        <w:rPr>
          <w:rFonts w:ascii="Proxima Nova" w:hAnsi="Proxima Nova"/>
          <w:sz w:val="22"/>
          <w:szCs w:val="22"/>
        </w:rPr>
        <w:t xml:space="preserve">regulated restrictive </w:t>
      </w:r>
      <w:r w:rsidR="0085163A" w:rsidRPr="009D5459">
        <w:rPr>
          <w:rFonts w:ascii="Proxima Nova" w:hAnsi="Proxima Nova"/>
          <w:sz w:val="22"/>
          <w:szCs w:val="22"/>
        </w:rPr>
        <w:t>practices</w:t>
      </w:r>
      <w:r w:rsidR="005E652D" w:rsidRPr="009D5459">
        <w:rPr>
          <w:rFonts w:ascii="Proxima Nova" w:hAnsi="Proxima Nova"/>
          <w:sz w:val="22"/>
          <w:szCs w:val="22"/>
        </w:rPr>
        <w:t>’ in the NDIS:</w:t>
      </w:r>
    </w:p>
    <w:p w14:paraId="27EF98BF" w14:textId="421AB038" w:rsidR="005E652D" w:rsidRPr="009D5459" w:rsidRDefault="005E652D" w:rsidP="0085163A">
      <w:pPr>
        <w:spacing w:line="276" w:lineRule="auto"/>
        <w:rPr>
          <w:rFonts w:ascii="Proxima Nova" w:hAnsi="Proxima Nova"/>
          <w:sz w:val="22"/>
          <w:szCs w:val="22"/>
        </w:rPr>
      </w:pPr>
    </w:p>
    <w:p w14:paraId="06BB9242" w14:textId="77777777" w:rsidR="005E652D" w:rsidRPr="009D5459" w:rsidRDefault="005E652D" w:rsidP="0085163A">
      <w:pPr>
        <w:spacing w:line="276" w:lineRule="auto"/>
        <w:ind w:left="1134"/>
        <w:rPr>
          <w:rFonts w:ascii="Proxima Nova" w:hAnsi="Proxima Nova" w:cstheme="minorHAnsi"/>
          <w:i/>
          <w:iCs/>
          <w:sz w:val="22"/>
          <w:szCs w:val="22"/>
          <w:lang w:eastAsia="en-AU"/>
        </w:rPr>
      </w:pPr>
      <w:r w:rsidRPr="009D5459">
        <w:rPr>
          <w:rFonts w:ascii="Proxima Nova" w:hAnsi="Proxima Nova" w:cstheme="minorHAnsi"/>
          <w:i/>
          <w:iCs/>
          <w:sz w:val="22"/>
          <w:szCs w:val="22"/>
          <w:lang w:eastAsia="en-AU"/>
        </w:rPr>
        <w:t>A restrictive practice is a regulated restrictive practice if it is or involves any of the following:</w:t>
      </w:r>
    </w:p>
    <w:p w14:paraId="33645D4F" w14:textId="77777777" w:rsidR="005E652D" w:rsidRPr="009D5459" w:rsidRDefault="005E652D" w:rsidP="0085163A">
      <w:pPr>
        <w:spacing w:line="276" w:lineRule="auto"/>
        <w:ind w:left="1134"/>
        <w:rPr>
          <w:rFonts w:ascii="Proxima Nova" w:hAnsi="Proxima Nova" w:cstheme="minorHAnsi"/>
          <w:i/>
          <w:iCs/>
          <w:sz w:val="22"/>
          <w:szCs w:val="22"/>
          <w:lang w:eastAsia="en-AU"/>
        </w:rPr>
      </w:pPr>
    </w:p>
    <w:p w14:paraId="64E692EA" w14:textId="5B28C72D" w:rsidR="005E652D" w:rsidRPr="009D5459" w:rsidRDefault="005E652D" w:rsidP="0085163A">
      <w:pPr>
        <w:spacing w:line="276" w:lineRule="auto"/>
        <w:ind w:left="1134"/>
        <w:rPr>
          <w:rFonts w:ascii="Proxima Nova" w:hAnsi="Proxima Nova" w:cstheme="minorHAnsi"/>
          <w:i/>
          <w:iCs/>
          <w:sz w:val="22"/>
          <w:szCs w:val="22"/>
          <w:lang w:eastAsia="en-AU"/>
        </w:rPr>
      </w:pPr>
      <w:r w:rsidRPr="009D5459">
        <w:rPr>
          <w:rFonts w:ascii="Proxima Nova" w:hAnsi="Proxima Nova" w:cstheme="minorHAnsi"/>
          <w:i/>
          <w:iCs/>
          <w:sz w:val="22"/>
          <w:szCs w:val="22"/>
          <w:lang w:eastAsia="en-AU"/>
        </w:rPr>
        <w:t xml:space="preserve">(a) seclusion, which is the sole confinement of a person with disability in a room or a physical space at any hour of the day or night where voluntary exit is prevented, or not facilitated, or it is implied that voluntary exit is not </w:t>
      </w:r>
      <w:proofErr w:type="gramStart"/>
      <w:r w:rsidRPr="009D5459">
        <w:rPr>
          <w:rFonts w:ascii="Proxima Nova" w:hAnsi="Proxima Nova" w:cstheme="minorHAnsi"/>
          <w:i/>
          <w:iCs/>
          <w:sz w:val="22"/>
          <w:szCs w:val="22"/>
          <w:lang w:eastAsia="en-AU"/>
        </w:rPr>
        <w:t>permitted;</w:t>
      </w:r>
      <w:proofErr w:type="gramEnd"/>
    </w:p>
    <w:p w14:paraId="289466C8" w14:textId="77777777" w:rsidR="005E652D" w:rsidRPr="009D5459" w:rsidRDefault="005E652D" w:rsidP="0085163A">
      <w:pPr>
        <w:spacing w:line="276" w:lineRule="auto"/>
        <w:ind w:left="1134"/>
        <w:rPr>
          <w:rFonts w:ascii="Proxima Nova" w:hAnsi="Proxima Nova" w:cstheme="minorHAnsi"/>
          <w:i/>
          <w:iCs/>
          <w:sz w:val="22"/>
          <w:szCs w:val="22"/>
          <w:lang w:eastAsia="en-AU"/>
        </w:rPr>
      </w:pPr>
    </w:p>
    <w:p w14:paraId="7C9F09E6" w14:textId="466DF8EA" w:rsidR="005E652D" w:rsidRPr="009D5459" w:rsidRDefault="005E652D" w:rsidP="0085163A">
      <w:pPr>
        <w:spacing w:line="276" w:lineRule="auto"/>
        <w:ind w:left="1134"/>
        <w:rPr>
          <w:rFonts w:ascii="Proxima Nova" w:hAnsi="Proxima Nova" w:cstheme="minorHAnsi"/>
          <w:i/>
          <w:iCs/>
          <w:sz w:val="22"/>
          <w:szCs w:val="22"/>
          <w:lang w:eastAsia="en-AU"/>
        </w:rPr>
      </w:pPr>
      <w:r w:rsidRPr="009D5459">
        <w:rPr>
          <w:rFonts w:ascii="Proxima Nova" w:hAnsi="Proxima Nova" w:cstheme="minorHAnsi"/>
          <w:i/>
          <w:iCs/>
          <w:sz w:val="22"/>
          <w:szCs w:val="22"/>
          <w:lang w:eastAsia="en-AU"/>
        </w:rPr>
        <w:t xml:space="preserve">(b) chemical restraint, which is the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w:t>
      </w:r>
      <w:proofErr w:type="gramStart"/>
      <w:r w:rsidRPr="009D5459">
        <w:rPr>
          <w:rFonts w:ascii="Proxima Nova" w:hAnsi="Proxima Nova" w:cstheme="minorHAnsi"/>
          <w:i/>
          <w:iCs/>
          <w:sz w:val="22"/>
          <w:szCs w:val="22"/>
          <w:lang w:eastAsia="en-AU"/>
        </w:rPr>
        <w:t>condition;</w:t>
      </w:r>
      <w:proofErr w:type="gramEnd"/>
    </w:p>
    <w:p w14:paraId="43203ECB" w14:textId="77777777" w:rsidR="005E652D" w:rsidRPr="009D5459" w:rsidRDefault="005E652D" w:rsidP="0085163A">
      <w:pPr>
        <w:spacing w:line="276" w:lineRule="auto"/>
        <w:ind w:left="1134"/>
        <w:rPr>
          <w:rFonts w:ascii="Proxima Nova" w:hAnsi="Proxima Nova" w:cstheme="minorHAnsi"/>
          <w:i/>
          <w:iCs/>
          <w:sz w:val="22"/>
          <w:szCs w:val="22"/>
          <w:lang w:eastAsia="en-AU"/>
        </w:rPr>
      </w:pPr>
    </w:p>
    <w:p w14:paraId="7C4BB629" w14:textId="03F3149C" w:rsidR="005E652D" w:rsidRPr="009D5459" w:rsidRDefault="005E652D" w:rsidP="0085163A">
      <w:pPr>
        <w:spacing w:line="276" w:lineRule="auto"/>
        <w:ind w:left="1134"/>
        <w:rPr>
          <w:rFonts w:ascii="Proxima Nova" w:hAnsi="Proxima Nova" w:cstheme="minorHAnsi"/>
          <w:i/>
          <w:iCs/>
          <w:sz w:val="22"/>
          <w:szCs w:val="22"/>
          <w:lang w:eastAsia="en-AU"/>
        </w:rPr>
      </w:pPr>
      <w:r w:rsidRPr="009D5459">
        <w:rPr>
          <w:rFonts w:ascii="Proxima Nova" w:hAnsi="Proxima Nova" w:cstheme="minorHAnsi"/>
          <w:i/>
          <w:iCs/>
          <w:sz w:val="22"/>
          <w:szCs w:val="22"/>
          <w:lang w:eastAsia="en-AU"/>
        </w:rPr>
        <w:t xml:space="preserve">(c) mechanical restraint, which is the use of a device to prevent, restrict, or subdue a person’s movement for the primary purpose of influencing a person’s behaviour but does not include the use of devices for therapeutic or non-behavioural </w:t>
      </w:r>
      <w:proofErr w:type="gramStart"/>
      <w:r w:rsidRPr="009D5459">
        <w:rPr>
          <w:rFonts w:ascii="Proxima Nova" w:hAnsi="Proxima Nova" w:cstheme="minorHAnsi"/>
          <w:i/>
          <w:iCs/>
          <w:sz w:val="22"/>
          <w:szCs w:val="22"/>
          <w:lang w:eastAsia="en-AU"/>
        </w:rPr>
        <w:t>purposes;</w:t>
      </w:r>
      <w:proofErr w:type="gramEnd"/>
    </w:p>
    <w:p w14:paraId="2AA28665" w14:textId="77777777" w:rsidR="005E652D" w:rsidRPr="009D5459" w:rsidRDefault="005E652D" w:rsidP="0085163A">
      <w:pPr>
        <w:spacing w:line="276" w:lineRule="auto"/>
        <w:ind w:left="1134"/>
        <w:rPr>
          <w:rFonts w:ascii="Proxima Nova" w:hAnsi="Proxima Nova" w:cstheme="minorHAnsi"/>
          <w:i/>
          <w:iCs/>
          <w:sz w:val="22"/>
          <w:szCs w:val="22"/>
          <w:lang w:eastAsia="en-AU"/>
        </w:rPr>
      </w:pPr>
    </w:p>
    <w:p w14:paraId="7F983B9A" w14:textId="0A96E4BB" w:rsidR="005E652D" w:rsidRPr="009D5459" w:rsidRDefault="005E652D" w:rsidP="0085163A">
      <w:pPr>
        <w:spacing w:line="276" w:lineRule="auto"/>
        <w:ind w:left="1134"/>
        <w:rPr>
          <w:rFonts w:ascii="Proxima Nova" w:hAnsi="Proxima Nova" w:cstheme="minorHAnsi"/>
          <w:i/>
          <w:iCs/>
          <w:sz w:val="22"/>
          <w:szCs w:val="22"/>
          <w:lang w:eastAsia="en-AU"/>
        </w:rPr>
      </w:pPr>
      <w:r w:rsidRPr="009D5459">
        <w:rPr>
          <w:rFonts w:ascii="Proxima Nova" w:hAnsi="Proxima Nova" w:cstheme="minorHAnsi"/>
          <w:i/>
          <w:iCs/>
          <w:sz w:val="22"/>
          <w:szCs w:val="22"/>
          <w:lang w:eastAsia="en-AU"/>
        </w:rPr>
        <w:t xml:space="preserve">(d) physical restraint, which is 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exercise of care towards a person. </w:t>
      </w:r>
    </w:p>
    <w:p w14:paraId="5DCE63BB" w14:textId="77777777" w:rsidR="005E652D" w:rsidRPr="009D5459" w:rsidRDefault="005E652D" w:rsidP="0085163A">
      <w:pPr>
        <w:spacing w:line="276" w:lineRule="auto"/>
        <w:ind w:left="1134"/>
        <w:rPr>
          <w:rFonts w:ascii="Proxima Nova" w:hAnsi="Proxima Nova" w:cstheme="minorHAnsi"/>
          <w:i/>
          <w:iCs/>
          <w:sz w:val="22"/>
          <w:szCs w:val="22"/>
          <w:lang w:eastAsia="en-AU"/>
        </w:rPr>
      </w:pPr>
    </w:p>
    <w:p w14:paraId="0E3374C4" w14:textId="6266534F" w:rsidR="005E652D" w:rsidRPr="009D5459" w:rsidRDefault="005E652D" w:rsidP="0085163A">
      <w:pPr>
        <w:spacing w:line="276" w:lineRule="auto"/>
        <w:ind w:left="1134"/>
        <w:rPr>
          <w:rFonts w:ascii="Proxima Nova" w:hAnsi="Proxima Nova" w:cstheme="minorHAnsi"/>
          <w:sz w:val="22"/>
          <w:szCs w:val="22"/>
          <w:lang w:eastAsia="en-AU"/>
        </w:rPr>
      </w:pPr>
      <w:r w:rsidRPr="009D5459">
        <w:rPr>
          <w:rFonts w:ascii="Proxima Nova" w:hAnsi="Proxima Nova" w:cstheme="minorHAnsi"/>
          <w:i/>
          <w:iCs/>
          <w:sz w:val="22"/>
          <w:szCs w:val="22"/>
          <w:lang w:eastAsia="en-AU"/>
        </w:rPr>
        <w:t>(e) environmental restraint, which restrict a person’s free access to all parts of their environment, including items or activities.</w:t>
      </w:r>
      <w:r w:rsidRPr="009D5459">
        <w:rPr>
          <w:rStyle w:val="EndnoteReference"/>
          <w:rFonts w:ascii="Proxima Nova" w:hAnsi="Proxima Nova" w:cstheme="minorHAnsi"/>
          <w:sz w:val="22"/>
          <w:szCs w:val="22"/>
          <w:lang w:eastAsia="en-AU"/>
        </w:rPr>
        <w:endnoteReference w:id="177"/>
      </w:r>
    </w:p>
    <w:p w14:paraId="7BDA7F8C" w14:textId="77777777" w:rsidR="005E652D" w:rsidRPr="009D5459" w:rsidRDefault="005E652D" w:rsidP="009D5459">
      <w:pPr>
        <w:spacing w:line="276" w:lineRule="auto"/>
        <w:rPr>
          <w:rFonts w:ascii="Proxima Nova" w:hAnsi="Proxima Nova" w:cstheme="minorHAnsi"/>
          <w:sz w:val="22"/>
          <w:szCs w:val="22"/>
          <w:lang w:eastAsia="en-AU"/>
        </w:rPr>
      </w:pPr>
    </w:p>
    <w:p w14:paraId="47A307BE" w14:textId="24CE4193" w:rsidR="007A4C69" w:rsidRPr="009D5459" w:rsidRDefault="005E652D"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The focus on protection and behaviour control suggests use of restrictive practices is self-evidentially for the benefit of</w:t>
      </w:r>
      <w:r w:rsidR="007A4C69" w:rsidRPr="009D5459">
        <w:rPr>
          <w:rFonts w:ascii="Proxima Nova" w:hAnsi="Proxima Nova"/>
          <w:sz w:val="22"/>
          <w:szCs w:val="22"/>
        </w:rPr>
        <w:t xml:space="preserve"> the individual subject to them – that it is for their own safety and development</w:t>
      </w:r>
      <w:r w:rsidR="00F40D55" w:rsidRPr="009D5459">
        <w:rPr>
          <w:rFonts w:ascii="Proxima Nova" w:hAnsi="Proxima Nova"/>
          <w:sz w:val="22"/>
          <w:szCs w:val="22"/>
        </w:rPr>
        <w:t xml:space="preserve"> and that they are used in extreme circumstances out of necessity and where there are no other options</w:t>
      </w:r>
      <w:r w:rsidR="007A4C69" w:rsidRPr="009D5459">
        <w:rPr>
          <w:rFonts w:ascii="Proxima Nova" w:hAnsi="Proxima Nova"/>
          <w:sz w:val="22"/>
          <w:szCs w:val="22"/>
        </w:rPr>
        <w:t xml:space="preserve">. </w:t>
      </w:r>
    </w:p>
    <w:p w14:paraId="50A32BEF" w14:textId="77777777" w:rsidR="00F40D55" w:rsidRPr="009D5459" w:rsidRDefault="00F40D55" w:rsidP="009D5459">
      <w:pPr>
        <w:spacing w:line="276" w:lineRule="auto"/>
        <w:ind w:left="720" w:hanging="720"/>
        <w:rPr>
          <w:rFonts w:ascii="Proxima Nova" w:hAnsi="Proxima Nova"/>
          <w:sz w:val="22"/>
          <w:szCs w:val="22"/>
        </w:rPr>
      </w:pPr>
    </w:p>
    <w:p w14:paraId="02BD1939" w14:textId="6766C113" w:rsidR="00F40D55" w:rsidRPr="009D5459" w:rsidRDefault="00F40D55"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The conventional uses of restrictive practices are problematic in two respects.</w:t>
      </w:r>
    </w:p>
    <w:p w14:paraId="2FE9B951" w14:textId="77777777" w:rsidR="007A4C69" w:rsidRPr="009D5459" w:rsidRDefault="007A4C69" w:rsidP="009D5459">
      <w:pPr>
        <w:spacing w:line="276" w:lineRule="auto"/>
        <w:ind w:left="720" w:hanging="720"/>
        <w:rPr>
          <w:rFonts w:ascii="Proxima Nova" w:hAnsi="Proxima Nova"/>
          <w:sz w:val="22"/>
          <w:szCs w:val="22"/>
        </w:rPr>
      </w:pPr>
    </w:p>
    <w:p w14:paraId="5596C569" w14:textId="0818387B" w:rsidR="008B7147" w:rsidRPr="009D5459" w:rsidRDefault="00F40D55"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First</w:t>
      </w:r>
      <w:r w:rsidR="007A4C69" w:rsidRPr="009D5459">
        <w:rPr>
          <w:rFonts w:ascii="Proxima Nova" w:hAnsi="Proxima Nova"/>
          <w:sz w:val="22"/>
          <w:szCs w:val="22"/>
        </w:rPr>
        <w:t xml:space="preserve">, </w:t>
      </w:r>
      <w:r w:rsidR="006174BA" w:rsidRPr="009D5459">
        <w:rPr>
          <w:rFonts w:ascii="Proxima Nova" w:hAnsi="Proxima Nova"/>
          <w:sz w:val="22"/>
          <w:szCs w:val="22"/>
        </w:rPr>
        <w:t>there are</w:t>
      </w:r>
      <w:r w:rsidR="003C0AC5" w:rsidRPr="009D5459">
        <w:rPr>
          <w:rFonts w:ascii="Proxima Nova" w:hAnsi="Proxima Nova"/>
          <w:sz w:val="22"/>
          <w:szCs w:val="22"/>
        </w:rPr>
        <w:t xml:space="preserve"> problematic assumptions about the </w:t>
      </w:r>
      <w:r w:rsidR="006174BA" w:rsidRPr="009D5459">
        <w:rPr>
          <w:rFonts w:ascii="Proxima Nova" w:hAnsi="Proxima Nova"/>
          <w:sz w:val="22"/>
          <w:szCs w:val="22"/>
        </w:rPr>
        <w:t>individual behaviour driving their use</w:t>
      </w:r>
      <w:r w:rsidR="003C0AC5" w:rsidRPr="009D5459">
        <w:rPr>
          <w:rFonts w:ascii="Proxima Nova" w:hAnsi="Proxima Nova"/>
          <w:sz w:val="22"/>
          <w:szCs w:val="22"/>
        </w:rPr>
        <w:t xml:space="preserve">. ‘Challenging behaviour’ </w:t>
      </w:r>
      <w:r w:rsidR="006174BA" w:rsidRPr="009D5459">
        <w:rPr>
          <w:rFonts w:ascii="Proxima Nova" w:hAnsi="Proxima Nova"/>
          <w:sz w:val="22"/>
          <w:szCs w:val="22"/>
        </w:rPr>
        <w:t xml:space="preserve">is a term which is only used in relation to people with disability. </w:t>
      </w:r>
      <w:r w:rsidR="008B7147" w:rsidRPr="009D5459">
        <w:rPr>
          <w:rFonts w:ascii="Proxima Nova" w:hAnsi="Proxima Nova"/>
          <w:sz w:val="22"/>
          <w:szCs w:val="22"/>
        </w:rPr>
        <w:t xml:space="preserve">It is </w:t>
      </w:r>
      <w:r w:rsidR="008B7147" w:rsidRPr="009D5459">
        <w:rPr>
          <w:rFonts w:ascii="Proxima Nova" w:hAnsi="Proxima Nova"/>
          <w:sz w:val="22"/>
          <w:szCs w:val="22"/>
        </w:rPr>
        <w:lastRenderedPageBreak/>
        <w:t>impossible to justify non-consensually drugging or sterilising someone else</w:t>
      </w:r>
      <w:r w:rsidR="0092319E" w:rsidRPr="009D5459">
        <w:rPr>
          <w:rFonts w:ascii="Proxima Nova" w:hAnsi="Proxima Nova"/>
          <w:sz w:val="22"/>
          <w:szCs w:val="22"/>
        </w:rPr>
        <w:t xml:space="preserve"> without disability</w:t>
      </w:r>
      <w:r w:rsidR="008B7147" w:rsidRPr="009D5459">
        <w:rPr>
          <w:rFonts w:ascii="Proxima Nova" w:hAnsi="Proxima Nova"/>
          <w:sz w:val="22"/>
          <w:szCs w:val="22"/>
        </w:rPr>
        <w:t xml:space="preserve"> simply because of the</w:t>
      </w:r>
      <w:r w:rsidR="005C55A6" w:rsidRPr="009D5459">
        <w:rPr>
          <w:rFonts w:ascii="Proxima Nova" w:hAnsi="Proxima Nova"/>
          <w:sz w:val="22"/>
          <w:szCs w:val="22"/>
        </w:rPr>
        <w:t>i</w:t>
      </w:r>
      <w:r w:rsidR="008B7147" w:rsidRPr="009D5459">
        <w:rPr>
          <w:rFonts w:ascii="Proxima Nova" w:hAnsi="Proxima Nova"/>
          <w:sz w:val="22"/>
          <w:szCs w:val="22"/>
        </w:rPr>
        <w:t xml:space="preserve">r behaviour, and even where criminal conduct is present this is not a ground for drugging or sterilising the individual. Thus, rationalising use of restrictive practices </w:t>
      </w:r>
      <w:proofErr w:type="gramStart"/>
      <w:r w:rsidR="008B7147" w:rsidRPr="009D5459">
        <w:rPr>
          <w:rFonts w:ascii="Proxima Nova" w:hAnsi="Proxima Nova"/>
          <w:sz w:val="22"/>
          <w:szCs w:val="22"/>
        </w:rPr>
        <w:t>on the basis of</w:t>
      </w:r>
      <w:proofErr w:type="gramEnd"/>
      <w:r w:rsidR="008B7147" w:rsidRPr="009D5459">
        <w:rPr>
          <w:rFonts w:ascii="Proxima Nova" w:hAnsi="Proxima Nova"/>
          <w:sz w:val="22"/>
          <w:szCs w:val="22"/>
        </w:rPr>
        <w:t xml:space="preserve"> challenging behaviour is discriminatory. </w:t>
      </w:r>
    </w:p>
    <w:p w14:paraId="04C01550" w14:textId="77777777" w:rsidR="008B7147" w:rsidRPr="009D5459" w:rsidRDefault="008B7147" w:rsidP="009D5459">
      <w:pPr>
        <w:spacing w:line="276" w:lineRule="auto"/>
        <w:rPr>
          <w:rFonts w:ascii="Proxima Nova" w:hAnsi="Proxima Nova"/>
          <w:sz w:val="22"/>
          <w:szCs w:val="22"/>
        </w:rPr>
      </w:pPr>
    </w:p>
    <w:p w14:paraId="27FCC0FF" w14:textId="187E7D3E" w:rsidR="003C0AC5" w:rsidRPr="009D5459" w:rsidRDefault="008B7147"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Moreover, ‘challenging behaviour’ is a paradigm that individualises</w:t>
      </w:r>
      <w:r w:rsidR="00FD75CD" w:rsidRPr="009D5459">
        <w:rPr>
          <w:rFonts w:ascii="Proxima Nova" w:hAnsi="Proxima Nova"/>
          <w:sz w:val="22"/>
          <w:szCs w:val="22"/>
        </w:rPr>
        <w:t>, pathologises</w:t>
      </w:r>
      <w:r w:rsidRPr="009D5459">
        <w:rPr>
          <w:rFonts w:ascii="Proxima Nova" w:hAnsi="Proxima Nova"/>
          <w:sz w:val="22"/>
          <w:szCs w:val="22"/>
        </w:rPr>
        <w:t xml:space="preserve"> and neutralises disabled </w:t>
      </w:r>
      <w:r w:rsidR="009B34AF" w:rsidRPr="009D5459">
        <w:rPr>
          <w:rFonts w:ascii="Proxima Nova" w:hAnsi="Proxima Nova"/>
          <w:sz w:val="22"/>
          <w:szCs w:val="22"/>
        </w:rPr>
        <w:t>people</w:t>
      </w:r>
      <w:r w:rsidRPr="009D5459">
        <w:rPr>
          <w:rFonts w:ascii="Proxima Nova" w:hAnsi="Proxima Nova"/>
          <w:sz w:val="22"/>
          <w:szCs w:val="22"/>
        </w:rPr>
        <w:t xml:space="preserve">’s legitimate responses to their living arrangements and experiences of oppression, structural discrimination and violence. </w:t>
      </w:r>
      <w:r w:rsidR="006174BA" w:rsidRPr="009D5459">
        <w:rPr>
          <w:rFonts w:ascii="Proxima Nova" w:hAnsi="Proxima Nova"/>
          <w:sz w:val="22"/>
          <w:szCs w:val="22"/>
        </w:rPr>
        <w:t xml:space="preserve">In relation to women and girls with disability this behaviour is </w:t>
      </w:r>
      <w:proofErr w:type="gramStart"/>
      <w:r w:rsidR="006174BA" w:rsidRPr="009D5459">
        <w:rPr>
          <w:rFonts w:ascii="Proxima Nova" w:hAnsi="Proxima Nova"/>
          <w:sz w:val="22"/>
          <w:szCs w:val="22"/>
        </w:rPr>
        <w:t>actually legitimate</w:t>
      </w:r>
      <w:proofErr w:type="gramEnd"/>
      <w:r w:rsidR="006174BA" w:rsidRPr="009D5459">
        <w:rPr>
          <w:rFonts w:ascii="Proxima Nova" w:hAnsi="Proxima Nova"/>
          <w:sz w:val="22"/>
          <w:szCs w:val="22"/>
        </w:rPr>
        <w:t xml:space="preserve"> responses to their living arrangements and their life circumstance and histories</w:t>
      </w:r>
      <w:r w:rsidR="003C0AC5" w:rsidRPr="009D5459">
        <w:rPr>
          <w:rFonts w:ascii="Proxima Nova" w:hAnsi="Proxima Nova"/>
          <w:sz w:val="22"/>
          <w:szCs w:val="22"/>
        </w:rPr>
        <w:t>:</w:t>
      </w:r>
    </w:p>
    <w:p w14:paraId="2684B44E" w14:textId="77777777" w:rsidR="003C0AC5" w:rsidRPr="009D5459" w:rsidRDefault="003C0AC5" w:rsidP="009D5459">
      <w:pPr>
        <w:spacing w:line="276" w:lineRule="auto"/>
        <w:rPr>
          <w:rFonts w:ascii="Proxima Nova" w:hAnsi="Proxima Nova"/>
          <w:sz w:val="22"/>
          <w:szCs w:val="22"/>
        </w:rPr>
      </w:pPr>
    </w:p>
    <w:p w14:paraId="4C05DA9E" w14:textId="77777777" w:rsidR="003C0AC5" w:rsidRPr="009D5459" w:rsidRDefault="003C0AC5" w:rsidP="009D5459">
      <w:pPr>
        <w:pStyle w:val="ListParagraph"/>
        <w:numPr>
          <w:ilvl w:val="0"/>
          <w:numId w:val="29"/>
        </w:numPr>
        <w:spacing w:line="276" w:lineRule="auto"/>
        <w:ind w:left="1077" w:hanging="357"/>
        <w:rPr>
          <w:rFonts w:ascii="Proxima Nova" w:hAnsi="Proxima Nova"/>
          <w:sz w:val="22"/>
          <w:szCs w:val="22"/>
        </w:rPr>
      </w:pPr>
      <w:r w:rsidRPr="009D5459">
        <w:rPr>
          <w:rFonts w:ascii="Proxima Nova" w:hAnsi="Proxima Nova"/>
          <w:sz w:val="22"/>
          <w:szCs w:val="22"/>
        </w:rPr>
        <w:t>Legitimate responses of loneliness, boredom, hurt, frustration and anger to lack of genuine care and companionship by staff</w:t>
      </w:r>
    </w:p>
    <w:p w14:paraId="17A0C7C7" w14:textId="77777777" w:rsidR="003C0AC5" w:rsidRPr="009D5459" w:rsidRDefault="003C0AC5" w:rsidP="009D5459">
      <w:pPr>
        <w:pStyle w:val="ListParagraph"/>
        <w:numPr>
          <w:ilvl w:val="0"/>
          <w:numId w:val="29"/>
        </w:numPr>
        <w:spacing w:line="276" w:lineRule="auto"/>
        <w:ind w:left="1077" w:hanging="357"/>
        <w:rPr>
          <w:rFonts w:ascii="Proxima Nova" w:hAnsi="Proxima Nova"/>
          <w:sz w:val="22"/>
          <w:szCs w:val="22"/>
        </w:rPr>
      </w:pPr>
      <w:r w:rsidRPr="009D5459">
        <w:rPr>
          <w:rFonts w:ascii="Proxima Nova" w:hAnsi="Proxima Nova"/>
          <w:sz w:val="22"/>
          <w:szCs w:val="22"/>
        </w:rPr>
        <w:t>Legitimate responses of loneliness, boredom, hurt, frustration and anger to lack of meaningful activities and purpose in their living arrangements and daily routines</w:t>
      </w:r>
    </w:p>
    <w:p w14:paraId="0E1CD1BF" w14:textId="77777777" w:rsidR="003C0AC5" w:rsidRPr="009D5459" w:rsidRDefault="003C0AC5" w:rsidP="009D5459">
      <w:pPr>
        <w:pStyle w:val="ListParagraph"/>
        <w:numPr>
          <w:ilvl w:val="0"/>
          <w:numId w:val="29"/>
        </w:numPr>
        <w:spacing w:line="276" w:lineRule="auto"/>
        <w:ind w:left="1077" w:hanging="357"/>
        <w:rPr>
          <w:rFonts w:ascii="Proxima Nova" w:hAnsi="Proxima Nova"/>
          <w:sz w:val="22"/>
          <w:szCs w:val="22"/>
        </w:rPr>
      </w:pPr>
      <w:r w:rsidRPr="009D5459">
        <w:rPr>
          <w:rFonts w:ascii="Proxima Nova" w:hAnsi="Proxima Nova"/>
          <w:sz w:val="22"/>
          <w:szCs w:val="22"/>
        </w:rPr>
        <w:t>Legitimate responses of distress, fear and anger to perpetration of violence, abuse and neglect by staff</w:t>
      </w:r>
    </w:p>
    <w:p w14:paraId="02A74590" w14:textId="77777777" w:rsidR="003C0AC5" w:rsidRPr="009D5459" w:rsidRDefault="003C0AC5" w:rsidP="009D5459">
      <w:pPr>
        <w:pStyle w:val="ListParagraph"/>
        <w:numPr>
          <w:ilvl w:val="0"/>
          <w:numId w:val="29"/>
        </w:numPr>
        <w:spacing w:line="276" w:lineRule="auto"/>
        <w:ind w:left="1077" w:hanging="357"/>
        <w:rPr>
          <w:rFonts w:ascii="Proxima Nova" w:hAnsi="Proxima Nova"/>
          <w:sz w:val="22"/>
          <w:szCs w:val="22"/>
        </w:rPr>
      </w:pPr>
      <w:r w:rsidRPr="009D5459">
        <w:rPr>
          <w:rFonts w:ascii="Proxima Nova" w:hAnsi="Proxima Nova"/>
          <w:sz w:val="22"/>
          <w:szCs w:val="22"/>
        </w:rPr>
        <w:t>Legitimate responses of distress, sadness, grief and anger to preventing familial, intimate and social relationships</w:t>
      </w:r>
    </w:p>
    <w:p w14:paraId="66244920" w14:textId="77777777" w:rsidR="003C0AC5" w:rsidRPr="009D5459" w:rsidRDefault="003C0AC5" w:rsidP="009D5459">
      <w:pPr>
        <w:pStyle w:val="ListParagraph"/>
        <w:numPr>
          <w:ilvl w:val="0"/>
          <w:numId w:val="29"/>
        </w:numPr>
        <w:spacing w:line="276" w:lineRule="auto"/>
        <w:ind w:left="1077" w:hanging="357"/>
        <w:rPr>
          <w:rFonts w:ascii="Proxima Nova" w:hAnsi="Proxima Nova"/>
          <w:sz w:val="22"/>
          <w:szCs w:val="22"/>
        </w:rPr>
      </w:pPr>
      <w:r w:rsidRPr="009D5459">
        <w:rPr>
          <w:rFonts w:ascii="Proxima Nova" w:hAnsi="Proxima Nova"/>
          <w:sz w:val="22"/>
          <w:szCs w:val="22"/>
        </w:rPr>
        <w:t>Legitimate responses of distress and discomfort in response to failure to recognise and seek assistance for pain or medical conditions</w:t>
      </w:r>
    </w:p>
    <w:p w14:paraId="19164A17" w14:textId="0B52B0EC" w:rsidR="003C0AC5" w:rsidRPr="009D5459" w:rsidRDefault="003C0AC5" w:rsidP="009D5459">
      <w:pPr>
        <w:pStyle w:val="ListParagraph"/>
        <w:numPr>
          <w:ilvl w:val="0"/>
          <w:numId w:val="29"/>
        </w:numPr>
        <w:spacing w:line="276" w:lineRule="auto"/>
        <w:ind w:left="1077" w:hanging="357"/>
        <w:rPr>
          <w:rFonts w:ascii="Proxima Nova" w:hAnsi="Proxima Nova"/>
          <w:sz w:val="22"/>
          <w:szCs w:val="22"/>
        </w:rPr>
      </w:pPr>
      <w:r w:rsidRPr="009D5459">
        <w:rPr>
          <w:rFonts w:ascii="Proxima Nova" w:hAnsi="Proxima Nova"/>
          <w:sz w:val="22"/>
          <w:szCs w:val="22"/>
        </w:rPr>
        <w:t>Legitimate responses of resistance to their living conditions</w:t>
      </w:r>
      <w:r w:rsidR="00C66DF4" w:rsidRPr="009D5459">
        <w:rPr>
          <w:rFonts w:ascii="Proxima Nova" w:hAnsi="Proxima Nova"/>
          <w:sz w:val="22"/>
          <w:szCs w:val="22"/>
        </w:rPr>
        <w:t>.</w:t>
      </w:r>
    </w:p>
    <w:p w14:paraId="21999F9C" w14:textId="77777777" w:rsidR="003C0AC5" w:rsidRPr="009D5459" w:rsidRDefault="003C0AC5" w:rsidP="009D5459">
      <w:pPr>
        <w:spacing w:line="276" w:lineRule="auto"/>
        <w:rPr>
          <w:rFonts w:ascii="Proxima Nova" w:hAnsi="Proxima Nova"/>
          <w:sz w:val="22"/>
          <w:szCs w:val="22"/>
        </w:rPr>
      </w:pPr>
    </w:p>
    <w:p w14:paraId="3CA8DCB2" w14:textId="7D2B03CD" w:rsidR="007A4C69" w:rsidRPr="009D5459" w:rsidRDefault="003C0AC5"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 xml:space="preserve">Second, </w:t>
      </w:r>
      <w:r w:rsidR="00F40D55" w:rsidRPr="009D5459">
        <w:rPr>
          <w:rFonts w:ascii="Proxima Nova" w:hAnsi="Proxima Nova"/>
          <w:sz w:val="22"/>
          <w:szCs w:val="22"/>
        </w:rPr>
        <w:t xml:space="preserve">in practice, </w:t>
      </w:r>
      <w:r w:rsidR="00185B82" w:rsidRPr="009D5459">
        <w:rPr>
          <w:rFonts w:ascii="Proxima Nova" w:hAnsi="Proxima Nova"/>
          <w:sz w:val="22"/>
          <w:szCs w:val="22"/>
        </w:rPr>
        <w:t xml:space="preserve">under the guise of ‘behaviour’ </w:t>
      </w:r>
      <w:r w:rsidR="00F40D55" w:rsidRPr="009D5459">
        <w:rPr>
          <w:rFonts w:ascii="Proxima Nova" w:hAnsi="Proxima Nova"/>
          <w:sz w:val="22"/>
          <w:szCs w:val="22"/>
        </w:rPr>
        <w:t>restrictive practices are used</w:t>
      </w:r>
      <w:r w:rsidRPr="009D5459">
        <w:rPr>
          <w:rFonts w:ascii="Proxima Nova" w:hAnsi="Proxima Nova"/>
          <w:sz w:val="22"/>
          <w:szCs w:val="22"/>
        </w:rPr>
        <w:t xml:space="preserve"> in accommodation settings on women and girls with disability</w:t>
      </w:r>
      <w:r w:rsidR="00F40D55" w:rsidRPr="009D5459">
        <w:rPr>
          <w:rFonts w:ascii="Proxima Nova" w:hAnsi="Proxima Nova"/>
          <w:sz w:val="22"/>
          <w:szCs w:val="22"/>
        </w:rPr>
        <w:t xml:space="preserve"> for </w:t>
      </w:r>
      <w:r w:rsidR="006174BA" w:rsidRPr="009D5459">
        <w:rPr>
          <w:rFonts w:ascii="Proxima Nova" w:hAnsi="Proxima Nova"/>
          <w:sz w:val="22"/>
          <w:szCs w:val="22"/>
        </w:rPr>
        <w:t>munda</w:t>
      </w:r>
      <w:r w:rsidR="004F30E4" w:rsidRPr="009D5459">
        <w:rPr>
          <w:rFonts w:ascii="Proxima Nova" w:hAnsi="Proxima Nova"/>
          <w:sz w:val="22"/>
          <w:szCs w:val="22"/>
        </w:rPr>
        <w:t>ne organisational reasons. Rather than being caused by the individual attributes of women and girls with disability or arising as emergency and extreme circumstances, they are instead</w:t>
      </w:r>
      <w:r w:rsidR="006174BA" w:rsidRPr="009D5459">
        <w:rPr>
          <w:rFonts w:ascii="Proxima Nova" w:hAnsi="Proxima Nova"/>
          <w:sz w:val="22"/>
          <w:szCs w:val="22"/>
        </w:rPr>
        <w:t xml:space="preserve"> factored into how services operate and are financially sustainable and profitable</w:t>
      </w:r>
      <w:r w:rsidR="0092319E" w:rsidRPr="009D5459">
        <w:rPr>
          <w:rFonts w:ascii="Proxima Nova" w:hAnsi="Proxima Nova"/>
          <w:sz w:val="22"/>
          <w:szCs w:val="22"/>
        </w:rPr>
        <w:t>. In this way, restrictive practices</w:t>
      </w:r>
      <w:r w:rsidR="00516544" w:rsidRPr="009D5459">
        <w:rPr>
          <w:rFonts w:ascii="Proxima Nova" w:hAnsi="Proxima Nova"/>
          <w:sz w:val="22"/>
          <w:szCs w:val="22"/>
        </w:rPr>
        <w:t xml:space="preserve"> are used with regularity and banality that can make them difficult to isolate as specific phenomena in the everyday delivery of services</w:t>
      </w:r>
      <w:r w:rsidR="00F40D55" w:rsidRPr="009D5459">
        <w:rPr>
          <w:rFonts w:ascii="Proxima Nova" w:hAnsi="Proxima Nova"/>
          <w:sz w:val="22"/>
          <w:szCs w:val="22"/>
        </w:rPr>
        <w:t>:</w:t>
      </w:r>
    </w:p>
    <w:p w14:paraId="5604EEC1" w14:textId="77777777" w:rsidR="00F40D55" w:rsidRPr="009D5459" w:rsidRDefault="00F40D55" w:rsidP="009D5459">
      <w:pPr>
        <w:spacing w:line="276" w:lineRule="auto"/>
        <w:rPr>
          <w:rFonts w:ascii="Proxima Nova" w:hAnsi="Proxima Nova"/>
          <w:sz w:val="22"/>
          <w:szCs w:val="22"/>
        </w:rPr>
      </w:pPr>
    </w:p>
    <w:p w14:paraId="11EB0D04" w14:textId="142B41A9" w:rsidR="00F40D55" w:rsidRPr="009D5459" w:rsidRDefault="00F40D55" w:rsidP="009D5459">
      <w:pPr>
        <w:pStyle w:val="ListParagraph"/>
        <w:numPr>
          <w:ilvl w:val="0"/>
          <w:numId w:val="30"/>
        </w:numPr>
        <w:spacing w:line="276" w:lineRule="auto"/>
        <w:ind w:left="1077" w:hanging="357"/>
        <w:rPr>
          <w:rFonts w:ascii="Proxima Nova" w:hAnsi="Proxima Nova"/>
          <w:sz w:val="22"/>
          <w:szCs w:val="22"/>
        </w:rPr>
      </w:pPr>
      <w:r w:rsidRPr="009D5459">
        <w:rPr>
          <w:rFonts w:ascii="Proxima Nova" w:hAnsi="Proxima Nova"/>
          <w:sz w:val="22"/>
          <w:szCs w:val="22"/>
        </w:rPr>
        <w:t xml:space="preserve">Organisational convenience, such as </w:t>
      </w:r>
      <w:r w:rsidR="0092319E" w:rsidRPr="009D5459">
        <w:rPr>
          <w:rFonts w:ascii="Proxima Nova" w:hAnsi="Proxima Nova"/>
          <w:sz w:val="22"/>
          <w:szCs w:val="22"/>
        </w:rPr>
        <w:t xml:space="preserve">use of </w:t>
      </w:r>
      <w:r w:rsidR="002F61D4" w:rsidRPr="009D5459">
        <w:rPr>
          <w:rFonts w:ascii="Proxima Nova" w:hAnsi="Proxima Nova"/>
          <w:sz w:val="22"/>
          <w:szCs w:val="22"/>
        </w:rPr>
        <w:t xml:space="preserve">menstrual suppression to avoid staff discomfort from having to deal with menstrual </w:t>
      </w:r>
      <w:proofErr w:type="gramStart"/>
      <w:r w:rsidR="002F61D4" w:rsidRPr="009D5459">
        <w:rPr>
          <w:rFonts w:ascii="Proxima Nova" w:hAnsi="Proxima Nova"/>
          <w:sz w:val="22"/>
          <w:szCs w:val="22"/>
        </w:rPr>
        <w:t>blood</w:t>
      </w:r>
      <w:r w:rsidR="008D0B52" w:rsidRPr="009D5459">
        <w:rPr>
          <w:rFonts w:ascii="Proxima Nova" w:hAnsi="Proxima Nova"/>
          <w:sz w:val="22"/>
          <w:szCs w:val="22"/>
        </w:rPr>
        <w:t xml:space="preserve">, </w:t>
      </w:r>
      <w:r w:rsidR="0092319E" w:rsidRPr="009D5459">
        <w:rPr>
          <w:rFonts w:ascii="Proxima Nova" w:hAnsi="Proxima Nova"/>
          <w:sz w:val="22"/>
          <w:szCs w:val="22"/>
        </w:rPr>
        <w:t>and</w:t>
      </w:r>
      <w:proofErr w:type="gramEnd"/>
      <w:r w:rsidR="0092319E" w:rsidRPr="009D5459">
        <w:rPr>
          <w:rFonts w:ascii="Proxima Nova" w:hAnsi="Proxima Nova"/>
          <w:sz w:val="22"/>
          <w:szCs w:val="22"/>
        </w:rPr>
        <w:t xml:space="preserve"> use of </w:t>
      </w:r>
      <w:r w:rsidR="008D0B52" w:rsidRPr="009D5459">
        <w:rPr>
          <w:rFonts w:ascii="Proxima Nova" w:hAnsi="Proxima Nova"/>
          <w:sz w:val="22"/>
          <w:szCs w:val="22"/>
        </w:rPr>
        <w:t>contraception or sterilisation to avoid having to support a woman or girl to understand reproduction and sexuality</w:t>
      </w:r>
      <w:r w:rsidRPr="009D5459">
        <w:rPr>
          <w:rFonts w:ascii="Proxima Nova" w:hAnsi="Proxima Nova"/>
          <w:sz w:val="22"/>
          <w:szCs w:val="22"/>
        </w:rPr>
        <w:t>.</w:t>
      </w:r>
    </w:p>
    <w:p w14:paraId="172A375F" w14:textId="41033285" w:rsidR="00F40D55" w:rsidRPr="009D5459" w:rsidRDefault="00F40D55" w:rsidP="009D5459">
      <w:pPr>
        <w:pStyle w:val="ListParagraph"/>
        <w:numPr>
          <w:ilvl w:val="0"/>
          <w:numId w:val="30"/>
        </w:numPr>
        <w:spacing w:line="276" w:lineRule="auto"/>
        <w:ind w:left="1077" w:hanging="357"/>
        <w:rPr>
          <w:rFonts w:ascii="Proxima Nova" w:hAnsi="Proxima Nova"/>
          <w:sz w:val="22"/>
          <w:szCs w:val="22"/>
        </w:rPr>
      </w:pPr>
      <w:r w:rsidRPr="009D5459">
        <w:rPr>
          <w:rFonts w:ascii="Proxima Nova" w:hAnsi="Proxima Nova"/>
          <w:sz w:val="22"/>
          <w:szCs w:val="22"/>
        </w:rPr>
        <w:t xml:space="preserve">Organisational efficiency, such as </w:t>
      </w:r>
      <w:r w:rsidR="002F61D4" w:rsidRPr="009D5459">
        <w:rPr>
          <w:rFonts w:ascii="Proxima Nova" w:hAnsi="Proxima Nova"/>
          <w:sz w:val="22"/>
          <w:szCs w:val="22"/>
        </w:rPr>
        <w:t xml:space="preserve">use of </w:t>
      </w:r>
      <w:r w:rsidR="0092319E" w:rsidRPr="009D5459">
        <w:rPr>
          <w:rFonts w:ascii="Proxima Nova" w:hAnsi="Proxima Nova"/>
          <w:sz w:val="22"/>
          <w:szCs w:val="22"/>
        </w:rPr>
        <w:t>menstrual suppression</w:t>
      </w:r>
      <w:r w:rsidR="002F61D4" w:rsidRPr="009D5459">
        <w:rPr>
          <w:rFonts w:ascii="Proxima Nova" w:hAnsi="Proxima Nova"/>
          <w:sz w:val="22"/>
          <w:szCs w:val="22"/>
        </w:rPr>
        <w:t xml:space="preserve"> </w:t>
      </w:r>
      <w:r w:rsidRPr="009D5459">
        <w:rPr>
          <w:rFonts w:ascii="Proxima Nova" w:hAnsi="Proxima Nova"/>
          <w:sz w:val="22"/>
          <w:szCs w:val="22"/>
        </w:rPr>
        <w:t>to reduce the labour needed for a specific individual</w:t>
      </w:r>
      <w:r w:rsidR="0059274B" w:rsidRPr="009D5459">
        <w:rPr>
          <w:rFonts w:ascii="Proxima Nova" w:hAnsi="Proxima Nova"/>
          <w:sz w:val="22"/>
          <w:szCs w:val="22"/>
        </w:rPr>
        <w:t xml:space="preserve"> to provide personal care assistance</w:t>
      </w:r>
      <w:r w:rsidR="003C0AC5" w:rsidRPr="009D5459">
        <w:rPr>
          <w:rFonts w:ascii="Proxima Nova" w:hAnsi="Proxima Nova"/>
          <w:sz w:val="22"/>
          <w:szCs w:val="22"/>
        </w:rPr>
        <w:t xml:space="preserve">, </w:t>
      </w:r>
      <w:r w:rsidR="0059274B" w:rsidRPr="009D5459">
        <w:rPr>
          <w:rFonts w:ascii="Proxima Nova" w:hAnsi="Proxima Nova"/>
          <w:sz w:val="22"/>
          <w:szCs w:val="22"/>
        </w:rPr>
        <w:t xml:space="preserve">use of psychotropic medication to quell anger and distress associated with pain rather than have to arrange medical appointments and accompany the individual to those appointments, </w:t>
      </w:r>
      <w:r w:rsidR="002F61D4" w:rsidRPr="009D5459">
        <w:rPr>
          <w:rFonts w:ascii="Proxima Nova" w:hAnsi="Proxima Nova"/>
          <w:sz w:val="22"/>
          <w:szCs w:val="22"/>
        </w:rPr>
        <w:t xml:space="preserve">or denial of support for intimate relationships </w:t>
      </w:r>
      <w:r w:rsidR="003C0AC5" w:rsidRPr="009D5459">
        <w:rPr>
          <w:rFonts w:ascii="Proxima Nova" w:hAnsi="Proxima Nova"/>
          <w:sz w:val="22"/>
          <w:szCs w:val="22"/>
        </w:rPr>
        <w:t xml:space="preserve">to avoid </w:t>
      </w:r>
      <w:r w:rsidR="002F61D4" w:rsidRPr="009D5459">
        <w:rPr>
          <w:rFonts w:ascii="Proxima Nova" w:hAnsi="Proxima Nova"/>
          <w:sz w:val="22"/>
          <w:szCs w:val="22"/>
        </w:rPr>
        <w:t xml:space="preserve">the additional labour and time involved in </w:t>
      </w:r>
      <w:r w:rsidR="003C0AC5" w:rsidRPr="009D5459">
        <w:rPr>
          <w:rFonts w:ascii="Proxima Nova" w:hAnsi="Proxima Nova"/>
          <w:sz w:val="22"/>
          <w:szCs w:val="22"/>
        </w:rPr>
        <w:t>having to assist an individual with</w:t>
      </w:r>
      <w:r w:rsidR="002F61D4" w:rsidRPr="009D5459">
        <w:rPr>
          <w:rFonts w:ascii="Proxima Nova" w:hAnsi="Proxima Nova"/>
          <w:sz w:val="22"/>
          <w:szCs w:val="22"/>
        </w:rPr>
        <w:t xml:space="preserve"> navigating</w:t>
      </w:r>
      <w:r w:rsidR="003C0AC5" w:rsidRPr="009D5459">
        <w:rPr>
          <w:rFonts w:ascii="Proxima Nova" w:hAnsi="Proxima Nova"/>
          <w:sz w:val="22"/>
          <w:szCs w:val="22"/>
        </w:rPr>
        <w:t xml:space="preserve"> the emotional a</w:t>
      </w:r>
      <w:r w:rsidR="002F61D4" w:rsidRPr="009D5459">
        <w:rPr>
          <w:rFonts w:ascii="Proxima Nova" w:hAnsi="Proxima Nova"/>
          <w:sz w:val="22"/>
          <w:szCs w:val="22"/>
        </w:rPr>
        <w:t>spects of relationships and transport</w:t>
      </w:r>
      <w:r w:rsidR="0059274B" w:rsidRPr="009D5459">
        <w:rPr>
          <w:rFonts w:ascii="Proxima Nova" w:hAnsi="Proxima Nova"/>
          <w:sz w:val="22"/>
          <w:szCs w:val="22"/>
        </w:rPr>
        <w:t xml:space="preserve"> them to spend time</w:t>
      </w:r>
      <w:r w:rsidR="002F61D4" w:rsidRPr="009D5459">
        <w:rPr>
          <w:rFonts w:ascii="Proxima Nova" w:hAnsi="Proxima Nova"/>
          <w:sz w:val="22"/>
          <w:szCs w:val="22"/>
        </w:rPr>
        <w:t xml:space="preserve"> with their partner</w:t>
      </w:r>
      <w:r w:rsidRPr="009D5459">
        <w:rPr>
          <w:rFonts w:ascii="Proxima Nova" w:hAnsi="Proxima Nova"/>
          <w:sz w:val="22"/>
          <w:szCs w:val="22"/>
        </w:rPr>
        <w:t>.</w:t>
      </w:r>
    </w:p>
    <w:p w14:paraId="4EEE4625" w14:textId="2CA0F7D7" w:rsidR="00F76F77" w:rsidRPr="009D5459" w:rsidRDefault="00F76F77" w:rsidP="009D5459">
      <w:pPr>
        <w:pStyle w:val="ListParagraph"/>
        <w:numPr>
          <w:ilvl w:val="0"/>
          <w:numId w:val="30"/>
        </w:numPr>
        <w:spacing w:line="276" w:lineRule="auto"/>
        <w:ind w:left="1077" w:hanging="357"/>
        <w:rPr>
          <w:rFonts w:ascii="Proxima Nova" w:hAnsi="Proxima Nova"/>
          <w:sz w:val="22"/>
          <w:szCs w:val="22"/>
        </w:rPr>
      </w:pPr>
      <w:r w:rsidRPr="009D5459">
        <w:rPr>
          <w:rFonts w:ascii="Proxima Nova" w:hAnsi="Proxima Nova"/>
          <w:sz w:val="22"/>
          <w:szCs w:val="22"/>
        </w:rPr>
        <w:t>Organisational legitimation, such as to quell resistance to staff authority or enforced living arrangements, including the</w:t>
      </w:r>
      <w:r w:rsidR="004C40A7" w:rsidRPr="009D5459">
        <w:rPr>
          <w:rFonts w:ascii="Proxima Nova" w:hAnsi="Proxima Nova"/>
          <w:sz w:val="22"/>
          <w:szCs w:val="22"/>
        </w:rPr>
        <w:t xml:space="preserve"> continued</w:t>
      </w:r>
      <w:r w:rsidRPr="009D5459">
        <w:rPr>
          <w:rFonts w:ascii="Proxima Nova" w:hAnsi="Proxima Nova"/>
          <w:sz w:val="22"/>
          <w:szCs w:val="22"/>
        </w:rPr>
        <w:t xml:space="preserve"> use of male support workers or other circumstances that trigger past traumatic experiences</w:t>
      </w:r>
      <w:r w:rsidR="004C40A7" w:rsidRPr="009D5459">
        <w:rPr>
          <w:rFonts w:ascii="Proxima Nova" w:hAnsi="Proxima Nova"/>
          <w:sz w:val="22"/>
          <w:szCs w:val="22"/>
        </w:rPr>
        <w:t xml:space="preserve"> for women and girls with disability</w:t>
      </w:r>
      <w:r w:rsidRPr="009D5459">
        <w:rPr>
          <w:rFonts w:ascii="Proxima Nova" w:hAnsi="Proxima Nova"/>
          <w:sz w:val="22"/>
          <w:szCs w:val="22"/>
        </w:rPr>
        <w:t>.</w:t>
      </w:r>
    </w:p>
    <w:p w14:paraId="2605CC17" w14:textId="2232EE3A" w:rsidR="00F76F77" w:rsidRPr="009D5459" w:rsidRDefault="00F76F77" w:rsidP="009D5459">
      <w:pPr>
        <w:pStyle w:val="ListParagraph"/>
        <w:numPr>
          <w:ilvl w:val="0"/>
          <w:numId w:val="30"/>
        </w:numPr>
        <w:spacing w:line="276" w:lineRule="auto"/>
        <w:ind w:left="1077" w:hanging="357"/>
        <w:rPr>
          <w:rFonts w:ascii="Proxima Nova" w:hAnsi="Proxima Nova"/>
          <w:sz w:val="22"/>
          <w:szCs w:val="22"/>
        </w:rPr>
      </w:pPr>
      <w:r w:rsidRPr="009D5459">
        <w:rPr>
          <w:rFonts w:ascii="Proxima Nova" w:hAnsi="Proxima Nova"/>
          <w:sz w:val="22"/>
          <w:szCs w:val="22"/>
        </w:rPr>
        <w:t>Organisational risk management, such as non-consensual or coerced contraception to avoid the risk of pregnancy including from sexual assault or from unsafe sex which women are exposed to due to the service’s failure to provide support for safe and positive sexual activity</w:t>
      </w:r>
      <w:r w:rsidR="004C40A7" w:rsidRPr="009D5459">
        <w:rPr>
          <w:rFonts w:ascii="Proxima Nova" w:hAnsi="Proxima Nova"/>
          <w:sz w:val="22"/>
          <w:szCs w:val="22"/>
        </w:rPr>
        <w:t>, or even use of psychotropic medication to manage distress related to sexual assault perpetrated at the accommodation</w:t>
      </w:r>
      <w:r w:rsidRPr="009D5459">
        <w:rPr>
          <w:rFonts w:ascii="Proxima Nova" w:hAnsi="Proxima Nova"/>
          <w:sz w:val="22"/>
          <w:szCs w:val="22"/>
        </w:rPr>
        <w:t>.</w:t>
      </w:r>
    </w:p>
    <w:p w14:paraId="36AEBCE0" w14:textId="16E9EE7B" w:rsidR="00F40D55" w:rsidRPr="009D5459" w:rsidRDefault="00F40D55" w:rsidP="009D5459">
      <w:pPr>
        <w:pStyle w:val="ListParagraph"/>
        <w:numPr>
          <w:ilvl w:val="0"/>
          <w:numId w:val="30"/>
        </w:numPr>
        <w:spacing w:line="276" w:lineRule="auto"/>
        <w:ind w:left="1077" w:hanging="357"/>
        <w:rPr>
          <w:rFonts w:ascii="Proxima Nova" w:hAnsi="Proxima Nova"/>
          <w:sz w:val="22"/>
          <w:szCs w:val="22"/>
        </w:rPr>
      </w:pPr>
      <w:r w:rsidRPr="009D5459">
        <w:rPr>
          <w:rFonts w:ascii="Proxima Nova" w:hAnsi="Proxima Nova"/>
          <w:sz w:val="22"/>
          <w:szCs w:val="22"/>
        </w:rPr>
        <w:t>Organisational profit or financial gain, by reason of the effects of organisational convenience</w:t>
      </w:r>
      <w:r w:rsidR="00F76F77" w:rsidRPr="009D5459">
        <w:rPr>
          <w:rFonts w:ascii="Proxima Nova" w:hAnsi="Proxima Nova"/>
          <w:sz w:val="22"/>
          <w:szCs w:val="22"/>
        </w:rPr>
        <w:t>,</w:t>
      </w:r>
      <w:r w:rsidRPr="009D5459">
        <w:rPr>
          <w:rFonts w:ascii="Proxima Nova" w:hAnsi="Proxima Nova"/>
          <w:sz w:val="22"/>
          <w:szCs w:val="22"/>
        </w:rPr>
        <w:t xml:space="preserve"> efficiency</w:t>
      </w:r>
      <w:r w:rsidR="00F76F77" w:rsidRPr="009D5459">
        <w:rPr>
          <w:rFonts w:ascii="Proxima Nova" w:hAnsi="Proxima Nova"/>
          <w:sz w:val="22"/>
          <w:szCs w:val="22"/>
        </w:rPr>
        <w:t>, legitimation and risk management</w:t>
      </w:r>
      <w:r w:rsidRPr="009D5459">
        <w:rPr>
          <w:rFonts w:ascii="Proxima Nova" w:hAnsi="Proxima Nova"/>
          <w:sz w:val="22"/>
          <w:szCs w:val="22"/>
        </w:rPr>
        <w:t>.</w:t>
      </w:r>
    </w:p>
    <w:p w14:paraId="63608E34" w14:textId="78174116" w:rsidR="0050047D" w:rsidRPr="009D5459" w:rsidRDefault="0050047D" w:rsidP="009D5459">
      <w:pPr>
        <w:spacing w:line="276" w:lineRule="auto"/>
        <w:rPr>
          <w:rFonts w:ascii="Proxima Nova" w:hAnsi="Proxima Nova"/>
          <w:sz w:val="22"/>
          <w:szCs w:val="22"/>
        </w:rPr>
      </w:pPr>
    </w:p>
    <w:p w14:paraId="4722DA5C" w14:textId="295A047D" w:rsidR="001375FF" w:rsidRPr="009D5459" w:rsidRDefault="009872A2"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 xml:space="preserve">The systemic integration of the use of restrictive practices into everyday service delivery might mean </w:t>
      </w:r>
      <w:r w:rsidR="002B06CD" w:rsidRPr="009D5459">
        <w:rPr>
          <w:rFonts w:ascii="Proxima Nova" w:hAnsi="Proxima Nova"/>
          <w:sz w:val="22"/>
          <w:szCs w:val="22"/>
        </w:rPr>
        <w:t xml:space="preserve">they are more difficult to comprehend as violent because </w:t>
      </w:r>
      <w:r w:rsidRPr="009D5459">
        <w:rPr>
          <w:rFonts w:ascii="Proxima Nova" w:hAnsi="Proxima Nova"/>
          <w:sz w:val="22"/>
          <w:szCs w:val="22"/>
        </w:rPr>
        <w:t xml:space="preserve">their use is not driven </w:t>
      </w:r>
      <w:r w:rsidRPr="009D5459">
        <w:rPr>
          <w:rFonts w:ascii="Proxima Nova" w:hAnsi="Proxima Nova"/>
          <w:sz w:val="22"/>
          <w:szCs w:val="22"/>
        </w:rPr>
        <w:lastRenderedPageBreak/>
        <w:t>by raging hatred, evil or even the intention to cause injury</w:t>
      </w:r>
      <w:r w:rsidR="002B06CD" w:rsidRPr="009D5459">
        <w:rPr>
          <w:rFonts w:ascii="Proxima Nova" w:hAnsi="Proxima Nova"/>
          <w:sz w:val="22"/>
          <w:szCs w:val="22"/>
        </w:rPr>
        <w:t xml:space="preserve"> (i.e.</w:t>
      </w:r>
      <w:r w:rsidRPr="009D5459">
        <w:rPr>
          <w:rFonts w:ascii="Proxima Nova" w:hAnsi="Proxima Nova"/>
          <w:sz w:val="22"/>
          <w:szCs w:val="22"/>
        </w:rPr>
        <w:t>, the typical perpetrator motivations we associate with criminal violence</w:t>
      </w:r>
      <w:r w:rsidR="002B06CD" w:rsidRPr="009D5459">
        <w:rPr>
          <w:rFonts w:ascii="Proxima Nova" w:hAnsi="Proxima Nova"/>
          <w:sz w:val="22"/>
          <w:szCs w:val="22"/>
        </w:rPr>
        <w:t>)</w:t>
      </w:r>
      <w:r w:rsidRPr="009D5459">
        <w:rPr>
          <w:rFonts w:ascii="Proxima Nova" w:hAnsi="Proxima Nova"/>
          <w:sz w:val="22"/>
          <w:szCs w:val="22"/>
        </w:rPr>
        <w:t>. However, it is important to note that</w:t>
      </w:r>
      <w:r w:rsidR="0076022E" w:rsidRPr="009D5459">
        <w:rPr>
          <w:rFonts w:ascii="Proxima Nova" w:hAnsi="Proxima Nova"/>
          <w:sz w:val="22"/>
          <w:szCs w:val="22"/>
        </w:rPr>
        <w:t xml:space="preserve"> while</w:t>
      </w:r>
      <w:r w:rsidRPr="009D5459">
        <w:rPr>
          <w:rFonts w:ascii="Proxima Nova" w:hAnsi="Proxima Nova"/>
          <w:sz w:val="22"/>
          <w:szCs w:val="22"/>
        </w:rPr>
        <w:t xml:space="preserve"> </w:t>
      </w:r>
      <w:r w:rsidR="0076022E" w:rsidRPr="009D5459">
        <w:rPr>
          <w:rFonts w:ascii="Proxima Nova" w:hAnsi="Proxima Nova"/>
          <w:sz w:val="22"/>
          <w:szCs w:val="22"/>
        </w:rPr>
        <w:t xml:space="preserve">the rationales driving use of restrictive practices in everyday service delivery (e.g., </w:t>
      </w:r>
      <w:r w:rsidRPr="009D5459">
        <w:rPr>
          <w:rFonts w:ascii="Proxima Nova" w:hAnsi="Proxima Nova"/>
          <w:sz w:val="22"/>
          <w:szCs w:val="22"/>
        </w:rPr>
        <w:t>protection / risk management, convenience, and efficiency</w:t>
      </w:r>
      <w:r w:rsidR="0076022E" w:rsidRPr="009D5459">
        <w:rPr>
          <w:rFonts w:ascii="Proxima Nova" w:hAnsi="Proxima Nova"/>
          <w:sz w:val="22"/>
          <w:szCs w:val="22"/>
        </w:rPr>
        <w:t>) might seem more benign, these rationales are underpinned by</w:t>
      </w:r>
      <w:r w:rsidRPr="009D5459">
        <w:rPr>
          <w:rFonts w:ascii="Proxima Nova" w:hAnsi="Proxima Nova"/>
          <w:sz w:val="22"/>
          <w:szCs w:val="22"/>
        </w:rPr>
        <w:t xml:space="preserve"> assumptions about </w:t>
      </w:r>
      <w:r w:rsidR="007B7386" w:rsidRPr="009D5459">
        <w:rPr>
          <w:rFonts w:ascii="Proxima Nova" w:hAnsi="Proxima Nova"/>
          <w:sz w:val="22"/>
          <w:szCs w:val="22"/>
        </w:rPr>
        <w:t xml:space="preserve">the necessity of coercive control, </w:t>
      </w:r>
      <w:r w:rsidR="00773340" w:rsidRPr="009D5459">
        <w:rPr>
          <w:rFonts w:ascii="Proxima Nova" w:hAnsi="Proxima Nova"/>
          <w:sz w:val="22"/>
          <w:szCs w:val="22"/>
        </w:rPr>
        <w:t xml:space="preserve">and the </w:t>
      </w:r>
      <w:r w:rsidR="007B7386" w:rsidRPr="009D5459">
        <w:rPr>
          <w:rFonts w:ascii="Proxima Nova" w:hAnsi="Proxima Nova"/>
          <w:sz w:val="22"/>
          <w:szCs w:val="22"/>
        </w:rPr>
        <w:t>violability</w:t>
      </w:r>
      <w:r w:rsidRPr="009D5459">
        <w:rPr>
          <w:rFonts w:ascii="Proxima Nova" w:hAnsi="Proxima Nova"/>
          <w:sz w:val="22"/>
          <w:szCs w:val="22"/>
        </w:rPr>
        <w:t xml:space="preserve"> </w:t>
      </w:r>
      <w:r w:rsidR="007B7386" w:rsidRPr="009D5459">
        <w:rPr>
          <w:rFonts w:ascii="Proxima Nova" w:hAnsi="Proxima Nova"/>
          <w:sz w:val="22"/>
          <w:szCs w:val="22"/>
        </w:rPr>
        <w:t>and un</w:t>
      </w:r>
      <w:r w:rsidR="00773340" w:rsidRPr="009D5459">
        <w:rPr>
          <w:rFonts w:ascii="Proxima Nova" w:hAnsi="Proxima Nova"/>
          <w:sz w:val="22"/>
          <w:szCs w:val="22"/>
        </w:rPr>
        <w:t>-</w:t>
      </w:r>
      <w:r w:rsidR="007B7386" w:rsidRPr="009D5459">
        <w:rPr>
          <w:rFonts w:ascii="Proxima Nova" w:hAnsi="Proxima Nova"/>
          <w:sz w:val="22"/>
          <w:szCs w:val="22"/>
        </w:rPr>
        <w:t>grievability of people with disability</w:t>
      </w:r>
      <w:r w:rsidRPr="009D5459">
        <w:rPr>
          <w:rFonts w:ascii="Proxima Nova" w:hAnsi="Proxima Nova"/>
          <w:sz w:val="22"/>
          <w:szCs w:val="22"/>
        </w:rPr>
        <w:t xml:space="preserve">. Thus, while the prima facie intention </w:t>
      </w:r>
      <w:r w:rsidR="0076022E" w:rsidRPr="009D5459">
        <w:rPr>
          <w:rFonts w:ascii="Proxima Nova" w:hAnsi="Proxima Nova"/>
          <w:sz w:val="22"/>
          <w:szCs w:val="22"/>
        </w:rPr>
        <w:t xml:space="preserve">for using restrictive practices in service contexts </w:t>
      </w:r>
      <w:r w:rsidRPr="009D5459">
        <w:rPr>
          <w:rFonts w:ascii="Proxima Nova" w:hAnsi="Proxima Nova"/>
          <w:sz w:val="22"/>
          <w:szCs w:val="22"/>
        </w:rPr>
        <w:t>might seem harmless</w:t>
      </w:r>
      <w:r w:rsidR="0076022E" w:rsidRPr="009D5459">
        <w:rPr>
          <w:rFonts w:ascii="Proxima Nova" w:hAnsi="Proxima Nova"/>
          <w:sz w:val="22"/>
          <w:szCs w:val="22"/>
        </w:rPr>
        <w:t xml:space="preserve"> </w:t>
      </w:r>
      <w:r w:rsidRPr="009D5459">
        <w:rPr>
          <w:rFonts w:ascii="Proxima Nova" w:hAnsi="Proxima Nova"/>
          <w:sz w:val="22"/>
          <w:szCs w:val="22"/>
        </w:rPr>
        <w:t>or benevolent</w:t>
      </w:r>
      <w:r w:rsidR="0076022E" w:rsidRPr="009D5459">
        <w:rPr>
          <w:rFonts w:ascii="Proxima Nova" w:hAnsi="Proxima Nova"/>
          <w:sz w:val="22"/>
          <w:szCs w:val="22"/>
        </w:rPr>
        <w:t>,</w:t>
      </w:r>
      <w:r w:rsidRPr="009D5459">
        <w:rPr>
          <w:rFonts w:ascii="Proxima Nova" w:hAnsi="Proxima Nova"/>
          <w:sz w:val="22"/>
          <w:szCs w:val="22"/>
        </w:rPr>
        <w:t xml:space="preserve"> these </w:t>
      </w:r>
      <w:r w:rsidR="0076022E" w:rsidRPr="009D5459">
        <w:rPr>
          <w:rFonts w:ascii="Proxima Nova" w:hAnsi="Proxima Nova"/>
          <w:sz w:val="22"/>
          <w:szCs w:val="22"/>
        </w:rPr>
        <w:t xml:space="preserve">intentions </w:t>
      </w:r>
      <w:r w:rsidRPr="009D5459">
        <w:rPr>
          <w:rFonts w:ascii="Proxima Nova" w:hAnsi="Proxima Nova"/>
          <w:sz w:val="22"/>
          <w:szCs w:val="22"/>
        </w:rPr>
        <w:t>are only comprehensible in a cultural context that devalues and dehumanises people with disability.</w:t>
      </w:r>
      <w:r w:rsidR="001635D3" w:rsidRPr="009D5459">
        <w:rPr>
          <w:rFonts w:ascii="Proxima Nova" w:hAnsi="Proxima Nova"/>
          <w:sz w:val="22"/>
          <w:szCs w:val="22"/>
        </w:rPr>
        <w:t xml:space="preserve"> </w:t>
      </w:r>
    </w:p>
    <w:p w14:paraId="2EA4E939" w14:textId="77777777" w:rsidR="00B50DE2" w:rsidRPr="009D5459" w:rsidRDefault="00B50DE2" w:rsidP="009D5459">
      <w:pPr>
        <w:spacing w:line="276" w:lineRule="auto"/>
        <w:ind w:left="720" w:hanging="720"/>
        <w:rPr>
          <w:rFonts w:ascii="Proxima Nova" w:hAnsi="Proxima Nova"/>
          <w:sz w:val="22"/>
          <w:szCs w:val="22"/>
        </w:rPr>
      </w:pPr>
    </w:p>
    <w:p w14:paraId="567AC30E" w14:textId="42BCBB8A" w:rsidR="00B50DE2" w:rsidRPr="009D5459" w:rsidRDefault="00B50DE2"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 xml:space="preserve">Restrictive practices, particularly the gendered forms they take in relation to women and girls with disability, are often understood </w:t>
      </w:r>
      <w:r w:rsidR="003B5269" w:rsidRPr="009D5459">
        <w:rPr>
          <w:rFonts w:ascii="Proxima Nova" w:hAnsi="Proxima Nova"/>
          <w:sz w:val="22"/>
          <w:szCs w:val="22"/>
        </w:rPr>
        <w:t>as positive and supportive in contrast to the</w:t>
      </w:r>
      <w:r w:rsidRPr="009D5459">
        <w:rPr>
          <w:rFonts w:ascii="Proxima Nova" w:hAnsi="Proxima Nova"/>
          <w:sz w:val="22"/>
          <w:szCs w:val="22"/>
        </w:rPr>
        <w:t xml:space="preserve"> historical backdrop of eugenics which was characterised by legislat</w:t>
      </w:r>
      <w:r w:rsidR="003B5269" w:rsidRPr="009D5459">
        <w:rPr>
          <w:rFonts w:ascii="Proxima Nova" w:hAnsi="Proxima Nova"/>
          <w:sz w:val="22"/>
          <w:szCs w:val="22"/>
        </w:rPr>
        <w:t xml:space="preserve">ed segregation and </w:t>
      </w:r>
      <w:r w:rsidRPr="009D5459">
        <w:rPr>
          <w:rFonts w:ascii="Proxima Nova" w:hAnsi="Proxima Nova"/>
          <w:sz w:val="22"/>
          <w:szCs w:val="22"/>
        </w:rPr>
        <w:t>restrictive practices of mass populations (</w:t>
      </w:r>
      <w:proofErr w:type="gramStart"/>
      <w:r w:rsidRPr="009D5459">
        <w:rPr>
          <w:rFonts w:ascii="Proxima Nova" w:hAnsi="Proxima Nova"/>
          <w:sz w:val="22"/>
          <w:szCs w:val="22"/>
        </w:rPr>
        <w:t>e.g.</w:t>
      </w:r>
      <w:proofErr w:type="gramEnd"/>
      <w:r w:rsidRPr="009D5459">
        <w:rPr>
          <w:rFonts w:ascii="Proxima Nova" w:hAnsi="Proxima Nova"/>
          <w:sz w:val="22"/>
          <w:szCs w:val="22"/>
        </w:rPr>
        <w:t xml:space="preserve"> sterilisation and</w:t>
      </w:r>
      <w:r w:rsidR="003B5269" w:rsidRPr="009D5459">
        <w:rPr>
          <w:rFonts w:ascii="Proxima Nova" w:hAnsi="Proxima Nova"/>
          <w:sz w:val="22"/>
          <w:szCs w:val="22"/>
        </w:rPr>
        <w:t xml:space="preserve"> institutionalisation discussed in</w:t>
      </w:r>
      <w:r w:rsidRPr="009D5459">
        <w:rPr>
          <w:rFonts w:ascii="Proxima Nova" w:hAnsi="Proxima Nova"/>
          <w:sz w:val="22"/>
          <w:szCs w:val="22"/>
        </w:rPr>
        <w:t xml:space="preserve"> Buck v Bell). However, it is vital to consider eugenics not as a historical, timebound period but rather as a logic that persists.</w:t>
      </w:r>
      <w:r w:rsidRPr="009D5459">
        <w:rPr>
          <w:rStyle w:val="EndnoteReference"/>
          <w:rFonts w:ascii="Proxima Nova" w:hAnsi="Proxima Nova"/>
          <w:sz w:val="22"/>
          <w:szCs w:val="22"/>
        </w:rPr>
        <w:endnoteReference w:id="178"/>
      </w:r>
      <w:r w:rsidRPr="009D5459">
        <w:rPr>
          <w:rFonts w:ascii="Proxima Nova" w:hAnsi="Proxima Nova"/>
          <w:sz w:val="22"/>
          <w:szCs w:val="22"/>
        </w:rPr>
        <w:t xml:space="preserve"> It is vital for the Royal Commission to consider both historical and contemporary injustices of eugenics logic in relation to restrictive practices, and how they intersect with economic drivers associated with warehousing</w:t>
      </w:r>
      <w:r w:rsidR="003B5269" w:rsidRPr="009D5459">
        <w:rPr>
          <w:rFonts w:ascii="Proxima Nova" w:hAnsi="Proxima Nova"/>
          <w:sz w:val="22"/>
          <w:szCs w:val="22"/>
        </w:rPr>
        <w:t xml:space="preserve"> and neglecting people with disability in group homes and other institutional settings</w:t>
      </w:r>
      <w:r w:rsidRPr="009D5459">
        <w:rPr>
          <w:rFonts w:ascii="Proxima Nova" w:hAnsi="Proxima Nova"/>
          <w:sz w:val="22"/>
          <w:szCs w:val="22"/>
        </w:rPr>
        <w:t>.</w:t>
      </w:r>
    </w:p>
    <w:p w14:paraId="12E855F7" w14:textId="77777777" w:rsidR="001375FF" w:rsidRPr="009D5459" w:rsidRDefault="001375FF" w:rsidP="009D5459">
      <w:pPr>
        <w:spacing w:line="276" w:lineRule="auto"/>
        <w:ind w:left="720" w:hanging="720"/>
        <w:rPr>
          <w:rFonts w:ascii="Proxima Nova" w:hAnsi="Proxima Nova"/>
          <w:sz w:val="22"/>
          <w:szCs w:val="22"/>
        </w:rPr>
      </w:pPr>
    </w:p>
    <w:p w14:paraId="0566353D" w14:textId="26779B37" w:rsidR="001375FF" w:rsidRPr="009D5459" w:rsidRDefault="001635D3"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 xml:space="preserve">Moreover, </w:t>
      </w:r>
      <w:r w:rsidR="00481F69" w:rsidRPr="009D5459">
        <w:rPr>
          <w:rFonts w:ascii="Proxima Nova" w:hAnsi="Proxima Nova"/>
          <w:sz w:val="22"/>
          <w:szCs w:val="22"/>
        </w:rPr>
        <w:t xml:space="preserve">disability services might rationalise use of restrictive practices through drawing on </w:t>
      </w:r>
      <w:r w:rsidRPr="009D5459">
        <w:rPr>
          <w:rFonts w:ascii="Proxima Nova" w:hAnsi="Proxima Nova" w:cstheme="minorHAnsi"/>
          <w:sz w:val="22"/>
          <w:szCs w:val="22"/>
        </w:rPr>
        <w:t>human rights discourse</w:t>
      </w:r>
      <w:r w:rsidR="007560C7" w:rsidRPr="009D5459">
        <w:rPr>
          <w:rFonts w:ascii="Proxima Nova" w:hAnsi="Proxima Nova" w:cstheme="minorHAnsi"/>
          <w:sz w:val="22"/>
          <w:szCs w:val="22"/>
        </w:rPr>
        <w:t xml:space="preserve">, such as that their use is necessary to realise </w:t>
      </w:r>
      <w:r w:rsidRPr="009D5459">
        <w:rPr>
          <w:rFonts w:ascii="Proxima Nova" w:hAnsi="Proxima Nova" w:cstheme="minorHAnsi"/>
          <w:sz w:val="22"/>
          <w:szCs w:val="22"/>
        </w:rPr>
        <w:t>inclusion, participation, choice and safety</w:t>
      </w:r>
      <w:r w:rsidR="007560C7" w:rsidRPr="009D5459">
        <w:rPr>
          <w:rFonts w:ascii="Proxima Nova" w:hAnsi="Proxima Nova" w:cstheme="minorHAnsi"/>
          <w:sz w:val="22"/>
          <w:szCs w:val="22"/>
        </w:rPr>
        <w:t>, and this is supported by the regulation of restrictive practices in the NDIS which is framed as being about choice, control and human rights for people with disability</w:t>
      </w:r>
      <w:r w:rsidR="00481F69" w:rsidRPr="009D5459">
        <w:rPr>
          <w:rFonts w:ascii="Proxima Nova" w:hAnsi="Proxima Nova" w:cstheme="minorHAnsi"/>
          <w:sz w:val="22"/>
          <w:szCs w:val="22"/>
        </w:rPr>
        <w:t>.</w:t>
      </w:r>
      <w:r w:rsidR="00A40160" w:rsidRPr="009D5459">
        <w:rPr>
          <w:rStyle w:val="EndnoteReference"/>
          <w:rFonts w:ascii="Proxima Nova" w:hAnsi="Proxima Nova" w:cstheme="minorHAnsi"/>
          <w:sz w:val="22"/>
          <w:szCs w:val="22"/>
        </w:rPr>
        <w:endnoteReference w:id="179"/>
      </w:r>
      <w:r w:rsidR="00481F69" w:rsidRPr="009D5459">
        <w:rPr>
          <w:rFonts w:ascii="Proxima Nova" w:hAnsi="Proxima Nova" w:cstheme="minorHAnsi"/>
          <w:sz w:val="22"/>
          <w:szCs w:val="22"/>
        </w:rPr>
        <w:t xml:space="preserve"> There are three concerns with drawing on human rights to justify restrictive practices. First, as we discuss in Section 7, restrictive practices violate human rights. Second, restrictive practices are never the only possible way to achieve inclusion, participation, choice and safety for an individual –these goals can be achieved in innumerable other (potentially more expensive and labour-intensive) ways</w:t>
      </w:r>
      <w:r w:rsidR="007560C7" w:rsidRPr="009D5459">
        <w:rPr>
          <w:rFonts w:ascii="Proxima Nova" w:hAnsi="Proxima Nova" w:cstheme="minorHAnsi"/>
          <w:sz w:val="22"/>
          <w:szCs w:val="22"/>
        </w:rPr>
        <w:t xml:space="preserve"> and restrictive practices further hinder these goals</w:t>
      </w:r>
      <w:r w:rsidR="00481F69" w:rsidRPr="009D5459">
        <w:rPr>
          <w:rFonts w:ascii="Proxima Nova" w:hAnsi="Proxima Nova" w:cstheme="minorHAnsi"/>
          <w:sz w:val="22"/>
          <w:szCs w:val="22"/>
        </w:rPr>
        <w:t>. Third, l</w:t>
      </w:r>
      <w:r w:rsidR="001375FF" w:rsidRPr="009D5459">
        <w:rPr>
          <w:rFonts w:ascii="Proxima Nova" w:hAnsi="Proxima Nova"/>
          <w:sz w:val="22"/>
          <w:szCs w:val="22"/>
        </w:rPr>
        <w:t xml:space="preserve">imitations imposed on individuals in the present through restrictive practices are </w:t>
      </w:r>
      <w:r w:rsidR="00474C6A" w:rsidRPr="009D5459">
        <w:rPr>
          <w:rFonts w:ascii="Proxima Nova" w:hAnsi="Proxima Nova"/>
          <w:sz w:val="22"/>
          <w:szCs w:val="22"/>
        </w:rPr>
        <w:t xml:space="preserve">framed as </w:t>
      </w:r>
      <w:r w:rsidR="001375FF" w:rsidRPr="009D5459">
        <w:rPr>
          <w:rFonts w:ascii="Proxima Nova" w:hAnsi="Proxima Nova"/>
          <w:sz w:val="22"/>
          <w:szCs w:val="22"/>
        </w:rPr>
        <w:t xml:space="preserve">necessary in order to facilitate longer-term, future inclusion, participation and autonomy. This gives rise to a seemingly perverse justification – that violence against people with disability is necessary now to achieve future enjoyment of positive ideals and rights </w:t>
      </w:r>
      <w:r w:rsidR="0050789C" w:rsidRPr="009D5459">
        <w:rPr>
          <w:rFonts w:ascii="Proxima Nova" w:hAnsi="Proxima Nova"/>
          <w:sz w:val="22"/>
          <w:szCs w:val="22"/>
        </w:rPr>
        <w:t xml:space="preserve">which are </w:t>
      </w:r>
      <w:r w:rsidR="001375FF" w:rsidRPr="009D5459">
        <w:rPr>
          <w:rFonts w:ascii="Proxima Nova" w:hAnsi="Proxima Nova"/>
          <w:sz w:val="22"/>
          <w:szCs w:val="22"/>
        </w:rPr>
        <w:t xml:space="preserve">fundamentally at odds with </w:t>
      </w:r>
      <w:r w:rsidR="0050789C" w:rsidRPr="009D5459">
        <w:rPr>
          <w:rFonts w:ascii="Proxima Nova" w:hAnsi="Proxima Nova"/>
          <w:sz w:val="22"/>
          <w:szCs w:val="22"/>
        </w:rPr>
        <w:t xml:space="preserve">the current </w:t>
      </w:r>
      <w:r w:rsidR="001375FF" w:rsidRPr="009D5459">
        <w:rPr>
          <w:rFonts w:ascii="Proxima Nova" w:hAnsi="Proxima Nova"/>
          <w:sz w:val="22"/>
          <w:szCs w:val="22"/>
        </w:rPr>
        <w:t xml:space="preserve">violence. </w:t>
      </w:r>
    </w:p>
    <w:p w14:paraId="2132C17A" w14:textId="77777777" w:rsidR="009872A2" w:rsidRPr="009D5459" w:rsidRDefault="009872A2" w:rsidP="009D5459">
      <w:pPr>
        <w:spacing w:line="276" w:lineRule="auto"/>
        <w:ind w:left="720" w:hanging="720"/>
        <w:rPr>
          <w:rFonts w:ascii="Proxima Nova" w:hAnsi="Proxima Nova"/>
          <w:sz w:val="22"/>
          <w:szCs w:val="22"/>
        </w:rPr>
      </w:pPr>
    </w:p>
    <w:p w14:paraId="41CF1C2A" w14:textId="5B216B3B" w:rsidR="004C40A7" w:rsidRPr="009D5459" w:rsidRDefault="004C40A7"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cstheme="minorHAnsi"/>
          <w:sz w:val="22"/>
          <w:szCs w:val="22"/>
          <w:bdr w:val="none" w:sz="0" w:space="0" w:color="auto" w:frame="1"/>
        </w:rPr>
        <w:t>Use of restrictive practices can exacerbate psychosocial disability and trauma in women and girls with disability, in a context where women and girls’ psychosocial disability and trauma might already be associated with previous experiences of violence. There is ‘</w:t>
      </w:r>
      <w:r w:rsidRPr="009D5459">
        <w:rPr>
          <w:rFonts w:ascii="Proxima Nova" w:hAnsi="Proxima Nova"/>
          <w:sz w:val="22"/>
          <w:szCs w:val="22"/>
        </w:rPr>
        <w:t>the potential for the use of restraint to re-traumatise women who have previously been subject to violence or abuse because it reproduces earlier experiences, and/or the feelings associated with them.’</w:t>
      </w:r>
      <w:r w:rsidRPr="009D5459">
        <w:rPr>
          <w:rStyle w:val="EndnoteReference"/>
          <w:rFonts w:ascii="Proxima Nova" w:hAnsi="Proxima Nova"/>
          <w:sz w:val="22"/>
          <w:szCs w:val="22"/>
        </w:rPr>
        <w:endnoteReference w:id="180"/>
      </w:r>
      <w:r w:rsidRPr="009D5459">
        <w:rPr>
          <w:rFonts w:ascii="Proxima Nova" w:hAnsi="Proxima Nova"/>
          <w:sz w:val="22"/>
          <w:szCs w:val="22"/>
        </w:rPr>
        <w:t xml:space="preserve"> Moreover, ‘[e]xperiences of powerlessness and trauma can be exacerbated by gendered power asymmetries’ where men are involved in restraint, and restraint involves removal of clothing.</w:t>
      </w:r>
      <w:r w:rsidRPr="009D5459">
        <w:rPr>
          <w:rStyle w:val="EndnoteReference"/>
          <w:rFonts w:ascii="Proxima Nova" w:hAnsi="Proxima Nova"/>
          <w:sz w:val="22"/>
          <w:szCs w:val="22"/>
        </w:rPr>
        <w:endnoteReference w:id="181"/>
      </w:r>
      <w:r w:rsidR="00481F69" w:rsidRPr="009D5459">
        <w:rPr>
          <w:rFonts w:ascii="Proxima Nova" w:hAnsi="Proxima Nova"/>
          <w:sz w:val="22"/>
          <w:szCs w:val="22"/>
        </w:rPr>
        <w:t xml:space="preserve"> A</w:t>
      </w:r>
      <w:r w:rsidRPr="009D5459">
        <w:rPr>
          <w:rFonts w:ascii="Proxima Nova" w:hAnsi="Proxima Nova"/>
          <w:sz w:val="22"/>
          <w:szCs w:val="22"/>
        </w:rPr>
        <w:t>dditional to the use of restrictive practices, institutional settings where restrictive practices take place are themselves sites of gender-based violence such as sexual assault.</w:t>
      </w:r>
      <w:r w:rsidRPr="009D5459">
        <w:rPr>
          <w:rStyle w:val="EndnoteReference"/>
          <w:rFonts w:ascii="Proxima Nova" w:hAnsi="Proxima Nova"/>
          <w:sz w:val="22"/>
          <w:szCs w:val="22"/>
        </w:rPr>
        <w:endnoteReference w:id="182"/>
      </w:r>
      <w:r w:rsidRPr="009D5459">
        <w:rPr>
          <w:rFonts w:ascii="Proxima Nova" w:hAnsi="Proxima Nova"/>
          <w:sz w:val="22"/>
          <w:szCs w:val="22"/>
        </w:rPr>
        <w:t xml:space="preserve"> </w:t>
      </w:r>
      <w:r w:rsidRPr="009D5459">
        <w:rPr>
          <w:rFonts w:ascii="Proxima Nova" w:hAnsi="Proxima Nova" w:cstheme="minorHAnsi"/>
          <w:sz w:val="22"/>
          <w:szCs w:val="22"/>
        </w:rPr>
        <w:t>Restrictive practices can have multiple roles in this violence, including its facilitation (e.g. detaining or immobilising a victim) or concealment (e.g. preventing pregnancy, medicating distress).</w:t>
      </w:r>
      <w:r w:rsidRPr="009D5459">
        <w:rPr>
          <w:rFonts w:ascii="Proxima Nova" w:hAnsi="Proxima Nova"/>
          <w:sz w:val="22"/>
          <w:szCs w:val="22"/>
        </w:rPr>
        <w:t xml:space="preserve"> Maker observes that Australian ‘[p]olicies and guidelines indicate little recognition of the implications of restraint use for women, including feelings of pain, fear and powerlessness and retraumatisation’.</w:t>
      </w:r>
      <w:r w:rsidRPr="009D5459">
        <w:rPr>
          <w:rStyle w:val="EndnoteReference"/>
          <w:rFonts w:ascii="Proxima Nova" w:hAnsi="Proxima Nova"/>
          <w:sz w:val="22"/>
          <w:szCs w:val="22"/>
        </w:rPr>
        <w:endnoteReference w:id="183"/>
      </w:r>
    </w:p>
    <w:p w14:paraId="597A4E78" w14:textId="77777777" w:rsidR="00201DD3" w:rsidRPr="009D5459" w:rsidRDefault="00201DD3" w:rsidP="009D5459">
      <w:pPr>
        <w:spacing w:line="276" w:lineRule="auto"/>
        <w:ind w:left="720" w:hanging="720"/>
        <w:rPr>
          <w:rFonts w:ascii="Proxima Nova" w:hAnsi="Proxima Nova"/>
          <w:sz w:val="22"/>
          <w:szCs w:val="22"/>
        </w:rPr>
      </w:pPr>
    </w:p>
    <w:p w14:paraId="097B09DB" w14:textId="7AD197CA" w:rsidR="00201DD3" w:rsidRPr="009D5459" w:rsidRDefault="00201DD3" w:rsidP="009D5459">
      <w:pPr>
        <w:pStyle w:val="ListParagraph"/>
        <w:numPr>
          <w:ilvl w:val="1"/>
          <w:numId w:val="28"/>
        </w:numPr>
        <w:snapToGrid w:val="0"/>
        <w:spacing w:line="276" w:lineRule="auto"/>
        <w:ind w:left="720" w:hanging="720"/>
        <w:contextualSpacing w:val="0"/>
        <w:rPr>
          <w:rFonts w:ascii="Proxima Nova" w:hAnsi="Proxima Nova" w:cstheme="minorHAnsi"/>
          <w:sz w:val="22"/>
          <w:szCs w:val="22"/>
          <w:bdr w:val="none" w:sz="0" w:space="0" w:color="auto" w:frame="1"/>
        </w:rPr>
      </w:pPr>
      <w:r w:rsidRPr="009D5459">
        <w:rPr>
          <w:rFonts w:ascii="Proxima Nova" w:eastAsia="Calibri" w:hAnsi="Proxima Nova" w:cstheme="minorHAnsi"/>
          <w:sz w:val="22"/>
          <w:szCs w:val="22"/>
        </w:rPr>
        <w:t>Often restrictive practices are used in segregated settings. Segregation ultimately has its roots in harmful social beliefs about the inferiority of people with disability, and their ‘otherness.’</w:t>
      </w:r>
      <w:r w:rsidRPr="009D5459">
        <w:rPr>
          <w:rStyle w:val="EndnoteReference"/>
          <w:rFonts w:ascii="Proxima Nova" w:eastAsia="Calibri" w:hAnsi="Proxima Nova" w:cstheme="minorHAnsi"/>
          <w:sz w:val="22"/>
          <w:szCs w:val="22"/>
        </w:rPr>
        <w:endnoteReference w:id="184"/>
      </w:r>
      <w:r w:rsidRPr="009D5459">
        <w:rPr>
          <w:rFonts w:ascii="Proxima Nova" w:eastAsia="Calibri" w:hAnsi="Proxima Nova" w:cstheme="minorHAnsi"/>
          <w:sz w:val="22"/>
          <w:szCs w:val="22"/>
        </w:rPr>
        <w:t xml:space="preserve"> Deeply ingrained beliefs that people with disability are not capable of making their own decisions about their bodies, relationships and lives is a justification for substitute decision-making. Segregation and isolation, as well as the loss of liberty and security, personal choice, autonomy and freedom of movement are ‘defining elements’ of institutionalisation.</w:t>
      </w:r>
      <w:r w:rsidRPr="009D5459">
        <w:rPr>
          <w:rStyle w:val="EndnoteReference"/>
          <w:rFonts w:ascii="Proxima Nova" w:eastAsia="Calibri" w:hAnsi="Proxima Nova" w:cstheme="minorHAnsi"/>
          <w:sz w:val="22"/>
          <w:szCs w:val="22"/>
        </w:rPr>
        <w:endnoteReference w:id="185"/>
      </w:r>
      <w:r w:rsidRPr="009D5459">
        <w:rPr>
          <w:rFonts w:ascii="Proxima Nova" w:eastAsia="Calibri" w:hAnsi="Proxima Nova" w:cstheme="minorHAnsi"/>
          <w:sz w:val="22"/>
          <w:szCs w:val="22"/>
        </w:rPr>
        <w:t xml:space="preserve"> These elements can occur in family homes, large-scale institutions, </w:t>
      </w:r>
      <w:r w:rsidRPr="009D5459">
        <w:rPr>
          <w:rFonts w:ascii="Proxima Nova" w:eastAsia="Calibri" w:hAnsi="Proxima Nova" w:cstheme="minorHAnsi"/>
          <w:sz w:val="22"/>
          <w:szCs w:val="22"/>
        </w:rPr>
        <w:lastRenderedPageBreak/>
        <w:t>disability-supported accommodation arrangements, group homes and other residential facilities. They can also occur in segregated employment settings such as A</w:t>
      </w:r>
      <w:r w:rsidR="007E5715" w:rsidRPr="009D5459">
        <w:rPr>
          <w:rFonts w:ascii="Proxima Nova" w:eastAsia="Calibri" w:hAnsi="Proxima Nova" w:cstheme="minorHAnsi"/>
          <w:sz w:val="22"/>
          <w:szCs w:val="22"/>
        </w:rPr>
        <w:t xml:space="preserve">ustralian </w:t>
      </w:r>
      <w:r w:rsidRPr="009D5459">
        <w:rPr>
          <w:rFonts w:ascii="Proxima Nova" w:eastAsia="Calibri" w:hAnsi="Proxima Nova" w:cstheme="minorHAnsi"/>
          <w:sz w:val="22"/>
          <w:szCs w:val="22"/>
        </w:rPr>
        <w:t>D</w:t>
      </w:r>
      <w:r w:rsidR="007E5715" w:rsidRPr="009D5459">
        <w:rPr>
          <w:rFonts w:ascii="Proxima Nova" w:eastAsia="Calibri" w:hAnsi="Proxima Nova" w:cstheme="minorHAnsi"/>
          <w:sz w:val="22"/>
          <w:szCs w:val="22"/>
        </w:rPr>
        <w:t xml:space="preserve">isability </w:t>
      </w:r>
      <w:r w:rsidRPr="009D5459">
        <w:rPr>
          <w:rFonts w:ascii="Proxima Nova" w:eastAsia="Calibri" w:hAnsi="Proxima Nova" w:cstheme="minorHAnsi"/>
          <w:sz w:val="22"/>
          <w:szCs w:val="22"/>
        </w:rPr>
        <w:t>E</w:t>
      </w:r>
      <w:r w:rsidR="007E5715" w:rsidRPr="009D5459">
        <w:rPr>
          <w:rFonts w:ascii="Proxima Nova" w:eastAsia="Calibri" w:hAnsi="Proxima Nova" w:cstheme="minorHAnsi"/>
          <w:sz w:val="22"/>
          <w:szCs w:val="22"/>
        </w:rPr>
        <w:t>nterprise</w:t>
      </w:r>
      <w:r w:rsidRPr="009D5459">
        <w:rPr>
          <w:rFonts w:ascii="Proxima Nova" w:eastAsia="Calibri" w:hAnsi="Proxima Nova" w:cstheme="minorHAnsi"/>
          <w:sz w:val="22"/>
          <w:szCs w:val="22"/>
        </w:rPr>
        <w:t>s</w:t>
      </w:r>
      <w:r w:rsidR="007E5715" w:rsidRPr="009D5459">
        <w:rPr>
          <w:rFonts w:ascii="Proxima Nova" w:eastAsia="Calibri" w:hAnsi="Proxima Nova" w:cstheme="minorHAnsi"/>
          <w:sz w:val="22"/>
          <w:szCs w:val="22"/>
        </w:rPr>
        <w:t xml:space="preserve"> (sheltered workshops)</w:t>
      </w:r>
      <w:r w:rsidRPr="009D5459">
        <w:rPr>
          <w:rFonts w:ascii="Proxima Nova" w:eastAsia="Calibri" w:hAnsi="Proxima Nova" w:cstheme="minorHAnsi"/>
          <w:sz w:val="22"/>
          <w:szCs w:val="22"/>
        </w:rPr>
        <w:t>. There is significant evidence that clearly demonstrates these defining elements of institutionalisation are inherent to segregated employment settings, and that they underlie, and often give rise to, the conditions which enable violence, abuse, neglect and exploitation to occur.</w:t>
      </w:r>
      <w:r w:rsidRPr="009D5459">
        <w:rPr>
          <w:rStyle w:val="EndnoteReference"/>
          <w:rFonts w:ascii="Proxima Nova" w:eastAsia="Calibri" w:hAnsi="Proxima Nova" w:cstheme="minorHAnsi"/>
          <w:sz w:val="22"/>
          <w:szCs w:val="22"/>
        </w:rPr>
        <w:endnoteReference w:id="186"/>
      </w:r>
      <w:r w:rsidRPr="009D5459">
        <w:rPr>
          <w:rFonts w:ascii="Proxima Nova" w:eastAsia="Calibri" w:hAnsi="Proxima Nova" w:cstheme="minorHAnsi"/>
          <w:sz w:val="22"/>
          <w:szCs w:val="22"/>
        </w:rPr>
        <w:t xml:space="preserve"> T</w:t>
      </w:r>
      <w:r w:rsidRPr="009D5459">
        <w:rPr>
          <w:rFonts w:ascii="Proxima Nova" w:eastAsia="Calibri" w:hAnsi="Proxima Nova" w:cstheme="minorHAnsi"/>
          <w:sz w:val="22"/>
          <w:szCs w:val="22"/>
          <w:lang w:eastAsia="en-GB"/>
        </w:rPr>
        <w:t>he sheltered and/or ‘hidden’ nature of segregated and closed settings, combined with a lack of independent oversight, means it is difficult for women with disability to speak up about violence, harassment, abuse and/or exploitation in these settings, make a complaint, or seek information or assistance.</w:t>
      </w:r>
    </w:p>
    <w:p w14:paraId="1BE1B2D7" w14:textId="77777777" w:rsidR="004C40A7" w:rsidRPr="009D5459" w:rsidRDefault="004C40A7" w:rsidP="009D5459">
      <w:pPr>
        <w:spacing w:line="276" w:lineRule="auto"/>
        <w:ind w:left="720" w:hanging="720"/>
        <w:rPr>
          <w:rFonts w:ascii="Proxima Nova" w:hAnsi="Proxima Nova"/>
          <w:sz w:val="22"/>
          <w:szCs w:val="22"/>
        </w:rPr>
      </w:pPr>
    </w:p>
    <w:p w14:paraId="170349C2" w14:textId="41142734" w:rsidR="00703152" w:rsidRPr="009D5459" w:rsidRDefault="00C24042"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 xml:space="preserve">When engaging with disability services about restrictive practices, such as at Public Hearings, it is vital that the Royal Commission does not take </w:t>
      </w:r>
      <w:r w:rsidR="00A40160" w:rsidRPr="009D5459">
        <w:rPr>
          <w:rFonts w:ascii="Proxima Nova" w:hAnsi="Proxima Nova"/>
          <w:sz w:val="22"/>
          <w:szCs w:val="22"/>
        </w:rPr>
        <w:t xml:space="preserve">at face value </w:t>
      </w:r>
      <w:r w:rsidRPr="009D5459">
        <w:rPr>
          <w:rFonts w:ascii="Proxima Nova" w:hAnsi="Proxima Nova"/>
          <w:sz w:val="22"/>
          <w:szCs w:val="22"/>
        </w:rPr>
        <w:t>services’ rationales for use</w:t>
      </w:r>
      <w:r w:rsidR="00A40160" w:rsidRPr="009D5459">
        <w:rPr>
          <w:rFonts w:ascii="Proxima Nova" w:hAnsi="Proxima Nova"/>
          <w:sz w:val="22"/>
          <w:szCs w:val="22"/>
        </w:rPr>
        <w:t xml:space="preserve"> of restrictive practices</w:t>
      </w:r>
      <w:r w:rsidRPr="009D5459">
        <w:rPr>
          <w:rFonts w:ascii="Proxima Nova" w:hAnsi="Proxima Nova"/>
          <w:sz w:val="22"/>
          <w:szCs w:val="22"/>
        </w:rPr>
        <w:t xml:space="preserve"> but instead engages in deeper exploration in order to draw out the organisational </w:t>
      </w:r>
      <w:r w:rsidR="00A40160" w:rsidRPr="009D5459">
        <w:rPr>
          <w:rFonts w:ascii="Proxima Nova" w:hAnsi="Proxima Nova"/>
          <w:sz w:val="22"/>
          <w:szCs w:val="22"/>
        </w:rPr>
        <w:t xml:space="preserve">and financial </w:t>
      </w:r>
      <w:r w:rsidRPr="009D5459">
        <w:rPr>
          <w:rFonts w:ascii="Proxima Nova" w:hAnsi="Proxima Nova"/>
          <w:sz w:val="22"/>
          <w:szCs w:val="22"/>
        </w:rPr>
        <w:t>drivers for using restrictive practices on women and girls with disability and the gendered and abled norms that inform these</w:t>
      </w:r>
      <w:r w:rsidR="00F76F77" w:rsidRPr="009D5459">
        <w:rPr>
          <w:rFonts w:ascii="Proxima Nova" w:hAnsi="Proxima Nova"/>
          <w:sz w:val="22"/>
          <w:szCs w:val="22"/>
        </w:rPr>
        <w:t xml:space="preserve"> drivers</w:t>
      </w:r>
      <w:r w:rsidRPr="009D5459">
        <w:rPr>
          <w:rFonts w:ascii="Proxima Nova" w:hAnsi="Proxima Nova"/>
          <w:sz w:val="22"/>
          <w:szCs w:val="22"/>
        </w:rPr>
        <w:t>.</w:t>
      </w:r>
    </w:p>
    <w:p w14:paraId="3C5FF566" w14:textId="77777777" w:rsidR="006A789A" w:rsidRPr="009D5459" w:rsidRDefault="006A789A" w:rsidP="009D5459">
      <w:pPr>
        <w:pStyle w:val="ListParagraph"/>
        <w:spacing w:line="276" w:lineRule="auto"/>
        <w:ind w:hanging="720"/>
        <w:rPr>
          <w:rFonts w:ascii="Proxima Nova" w:hAnsi="Proxima Nova"/>
          <w:sz w:val="22"/>
          <w:szCs w:val="22"/>
        </w:rPr>
      </w:pPr>
    </w:p>
    <w:p w14:paraId="5197CBC4" w14:textId="791CE001" w:rsidR="002A1849" w:rsidRPr="009D5459" w:rsidRDefault="002A1849" w:rsidP="009D5459">
      <w:pPr>
        <w:pStyle w:val="ListParagraph"/>
        <w:numPr>
          <w:ilvl w:val="1"/>
          <w:numId w:val="28"/>
        </w:numPr>
        <w:spacing w:line="276" w:lineRule="auto"/>
        <w:ind w:left="720" w:hanging="720"/>
        <w:rPr>
          <w:rFonts w:ascii="Proxima Nova" w:hAnsi="Proxima Nova" w:cstheme="minorHAnsi"/>
          <w:sz w:val="22"/>
          <w:szCs w:val="22"/>
        </w:rPr>
      </w:pPr>
      <w:r w:rsidRPr="009D5459">
        <w:rPr>
          <w:rFonts w:ascii="Proxima Nova" w:hAnsi="Proxima Nova"/>
          <w:sz w:val="22"/>
          <w:szCs w:val="22"/>
        </w:rPr>
        <w:t xml:space="preserve">It is </w:t>
      </w:r>
      <w:proofErr w:type="gramStart"/>
      <w:r w:rsidRPr="009D5459">
        <w:rPr>
          <w:rFonts w:ascii="Proxima Nova" w:hAnsi="Proxima Nova"/>
          <w:sz w:val="22"/>
          <w:szCs w:val="22"/>
        </w:rPr>
        <w:t>on the basis of</w:t>
      </w:r>
      <w:proofErr w:type="gramEnd"/>
      <w:r w:rsidRPr="009D5459">
        <w:rPr>
          <w:rFonts w:ascii="Proxima Nova" w:hAnsi="Proxima Nova"/>
          <w:sz w:val="22"/>
          <w:szCs w:val="22"/>
        </w:rPr>
        <w:t xml:space="preserve"> these violent, harmful and discriminatory uses of restrictive practices </w:t>
      </w:r>
      <w:r w:rsidRPr="009D5459">
        <w:rPr>
          <w:rFonts w:ascii="Proxima Nova" w:hAnsi="Proxima Nova" w:cstheme="minorHAnsi"/>
          <w:sz w:val="22"/>
          <w:szCs w:val="22"/>
        </w:rPr>
        <w:t xml:space="preserve">that WWDA requests the Royal Commission recommend the complete end to the use of restrictive practices in relation to women and girls with disability, including non-consensual and coercive sterilisation, menstrual suppression, contraception and abortion. Such an approach recognises these practices violate various human rights, including those in the CRPD and </w:t>
      </w:r>
      <w:r w:rsidR="008F2145" w:rsidRPr="009D5459">
        <w:rPr>
          <w:rFonts w:ascii="Proxima Nova" w:hAnsi="Proxima Nova" w:cstheme="minorHAnsi"/>
          <w:sz w:val="22"/>
          <w:szCs w:val="22"/>
        </w:rPr>
        <w:t>CEDAW</w:t>
      </w:r>
      <w:r w:rsidRPr="009D5459">
        <w:rPr>
          <w:rFonts w:ascii="Proxima Nova" w:hAnsi="Proxima Nova" w:cstheme="minorHAnsi"/>
          <w:sz w:val="22"/>
          <w:szCs w:val="22"/>
        </w:rPr>
        <w:t xml:space="preserve"> and reflects recommendations made to Australia by the UN CRPD Committee. A gender-neutral approach that focuses on restrictive practices in more general terms will overlook these gendered restrictive practices, an</w:t>
      </w:r>
      <w:r w:rsidR="00E83866" w:rsidRPr="009D5459">
        <w:rPr>
          <w:rFonts w:ascii="Proxima Nova" w:hAnsi="Proxima Nova" w:cstheme="minorHAnsi"/>
          <w:sz w:val="22"/>
          <w:szCs w:val="22"/>
        </w:rPr>
        <w:t xml:space="preserve">d this is already evident in </w:t>
      </w:r>
      <w:r w:rsidRPr="009D5459">
        <w:rPr>
          <w:rFonts w:ascii="Proxima Nova" w:hAnsi="Proxima Nova" w:cstheme="minorHAnsi"/>
          <w:sz w:val="22"/>
          <w:szCs w:val="22"/>
        </w:rPr>
        <w:t xml:space="preserve">the </w:t>
      </w:r>
      <w:r w:rsidR="003509C3" w:rsidRPr="009D5459">
        <w:rPr>
          <w:rFonts w:ascii="Proxima Nova" w:hAnsi="Proxima Nova" w:cs="Calibri"/>
          <w:sz w:val="22"/>
          <w:szCs w:val="22"/>
        </w:rPr>
        <w:t xml:space="preserve">Restrictive Practices </w:t>
      </w:r>
      <w:r w:rsidRPr="009D5459">
        <w:rPr>
          <w:rFonts w:ascii="Proxima Nova" w:hAnsi="Proxima Nova" w:cstheme="minorHAnsi"/>
          <w:sz w:val="22"/>
          <w:szCs w:val="22"/>
        </w:rPr>
        <w:t>Issues Paper</w:t>
      </w:r>
      <w:r w:rsidRPr="009D5459">
        <w:rPr>
          <w:rStyle w:val="EndnoteReference"/>
          <w:rFonts w:ascii="Proxima Nova" w:hAnsi="Proxima Nova" w:cstheme="minorHAnsi"/>
          <w:sz w:val="22"/>
          <w:szCs w:val="22"/>
        </w:rPr>
        <w:endnoteReference w:id="187"/>
      </w:r>
      <w:r w:rsidRPr="009D5459">
        <w:rPr>
          <w:rFonts w:ascii="Proxima Nova" w:hAnsi="Proxima Nova" w:cstheme="minorHAnsi"/>
          <w:sz w:val="22"/>
          <w:szCs w:val="22"/>
        </w:rPr>
        <w:t xml:space="preserve"> which fails to mention and consider non-consensual and coercive sterilisation, menstrual suppression, contraception and abortion.</w:t>
      </w:r>
    </w:p>
    <w:p w14:paraId="614858E4" w14:textId="59DEDE3B" w:rsidR="00703152" w:rsidRPr="009D5459" w:rsidRDefault="00703152" w:rsidP="009D5459">
      <w:pPr>
        <w:spacing w:line="276" w:lineRule="auto"/>
        <w:rPr>
          <w:rFonts w:ascii="Proxima Nova" w:hAnsi="Proxima Nova"/>
          <w:sz w:val="22"/>
          <w:szCs w:val="22"/>
        </w:rPr>
      </w:pPr>
    </w:p>
    <w:p w14:paraId="4A4F0722" w14:textId="7A27B737" w:rsidR="00BE7352" w:rsidRPr="00525188" w:rsidRDefault="00BE7352" w:rsidP="00BE7352">
      <w:pPr>
        <w:spacing w:line="276" w:lineRule="auto"/>
        <w:rPr>
          <w:rFonts w:ascii="Proxima Nova" w:hAnsi="Proxima Nova" w:cstheme="minorHAnsi"/>
          <w:sz w:val="22"/>
          <w:szCs w:val="22"/>
        </w:rPr>
      </w:pPr>
      <w:r w:rsidRPr="00BE7352">
        <w:rPr>
          <w:rFonts w:ascii="Proxima Nova" w:hAnsi="Proxima Nova"/>
          <w:b/>
          <w:color w:val="AC1F79"/>
          <w:sz w:val="22"/>
          <w:szCs w:val="22"/>
        </w:rPr>
        <w:t>A Preliminary Note on ‘Alternatives’ to Restrictive Practices</w:t>
      </w:r>
    </w:p>
    <w:p w14:paraId="55C7798A" w14:textId="77777777" w:rsidR="00C24042" w:rsidRPr="009D5459" w:rsidRDefault="00C24042" w:rsidP="009D5459">
      <w:pPr>
        <w:spacing w:line="276" w:lineRule="auto"/>
        <w:rPr>
          <w:rFonts w:ascii="Proxima Nova" w:hAnsi="Proxima Nova"/>
          <w:sz w:val="22"/>
          <w:szCs w:val="22"/>
        </w:rPr>
      </w:pPr>
    </w:p>
    <w:p w14:paraId="520302A6" w14:textId="518620FD" w:rsidR="00931886" w:rsidRPr="009D5459" w:rsidRDefault="00F76F77"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The</w:t>
      </w:r>
      <w:r w:rsidR="003509C3" w:rsidRPr="009D5459">
        <w:rPr>
          <w:rFonts w:ascii="Proxima Nova" w:hAnsi="Proxima Nova"/>
          <w:sz w:val="22"/>
          <w:szCs w:val="22"/>
        </w:rPr>
        <w:t xml:space="preserve"> </w:t>
      </w:r>
      <w:r w:rsidR="003509C3" w:rsidRPr="009D5459">
        <w:rPr>
          <w:rFonts w:ascii="Proxima Nova" w:hAnsi="Proxima Nova" w:cs="Calibri"/>
          <w:sz w:val="22"/>
          <w:szCs w:val="22"/>
        </w:rPr>
        <w:t>Restrictive Practices</w:t>
      </w:r>
      <w:r w:rsidRPr="009D5459">
        <w:rPr>
          <w:rFonts w:ascii="Proxima Nova" w:hAnsi="Proxima Nova"/>
          <w:sz w:val="22"/>
          <w:szCs w:val="22"/>
        </w:rPr>
        <w:t xml:space="preserve"> Issues Paper indicates the Royal Commission is interested in ‘alternatives’ to use of restrictive practices. </w:t>
      </w:r>
      <w:r w:rsidR="00931886" w:rsidRPr="009D5459">
        <w:rPr>
          <w:rFonts w:ascii="Proxima Nova" w:hAnsi="Proxima Nova"/>
          <w:sz w:val="22"/>
          <w:szCs w:val="22"/>
        </w:rPr>
        <w:t>In contrast, the term ‘prohibit’ is not used in the issues paper.</w:t>
      </w:r>
    </w:p>
    <w:p w14:paraId="6E6D038E" w14:textId="77777777" w:rsidR="007C51BC" w:rsidRPr="009D5459" w:rsidRDefault="007C51BC" w:rsidP="009D5459">
      <w:pPr>
        <w:pStyle w:val="ListParagraph"/>
        <w:spacing w:line="276" w:lineRule="auto"/>
        <w:ind w:hanging="720"/>
        <w:rPr>
          <w:rFonts w:ascii="Proxima Nova" w:eastAsia="Calibri" w:hAnsi="Proxima Nova" w:cstheme="minorHAnsi"/>
          <w:sz w:val="22"/>
          <w:szCs w:val="22"/>
        </w:rPr>
      </w:pPr>
    </w:p>
    <w:p w14:paraId="672E5D70" w14:textId="77777777" w:rsidR="007C51BC" w:rsidRPr="009D5459" w:rsidRDefault="007C51BC"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WWDA understands that evidence-based and costed alternatives are appealing to governments. But, for a Royal Commission that has committed to transformative outcomes, a focus on alternatives is misguided and counter-productive and it would instead be more constructive for the Royal Commission to critically reflect on the ideas underpinning reliance on the paradigm of ‘alternatives’ in the context of violence prevention.</w:t>
      </w:r>
    </w:p>
    <w:p w14:paraId="2BB54710" w14:textId="77777777" w:rsidR="00931886" w:rsidRPr="009D5459" w:rsidRDefault="00931886" w:rsidP="009D5459">
      <w:pPr>
        <w:spacing w:line="276" w:lineRule="auto"/>
        <w:rPr>
          <w:rFonts w:ascii="Proxima Nova" w:hAnsi="Proxima Nova"/>
          <w:sz w:val="22"/>
          <w:szCs w:val="22"/>
        </w:rPr>
      </w:pPr>
    </w:p>
    <w:p w14:paraId="716EA1E5" w14:textId="79ADB59A" w:rsidR="00931886" w:rsidRPr="009D5459" w:rsidRDefault="00931886"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 xml:space="preserve">The Royal Commission’s recommendations on restrictive practices should not be contingent on the identification of ‘alternatives’ to restrictive practices. </w:t>
      </w:r>
      <w:r w:rsidRPr="009D5459">
        <w:rPr>
          <w:rFonts w:ascii="Proxima Nova" w:eastAsia="Calibri" w:hAnsi="Proxima Nova" w:cstheme="minorHAnsi"/>
          <w:sz w:val="22"/>
          <w:szCs w:val="22"/>
        </w:rPr>
        <w:t>If restrictive practices are understood as violent and harmful, then their use should be prohibited and redressed for this reason. Prohibition and redress should not depend on the availability of ‘alternatives’ (narrowly construed), let alone ‘evidence-based’ alternatives. Such alternatives are unlikely to exist not because they are impossible to conceive but because use of restrictive practices is so widespread and grounded in culturally accepted understandings of pe</w:t>
      </w:r>
      <w:r w:rsidRPr="009D5459">
        <w:rPr>
          <w:rFonts w:ascii="Proxima Nova" w:hAnsi="Proxima Nova"/>
          <w:sz w:val="22"/>
          <w:szCs w:val="22"/>
        </w:rPr>
        <w:t>ople with disability as inherently violable, risky, dangerous, in need of protection</w:t>
      </w:r>
      <w:r w:rsidRPr="009D5459">
        <w:rPr>
          <w:rFonts w:ascii="Proxima Nova" w:eastAsia="Calibri" w:hAnsi="Proxima Nova" w:cstheme="minorHAnsi"/>
          <w:sz w:val="22"/>
          <w:szCs w:val="22"/>
        </w:rPr>
        <w:t>, such that there is no impetus to imagine, develop and use such alternatives. Centring ‘alternatives’ in the exploration of restrictive practices risks a situation of the indefinite deferral of ending the violence of restrictive practices as we search of alternatives that simply do not exist, what Voronka refers to as the ‘slow violence’ of evidence-based research.</w:t>
      </w:r>
      <w:r w:rsidRPr="009D5459">
        <w:rPr>
          <w:rStyle w:val="EndnoteReference"/>
          <w:rFonts w:ascii="Proxima Nova" w:eastAsia="Calibri" w:hAnsi="Proxima Nova" w:cstheme="minorHAnsi"/>
          <w:sz w:val="22"/>
          <w:szCs w:val="22"/>
        </w:rPr>
        <w:endnoteReference w:id="188"/>
      </w:r>
      <w:r w:rsidRPr="009D5459">
        <w:rPr>
          <w:rFonts w:ascii="Proxima Nova" w:eastAsia="Calibri" w:hAnsi="Proxima Nova" w:cstheme="minorHAnsi"/>
          <w:sz w:val="22"/>
          <w:szCs w:val="22"/>
        </w:rPr>
        <w:t xml:space="preserve"> </w:t>
      </w:r>
      <w:r w:rsidRPr="009D5459">
        <w:rPr>
          <w:rFonts w:ascii="Proxima Nova" w:hAnsi="Proxima Nova"/>
          <w:sz w:val="22"/>
          <w:szCs w:val="22"/>
        </w:rPr>
        <w:t xml:space="preserve">WWDA does not know of any other situation – ranging from the intimate situation of domestic violence, to the widescale situation of genocide – where violence prevention is dependent on alternatives to that violence. </w:t>
      </w:r>
    </w:p>
    <w:p w14:paraId="3C45D177" w14:textId="77777777" w:rsidR="00931886" w:rsidRPr="009D5459" w:rsidRDefault="00931886" w:rsidP="009D5459">
      <w:pPr>
        <w:pStyle w:val="ListParagraph"/>
        <w:spacing w:line="276" w:lineRule="auto"/>
        <w:rPr>
          <w:rFonts w:ascii="Proxima Nova" w:hAnsi="Proxima Nova"/>
          <w:sz w:val="22"/>
          <w:szCs w:val="22"/>
        </w:rPr>
      </w:pPr>
    </w:p>
    <w:p w14:paraId="1B47FE99" w14:textId="77777777" w:rsidR="00A43287" w:rsidRPr="009D5459" w:rsidRDefault="00931886"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 xml:space="preserve">One’s </w:t>
      </w:r>
      <w:r w:rsidR="00F76F77" w:rsidRPr="009D5459">
        <w:rPr>
          <w:rFonts w:ascii="Proxima Nova" w:hAnsi="Proxima Nova"/>
          <w:sz w:val="22"/>
          <w:szCs w:val="22"/>
        </w:rPr>
        <w:t xml:space="preserve">understanding of ‘alternatives’ </w:t>
      </w:r>
      <w:r w:rsidRPr="009D5459">
        <w:rPr>
          <w:rFonts w:ascii="Proxima Nova" w:hAnsi="Proxima Nova"/>
          <w:sz w:val="22"/>
          <w:szCs w:val="22"/>
        </w:rPr>
        <w:t xml:space="preserve">to restrictive practices </w:t>
      </w:r>
      <w:r w:rsidR="00F76F77" w:rsidRPr="009D5459">
        <w:rPr>
          <w:rFonts w:ascii="Proxima Nova" w:hAnsi="Proxima Nova"/>
          <w:sz w:val="22"/>
          <w:szCs w:val="22"/>
        </w:rPr>
        <w:t>is very much contingent on</w:t>
      </w:r>
      <w:r w:rsidRPr="009D5459">
        <w:rPr>
          <w:rFonts w:ascii="Proxima Nova" w:hAnsi="Proxima Nova"/>
          <w:sz w:val="22"/>
          <w:szCs w:val="22"/>
        </w:rPr>
        <w:t xml:space="preserve"> </w:t>
      </w:r>
      <w:r w:rsidR="00F76F77" w:rsidRPr="009D5459">
        <w:rPr>
          <w:rFonts w:ascii="Proxima Nova" w:hAnsi="Proxima Nova"/>
          <w:sz w:val="22"/>
          <w:szCs w:val="22"/>
        </w:rPr>
        <w:t xml:space="preserve">the rationales for using restrictive practices. For example, if restrictive practices are </w:t>
      </w:r>
      <w:r w:rsidR="00F76F77" w:rsidRPr="009D5459">
        <w:rPr>
          <w:rFonts w:ascii="Proxima Nova" w:hAnsi="Proxima Nova"/>
          <w:sz w:val="22"/>
          <w:szCs w:val="22"/>
        </w:rPr>
        <w:lastRenderedPageBreak/>
        <w:t>conventionally understood as simply being used in extreme circumstances in response to an individual’s challenging behaviour</w:t>
      </w:r>
      <w:r w:rsidR="0090484A" w:rsidRPr="009D5459">
        <w:rPr>
          <w:rFonts w:ascii="Proxima Nova" w:hAnsi="Proxima Nova"/>
          <w:sz w:val="22"/>
          <w:szCs w:val="22"/>
        </w:rPr>
        <w:t xml:space="preserve"> (as </w:t>
      </w:r>
      <w:proofErr w:type="gramStart"/>
      <w:r w:rsidR="0090484A" w:rsidRPr="009D5459">
        <w:rPr>
          <w:rFonts w:ascii="Proxima Nova" w:hAnsi="Proxima Nova"/>
          <w:sz w:val="22"/>
          <w:szCs w:val="22"/>
        </w:rPr>
        <w:t>some kind of scientifically</w:t>
      </w:r>
      <w:proofErr w:type="gramEnd"/>
      <w:r w:rsidR="0090484A" w:rsidRPr="009D5459">
        <w:rPr>
          <w:rFonts w:ascii="Proxima Nova" w:hAnsi="Proxima Nova"/>
          <w:sz w:val="22"/>
          <w:szCs w:val="22"/>
        </w:rPr>
        <w:t xml:space="preserve"> objective phenomenon about the inherent behaviour of people with disability)</w:t>
      </w:r>
      <w:r w:rsidR="00F76F77" w:rsidRPr="009D5459">
        <w:rPr>
          <w:rFonts w:ascii="Proxima Nova" w:hAnsi="Proxima Nova"/>
          <w:sz w:val="22"/>
          <w:szCs w:val="22"/>
        </w:rPr>
        <w:t xml:space="preserve">, then ‘alternatives’ will </w:t>
      </w:r>
      <w:r w:rsidR="007649CC" w:rsidRPr="009D5459">
        <w:rPr>
          <w:rFonts w:ascii="Proxima Nova" w:hAnsi="Proxima Nova"/>
          <w:sz w:val="22"/>
          <w:szCs w:val="22"/>
        </w:rPr>
        <w:t>be limited to those</w:t>
      </w:r>
      <w:r w:rsidR="0090484A" w:rsidRPr="009D5459">
        <w:rPr>
          <w:rFonts w:ascii="Proxima Nova" w:hAnsi="Proxima Nova"/>
          <w:sz w:val="22"/>
          <w:szCs w:val="22"/>
        </w:rPr>
        <w:t xml:space="preserve"> options</w:t>
      </w:r>
      <w:r w:rsidR="007649CC" w:rsidRPr="009D5459">
        <w:rPr>
          <w:rFonts w:ascii="Proxima Nova" w:hAnsi="Proxima Nova"/>
          <w:sz w:val="22"/>
          <w:szCs w:val="22"/>
        </w:rPr>
        <w:t xml:space="preserve"> that focus on the individual and will involve other ways of limiting an individual’s movement or behaviour. </w:t>
      </w:r>
      <w:r w:rsidRPr="009D5459">
        <w:rPr>
          <w:rFonts w:ascii="Proxima Nova" w:hAnsi="Proxima Nova"/>
          <w:sz w:val="22"/>
          <w:szCs w:val="22"/>
        </w:rPr>
        <w:t>In this way, the</w:t>
      </w:r>
      <w:r w:rsidR="007649CC" w:rsidRPr="009D5459">
        <w:rPr>
          <w:rFonts w:ascii="Proxima Nova" w:hAnsi="Proxima Nova"/>
          <w:sz w:val="22"/>
          <w:szCs w:val="22"/>
        </w:rPr>
        <w:t xml:space="preserve"> very construction of the problem that the use of restrictive practices addresses </w:t>
      </w:r>
      <w:r w:rsidR="0090484A" w:rsidRPr="009D5459">
        <w:rPr>
          <w:rFonts w:ascii="Proxima Nova" w:hAnsi="Proxima Nova"/>
          <w:sz w:val="22"/>
          <w:szCs w:val="22"/>
        </w:rPr>
        <w:t>a</w:t>
      </w:r>
      <w:r w:rsidR="007649CC" w:rsidRPr="009D5459">
        <w:rPr>
          <w:rFonts w:ascii="Proxima Nova" w:hAnsi="Proxima Nova"/>
          <w:sz w:val="22"/>
          <w:szCs w:val="22"/>
        </w:rPr>
        <w:t xml:space="preserve">s one residing in the individual </w:t>
      </w:r>
      <w:r w:rsidR="00FD56C8" w:rsidRPr="009D5459">
        <w:rPr>
          <w:rFonts w:ascii="Proxima Nova" w:hAnsi="Proxima Nova"/>
          <w:sz w:val="22"/>
          <w:szCs w:val="22"/>
        </w:rPr>
        <w:t>logically leads to the inevitability of</w:t>
      </w:r>
      <w:r w:rsidR="007649CC" w:rsidRPr="009D5459">
        <w:rPr>
          <w:rFonts w:ascii="Proxima Nova" w:hAnsi="Proxima Nova"/>
          <w:sz w:val="22"/>
          <w:szCs w:val="22"/>
        </w:rPr>
        <w:t xml:space="preserve"> </w:t>
      </w:r>
      <w:r w:rsidR="00FD56C8" w:rsidRPr="009D5459">
        <w:rPr>
          <w:rFonts w:ascii="Proxima Nova" w:hAnsi="Proxima Nova"/>
          <w:sz w:val="22"/>
          <w:szCs w:val="22"/>
        </w:rPr>
        <w:t>coercive interventions in those individuals</w:t>
      </w:r>
      <w:r w:rsidR="007649CC" w:rsidRPr="009D5459">
        <w:rPr>
          <w:rFonts w:ascii="Proxima Nova" w:hAnsi="Proxima Nova"/>
          <w:sz w:val="22"/>
          <w:szCs w:val="22"/>
        </w:rPr>
        <w:t>.</w:t>
      </w:r>
      <w:r w:rsidRPr="009D5459">
        <w:rPr>
          <w:rFonts w:ascii="Proxima Nova" w:hAnsi="Proxima Nova"/>
          <w:sz w:val="22"/>
          <w:szCs w:val="22"/>
        </w:rPr>
        <w:t xml:space="preserve"> </w:t>
      </w:r>
    </w:p>
    <w:p w14:paraId="33FF0627" w14:textId="77777777" w:rsidR="00A43287" w:rsidRPr="009D5459" w:rsidRDefault="00A43287" w:rsidP="009D5459">
      <w:pPr>
        <w:pStyle w:val="ListParagraph"/>
        <w:spacing w:line="276" w:lineRule="auto"/>
        <w:rPr>
          <w:rFonts w:ascii="Proxima Nova" w:hAnsi="Proxima Nova"/>
          <w:sz w:val="22"/>
          <w:szCs w:val="22"/>
        </w:rPr>
      </w:pPr>
    </w:p>
    <w:p w14:paraId="1A9EEB9C" w14:textId="0FA79670" w:rsidR="0026484A" w:rsidRPr="009D5459" w:rsidRDefault="00F76F77"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In contrast, if restrictive practices are understood as being used for reasons</w:t>
      </w:r>
      <w:r w:rsidR="00F452D3" w:rsidRPr="009D5459">
        <w:rPr>
          <w:rFonts w:ascii="Proxima Nova" w:hAnsi="Proxima Nova"/>
          <w:sz w:val="22"/>
          <w:szCs w:val="22"/>
        </w:rPr>
        <w:t xml:space="preserve"> of organisational convenience, efficiency, legitimation and risk management</w:t>
      </w:r>
      <w:r w:rsidR="007649CC" w:rsidRPr="009D5459">
        <w:rPr>
          <w:rFonts w:ascii="Proxima Nova" w:hAnsi="Proxima Nova"/>
          <w:sz w:val="22"/>
          <w:szCs w:val="22"/>
        </w:rPr>
        <w:t xml:space="preserve"> and as associated with gendered and abled norms</w:t>
      </w:r>
      <w:r w:rsidR="0090484A" w:rsidRPr="009D5459">
        <w:rPr>
          <w:rFonts w:ascii="Proxima Nova" w:hAnsi="Proxima Nova"/>
          <w:sz w:val="22"/>
          <w:szCs w:val="22"/>
        </w:rPr>
        <w:t xml:space="preserve"> (as discussed earlier in this </w:t>
      </w:r>
      <w:r w:rsidR="00AD166E" w:rsidRPr="009D5459">
        <w:rPr>
          <w:rFonts w:ascii="Proxima Nova" w:hAnsi="Proxima Nova"/>
          <w:sz w:val="22"/>
          <w:szCs w:val="22"/>
        </w:rPr>
        <w:t>s</w:t>
      </w:r>
      <w:r w:rsidR="0090484A" w:rsidRPr="009D5459">
        <w:rPr>
          <w:rFonts w:ascii="Proxima Nova" w:hAnsi="Proxima Nova"/>
          <w:sz w:val="22"/>
          <w:szCs w:val="22"/>
        </w:rPr>
        <w:t>ection)</w:t>
      </w:r>
      <w:r w:rsidR="007649CC" w:rsidRPr="009D5459">
        <w:rPr>
          <w:rFonts w:ascii="Proxima Nova" w:hAnsi="Proxima Nova"/>
          <w:sz w:val="22"/>
          <w:szCs w:val="22"/>
        </w:rPr>
        <w:t>, then ‘alternatives</w:t>
      </w:r>
      <w:r w:rsidR="0090484A" w:rsidRPr="009D5459">
        <w:rPr>
          <w:rFonts w:ascii="Proxima Nova" w:hAnsi="Proxima Nova"/>
          <w:sz w:val="22"/>
          <w:szCs w:val="22"/>
        </w:rPr>
        <w:t xml:space="preserve">’ can be understood much more broadly as those that disrupt and dismantle the social, political and economic drivers for grounding disability service provision in profit and finance, and disrupt and dismantle the gendered and abled hierarchies that shape how female embodied experiences are devalued in the context of </w:t>
      </w:r>
      <w:r w:rsidR="006B676E" w:rsidRPr="009D5459">
        <w:rPr>
          <w:rFonts w:ascii="Proxima Nova" w:hAnsi="Proxima Nova"/>
          <w:sz w:val="22"/>
          <w:szCs w:val="22"/>
        </w:rPr>
        <w:t>such service provision</w:t>
      </w:r>
      <w:r w:rsidR="0090484A" w:rsidRPr="009D5459">
        <w:rPr>
          <w:rFonts w:ascii="Proxima Nova" w:hAnsi="Proxima Nova"/>
          <w:sz w:val="22"/>
          <w:szCs w:val="22"/>
        </w:rPr>
        <w:t xml:space="preserve">. </w:t>
      </w:r>
      <w:r w:rsidR="00A43287" w:rsidRPr="009D5459">
        <w:rPr>
          <w:rFonts w:ascii="Proxima Nova" w:hAnsi="Proxima Nova"/>
          <w:sz w:val="22"/>
          <w:szCs w:val="22"/>
        </w:rPr>
        <w:t>This broader approach to ‘alternatives’ aligns with a critical disability approach to ‘abolition’ of incarceration as not simply being about ending an existing practice but as transforming the economic, political and cultural arrangements that make incarceration a necessary and legitimate part of how we respond to marginalised, racialised and disabled populations.</w:t>
      </w:r>
      <w:r w:rsidR="00A43287" w:rsidRPr="009D5459">
        <w:rPr>
          <w:rStyle w:val="EndnoteReference"/>
          <w:rFonts w:ascii="Proxima Nova" w:hAnsi="Proxima Nova"/>
          <w:sz w:val="22"/>
          <w:szCs w:val="22"/>
        </w:rPr>
        <w:endnoteReference w:id="189"/>
      </w:r>
    </w:p>
    <w:p w14:paraId="0340D2DC" w14:textId="4CC3A957" w:rsidR="0009515A" w:rsidRPr="009D5459" w:rsidRDefault="0009515A" w:rsidP="009D5459">
      <w:pPr>
        <w:pStyle w:val="ListParagraph"/>
        <w:spacing w:line="276" w:lineRule="auto"/>
        <w:ind w:hanging="720"/>
        <w:rPr>
          <w:rFonts w:ascii="Proxima Nova" w:hAnsi="Proxima Nova" w:cstheme="minorHAnsi"/>
          <w:sz w:val="22"/>
          <w:szCs w:val="22"/>
        </w:rPr>
      </w:pPr>
    </w:p>
    <w:p w14:paraId="2F28D2F1" w14:textId="7B6618FA" w:rsidR="00516544" w:rsidRPr="009D5459" w:rsidRDefault="00516544"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With this broadened understanding of the use of restrictive practices, we now turn to explain how the use of restrictive practices constitutes gendered ableist violence against women and girls with disability.</w:t>
      </w:r>
    </w:p>
    <w:p w14:paraId="3A1AB63F" w14:textId="3A651515" w:rsidR="00F76F77" w:rsidRPr="009D5459" w:rsidRDefault="00F76F77" w:rsidP="009D5459">
      <w:pPr>
        <w:spacing w:line="276" w:lineRule="auto"/>
        <w:ind w:left="720" w:hanging="720"/>
        <w:rPr>
          <w:rFonts w:ascii="Proxima Nova" w:hAnsi="Proxima Nova" w:cstheme="minorHAnsi"/>
          <w:sz w:val="22"/>
          <w:szCs w:val="22"/>
        </w:rPr>
      </w:pPr>
    </w:p>
    <w:p w14:paraId="28CC43D8" w14:textId="01F36E47" w:rsidR="00C10F02" w:rsidRPr="00933B76" w:rsidRDefault="00C10F02" w:rsidP="00C10F02">
      <w:pPr>
        <w:spacing w:line="276" w:lineRule="auto"/>
        <w:rPr>
          <w:rFonts w:ascii="Proxima Nova" w:hAnsi="Proxima Nova" w:cstheme="minorHAnsi"/>
        </w:rPr>
      </w:pPr>
      <w:r w:rsidRPr="00933B76">
        <w:rPr>
          <w:rFonts w:ascii="Proxima Nova" w:hAnsi="Proxima Nova"/>
          <w:b/>
          <w:color w:val="AC1F79"/>
        </w:rPr>
        <w:t>Interpersonal Violence</w:t>
      </w:r>
    </w:p>
    <w:p w14:paraId="3F5374A2" w14:textId="77777777" w:rsidR="00C10F02" w:rsidRPr="009D5459" w:rsidRDefault="00C10F02" w:rsidP="009D5459">
      <w:pPr>
        <w:spacing w:line="276" w:lineRule="auto"/>
        <w:rPr>
          <w:rFonts w:ascii="Proxima Nova" w:hAnsi="Proxima Nova"/>
          <w:sz w:val="22"/>
          <w:szCs w:val="22"/>
        </w:rPr>
      </w:pPr>
    </w:p>
    <w:p w14:paraId="641D4164" w14:textId="1C207FEE" w:rsidR="0050047D" w:rsidRPr="009D5459" w:rsidRDefault="00395406"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 xml:space="preserve">On one level, </w:t>
      </w:r>
      <w:r w:rsidR="00A65BAA" w:rsidRPr="009D5459">
        <w:rPr>
          <w:rFonts w:ascii="Proxima Nova" w:hAnsi="Proxima Nova"/>
          <w:sz w:val="22"/>
          <w:szCs w:val="22"/>
        </w:rPr>
        <w:t xml:space="preserve">use of </w:t>
      </w:r>
      <w:r w:rsidRPr="009D5459">
        <w:rPr>
          <w:rFonts w:ascii="Proxima Nova" w:hAnsi="Proxima Nova"/>
          <w:sz w:val="22"/>
          <w:szCs w:val="22"/>
        </w:rPr>
        <w:t xml:space="preserve">restrictive practices </w:t>
      </w:r>
      <w:r w:rsidR="00A65BAA" w:rsidRPr="009D5459">
        <w:rPr>
          <w:rFonts w:ascii="Proxima Nova" w:hAnsi="Proxima Nova"/>
          <w:sz w:val="22"/>
          <w:szCs w:val="22"/>
        </w:rPr>
        <w:t xml:space="preserve">constitutes </w:t>
      </w:r>
      <w:r w:rsidRPr="009D5459">
        <w:rPr>
          <w:rFonts w:ascii="Proxima Nova" w:hAnsi="Proxima Nova"/>
          <w:sz w:val="22"/>
          <w:szCs w:val="22"/>
        </w:rPr>
        <w:t xml:space="preserve">a form of interpersonal violence </w:t>
      </w:r>
      <w:r w:rsidR="00A65BAA" w:rsidRPr="009D5459">
        <w:rPr>
          <w:rFonts w:ascii="Proxima Nova" w:hAnsi="Proxima Nova"/>
          <w:sz w:val="22"/>
          <w:szCs w:val="22"/>
        </w:rPr>
        <w:t>against women and girls with disability because restrictive practices</w:t>
      </w:r>
      <w:r w:rsidRPr="009D5459">
        <w:rPr>
          <w:rFonts w:ascii="Proxima Nova" w:hAnsi="Proxima Nova"/>
          <w:sz w:val="22"/>
          <w:szCs w:val="22"/>
        </w:rPr>
        <w:t xml:space="preserve"> are non-consensual and coercive interventions perpetrated by </w:t>
      </w:r>
      <w:r w:rsidR="00A65BAA" w:rsidRPr="009D5459">
        <w:rPr>
          <w:rFonts w:ascii="Proxima Nova" w:hAnsi="Proxima Nova"/>
          <w:sz w:val="22"/>
          <w:szCs w:val="22"/>
        </w:rPr>
        <w:t>an</w:t>
      </w:r>
      <w:r w:rsidRPr="009D5459">
        <w:rPr>
          <w:rFonts w:ascii="Proxima Nova" w:hAnsi="Proxima Nova"/>
          <w:sz w:val="22"/>
          <w:szCs w:val="22"/>
        </w:rPr>
        <w:t xml:space="preserve"> individual </w:t>
      </w:r>
      <w:r w:rsidR="00A65BAA" w:rsidRPr="009D5459">
        <w:rPr>
          <w:rFonts w:ascii="Proxima Nova" w:hAnsi="Proxima Nova"/>
          <w:sz w:val="22"/>
          <w:szCs w:val="22"/>
        </w:rPr>
        <w:t xml:space="preserve">(such as a disability support worker) </w:t>
      </w:r>
      <w:r w:rsidRPr="009D5459">
        <w:rPr>
          <w:rFonts w:ascii="Proxima Nova" w:hAnsi="Proxima Nova"/>
          <w:sz w:val="22"/>
          <w:szCs w:val="22"/>
        </w:rPr>
        <w:t>onto another individual</w:t>
      </w:r>
      <w:r w:rsidR="006E72C8" w:rsidRPr="009D5459">
        <w:rPr>
          <w:rFonts w:ascii="Proxima Nova" w:hAnsi="Proxima Nova"/>
          <w:sz w:val="22"/>
          <w:szCs w:val="22"/>
        </w:rPr>
        <w:t xml:space="preserve"> that cause</w:t>
      </w:r>
      <w:r w:rsidR="0050047D" w:rsidRPr="009D5459">
        <w:rPr>
          <w:rFonts w:ascii="Proxima Nova" w:hAnsi="Proxima Nova"/>
          <w:sz w:val="22"/>
          <w:szCs w:val="22"/>
        </w:rPr>
        <w:t xml:space="preserve"> harm </w:t>
      </w:r>
      <w:r w:rsidR="006E72C8" w:rsidRPr="009D5459">
        <w:rPr>
          <w:rFonts w:ascii="Proxima Nova" w:hAnsi="Proxima Nova"/>
          <w:sz w:val="22"/>
          <w:szCs w:val="22"/>
        </w:rPr>
        <w:t xml:space="preserve">to those subjected to them (such as </w:t>
      </w:r>
      <w:r w:rsidR="0050047D" w:rsidRPr="009D5459">
        <w:rPr>
          <w:rFonts w:ascii="Proxima Nova" w:hAnsi="Proxima Nova"/>
          <w:sz w:val="22"/>
          <w:szCs w:val="22"/>
        </w:rPr>
        <w:t>physical injury, psych</w:t>
      </w:r>
      <w:r w:rsidR="00A65BAA" w:rsidRPr="009D5459">
        <w:rPr>
          <w:rFonts w:ascii="Proxima Nova" w:hAnsi="Proxima Nova"/>
          <w:sz w:val="22"/>
          <w:szCs w:val="22"/>
        </w:rPr>
        <w:t xml:space="preserve">ological injury, ongoing trauma, and </w:t>
      </w:r>
      <w:r w:rsidR="00335AD1" w:rsidRPr="009D5459">
        <w:rPr>
          <w:rFonts w:ascii="Proxima Nova" w:hAnsi="Proxima Nova"/>
          <w:sz w:val="22"/>
          <w:szCs w:val="22"/>
        </w:rPr>
        <w:t>long-term</w:t>
      </w:r>
      <w:r w:rsidR="0050047D" w:rsidRPr="009D5459">
        <w:rPr>
          <w:rFonts w:ascii="Proxima Nova" w:hAnsi="Proxima Nova"/>
          <w:sz w:val="22"/>
          <w:szCs w:val="22"/>
        </w:rPr>
        <w:t xml:space="preserve"> health effects</w:t>
      </w:r>
      <w:r w:rsidR="006E72C8" w:rsidRPr="009D5459">
        <w:rPr>
          <w:rFonts w:ascii="Proxima Nova" w:hAnsi="Proxima Nova"/>
          <w:sz w:val="22"/>
          <w:szCs w:val="22"/>
        </w:rPr>
        <w:t xml:space="preserve"> discussed in Section 4)</w:t>
      </w:r>
      <w:r w:rsidR="0050047D" w:rsidRPr="009D5459">
        <w:rPr>
          <w:rFonts w:ascii="Proxima Nova" w:hAnsi="Proxima Nova"/>
          <w:sz w:val="22"/>
          <w:szCs w:val="22"/>
        </w:rPr>
        <w:t>.</w:t>
      </w:r>
    </w:p>
    <w:p w14:paraId="3A7C8A7F" w14:textId="77777777" w:rsidR="0050047D" w:rsidRPr="009D5459" w:rsidRDefault="0050047D" w:rsidP="009D5459">
      <w:pPr>
        <w:spacing w:line="276" w:lineRule="auto"/>
        <w:ind w:left="720" w:hanging="720"/>
        <w:rPr>
          <w:rFonts w:ascii="Proxima Nova" w:hAnsi="Proxima Nova"/>
          <w:sz w:val="22"/>
          <w:szCs w:val="22"/>
        </w:rPr>
      </w:pPr>
    </w:p>
    <w:p w14:paraId="47D1D11E" w14:textId="7F8F1512" w:rsidR="0050047D" w:rsidRPr="009D5459" w:rsidRDefault="00262930" w:rsidP="009D5459">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 xml:space="preserve">However, this approach </w:t>
      </w:r>
      <w:r w:rsidR="00886C29" w:rsidRPr="009D5459">
        <w:rPr>
          <w:rFonts w:ascii="Proxima Nova" w:hAnsi="Proxima Nova"/>
          <w:sz w:val="22"/>
          <w:szCs w:val="22"/>
        </w:rPr>
        <w:t xml:space="preserve">to violence </w:t>
      </w:r>
      <w:r w:rsidRPr="009D5459">
        <w:rPr>
          <w:rFonts w:ascii="Proxima Nova" w:hAnsi="Proxima Nova"/>
          <w:sz w:val="22"/>
          <w:szCs w:val="22"/>
        </w:rPr>
        <w:t xml:space="preserve">individualises and decontextualizes restrictive practices. </w:t>
      </w:r>
      <w:r w:rsidR="006E72C8" w:rsidRPr="009D5459">
        <w:rPr>
          <w:rFonts w:ascii="Proxima Nova" w:hAnsi="Proxima Nova"/>
          <w:sz w:val="22"/>
          <w:szCs w:val="22"/>
        </w:rPr>
        <w:t xml:space="preserve">While we agree that restrictive </w:t>
      </w:r>
      <w:r w:rsidR="00C10F02" w:rsidRPr="009D5459">
        <w:rPr>
          <w:rFonts w:ascii="Proxima Nova" w:hAnsi="Proxima Nova"/>
          <w:sz w:val="22"/>
          <w:szCs w:val="22"/>
        </w:rPr>
        <w:t>practices</w:t>
      </w:r>
      <w:r w:rsidR="008D0B52" w:rsidRPr="009D5459">
        <w:rPr>
          <w:rFonts w:ascii="Proxima Nova" w:hAnsi="Proxima Nova"/>
          <w:sz w:val="22"/>
          <w:szCs w:val="22"/>
        </w:rPr>
        <w:t xml:space="preserve"> do involve </w:t>
      </w:r>
      <w:r w:rsidR="00335AD1" w:rsidRPr="009D5459">
        <w:rPr>
          <w:rFonts w:ascii="Proxima Nova" w:hAnsi="Proxima Nova"/>
          <w:sz w:val="22"/>
          <w:szCs w:val="22"/>
        </w:rPr>
        <w:t>interpersonal violence</w:t>
      </w:r>
      <w:r w:rsidR="008D0B52" w:rsidRPr="009D5459">
        <w:rPr>
          <w:rFonts w:ascii="Proxima Nova" w:hAnsi="Proxima Nova"/>
          <w:sz w:val="22"/>
          <w:szCs w:val="22"/>
        </w:rPr>
        <w:t>, we see this as only one aspect of their violence.</w:t>
      </w:r>
      <w:r w:rsidR="006E72C8" w:rsidRPr="009D5459">
        <w:rPr>
          <w:rFonts w:ascii="Proxima Nova" w:hAnsi="Proxima Nova"/>
          <w:sz w:val="22"/>
          <w:szCs w:val="22"/>
        </w:rPr>
        <w:t xml:space="preserve"> </w:t>
      </w:r>
      <w:r w:rsidR="008D0B52" w:rsidRPr="009D5459">
        <w:rPr>
          <w:rFonts w:ascii="Proxima Nova" w:hAnsi="Proxima Nova"/>
          <w:sz w:val="22"/>
          <w:szCs w:val="22"/>
        </w:rPr>
        <w:t>I</w:t>
      </w:r>
      <w:r w:rsidR="006E72C8" w:rsidRPr="009D5459">
        <w:rPr>
          <w:rFonts w:ascii="Proxima Nova" w:hAnsi="Proxima Nova"/>
          <w:sz w:val="22"/>
          <w:szCs w:val="22"/>
        </w:rPr>
        <w:t xml:space="preserve">n this section and Section </w:t>
      </w:r>
      <w:r w:rsidR="00AD166E" w:rsidRPr="009D5459">
        <w:rPr>
          <w:rFonts w:ascii="Proxima Nova" w:hAnsi="Proxima Nova"/>
          <w:sz w:val="22"/>
          <w:szCs w:val="22"/>
        </w:rPr>
        <w:t>6</w:t>
      </w:r>
      <w:r w:rsidR="006E72C8" w:rsidRPr="009D5459">
        <w:rPr>
          <w:rFonts w:ascii="Proxima Nova" w:hAnsi="Proxima Nova"/>
          <w:sz w:val="22"/>
          <w:szCs w:val="22"/>
        </w:rPr>
        <w:t xml:space="preserve"> </w:t>
      </w:r>
      <w:r w:rsidRPr="009D5459">
        <w:rPr>
          <w:rFonts w:ascii="Proxima Nova" w:hAnsi="Proxima Nova"/>
          <w:sz w:val="22"/>
          <w:szCs w:val="22"/>
        </w:rPr>
        <w:t xml:space="preserve">WWDA approaches </w:t>
      </w:r>
      <w:r w:rsidR="006E72C8" w:rsidRPr="009D5459">
        <w:rPr>
          <w:rFonts w:ascii="Proxima Nova" w:hAnsi="Proxima Nova"/>
          <w:sz w:val="22"/>
          <w:szCs w:val="22"/>
        </w:rPr>
        <w:t xml:space="preserve">the </w:t>
      </w:r>
      <w:r w:rsidR="00886C29" w:rsidRPr="009D5459">
        <w:rPr>
          <w:rFonts w:ascii="Proxima Nova" w:hAnsi="Proxima Nova"/>
          <w:sz w:val="22"/>
          <w:szCs w:val="22"/>
        </w:rPr>
        <w:t>violence</w:t>
      </w:r>
      <w:r w:rsidR="006E72C8" w:rsidRPr="009D5459">
        <w:rPr>
          <w:rFonts w:ascii="Proxima Nova" w:hAnsi="Proxima Nova"/>
          <w:sz w:val="22"/>
          <w:szCs w:val="22"/>
        </w:rPr>
        <w:t xml:space="preserve"> of restrictive practices</w:t>
      </w:r>
      <w:r w:rsidR="00886C29" w:rsidRPr="009D5459">
        <w:rPr>
          <w:rFonts w:ascii="Proxima Nova" w:hAnsi="Proxima Nova"/>
          <w:sz w:val="22"/>
          <w:szCs w:val="22"/>
        </w:rPr>
        <w:t xml:space="preserve"> in more complex and structural terms and </w:t>
      </w:r>
      <w:r w:rsidR="006E72C8" w:rsidRPr="009D5459">
        <w:rPr>
          <w:rFonts w:ascii="Proxima Nova" w:hAnsi="Proxima Nova"/>
          <w:sz w:val="22"/>
          <w:szCs w:val="22"/>
        </w:rPr>
        <w:t xml:space="preserve">as having more </w:t>
      </w:r>
      <w:r w:rsidR="00C10F02" w:rsidRPr="009D5459">
        <w:rPr>
          <w:rFonts w:ascii="Proxima Nova" w:hAnsi="Proxima Nova"/>
          <w:sz w:val="22"/>
          <w:szCs w:val="22"/>
        </w:rPr>
        <w:t>far-reaching</w:t>
      </w:r>
      <w:r w:rsidR="006E72C8" w:rsidRPr="009D5459">
        <w:rPr>
          <w:rFonts w:ascii="Proxima Nova" w:hAnsi="Proxima Nova"/>
          <w:sz w:val="22"/>
          <w:szCs w:val="22"/>
        </w:rPr>
        <w:t xml:space="preserve"> social and political impacts on those subjected to them and women and girls with disability more generally.</w:t>
      </w:r>
    </w:p>
    <w:p w14:paraId="61AAA42C" w14:textId="77777777" w:rsidR="0012662C" w:rsidRPr="009D5459" w:rsidRDefault="0012662C" w:rsidP="009D5459">
      <w:pPr>
        <w:spacing w:line="276" w:lineRule="auto"/>
        <w:ind w:left="720" w:hanging="720"/>
        <w:rPr>
          <w:rFonts w:ascii="Proxima Nova" w:hAnsi="Proxima Nova" w:cstheme="minorHAnsi"/>
          <w:sz w:val="22"/>
          <w:szCs w:val="22"/>
        </w:rPr>
      </w:pPr>
    </w:p>
    <w:p w14:paraId="6A6928BD" w14:textId="45C2A9B2" w:rsidR="0012662C" w:rsidRPr="00933B76" w:rsidRDefault="0012662C" w:rsidP="0012662C">
      <w:pPr>
        <w:spacing w:line="276" w:lineRule="auto"/>
        <w:rPr>
          <w:rFonts w:ascii="Proxima Nova" w:hAnsi="Proxima Nova" w:cstheme="minorHAnsi"/>
        </w:rPr>
      </w:pPr>
      <w:r w:rsidRPr="00933B76">
        <w:rPr>
          <w:rFonts w:ascii="Proxima Nova" w:hAnsi="Proxima Nova"/>
          <w:b/>
          <w:color w:val="AC1F79"/>
        </w:rPr>
        <w:t>Ableism</w:t>
      </w:r>
    </w:p>
    <w:p w14:paraId="5F4CC50F" w14:textId="77777777" w:rsidR="0012662C" w:rsidRPr="009D5459" w:rsidRDefault="0012662C" w:rsidP="00D9215C">
      <w:pPr>
        <w:spacing w:line="276" w:lineRule="auto"/>
        <w:ind w:left="720" w:hanging="720"/>
        <w:rPr>
          <w:rFonts w:ascii="Proxima Nova" w:hAnsi="Proxima Nova"/>
          <w:sz w:val="22"/>
          <w:szCs w:val="22"/>
        </w:rPr>
      </w:pPr>
    </w:p>
    <w:p w14:paraId="76FBA47F" w14:textId="4ED9D1C3" w:rsidR="00E6395C" w:rsidRPr="009D5459" w:rsidRDefault="008B7147" w:rsidP="00D9215C">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 xml:space="preserve">Our starting point </w:t>
      </w:r>
      <w:r w:rsidR="006C7B23" w:rsidRPr="009D5459">
        <w:rPr>
          <w:rFonts w:ascii="Proxima Nova" w:hAnsi="Proxima Nova"/>
          <w:sz w:val="22"/>
          <w:szCs w:val="22"/>
        </w:rPr>
        <w:t xml:space="preserve">for approaching the use of restrictive practices in relation to women and girls with disability as gendered ableist violence is to </w:t>
      </w:r>
      <w:r w:rsidR="00132DF0" w:rsidRPr="009D5459">
        <w:rPr>
          <w:rFonts w:ascii="Proxima Nova" w:hAnsi="Proxima Nova"/>
          <w:sz w:val="22"/>
          <w:szCs w:val="22"/>
        </w:rPr>
        <w:t>draw out the ableism underpinning their use</w:t>
      </w:r>
      <w:r w:rsidR="00E6395C" w:rsidRPr="009D5459">
        <w:rPr>
          <w:rFonts w:ascii="Proxima Nova" w:hAnsi="Proxima Nova"/>
          <w:sz w:val="22"/>
          <w:szCs w:val="22"/>
        </w:rPr>
        <w:t>.</w:t>
      </w:r>
    </w:p>
    <w:p w14:paraId="34925B34" w14:textId="77777777" w:rsidR="00E6395C" w:rsidRPr="009D5459" w:rsidRDefault="00E6395C" w:rsidP="00D9215C">
      <w:pPr>
        <w:spacing w:line="276" w:lineRule="auto"/>
        <w:ind w:left="720" w:hanging="720"/>
        <w:rPr>
          <w:rFonts w:ascii="Proxima Nova" w:hAnsi="Proxima Nova"/>
          <w:sz w:val="22"/>
          <w:szCs w:val="22"/>
        </w:rPr>
      </w:pPr>
    </w:p>
    <w:p w14:paraId="2D51C2B2" w14:textId="6B4D4B45" w:rsidR="0083460E" w:rsidRPr="009D5459" w:rsidRDefault="006C7B23" w:rsidP="00D9215C">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 xml:space="preserve">The first step in </w:t>
      </w:r>
      <w:r w:rsidR="00132DF0" w:rsidRPr="009D5459">
        <w:rPr>
          <w:rFonts w:ascii="Proxima Nova" w:hAnsi="Proxima Nova"/>
          <w:sz w:val="22"/>
          <w:szCs w:val="22"/>
        </w:rPr>
        <w:t xml:space="preserve">our </w:t>
      </w:r>
      <w:r w:rsidR="0083460E" w:rsidRPr="009D5459">
        <w:rPr>
          <w:rFonts w:ascii="Proxima Nova" w:hAnsi="Proxima Nova"/>
          <w:sz w:val="22"/>
          <w:szCs w:val="22"/>
        </w:rPr>
        <w:t>conceptual approach to restrictive practices against women and girls with disability is to challenge the medical model of disability. Disability is conventionally understood through a medical lens, or ‘medical model’, as an individual, natural deviation from ‘a biomedical norm.’</w:t>
      </w:r>
      <w:r w:rsidR="0083460E" w:rsidRPr="009D5459">
        <w:rPr>
          <w:rStyle w:val="EndnoteReference"/>
          <w:rFonts w:ascii="Proxima Nova" w:hAnsi="Proxima Nova"/>
          <w:sz w:val="22"/>
          <w:szCs w:val="22"/>
        </w:rPr>
        <w:endnoteReference w:id="190"/>
      </w:r>
      <w:r w:rsidR="0083460E" w:rsidRPr="009D5459">
        <w:rPr>
          <w:rFonts w:ascii="Proxima Nova" w:hAnsi="Proxima Nova"/>
          <w:sz w:val="22"/>
          <w:szCs w:val="22"/>
        </w:rPr>
        <w:t xml:space="preserve"> This is exemplified by diagnostic approaches to disability that break down a specific disability to particular characteristics residing in the individual, which await discovery through the expert process of diagnosis.</w:t>
      </w:r>
      <w:r w:rsidR="0083460E" w:rsidRPr="009D5459">
        <w:rPr>
          <w:rStyle w:val="EndnoteReference"/>
          <w:rFonts w:ascii="Proxima Nova" w:hAnsi="Proxima Nova"/>
          <w:sz w:val="22"/>
          <w:szCs w:val="22"/>
        </w:rPr>
        <w:endnoteReference w:id="191"/>
      </w:r>
      <w:r w:rsidR="0083460E" w:rsidRPr="009D5459">
        <w:rPr>
          <w:rFonts w:ascii="Proxima Nova" w:hAnsi="Proxima Nova"/>
          <w:sz w:val="22"/>
          <w:szCs w:val="22"/>
        </w:rPr>
        <w:t xml:space="preserve"> </w:t>
      </w:r>
      <w:r w:rsidR="0083460E" w:rsidRPr="009D5459">
        <w:rPr>
          <w:rFonts w:ascii="Proxima Nova" w:hAnsi="Proxima Nova" w:cstheme="minorHAnsi"/>
          <w:color w:val="000000" w:themeColor="text1"/>
          <w:spacing w:val="-4"/>
          <w:sz w:val="22"/>
          <w:szCs w:val="22"/>
          <w:shd w:val="clear" w:color="auto" w:fill="FFFFFF"/>
        </w:rPr>
        <w:t>The medical model views disability as a ‘deficit’ within the individual, a deviation from bodily, cognitive and mental norms, which requires medical, rehabilitation, psychology and educational interventions to diagnose, treat or cure the individual.</w:t>
      </w:r>
      <w:r w:rsidR="0083460E" w:rsidRPr="009D5459">
        <w:rPr>
          <w:rStyle w:val="EndnoteReference"/>
          <w:rFonts w:ascii="Proxima Nova" w:hAnsi="Proxima Nova" w:cstheme="minorHAnsi"/>
          <w:color w:val="000000" w:themeColor="text1"/>
          <w:spacing w:val="-4"/>
          <w:sz w:val="22"/>
          <w:szCs w:val="22"/>
          <w:shd w:val="clear" w:color="auto" w:fill="FFFFFF"/>
        </w:rPr>
        <w:endnoteReference w:id="192"/>
      </w:r>
      <w:r w:rsidR="0083460E" w:rsidRPr="009D5459">
        <w:rPr>
          <w:rFonts w:ascii="Proxima Nova" w:hAnsi="Proxima Nova" w:cstheme="minorHAnsi"/>
          <w:color w:val="000000" w:themeColor="text1"/>
          <w:spacing w:val="-4"/>
          <w:sz w:val="22"/>
          <w:szCs w:val="22"/>
          <w:shd w:val="clear" w:color="auto" w:fill="FFFFFF"/>
        </w:rPr>
        <w:t xml:space="preserve"> </w:t>
      </w:r>
      <w:r w:rsidR="0083460E" w:rsidRPr="009D5459">
        <w:rPr>
          <w:rFonts w:ascii="Proxima Nova" w:hAnsi="Proxima Nova"/>
          <w:sz w:val="22"/>
          <w:szCs w:val="22"/>
        </w:rPr>
        <w:t xml:space="preserve">In this medical approach, people with disability are understood at a biomedical level as less than full humans, and as fundamentally different to people without disability. Disability is something undesirable and a burden on carers and society. Disability evokes (at best) pity and (at worst) disgust and contempt. Collective efforts should be </w:t>
      </w:r>
      <w:r w:rsidR="0083460E" w:rsidRPr="009D5459">
        <w:rPr>
          <w:rFonts w:ascii="Proxima Nova" w:hAnsi="Proxima Nova"/>
          <w:sz w:val="22"/>
          <w:szCs w:val="22"/>
        </w:rPr>
        <w:lastRenderedPageBreak/>
        <w:t xml:space="preserve">directed towards curing and rehabilitating individuals so they can try to live something approximating a non-disabled life. </w:t>
      </w:r>
    </w:p>
    <w:p w14:paraId="34A6F68A" w14:textId="77777777" w:rsidR="0083460E" w:rsidRPr="009D5459" w:rsidRDefault="0083460E" w:rsidP="00D9215C">
      <w:pPr>
        <w:spacing w:line="276" w:lineRule="auto"/>
        <w:ind w:left="720" w:hanging="720"/>
        <w:rPr>
          <w:rFonts w:ascii="Proxima Nova" w:hAnsi="Proxima Nova"/>
          <w:sz w:val="22"/>
          <w:szCs w:val="22"/>
        </w:rPr>
      </w:pPr>
    </w:p>
    <w:p w14:paraId="15825B28" w14:textId="77777777" w:rsidR="0083460E" w:rsidRPr="009D5459" w:rsidRDefault="0083460E" w:rsidP="00D9215C">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 xml:space="preserve">The medical model is evident in relation to restrictive practices in </w:t>
      </w:r>
      <w:proofErr w:type="gramStart"/>
      <w:r w:rsidRPr="009D5459">
        <w:rPr>
          <w:rFonts w:ascii="Proxima Nova" w:hAnsi="Proxima Nova"/>
          <w:sz w:val="22"/>
          <w:szCs w:val="22"/>
        </w:rPr>
        <w:t>a number of</w:t>
      </w:r>
      <w:proofErr w:type="gramEnd"/>
      <w:r w:rsidRPr="009D5459">
        <w:rPr>
          <w:rFonts w:ascii="Proxima Nova" w:hAnsi="Proxima Nova"/>
          <w:sz w:val="22"/>
          <w:szCs w:val="22"/>
        </w:rPr>
        <w:t xml:space="preserve"> ways. One way is that use of restrictive practices is justified on the basis of individuals’ ‘challenging behaviour’ or ‘behaviours of concern’ – these concepts individualise and pathologise behaviour, decontextualize individuals from their circumstances (</w:t>
      </w:r>
      <w:proofErr w:type="gramStart"/>
      <w:r w:rsidRPr="009D5459">
        <w:rPr>
          <w:rFonts w:ascii="Proxima Nova" w:hAnsi="Proxima Nova"/>
          <w:sz w:val="22"/>
          <w:szCs w:val="22"/>
        </w:rPr>
        <w:t>e.g.</w:t>
      </w:r>
      <w:proofErr w:type="gramEnd"/>
      <w:r w:rsidRPr="009D5459">
        <w:rPr>
          <w:rFonts w:ascii="Proxima Nova" w:hAnsi="Proxima Nova"/>
          <w:sz w:val="22"/>
          <w:szCs w:val="22"/>
        </w:rPr>
        <w:t xml:space="preserve"> violent or neglectful service provision) and their life histories (e.g. trauma), and ignore the power relations in service contexts. As Steele notes:</w:t>
      </w:r>
    </w:p>
    <w:p w14:paraId="44EFBAF0" w14:textId="77777777" w:rsidR="0083460E" w:rsidRPr="009D5459" w:rsidRDefault="0083460E" w:rsidP="0012662C">
      <w:pPr>
        <w:pStyle w:val="ListParagraph"/>
        <w:spacing w:line="276" w:lineRule="auto"/>
        <w:ind w:left="567" w:hanging="567"/>
        <w:rPr>
          <w:rFonts w:ascii="Proxima Nova" w:hAnsi="Proxima Nova"/>
          <w:sz w:val="22"/>
          <w:szCs w:val="22"/>
        </w:rPr>
      </w:pPr>
    </w:p>
    <w:p w14:paraId="3BE365E0" w14:textId="77777777" w:rsidR="0083460E" w:rsidRPr="009D5459" w:rsidRDefault="0083460E" w:rsidP="00D9215C">
      <w:pPr>
        <w:autoSpaceDE w:val="0"/>
        <w:autoSpaceDN w:val="0"/>
        <w:adjustRightInd w:val="0"/>
        <w:spacing w:line="276" w:lineRule="auto"/>
        <w:ind w:left="1134"/>
        <w:rPr>
          <w:rFonts w:ascii="Proxima Nova" w:hAnsi="Proxima Nova" w:cstheme="minorHAnsi"/>
          <w:sz w:val="22"/>
          <w:szCs w:val="22"/>
        </w:rPr>
      </w:pPr>
      <w:r w:rsidRPr="009D5459">
        <w:rPr>
          <w:rFonts w:ascii="Proxima Nova" w:eastAsiaTheme="minorHAnsi" w:hAnsi="Proxima Nova" w:cstheme="minorHAnsi"/>
          <w:i/>
          <w:iCs/>
          <w:sz w:val="22"/>
          <w:szCs w:val="22"/>
        </w:rPr>
        <w:t>Some critical disability scholars have problematised the concept of ‘challenging behaviour’ on the basis that it pathologises individuals’ resistance to authority and abuse and shifts attention away from systemic consideration of the problems, illegitimacy, violence, failures and, indeed, existence of institutions. Moreover, Beaupert has shown the racialisation of challenging behaviour, which is but one example of a long history of resistance to settler colonial and racial violence being subverted into pathology. In contrast to these critical approaches, … through the prism of challenging behaviour, it is not merely the individual’s behaviour that needs to be addressed but, rather, the entire individual. As Nunkoosing and Haydon-Laurelut state: “The person with intellectual disability and challenging behaviour does not just have troubles; he or she is seen as trouble.” Challenging behaviour is generative of far-reaching control.</w:t>
      </w:r>
      <w:r w:rsidRPr="009D5459">
        <w:rPr>
          <w:rStyle w:val="EndnoteReference"/>
          <w:rFonts w:ascii="Proxima Nova" w:eastAsiaTheme="minorHAnsi" w:hAnsi="Proxima Nova" w:cstheme="minorHAnsi"/>
          <w:sz w:val="22"/>
          <w:szCs w:val="22"/>
        </w:rPr>
        <w:endnoteReference w:id="193"/>
      </w:r>
    </w:p>
    <w:p w14:paraId="1DC8104E" w14:textId="77777777" w:rsidR="0083460E" w:rsidRPr="009D5459" w:rsidRDefault="0083460E" w:rsidP="00D9215C">
      <w:pPr>
        <w:pStyle w:val="ListParagraph"/>
        <w:spacing w:line="276" w:lineRule="auto"/>
        <w:ind w:hanging="720"/>
        <w:rPr>
          <w:rFonts w:ascii="Proxima Nova" w:hAnsi="Proxima Nova"/>
          <w:sz w:val="22"/>
          <w:szCs w:val="22"/>
        </w:rPr>
      </w:pPr>
    </w:p>
    <w:p w14:paraId="0A0FF070" w14:textId="2E1C99D6" w:rsidR="0083460E" w:rsidRPr="009D5459" w:rsidRDefault="0083460E" w:rsidP="00D9215C">
      <w:pPr>
        <w:pStyle w:val="ListParagraph"/>
        <w:numPr>
          <w:ilvl w:val="1"/>
          <w:numId w:val="28"/>
        </w:numPr>
        <w:spacing w:line="276" w:lineRule="auto"/>
        <w:ind w:left="720" w:hanging="720"/>
        <w:rPr>
          <w:rFonts w:ascii="Proxima Nova" w:hAnsi="Proxima Nova"/>
          <w:sz w:val="22"/>
          <w:szCs w:val="22"/>
        </w:rPr>
      </w:pPr>
      <w:r w:rsidRPr="009D5459">
        <w:rPr>
          <w:rFonts w:ascii="Proxima Nova" w:hAnsi="Proxima Nova"/>
          <w:sz w:val="22"/>
          <w:szCs w:val="22"/>
        </w:rPr>
        <w:t xml:space="preserve">A </w:t>
      </w:r>
      <w:r w:rsidR="006863F7" w:rsidRPr="009D5459">
        <w:rPr>
          <w:rFonts w:ascii="Proxima Nova" w:hAnsi="Proxima Nova"/>
          <w:sz w:val="22"/>
          <w:szCs w:val="22"/>
        </w:rPr>
        <w:t>second</w:t>
      </w:r>
      <w:r w:rsidRPr="009D5459">
        <w:rPr>
          <w:rFonts w:ascii="Proxima Nova" w:hAnsi="Proxima Nova"/>
          <w:sz w:val="22"/>
          <w:szCs w:val="22"/>
        </w:rPr>
        <w:t xml:space="preserve"> way the medical model is evident in restrictive practices is through the kinds of interventions that are involved with respect to peoples’ bodies and lives. T</w:t>
      </w:r>
      <w:r w:rsidR="00BA1FC1" w:rsidRPr="009D5459">
        <w:rPr>
          <w:rFonts w:ascii="Proxima Nova" w:hAnsi="Proxima Nova"/>
          <w:sz w:val="22"/>
          <w:szCs w:val="22"/>
        </w:rPr>
        <w:t>hey involve interventions in</w:t>
      </w:r>
      <w:r w:rsidRPr="009D5459">
        <w:rPr>
          <w:rFonts w:ascii="Proxima Nova" w:hAnsi="Proxima Nova"/>
          <w:sz w:val="22"/>
          <w:szCs w:val="22"/>
        </w:rPr>
        <w:t xml:space="preserve"> </w:t>
      </w:r>
      <w:r w:rsidR="00335AD1" w:rsidRPr="009D5459">
        <w:rPr>
          <w:rFonts w:ascii="Proxima Nova" w:hAnsi="Proxima Nova"/>
          <w:sz w:val="22"/>
          <w:szCs w:val="22"/>
        </w:rPr>
        <w:t>individuals’</w:t>
      </w:r>
      <w:r w:rsidRPr="009D5459">
        <w:rPr>
          <w:rFonts w:ascii="Proxima Nova" w:hAnsi="Proxima Nova"/>
          <w:sz w:val="22"/>
          <w:szCs w:val="22"/>
        </w:rPr>
        <w:t xml:space="preserve"> </w:t>
      </w:r>
      <w:r w:rsidR="00BA1FC1" w:rsidRPr="009D5459">
        <w:rPr>
          <w:rFonts w:ascii="Proxima Nova" w:hAnsi="Proxima Nova"/>
          <w:sz w:val="22"/>
          <w:szCs w:val="22"/>
        </w:rPr>
        <w:t xml:space="preserve">bodies </w:t>
      </w:r>
      <w:r w:rsidRPr="009D5459">
        <w:rPr>
          <w:rFonts w:ascii="Proxima Nova" w:hAnsi="Proxima Nova"/>
          <w:sz w:val="22"/>
          <w:szCs w:val="22"/>
        </w:rPr>
        <w:t xml:space="preserve">(drugging them, locking them up, sterilising them) rather than addressing the broader environments or relationships in which they are situated, or broader structural conditions. </w:t>
      </w:r>
    </w:p>
    <w:p w14:paraId="2087B4EF" w14:textId="77777777" w:rsidR="0083460E" w:rsidRPr="009D5459" w:rsidRDefault="0083460E" w:rsidP="00D9215C">
      <w:pPr>
        <w:pStyle w:val="ListParagraph"/>
        <w:spacing w:line="276" w:lineRule="auto"/>
        <w:ind w:hanging="720"/>
        <w:rPr>
          <w:rFonts w:ascii="Proxima Nova" w:hAnsi="Proxima Nova" w:cstheme="minorHAnsi"/>
          <w:color w:val="000000" w:themeColor="text1"/>
          <w:spacing w:val="-4"/>
          <w:sz w:val="22"/>
          <w:szCs w:val="22"/>
          <w:shd w:val="clear" w:color="auto" w:fill="FFFFFF"/>
        </w:rPr>
      </w:pPr>
    </w:p>
    <w:p w14:paraId="1134E9CD" w14:textId="7312BF4C" w:rsidR="0083460E" w:rsidRPr="009D5459" w:rsidRDefault="0083460E" w:rsidP="00D9215C">
      <w:pPr>
        <w:pStyle w:val="ListParagraph"/>
        <w:numPr>
          <w:ilvl w:val="1"/>
          <w:numId w:val="28"/>
        </w:numPr>
        <w:snapToGrid w:val="0"/>
        <w:spacing w:line="276" w:lineRule="auto"/>
        <w:ind w:left="720" w:hanging="720"/>
        <w:contextualSpacing w:val="0"/>
        <w:rPr>
          <w:rFonts w:ascii="Proxima Nova" w:hAnsi="Proxima Nova"/>
          <w:sz w:val="22"/>
          <w:szCs w:val="22"/>
        </w:rPr>
      </w:pPr>
      <w:r w:rsidRPr="009D5459">
        <w:rPr>
          <w:rFonts w:ascii="Proxima Nova" w:hAnsi="Proxima Nova" w:cstheme="minorHAnsi"/>
          <w:color w:val="000000" w:themeColor="text1"/>
          <w:spacing w:val="-4"/>
          <w:sz w:val="22"/>
          <w:szCs w:val="22"/>
          <w:shd w:val="clear" w:color="auto" w:fill="FFFFFF"/>
        </w:rPr>
        <w:t>Disability activists and critical disability scholars have re-framed the deficit approach to disability in the medical model as ‘ableism.’ Ableism centres on understandings of fitness that create hierarchies of who is recognised as full humans and citizens and thus most deserving of life and entitled to access to property, resources, and legal protections to sustain life and flourish.</w:t>
      </w:r>
      <w:r w:rsidRPr="009D5459">
        <w:rPr>
          <w:rStyle w:val="EndnoteReference"/>
          <w:rFonts w:ascii="Proxima Nova" w:hAnsi="Proxima Nova" w:cstheme="minorHAnsi"/>
          <w:color w:val="000000" w:themeColor="text1"/>
          <w:spacing w:val="-4"/>
          <w:sz w:val="22"/>
          <w:szCs w:val="22"/>
          <w:shd w:val="clear" w:color="auto" w:fill="FFFFFF"/>
        </w:rPr>
        <w:endnoteReference w:id="194"/>
      </w:r>
      <w:r w:rsidRPr="009D5459">
        <w:rPr>
          <w:rFonts w:ascii="Proxima Nova" w:hAnsi="Proxima Nova" w:cstheme="minorHAnsi"/>
          <w:color w:val="000000" w:themeColor="text1"/>
          <w:spacing w:val="-4"/>
          <w:sz w:val="22"/>
          <w:szCs w:val="22"/>
          <w:shd w:val="clear" w:color="auto" w:fill="FFFFFF"/>
        </w:rPr>
        <w:t xml:space="preserve"> </w:t>
      </w:r>
      <w:r w:rsidRPr="009D5459">
        <w:rPr>
          <w:rFonts w:ascii="Proxima Nova" w:hAnsi="Proxima Nova" w:cstheme="minorHAnsi"/>
          <w:sz w:val="22"/>
          <w:szCs w:val="22"/>
          <w:bdr w:val="none" w:sz="0" w:space="0" w:color="auto" w:frame="1"/>
        </w:rPr>
        <w:t>Writing about the concept of ‘ableism’, the Special Rapporteur on</w:t>
      </w:r>
      <w:r w:rsidR="006530CD" w:rsidRPr="009D5459">
        <w:rPr>
          <w:rFonts w:ascii="Proxima Nova" w:hAnsi="Proxima Nova" w:cstheme="minorHAnsi"/>
          <w:sz w:val="22"/>
          <w:szCs w:val="22"/>
          <w:bdr w:val="none" w:sz="0" w:space="0" w:color="auto" w:frame="1"/>
        </w:rPr>
        <w:t xml:space="preserve"> the Rights of Persons with</w:t>
      </w:r>
      <w:r w:rsidRPr="009D5459">
        <w:rPr>
          <w:rFonts w:ascii="Proxima Nova" w:hAnsi="Proxima Nova" w:cstheme="minorHAnsi"/>
          <w:sz w:val="22"/>
          <w:szCs w:val="22"/>
          <w:bdr w:val="none" w:sz="0" w:space="0" w:color="auto" w:frame="1"/>
        </w:rPr>
        <w:t xml:space="preserve"> Disabilities </w:t>
      </w:r>
      <w:r w:rsidR="006530CD" w:rsidRPr="009D5459">
        <w:rPr>
          <w:rFonts w:ascii="Proxima Nova" w:hAnsi="Proxima Nova" w:cstheme="minorHAnsi"/>
          <w:sz w:val="22"/>
          <w:szCs w:val="22"/>
          <w:bdr w:val="none" w:sz="0" w:space="0" w:color="auto" w:frame="1"/>
        </w:rPr>
        <w:t xml:space="preserve">(Special Rapporteur on Disabilities) </w:t>
      </w:r>
      <w:r w:rsidRPr="009D5459">
        <w:rPr>
          <w:rFonts w:ascii="Proxima Nova" w:hAnsi="Proxima Nova" w:cstheme="minorHAnsi"/>
          <w:sz w:val="22"/>
          <w:szCs w:val="22"/>
          <w:bdr w:val="none" w:sz="0" w:space="0" w:color="auto" w:frame="1"/>
        </w:rPr>
        <w:t xml:space="preserve">has stated that: </w:t>
      </w:r>
    </w:p>
    <w:p w14:paraId="35FA210F" w14:textId="77777777" w:rsidR="0083460E" w:rsidRPr="009D5459" w:rsidRDefault="0083460E" w:rsidP="0012662C">
      <w:pPr>
        <w:pStyle w:val="ListParagraph"/>
        <w:spacing w:line="276" w:lineRule="auto"/>
        <w:ind w:left="567" w:hanging="567"/>
        <w:rPr>
          <w:rFonts w:ascii="Proxima Nova" w:hAnsi="Proxima Nova"/>
          <w:sz w:val="22"/>
          <w:szCs w:val="22"/>
        </w:rPr>
      </w:pPr>
    </w:p>
    <w:p w14:paraId="57D31025" w14:textId="77777777" w:rsidR="0083460E" w:rsidRPr="009D5459" w:rsidRDefault="0083460E" w:rsidP="00D9215C">
      <w:pPr>
        <w:pStyle w:val="ListParagraph"/>
        <w:snapToGrid w:val="0"/>
        <w:spacing w:line="276" w:lineRule="auto"/>
        <w:ind w:left="1134"/>
        <w:contextualSpacing w:val="0"/>
        <w:rPr>
          <w:rFonts w:ascii="Proxima Nova" w:hAnsi="Proxima Nova"/>
          <w:sz w:val="22"/>
          <w:szCs w:val="22"/>
        </w:rPr>
      </w:pPr>
      <w:r w:rsidRPr="009D5459">
        <w:rPr>
          <w:rFonts w:ascii="Proxima Nova" w:hAnsi="Proxima Nova"/>
          <w:i/>
          <w:iCs/>
          <w:sz w:val="22"/>
          <w:szCs w:val="22"/>
        </w:rPr>
        <w:t>The hegemony of ableism in society has perpetuated the idea that living with a disability is a life not worth living. There is a deep-rooted belief, carved with fear, stigma and ignorance, that persons with disabilities cannot enjoy a fulfilling life, that their lives are incomplete and unfortunate, and that they cannot attain a good quality of life. … Notwithstanding all the progress achieved over recent decades concerning the rights of persons with disabilities, embracing disability as a positive aspect of humanity remains the final frontier to be conquered.</w:t>
      </w:r>
      <w:r w:rsidRPr="009D5459">
        <w:rPr>
          <w:rStyle w:val="EndnoteReference"/>
          <w:rFonts w:ascii="Proxima Nova" w:hAnsi="Proxima Nova"/>
          <w:sz w:val="22"/>
          <w:szCs w:val="22"/>
        </w:rPr>
        <w:endnoteReference w:id="195"/>
      </w:r>
    </w:p>
    <w:p w14:paraId="571F3129" w14:textId="77777777" w:rsidR="0083460E" w:rsidRPr="009D5459" w:rsidRDefault="0083460E" w:rsidP="00D9215C">
      <w:pPr>
        <w:snapToGrid w:val="0"/>
        <w:spacing w:line="276" w:lineRule="auto"/>
        <w:ind w:left="720" w:hanging="720"/>
        <w:rPr>
          <w:rFonts w:ascii="Proxima Nova" w:hAnsi="Proxima Nova"/>
          <w:sz w:val="22"/>
          <w:szCs w:val="22"/>
        </w:rPr>
      </w:pPr>
    </w:p>
    <w:p w14:paraId="62ADC3F0" w14:textId="77777777" w:rsidR="0083460E" w:rsidRPr="009D5459" w:rsidRDefault="0083460E" w:rsidP="00D9215C">
      <w:pPr>
        <w:pStyle w:val="ListParagraph"/>
        <w:numPr>
          <w:ilvl w:val="1"/>
          <w:numId w:val="28"/>
        </w:numPr>
        <w:snapToGrid w:val="0"/>
        <w:spacing w:line="276" w:lineRule="auto"/>
        <w:ind w:left="720" w:hanging="720"/>
        <w:contextualSpacing w:val="0"/>
        <w:rPr>
          <w:rFonts w:ascii="Proxima Nova" w:hAnsi="Proxima Nova"/>
          <w:sz w:val="22"/>
          <w:szCs w:val="22"/>
        </w:rPr>
      </w:pPr>
      <w:r w:rsidRPr="009D5459">
        <w:rPr>
          <w:rFonts w:ascii="Proxima Nova" w:hAnsi="Proxima Nova" w:cstheme="minorHAnsi"/>
          <w:color w:val="000000" w:themeColor="text1"/>
          <w:spacing w:val="-4"/>
          <w:sz w:val="22"/>
          <w:szCs w:val="22"/>
          <w:shd w:val="clear" w:color="auto" w:fill="FFFFFF"/>
        </w:rPr>
        <w:t>Instead of understanding the negative treatment of people with disability as wholly attributable to stigma, discomfort or even hatred towards their perceived deficits, ableism situates the negative treatment of disability in a productive relationship to the positive status of able, white populations. As activist Kira Page explains, ableism ‘</w:t>
      </w:r>
      <w:r w:rsidRPr="009D5459">
        <w:rPr>
          <w:rFonts w:ascii="Proxima Nova" w:hAnsi="Proxima Nova"/>
          <w:sz w:val="22"/>
          <w:szCs w:val="22"/>
        </w:rPr>
        <w:t>grants credibility and true humanity exclusively to able bodied people and as such plays a central role in determining which individuals or communities are deemed the useless eaters, the dangerous, the unfit, or the disposable.’</w:t>
      </w:r>
      <w:r w:rsidRPr="009D5459">
        <w:rPr>
          <w:rStyle w:val="EndnoteReference"/>
          <w:rFonts w:ascii="Proxima Nova" w:hAnsi="Proxima Nova"/>
          <w:sz w:val="22"/>
          <w:szCs w:val="22"/>
        </w:rPr>
        <w:endnoteReference w:id="196"/>
      </w:r>
      <w:r w:rsidRPr="009D5459">
        <w:rPr>
          <w:rFonts w:ascii="Proxima Nova" w:hAnsi="Proxima Nova"/>
          <w:sz w:val="22"/>
          <w:szCs w:val="22"/>
        </w:rPr>
        <w:t xml:space="preserve"> </w:t>
      </w:r>
    </w:p>
    <w:p w14:paraId="3F42CA6B" w14:textId="77777777" w:rsidR="0083460E" w:rsidRPr="009D5459" w:rsidRDefault="0083460E" w:rsidP="00D9215C">
      <w:pPr>
        <w:pStyle w:val="ListParagraph"/>
        <w:spacing w:line="276" w:lineRule="auto"/>
        <w:ind w:hanging="720"/>
        <w:rPr>
          <w:rFonts w:ascii="Proxima Nova" w:hAnsi="Proxima Nova"/>
          <w:sz w:val="22"/>
          <w:szCs w:val="22"/>
        </w:rPr>
      </w:pPr>
    </w:p>
    <w:p w14:paraId="005C4ADC" w14:textId="5DB78512" w:rsidR="0083460E" w:rsidRPr="009D5459" w:rsidRDefault="0083460E" w:rsidP="00D9215C">
      <w:pPr>
        <w:pStyle w:val="ListParagraph"/>
        <w:numPr>
          <w:ilvl w:val="1"/>
          <w:numId w:val="28"/>
        </w:numPr>
        <w:snapToGrid w:val="0"/>
        <w:spacing w:line="276" w:lineRule="auto"/>
        <w:ind w:left="720" w:hanging="720"/>
        <w:contextualSpacing w:val="0"/>
        <w:rPr>
          <w:rFonts w:ascii="Proxima Nova" w:hAnsi="Proxima Nova"/>
          <w:sz w:val="22"/>
          <w:szCs w:val="22"/>
        </w:rPr>
      </w:pPr>
      <w:r w:rsidRPr="009D5459">
        <w:rPr>
          <w:rFonts w:ascii="Proxima Nova" w:hAnsi="Proxima Nova"/>
          <w:sz w:val="22"/>
          <w:szCs w:val="22"/>
        </w:rPr>
        <w:t>A</w:t>
      </w:r>
      <w:r w:rsidRPr="009D5459">
        <w:rPr>
          <w:rFonts w:ascii="Proxima Nova" w:hAnsi="Proxima Nova" w:cstheme="minorHAnsi"/>
          <w:color w:val="000000" w:themeColor="text1"/>
          <w:spacing w:val="-4"/>
          <w:sz w:val="22"/>
          <w:szCs w:val="22"/>
          <w:shd w:val="clear" w:color="auto" w:fill="FFFFFF"/>
        </w:rPr>
        <w:t>bleism is not only about disability as an isolated sociological identity category somehow distinct to gender, class, race, sexuality etc. Rather, the status and treatment of people with disability as mediated by th</w:t>
      </w:r>
      <w:r w:rsidRPr="009D5459">
        <w:rPr>
          <w:rFonts w:ascii="Proxima Nova" w:hAnsi="Proxima Nova"/>
          <w:sz w:val="22"/>
          <w:szCs w:val="22"/>
        </w:rPr>
        <w:t xml:space="preserve">e core concept of ‘fitness’ (which also mediates oppression of other marginalised populations such as Indigenous, poor, racialised) means ableism is part of a bigger picture of </w:t>
      </w:r>
      <w:r w:rsidRPr="009D5459">
        <w:rPr>
          <w:rFonts w:ascii="Proxima Nova" w:hAnsi="Proxima Nova" w:cstheme="minorHAnsi"/>
          <w:color w:val="000000" w:themeColor="text1"/>
          <w:spacing w:val="-4"/>
          <w:sz w:val="22"/>
          <w:szCs w:val="22"/>
          <w:shd w:val="clear" w:color="auto" w:fill="FFFFFF"/>
        </w:rPr>
        <w:t>interlocking oppression. Ableism is ‘</w:t>
      </w:r>
      <w:r w:rsidRPr="009D5459">
        <w:rPr>
          <w:rFonts w:ascii="Proxima Nova" w:hAnsi="Proxima Nova"/>
          <w:sz w:val="22"/>
          <w:szCs w:val="22"/>
        </w:rPr>
        <w:t xml:space="preserve">a mechanism of white supremacy, capitalism and colonization by devaluing disabled bodies and minds as unnatural, invalid </w:t>
      </w:r>
      <w:r w:rsidRPr="009D5459">
        <w:rPr>
          <w:rFonts w:ascii="Proxima Nova" w:hAnsi="Proxima Nova"/>
          <w:sz w:val="22"/>
          <w:szCs w:val="22"/>
        </w:rPr>
        <w:lastRenderedPageBreak/>
        <w:t>and unworthy across the lines of race, gender, poverty and citizenship.’</w:t>
      </w:r>
      <w:r w:rsidRPr="009D5459">
        <w:rPr>
          <w:rStyle w:val="EndnoteReference"/>
          <w:rFonts w:ascii="Proxima Nova" w:hAnsi="Proxima Nova"/>
          <w:sz w:val="22"/>
          <w:szCs w:val="22"/>
        </w:rPr>
        <w:endnoteReference w:id="197"/>
      </w:r>
      <w:r w:rsidRPr="009D5459">
        <w:rPr>
          <w:rFonts w:ascii="Proxima Nova" w:hAnsi="Proxima Nova"/>
          <w:sz w:val="22"/>
          <w:szCs w:val="22"/>
        </w:rPr>
        <w:t xml:space="preserve"> This also means ableism not only impacts people labelled as disabled, but other marginalised populations.</w:t>
      </w:r>
      <w:r w:rsidRPr="009D5459">
        <w:rPr>
          <w:rStyle w:val="EndnoteReference"/>
          <w:rFonts w:ascii="Proxima Nova" w:hAnsi="Proxima Nova"/>
          <w:sz w:val="22"/>
          <w:szCs w:val="22"/>
        </w:rPr>
        <w:endnoteReference w:id="198"/>
      </w:r>
      <w:r w:rsidRPr="009D5459">
        <w:rPr>
          <w:rFonts w:ascii="Proxima Nova" w:hAnsi="Proxima Nova"/>
          <w:sz w:val="22"/>
          <w:szCs w:val="22"/>
        </w:rPr>
        <w:t xml:space="preserve"> Ableism is central to settler colonial and racist privileging of white </w:t>
      </w:r>
      <w:r w:rsidRPr="009D5459">
        <w:rPr>
          <w:rFonts w:ascii="Proxima Nova" w:hAnsi="Proxima Nova" w:cstheme="minorHAnsi"/>
          <w:color w:val="000000" w:themeColor="text1"/>
          <w:spacing w:val="-4"/>
          <w:sz w:val="22"/>
          <w:szCs w:val="22"/>
          <w:shd w:val="clear" w:color="auto" w:fill="FFFFFF"/>
        </w:rPr>
        <w:t>access to property, resources, and legal protections</w:t>
      </w:r>
      <w:r w:rsidRPr="009D5459">
        <w:rPr>
          <w:rFonts w:ascii="Proxima Nova" w:hAnsi="Proxima Nova"/>
          <w:sz w:val="22"/>
          <w:szCs w:val="22"/>
        </w:rPr>
        <w:t>, and to neoliberalism which imposes responsibility on individuals for their own economic wellbeing and physical survival, while simultaneously maximising profit from the bodies of those least able to meet this ideal. Ableism is also central to logic</w:t>
      </w:r>
      <w:r w:rsidR="00674625" w:rsidRPr="009D5459">
        <w:rPr>
          <w:rFonts w:ascii="Proxima Nova" w:hAnsi="Proxima Nova"/>
          <w:sz w:val="22"/>
          <w:szCs w:val="22"/>
        </w:rPr>
        <w:t>s</w:t>
      </w:r>
      <w:r w:rsidRPr="009D5459">
        <w:rPr>
          <w:rFonts w:ascii="Proxima Nova" w:hAnsi="Proxima Nova"/>
          <w:sz w:val="22"/>
          <w:szCs w:val="22"/>
        </w:rPr>
        <w:t xml:space="preserve"> of eugenics that positions sick, disabled, racialised and poor populations as a drain on the survival and prosperity of the (white</w:t>
      </w:r>
      <w:r w:rsidR="00674625" w:rsidRPr="009D5459">
        <w:rPr>
          <w:rFonts w:ascii="Proxima Nova" w:hAnsi="Proxima Nova"/>
          <w:sz w:val="22"/>
          <w:szCs w:val="22"/>
        </w:rPr>
        <w:t>, settler</w:t>
      </w:r>
      <w:r w:rsidRPr="009D5459">
        <w:rPr>
          <w:rFonts w:ascii="Proxima Nova" w:hAnsi="Proxima Nova"/>
          <w:sz w:val="22"/>
          <w:szCs w:val="22"/>
        </w:rPr>
        <w:t xml:space="preserve">) nation. </w:t>
      </w:r>
      <w:r w:rsidRPr="009D5459">
        <w:rPr>
          <w:rFonts w:ascii="Proxima Nova" w:hAnsi="Proxima Nova" w:cstheme="minorHAnsi"/>
          <w:sz w:val="22"/>
          <w:szCs w:val="22"/>
        </w:rPr>
        <w:t>Indeed, a consideration of the eugenics era highlights how knowledge about and attitudes towards marginalised populations, which are today seen as quite distinct from each other (</w:t>
      </w:r>
      <w:proofErr w:type="gramStart"/>
      <w:r w:rsidRPr="009D5459">
        <w:rPr>
          <w:rFonts w:ascii="Proxima Nova" w:hAnsi="Proxima Nova" w:cstheme="minorHAnsi"/>
          <w:sz w:val="22"/>
          <w:szCs w:val="22"/>
        </w:rPr>
        <w:t>e.g.</w:t>
      </w:r>
      <w:proofErr w:type="gramEnd"/>
      <w:r w:rsidRPr="009D5459">
        <w:rPr>
          <w:rFonts w:ascii="Proxima Nova" w:hAnsi="Proxima Nova" w:cstheme="minorHAnsi"/>
          <w:sz w:val="22"/>
          <w:szCs w:val="22"/>
        </w:rPr>
        <w:t xml:space="preserve"> disabled, racialised, poor), were interrelated insofar as they were all positioned as burdens on settler colonial nation-building.</w:t>
      </w:r>
      <w:r w:rsidRPr="009D5459">
        <w:rPr>
          <w:rStyle w:val="EndnoteReference"/>
          <w:rFonts w:ascii="Proxima Nova" w:hAnsi="Proxima Nova" w:cstheme="minorHAnsi"/>
          <w:sz w:val="22"/>
          <w:szCs w:val="22"/>
        </w:rPr>
        <w:endnoteReference w:id="199"/>
      </w:r>
      <w:r w:rsidRPr="009D5459">
        <w:rPr>
          <w:rFonts w:ascii="Proxima Nova" w:hAnsi="Proxima Nova" w:cstheme="minorHAnsi"/>
          <w:sz w:val="22"/>
          <w:szCs w:val="22"/>
        </w:rPr>
        <w:t xml:space="preserve"> </w:t>
      </w:r>
    </w:p>
    <w:p w14:paraId="6FB0812F" w14:textId="77777777" w:rsidR="0083460E" w:rsidRPr="009D5459" w:rsidRDefault="0083460E" w:rsidP="00D9215C">
      <w:pPr>
        <w:pStyle w:val="ListParagraph"/>
        <w:spacing w:line="276" w:lineRule="auto"/>
        <w:ind w:hanging="720"/>
        <w:rPr>
          <w:rFonts w:ascii="Proxima Nova" w:hAnsi="Proxima Nova" w:cstheme="minorHAnsi"/>
          <w:color w:val="000000" w:themeColor="text1"/>
          <w:spacing w:val="-4"/>
          <w:sz w:val="22"/>
          <w:szCs w:val="22"/>
          <w:shd w:val="clear" w:color="auto" w:fill="FFFFFF"/>
        </w:rPr>
      </w:pPr>
    </w:p>
    <w:p w14:paraId="6158C8CE" w14:textId="4BD0F2F3" w:rsidR="0083460E" w:rsidRPr="009D5459" w:rsidRDefault="0083460E" w:rsidP="00D9215C">
      <w:pPr>
        <w:pStyle w:val="ListParagraph"/>
        <w:numPr>
          <w:ilvl w:val="1"/>
          <w:numId w:val="28"/>
        </w:numPr>
        <w:snapToGrid w:val="0"/>
        <w:spacing w:line="276" w:lineRule="auto"/>
        <w:ind w:left="720" w:hanging="720"/>
        <w:contextualSpacing w:val="0"/>
        <w:rPr>
          <w:rFonts w:ascii="Proxima Nova" w:hAnsi="Proxima Nova" w:cstheme="minorHAnsi"/>
          <w:sz w:val="22"/>
          <w:szCs w:val="22"/>
          <w:bdr w:val="none" w:sz="0" w:space="0" w:color="auto" w:frame="1"/>
        </w:rPr>
      </w:pPr>
      <w:r w:rsidRPr="009D5459">
        <w:rPr>
          <w:rFonts w:ascii="Proxima Nova" w:hAnsi="Proxima Nova" w:cstheme="minorHAnsi"/>
          <w:color w:val="000000" w:themeColor="text1"/>
          <w:spacing w:val="-4"/>
          <w:sz w:val="22"/>
          <w:szCs w:val="22"/>
          <w:shd w:val="clear" w:color="auto" w:fill="FFFFFF"/>
        </w:rPr>
        <w:t>Ableism is central to understanding violence against people with disability.</w:t>
      </w:r>
      <w:r w:rsidRPr="009D5459">
        <w:rPr>
          <w:rStyle w:val="EndnoteReference"/>
          <w:rFonts w:ascii="Proxima Nova" w:hAnsi="Proxima Nova" w:cstheme="minorHAnsi"/>
          <w:color w:val="000000" w:themeColor="text1"/>
          <w:spacing w:val="-4"/>
          <w:sz w:val="22"/>
          <w:szCs w:val="22"/>
          <w:shd w:val="clear" w:color="auto" w:fill="FFFFFF"/>
        </w:rPr>
        <w:endnoteReference w:id="200"/>
      </w:r>
      <w:r w:rsidRPr="009D5459">
        <w:rPr>
          <w:rFonts w:ascii="Proxima Nova" w:hAnsi="Proxima Nova" w:cstheme="minorHAnsi"/>
          <w:color w:val="000000" w:themeColor="text1"/>
          <w:spacing w:val="-4"/>
          <w:sz w:val="22"/>
          <w:szCs w:val="22"/>
          <w:shd w:val="clear" w:color="auto" w:fill="FFFFFF"/>
        </w:rPr>
        <w:t xml:space="preserve"> This is because rather than simply understanding violence as being about stigma, hatred, ambivalence or any other negative feeling towards people with disability, violence is instead interrelated to the abjection of disability as part of a larger project of maintaining ability, gender, sexuality, racial, class and other hierarchies within the settler colonial nation. Thus, focusing only on improving attitudes to people with disability or enhancing their inclusion and participation</w:t>
      </w:r>
      <w:r w:rsidR="00BA1FC1" w:rsidRPr="009D5459">
        <w:rPr>
          <w:rFonts w:ascii="Proxima Nova" w:hAnsi="Proxima Nova" w:cstheme="minorHAnsi"/>
          <w:color w:val="000000" w:themeColor="text1"/>
          <w:spacing w:val="-4"/>
          <w:sz w:val="22"/>
          <w:szCs w:val="22"/>
          <w:shd w:val="clear" w:color="auto" w:fill="FFFFFF"/>
        </w:rPr>
        <w:t xml:space="preserve"> in society (noting this is a concern of the Royal Commission</w:t>
      </w:r>
      <w:r w:rsidR="000039A0" w:rsidRPr="009D5459">
        <w:rPr>
          <w:rFonts w:ascii="Proxima Nova" w:hAnsi="Proxima Nova" w:cstheme="minorHAnsi"/>
          <w:color w:val="000000" w:themeColor="text1"/>
          <w:spacing w:val="-4"/>
          <w:sz w:val="22"/>
          <w:szCs w:val="22"/>
          <w:shd w:val="clear" w:color="auto" w:fill="FFFFFF"/>
        </w:rPr>
        <w:t>)</w:t>
      </w:r>
      <w:r w:rsidR="00BA1FC1" w:rsidRPr="009D5459">
        <w:rPr>
          <w:rStyle w:val="EndnoteReference"/>
          <w:rFonts w:ascii="Proxima Nova" w:hAnsi="Proxima Nova" w:cstheme="minorHAnsi"/>
          <w:color w:val="000000" w:themeColor="text1"/>
          <w:spacing w:val="-4"/>
          <w:sz w:val="22"/>
          <w:szCs w:val="22"/>
          <w:shd w:val="clear" w:color="auto" w:fill="FFFFFF"/>
        </w:rPr>
        <w:endnoteReference w:id="201"/>
      </w:r>
      <w:r w:rsidR="00BA1FC1" w:rsidRPr="009D5459">
        <w:rPr>
          <w:rFonts w:ascii="Proxima Nova" w:hAnsi="Proxima Nova" w:cstheme="minorHAnsi"/>
          <w:color w:val="000000" w:themeColor="text1"/>
          <w:spacing w:val="-4"/>
          <w:sz w:val="22"/>
          <w:szCs w:val="22"/>
          <w:shd w:val="clear" w:color="auto" w:fill="FFFFFF"/>
        </w:rPr>
        <w:t xml:space="preserve"> </w:t>
      </w:r>
      <w:r w:rsidRPr="009D5459">
        <w:rPr>
          <w:rFonts w:ascii="Proxima Nova" w:hAnsi="Proxima Nova" w:cstheme="minorHAnsi"/>
          <w:color w:val="000000" w:themeColor="text1"/>
          <w:spacing w:val="-4"/>
          <w:sz w:val="22"/>
          <w:szCs w:val="22"/>
          <w:shd w:val="clear" w:color="auto" w:fill="FFFFFF"/>
        </w:rPr>
        <w:t xml:space="preserve">will not address the cultural and structural dynamics of violence, as such approaches </w:t>
      </w:r>
      <w:r w:rsidR="00BA1FC1" w:rsidRPr="009D5459">
        <w:rPr>
          <w:rFonts w:ascii="Proxima Nova" w:hAnsi="Proxima Nova" w:cstheme="minorHAnsi"/>
          <w:color w:val="000000" w:themeColor="text1"/>
          <w:spacing w:val="-4"/>
          <w:sz w:val="22"/>
          <w:szCs w:val="22"/>
          <w:shd w:val="clear" w:color="auto" w:fill="FFFFFF"/>
        </w:rPr>
        <w:t xml:space="preserve">that </w:t>
      </w:r>
      <w:r w:rsidRPr="009D5459">
        <w:rPr>
          <w:rFonts w:ascii="Proxima Nova" w:hAnsi="Proxima Nova" w:cstheme="minorHAnsi"/>
          <w:color w:val="000000" w:themeColor="text1"/>
          <w:spacing w:val="-4"/>
          <w:sz w:val="22"/>
          <w:szCs w:val="22"/>
          <w:shd w:val="clear" w:color="auto" w:fill="FFFFFF"/>
        </w:rPr>
        <w:t xml:space="preserve">leave untouched the productive dynamic of ableism as constituting fitness and full humanness for a privileged minority. </w:t>
      </w:r>
      <w:r w:rsidR="00BA1FC1" w:rsidRPr="009D5459">
        <w:rPr>
          <w:rFonts w:ascii="Proxima Nova" w:hAnsi="Proxima Nova" w:cstheme="minorHAnsi"/>
          <w:color w:val="000000" w:themeColor="text1"/>
          <w:spacing w:val="-4"/>
          <w:sz w:val="22"/>
          <w:szCs w:val="22"/>
          <w:shd w:val="clear" w:color="auto" w:fill="FFFFFF"/>
        </w:rPr>
        <w:t xml:space="preserve">Nor will such a focus dismantle the epistemic authority held by medical and legal disciplines that sustain ‘objective’ ableist knowledge about disability. </w:t>
      </w:r>
    </w:p>
    <w:p w14:paraId="261C823F" w14:textId="77777777" w:rsidR="0083460E" w:rsidRPr="009D5459" w:rsidRDefault="0083460E" w:rsidP="00D9215C">
      <w:pPr>
        <w:snapToGrid w:val="0"/>
        <w:spacing w:line="276" w:lineRule="auto"/>
        <w:ind w:left="720" w:hanging="720"/>
        <w:rPr>
          <w:rFonts w:ascii="Proxima Nova" w:hAnsi="Proxima Nova" w:cstheme="minorHAnsi"/>
          <w:sz w:val="22"/>
          <w:szCs w:val="22"/>
          <w:bdr w:val="none" w:sz="0" w:space="0" w:color="auto" w:frame="1"/>
        </w:rPr>
      </w:pPr>
    </w:p>
    <w:p w14:paraId="2EBD6495" w14:textId="6D2868D1" w:rsidR="0083460E" w:rsidRPr="009D5459" w:rsidRDefault="0083460E" w:rsidP="00D9215C">
      <w:pPr>
        <w:pStyle w:val="ListParagraph"/>
        <w:numPr>
          <w:ilvl w:val="1"/>
          <w:numId w:val="28"/>
        </w:numPr>
        <w:snapToGrid w:val="0"/>
        <w:spacing w:line="276" w:lineRule="auto"/>
        <w:ind w:left="720" w:hanging="720"/>
        <w:contextualSpacing w:val="0"/>
        <w:rPr>
          <w:rFonts w:ascii="Proxima Nova" w:hAnsi="Proxima Nova" w:cstheme="minorHAnsi"/>
          <w:sz w:val="22"/>
          <w:szCs w:val="22"/>
          <w:bdr w:val="none" w:sz="0" w:space="0" w:color="auto" w:frame="1"/>
        </w:rPr>
      </w:pPr>
      <w:r w:rsidRPr="009D5459">
        <w:rPr>
          <w:rFonts w:ascii="Proxima Nova" w:hAnsi="Proxima Nova" w:cstheme="minorHAnsi"/>
          <w:color w:val="000000" w:themeColor="text1"/>
          <w:spacing w:val="-4"/>
          <w:sz w:val="22"/>
          <w:szCs w:val="22"/>
          <w:shd w:val="clear" w:color="auto" w:fill="FFFFFF"/>
        </w:rPr>
        <w:t xml:space="preserve">The influence of ableism is poorly recognised in Australia, with the medical model of disability still evident in Australian law, policy and practice. While there has been greater recognition of the rights of people with disability, which has led to associated reforms, the endurance of the medical model and its underlying ableism is still evident in continued reluctance within this reform agenda to comprehensively dismantle ‘special’ laws, policies, programs and arrangements that segregate, congregate and marginalise people with disability, and enable the use of restrictive practices. Contesting ableism must involve connecting disability discrimination, segregation and violence to challenging liberal settler colonial legal constructions of capacity, reasonableness and fitness, dismantling interlocking systems of oppression experienced by a variety of marginalised populations, unseating privilege and redistributing resources and power that others enjoy through this abjection and oppression. </w:t>
      </w:r>
    </w:p>
    <w:p w14:paraId="4E254C7C" w14:textId="77777777" w:rsidR="003942DA" w:rsidRPr="009D5459" w:rsidRDefault="003942DA" w:rsidP="00D9215C">
      <w:pPr>
        <w:pStyle w:val="ListParagraph"/>
        <w:spacing w:line="276" w:lineRule="auto"/>
        <w:ind w:hanging="720"/>
        <w:rPr>
          <w:rFonts w:ascii="Proxima Nova" w:hAnsi="Proxima Nova" w:cstheme="minorHAnsi"/>
          <w:sz w:val="22"/>
          <w:szCs w:val="22"/>
          <w:bdr w:val="none" w:sz="0" w:space="0" w:color="auto" w:frame="1"/>
        </w:rPr>
      </w:pPr>
    </w:p>
    <w:p w14:paraId="522B9740" w14:textId="42A74D7B" w:rsidR="0083460E" w:rsidRPr="009D5459" w:rsidRDefault="0083460E" w:rsidP="00D9215C">
      <w:pPr>
        <w:pStyle w:val="ListParagraph"/>
        <w:numPr>
          <w:ilvl w:val="1"/>
          <w:numId w:val="28"/>
        </w:numPr>
        <w:snapToGrid w:val="0"/>
        <w:spacing w:line="276" w:lineRule="auto"/>
        <w:ind w:left="720" w:hanging="720"/>
        <w:contextualSpacing w:val="0"/>
        <w:rPr>
          <w:rFonts w:ascii="Proxima Nova" w:hAnsi="Proxima Nova" w:cstheme="minorHAnsi"/>
          <w:sz w:val="22"/>
          <w:szCs w:val="22"/>
          <w:bdr w:val="none" w:sz="0" w:space="0" w:color="auto" w:frame="1"/>
        </w:rPr>
      </w:pPr>
      <w:r w:rsidRPr="009D5459">
        <w:rPr>
          <w:rFonts w:ascii="Proxima Nova" w:hAnsi="Proxima Nova"/>
          <w:sz w:val="22"/>
          <w:szCs w:val="22"/>
        </w:rPr>
        <w:t xml:space="preserve">Understanding restrictive practices through the prism of ableism illuminates three key issues. First, the concepts of ‘challenging behaviour’ or ‘behaviours of concern’ do not merely justify restrictive practices – they </w:t>
      </w:r>
      <w:proofErr w:type="gramStart"/>
      <w:r w:rsidRPr="009D5459">
        <w:rPr>
          <w:rFonts w:ascii="Proxima Nova" w:hAnsi="Proxima Nova"/>
          <w:sz w:val="22"/>
          <w:szCs w:val="22"/>
        </w:rPr>
        <w:t>actually justify</w:t>
      </w:r>
      <w:proofErr w:type="gramEnd"/>
      <w:r w:rsidRPr="009D5459">
        <w:rPr>
          <w:rFonts w:ascii="Proxima Nova" w:hAnsi="Proxima Nova"/>
          <w:sz w:val="22"/>
          <w:szCs w:val="22"/>
        </w:rPr>
        <w:t xml:space="preserve"> longer term and structural inequality and violence in a number of ways. These concepts contribute to the construction of people with disability as inherently </w:t>
      </w:r>
      <w:r w:rsidR="00674625" w:rsidRPr="009D5459">
        <w:rPr>
          <w:rFonts w:ascii="Proxima Nova" w:hAnsi="Proxima Nova"/>
          <w:sz w:val="22"/>
          <w:szCs w:val="22"/>
        </w:rPr>
        <w:t xml:space="preserve">violable, </w:t>
      </w:r>
      <w:r w:rsidRPr="009D5459">
        <w:rPr>
          <w:rFonts w:ascii="Proxima Nova" w:hAnsi="Proxima Nova"/>
          <w:sz w:val="22"/>
          <w:szCs w:val="22"/>
        </w:rPr>
        <w:t>risky, dangerous, in need of protection and thus legitimating ongoing control</w:t>
      </w:r>
      <w:r w:rsidR="008F1D05" w:rsidRPr="009D5459">
        <w:rPr>
          <w:rFonts w:ascii="Proxima Nova" w:hAnsi="Proxima Nova"/>
          <w:sz w:val="22"/>
          <w:szCs w:val="22"/>
        </w:rPr>
        <w:t xml:space="preserve"> (and as we noted earlier it is not clear that the Royal Commission’s search for alternatives </w:t>
      </w:r>
      <w:r w:rsidR="00674625" w:rsidRPr="009D5459">
        <w:rPr>
          <w:rFonts w:ascii="Proxima Nova" w:hAnsi="Proxima Nova"/>
          <w:sz w:val="22"/>
          <w:szCs w:val="22"/>
        </w:rPr>
        <w:t xml:space="preserve">explicitly </w:t>
      </w:r>
      <w:r w:rsidR="008F1D05" w:rsidRPr="009D5459">
        <w:rPr>
          <w:rFonts w:ascii="Proxima Nova" w:hAnsi="Proxima Nova"/>
          <w:sz w:val="22"/>
          <w:szCs w:val="22"/>
        </w:rPr>
        <w:t>works outside this construction)</w:t>
      </w:r>
      <w:r w:rsidRPr="009D5459">
        <w:rPr>
          <w:rFonts w:ascii="Proxima Nova" w:hAnsi="Proxima Nova"/>
          <w:sz w:val="22"/>
          <w:szCs w:val="22"/>
        </w:rPr>
        <w:t xml:space="preserve">. In subverting </w:t>
      </w:r>
      <w:r w:rsidR="00EB2D5B" w:rsidRPr="009D5459">
        <w:rPr>
          <w:rFonts w:ascii="Proxima Nova" w:hAnsi="Proxima Nova"/>
          <w:sz w:val="22"/>
          <w:szCs w:val="22"/>
        </w:rPr>
        <w:t xml:space="preserve">disabled people’s </w:t>
      </w:r>
      <w:r w:rsidRPr="009D5459">
        <w:rPr>
          <w:rFonts w:ascii="Proxima Nova" w:hAnsi="Proxima Nova"/>
          <w:sz w:val="22"/>
          <w:szCs w:val="22"/>
        </w:rPr>
        <w:t xml:space="preserve">resistance into </w:t>
      </w:r>
      <w:r w:rsidR="00EB2D5B" w:rsidRPr="009D5459">
        <w:rPr>
          <w:rFonts w:ascii="Proxima Nova" w:hAnsi="Proxima Nova"/>
          <w:sz w:val="22"/>
          <w:szCs w:val="22"/>
        </w:rPr>
        <w:t xml:space="preserve">the necessity for further </w:t>
      </w:r>
      <w:r w:rsidRPr="009D5459">
        <w:rPr>
          <w:rFonts w:ascii="Proxima Nova" w:hAnsi="Proxima Nova"/>
          <w:sz w:val="22"/>
          <w:szCs w:val="22"/>
        </w:rPr>
        <w:t>submission</w:t>
      </w:r>
      <w:r w:rsidR="00EB2D5B" w:rsidRPr="009D5459">
        <w:rPr>
          <w:rFonts w:ascii="Proxima Nova" w:hAnsi="Proxima Nova"/>
          <w:sz w:val="22"/>
          <w:szCs w:val="22"/>
        </w:rPr>
        <w:t xml:space="preserve"> to control and violence</w:t>
      </w:r>
      <w:r w:rsidRPr="009D5459">
        <w:rPr>
          <w:rFonts w:ascii="Proxima Nova" w:hAnsi="Proxima Nova"/>
          <w:sz w:val="22"/>
          <w:szCs w:val="22"/>
        </w:rPr>
        <w:t xml:space="preserve">, these </w:t>
      </w:r>
      <w:r w:rsidR="00EB2D5B" w:rsidRPr="009D5459">
        <w:rPr>
          <w:rFonts w:ascii="Proxima Nova" w:hAnsi="Proxima Nova"/>
          <w:sz w:val="22"/>
          <w:szCs w:val="22"/>
        </w:rPr>
        <w:t xml:space="preserve">behavioural </w:t>
      </w:r>
      <w:r w:rsidRPr="009D5459">
        <w:rPr>
          <w:rFonts w:ascii="Proxima Nova" w:hAnsi="Proxima Nova"/>
          <w:sz w:val="22"/>
          <w:szCs w:val="22"/>
        </w:rPr>
        <w:t xml:space="preserve">concepts vindicate the authority of services. They can also justify racial and class inequalities, to the extent they are premised on white normative ideals of behaviour, and pathologise resistance to trauma related to racism and colonisation. </w:t>
      </w:r>
      <w:r w:rsidR="00EB2D5B" w:rsidRPr="009D5459">
        <w:rPr>
          <w:rFonts w:ascii="Proxima Nova" w:hAnsi="Proxima Nova"/>
          <w:sz w:val="22"/>
          <w:szCs w:val="22"/>
        </w:rPr>
        <w:t xml:space="preserve">We note that there is a dearth of data and research on the use of restrictive practices in relation to First Nations people with disability. </w:t>
      </w:r>
    </w:p>
    <w:p w14:paraId="6D564E56" w14:textId="77777777" w:rsidR="0083460E" w:rsidRPr="009D5459" w:rsidRDefault="0083460E" w:rsidP="00D9215C">
      <w:pPr>
        <w:pStyle w:val="ListParagraph"/>
        <w:spacing w:line="276" w:lineRule="auto"/>
        <w:ind w:hanging="720"/>
        <w:rPr>
          <w:rFonts w:ascii="Proxima Nova" w:hAnsi="Proxima Nova" w:cstheme="minorHAnsi"/>
          <w:sz w:val="22"/>
          <w:szCs w:val="22"/>
          <w:bdr w:val="none" w:sz="0" w:space="0" w:color="auto" w:frame="1"/>
        </w:rPr>
      </w:pPr>
    </w:p>
    <w:p w14:paraId="79D5C7FC" w14:textId="3FCE6863" w:rsidR="0083460E" w:rsidRPr="009D5459" w:rsidRDefault="00EB2D5B" w:rsidP="00D9215C">
      <w:pPr>
        <w:pStyle w:val="ListParagraph"/>
        <w:numPr>
          <w:ilvl w:val="1"/>
          <w:numId w:val="28"/>
        </w:numPr>
        <w:snapToGrid w:val="0"/>
        <w:spacing w:line="276" w:lineRule="auto"/>
        <w:ind w:left="720" w:hanging="720"/>
        <w:rPr>
          <w:rFonts w:ascii="Proxima Nova" w:hAnsi="Proxima Nova" w:cstheme="minorHAnsi"/>
          <w:sz w:val="22"/>
          <w:szCs w:val="22"/>
          <w:bdr w:val="none" w:sz="0" w:space="0" w:color="auto" w:frame="1"/>
        </w:rPr>
      </w:pPr>
      <w:r w:rsidRPr="009D5459">
        <w:rPr>
          <w:rFonts w:ascii="Proxima Nova" w:hAnsi="Proxima Nova" w:cstheme="minorHAnsi"/>
          <w:sz w:val="22"/>
          <w:szCs w:val="22"/>
          <w:bdr w:val="none" w:sz="0" w:space="0" w:color="auto" w:frame="1"/>
        </w:rPr>
        <w:t>R</w:t>
      </w:r>
      <w:r w:rsidR="0083460E" w:rsidRPr="009D5459">
        <w:rPr>
          <w:rFonts w:ascii="Proxima Nova" w:hAnsi="Proxima Nova" w:cstheme="minorHAnsi"/>
          <w:sz w:val="22"/>
          <w:szCs w:val="22"/>
          <w:bdr w:val="none" w:sz="0" w:space="0" w:color="auto" w:frame="1"/>
        </w:rPr>
        <w:t xml:space="preserve">estrictive practices contribute to </w:t>
      </w:r>
      <w:r w:rsidR="00072768" w:rsidRPr="009D5459">
        <w:rPr>
          <w:rFonts w:ascii="Proxima Nova" w:hAnsi="Proxima Nova" w:cstheme="minorHAnsi"/>
          <w:sz w:val="22"/>
          <w:szCs w:val="22"/>
          <w:bdr w:val="none" w:sz="0" w:space="0" w:color="auto" w:frame="1"/>
        </w:rPr>
        <w:t>segregation and ultimately</w:t>
      </w:r>
      <w:r w:rsidR="0083460E" w:rsidRPr="009D5459">
        <w:rPr>
          <w:rFonts w:ascii="Proxima Nova" w:hAnsi="Proxima Nova" w:cstheme="minorHAnsi"/>
          <w:sz w:val="22"/>
          <w:szCs w:val="22"/>
          <w:bdr w:val="none" w:sz="0" w:space="0" w:color="auto" w:frame="1"/>
        </w:rPr>
        <w:t xml:space="preserve"> dehumanisation of</w:t>
      </w:r>
      <w:r w:rsidR="00072768" w:rsidRPr="009D5459">
        <w:rPr>
          <w:rFonts w:ascii="Proxima Nova" w:hAnsi="Proxima Nova" w:cstheme="minorHAnsi"/>
          <w:sz w:val="22"/>
          <w:szCs w:val="22"/>
          <w:bdr w:val="none" w:sz="0" w:space="0" w:color="auto" w:frame="1"/>
        </w:rPr>
        <w:t xml:space="preserve"> women and girls</w:t>
      </w:r>
      <w:r w:rsidR="0083460E" w:rsidRPr="009D5459">
        <w:rPr>
          <w:rFonts w:ascii="Proxima Nova" w:hAnsi="Proxima Nova" w:cstheme="minorHAnsi"/>
          <w:sz w:val="22"/>
          <w:szCs w:val="22"/>
          <w:bdr w:val="none" w:sz="0" w:space="0" w:color="auto" w:frame="1"/>
        </w:rPr>
        <w:t xml:space="preserve"> with disability, including through confining them in segregated and closed places, and also by denying them many </w:t>
      </w:r>
      <w:r w:rsidR="00072768" w:rsidRPr="009D5459">
        <w:rPr>
          <w:rFonts w:ascii="Proxima Nova" w:hAnsi="Proxima Nova" w:cstheme="minorHAnsi"/>
          <w:sz w:val="22"/>
          <w:szCs w:val="22"/>
          <w:bdr w:val="none" w:sz="0" w:space="0" w:color="auto" w:frame="1"/>
        </w:rPr>
        <w:t xml:space="preserve">of the embodied and social </w:t>
      </w:r>
      <w:r w:rsidR="0083460E" w:rsidRPr="009D5459">
        <w:rPr>
          <w:rFonts w:ascii="Proxima Nova" w:hAnsi="Proxima Nova" w:cstheme="minorHAnsi"/>
          <w:sz w:val="22"/>
          <w:szCs w:val="22"/>
          <w:bdr w:val="none" w:sz="0" w:space="0" w:color="auto" w:frame="1"/>
        </w:rPr>
        <w:t xml:space="preserve">experiences that characterise what it means to be </w:t>
      </w:r>
      <w:r w:rsidR="00072768" w:rsidRPr="009D5459">
        <w:rPr>
          <w:rFonts w:ascii="Proxima Nova" w:hAnsi="Proxima Nova" w:cstheme="minorHAnsi"/>
          <w:sz w:val="22"/>
          <w:szCs w:val="22"/>
          <w:bdr w:val="none" w:sz="0" w:space="0" w:color="auto" w:frame="1"/>
        </w:rPr>
        <w:t xml:space="preserve">a woman and </w:t>
      </w:r>
      <w:r w:rsidR="0083460E" w:rsidRPr="009D5459">
        <w:rPr>
          <w:rFonts w:ascii="Proxima Nova" w:hAnsi="Proxima Nova" w:cstheme="minorHAnsi"/>
          <w:sz w:val="22"/>
          <w:szCs w:val="22"/>
          <w:bdr w:val="none" w:sz="0" w:space="0" w:color="auto" w:frame="1"/>
        </w:rPr>
        <w:t xml:space="preserve">human – intimate and loving relationships, articulating our thoughts and wishes, experiencing sexual pleasure, experiencing the relationship between </w:t>
      </w:r>
      <w:r w:rsidR="0083460E" w:rsidRPr="009D5459">
        <w:rPr>
          <w:rFonts w:ascii="Proxima Nova" w:hAnsi="Proxima Nova" w:cstheme="minorHAnsi"/>
          <w:sz w:val="22"/>
          <w:szCs w:val="22"/>
          <w:bdr w:val="none" w:sz="0" w:space="0" w:color="auto" w:frame="1"/>
        </w:rPr>
        <w:lastRenderedPageBreak/>
        <w:t>parent and child, and other specific experiences marked as normative for females, such as menstruation, reproduction and mothering.</w:t>
      </w:r>
      <w:r w:rsidR="0083460E" w:rsidRPr="009D5459">
        <w:rPr>
          <w:rStyle w:val="EndnoteReference"/>
          <w:rFonts w:ascii="Proxima Nova" w:hAnsi="Proxima Nova" w:cstheme="minorHAnsi"/>
          <w:sz w:val="22"/>
          <w:szCs w:val="22"/>
          <w:bdr w:val="none" w:sz="0" w:space="0" w:color="auto" w:frame="1"/>
        </w:rPr>
        <w:endnoteReference w:id="202"/>
      </w:r>
    </w:p>
    <w:p w14:paraId="4D7DF71C" w14:textId="77777777" w:rsidR="00B07D88" w:rsidRPr="009D5459" w:rsidRDefault="00B07D88" w:rsidP="00D9215C">
      <w:pPr>
        <w:spacing w:line="276" w:lineRule="auto"/>
        <w:ind w:left="720" w:hanging="720"/>
        <w:rPr>
          <w:rFonts w:ascii="Proxima Nova" w:hAnsi="Proxima Nova" w:cstheme="minorHAnsi"/>
          <w:sz w:val="22"/>
          <w:szCs w:val="22"/>
        </w:rPr>
      </w:pPr>
    </w:p>
    <w:p w14:paraId="6613A662" w14:textId="77777777" w:rsidR="000039A0" w:rsidRPr="009D5459" w:rsidRDefault="00AA7A11" w:rsidP="00D9215C">
      <w:pPr>
        <w:pStyle w:val="ListParagraph"/>
        <w:numPr>
          <w:ilvl w:val="1"/>
          <w:numId w:val="28"/>
        </w:numPr>
        <w:spacing w:line="276" w:lineRule="auto"/>
        <w:ind w:left="720" w:hanging="720"/>
        <w:rPr>
          <w:rFonts w:ascii="Proxima Nova" w:hAnsi="Proxima Nova" w:cstheme="minorHAnsi"/>
          <w:sz w:val="22"/>
          <w:szCs w:val="22"/>
        </w:rPr>
      </w:pPr>
      <w:r w:rsidRPr="009D5459">
        <w:rPr>
          <w:rFonts w:ascii="Proxima Nova" w:hAnsi="Proxima Nova" w:cstheme="minorHAnsi"/>
          <w:sz w:val="22"/>
          <w:szCs w:val="22"/>
        </w:rPr>
        <w:t xml:space="preserve">Ending </w:t>
      </w:r>
      <w:r w:rsidR="00B07D88" w:rsidRPr="009D5459">
        <w:rPr>
          <w:rFonts w:ascii="Proxima Nova" w:hAnsi="Proxima Nova" w:cstheme="minorHAnsi"/>
          <w:sz w:val="22"/>
          <w:szCs w:val="22"/>
        </w:rPr>
        <w:t xml:space="preserve">use of restrictive practices is interrelated with </w:t>
      </w:r>
      <w:r w:rsidR="000F488D" w:rsidRPr="009D5459">
        <w:rPr>
          <w:rFonts w:ascii="Proxima Nova" w:hAnsi="Proxima Nova" w:cstheme="minorHAnsi"/>
          <w:sz w:val="22"/>
          <w:szCs w:val="22"/>
        </w:rPr>
        <w:t xml:space="preserve">ending </w:t>
      </w:r>
      <w:r w:rsidR="00B07D88" w:rsidRPr="009D5459">
        <w:rPr>
          <w:rFonts w:ascii="Proxima Nova" w:hAnsi="Proxima Nova" w:cstheme="minorHAnsi"/>
          <w:sz w:val="22"/>
          <w:szCs w:val="22"/>
        </w:rPr>
        <w:t xml:space="preserve">segregated and closed settings for people with disability because these settings form an intrinsic dynamic of restrictive practices as: </w:t>
      </w:r>
    </w:p>
    <w:p w14:paraId="1AE2E7DA" w14:textId="77777777" w:rsidR="000039A0" w:rsidRPr="009D5459" w:rsidRDefault="000039A0" w:rsidP="000A50AC">
      <w:pPr>
        <w:pStyle w:val="ListParagraph"/>
        <w:rPr>
          <w:rFonts w:ascii="Proxima Nova" w:hAnsi="Proxima Nova" w:cstheme="minorHAnsi"/>
          <w:sz w:val="22"/>
          <w:szCs w:val="22"/>
        </w:rPr>
      </w:pPr>
    </w:p>
    <w:p w14:paraId="16F0A6D6" w14:textId="2A053F0D" w:rsidR="000039A0" w:rsidRPr="009D5459" w:rsidRDefault="00B07D88" w:rsidP="000039A0">
      <w:pPr>
        <w:pStyle w:val="ListParagraph"/>
        <w:spacing w:line="276" w:lineRule="auto"/>
        <w:rPr>
          <w:rFonts w:ascii="Proxima Nova" w:hAnsi="Proxima Nova" w:cstheme="minorHAnsi"/>
          <w:sz w:val="22"/>
          <w:szCs w:val="22"/>
        </w:rPr>
      </w:pPr>
      <w:r w:rsidRPr="009D5459">
        <w:rPr>
          <w:rFonts w:ascii="Proxima Nova" w:hAnsi="Proxima Nova" w:cstheme="minorHAnsi"/>
          <w:sz w:val="22"/>
          <w:szCs w:val="22"/>
        </w:rPr>
        <w:t>(a)</w:t>
      </w:r>
      <w:r w:rsidR="0093323B" w:rsidRPr="009D5459">
        <w:rPr>
          <w:rFonts w:ascii="Proxima Nova" w:hAnsi="Proxima Nova" w:cstheme="minorHAnsi"/>
          <w:sz w:val="22"/>
          <w:szCs w:val="22"/>
        </w:rPr>
        <w:tab/>
      </w:r>
      <w:r w:rsidRPr="009D5459">
        <w:rPr>
          <w:rFonts w:ascii="Proxima Nova" w:hAnsi="Proxima Nova" w:cstheme="minorHAnsi"/>
          <w:sz w:val="22"/>
          <w:szCs w:val="22"/>
        </w:rPr>
        <w:t xml:space="preserve">they are often (though not always) the settings in which restrictive practices are </w:t>
      </w:r>
      <w:proofErr w:type="gramStart"/>
      <w:r w:rsidRPr="009D5459">
        <w:rPr>
          <w:rFonts w:ascii="Proxima Nova" w:hAnsi="Proxima Nova" w:cstheme="minorHAnsi"/>
          <w:sz w:val="22"/>
          <w:szCs w:val="22"/>
        </w:rPr>
        <w:t>used;</w:t>
      </w:r>
      <w:proofErr w:type="gramEnd"/>
      <w:r w:rsidRPr="009D5459">
        <w:rPr>
          <w:rFonts w:ascii="Proxima Nova" w:hAnsi="Proxima Nova" w:cstheme="minorHAnsi"/>
          <w:sz w:val="22"/>
          <w:szCs w:val="22"/>
        </w:rPr>
        <w:t xml:space="preserve"> </w:t>
      </w:r>
    </w:p>
    <w:p w14:paraId="2B6F8AF8" w14:textId="2650A958" w:rsidR="000039A0" w:rsidRPr="009D5459" w:rsidRDefault="00B07D88" w:rsidP="007C1ED7">
      <w:pPr>
        <w:pStyle w:val="ListParagraph"/>
        <w:spacing w:line="276" w:lineRule="auto"/>
        <w:ind w:left="1440" w:hanging="720"/>
        <w:rPr>
          <w:rFonts w:ascii="Proxima Nova" w:hAnsi="Proxima Nova" w:cstheme="minorHAnsi"/>
          <w:sz w:val="22"/>
          <w:szCs w:val="22"/>
        </w:rPr>
      </w:pPr>
      <w:r w:rsidRPr="009D5459">
        <w:rPr>
          <w:rFonts w:ascii="Proxima Nova" w:hAnsi="Proxima Nova" w:cstheme="minorHAnsi"/>
          <w:sz w:val="22"/>
          <w:szCs w:val="22"/>
        </w:rPr>
        <w:t>(b)</w:t>
      </w:r>
      <w:r w:rsidR="0093323B" w:rsidRPr="009D5459">
        <w:rPr>
          <w:rFonts w:ascii="Proxima Nova" w:hAnsi="Proxima Nova" w:cstheme="minorHAnsi"/>
          <w:sz w:val="22"/>
          <w:szCs w:val="22"/>
        </w:rPr>
        <w:tab/>
      </w:r>
      <w:r w:rsidRPr="009D5459">
        <w:rPr>
          <w:rFonts w:ascii="Proxima Nova" w:hAnsi="Proxima Nova" w:cstheme="minorHAnsi"/>
          <w:sz w:val="22"/>
          <w:szCs w:val="22"/>
        </w:rPr>
        <w:t xml:space="preserve">the use of restrictive practices in these settings on a structural level sustains segregation and discrimination, and on an individual level sustains isolation, segregation and detention which enables further violence, abuse, neglect, and exploitation against people with disability to flourish; and </w:t>
      </w:r>
    </w:p>
    <w:p w14:paraId="747DC7E8" w14:textId="7F7D63B7" w:rsidR="00B07D88" w:rsidRPr="009D5459" w:rsidRDefault="00B07D88" w:rsidP="007C1ED7">
      <w:pPr>
        <w:pStyle w:val="ListParagraph"/>
        <w:spacing w:line="276" w:lineRule="auto"/>
        <w:ind w:left="1440" w:hanging="720"/>
        <w:rPr>
          <w:rFonts w:ascii="Proxima Nova" w:hAnsi="Proxima Nova" w:cstheme="minorHAnsi"/>
          <w:sz w:val="22"/>
          <w:szCs w:val="22"/>
        </w:rPr>
      </w:pPr>
      <w:r w:rsidRPr="009D5459">
        <w:rPr>
          <w:rFonts w:ascii="Proxima Nova" w:hAnsi="Proxima Nova" w:cstheme="minorHAnsi"/>
          <w:sz w:val="22"/>
          <w:szCs w:val="22"/>
        </w:rPr>
        <w:t>(c)</w:t>
      </w:r>
      <w:r w:rsidR="0093323B" w:rsidRPr="009D5459">
        <w:rPr>
          <w:rFonts w:ascii="Proxima Nova" w:hAnsi="Proxima Nova" w:cstheme="minorHAnsi"/>
          <w:sz w:val="22"/>
          <w:szCs w:val="22"/>
        </w:rPr>
        <w:tab/>
      </w:r>
      <w:r w:rsidRPr="009D5459">
        <w:rPr>
          <w:rFonts w:ascii="Proxima Nova" w:hAnsi="Proxima Nova" w:cstheme="minorHAnsi"/>
          <w:sz w:val="22"/>
          <w:szCs w:val="22"/>
        </w:rPr>
        <w:t xml:space="preserve">the use of restrictive practices can have the effect of making places in the general community (such as a family home or group home which is otherwise unlocked to other residents) into segregated and closed settings. </w:t>
      </w:r>
    </w:p>
    <w:p w14:paraId="5B239B01" w14:textId="77777777" w:rsidR="00B07D88" w:rsidRPr="009D5459" w:rsidRDefault="00B07D88" w:rsidP="00D9215C">
      <w:pPr>
        <w:snapToGrid w:val="0"/>
        <w:spacing w:line="276" w:lineRule="auto"/>
        <w:ind w:left="720" w:hanging="720"/>
        <w:rPr>
          <w:rFonts w:ascii="Proxima Nova" w:hAnsi="Proxima Nova" w:cstheme="minorHAnsi"/>
          <w:sz w:val="22"/>
          <w:szCs w:val="22"/>
          <w:bdr w:val="none" w:sz="0" w:space="0" w:color="auto" w:frame="1"/>
        </w:rPr>
      </w:pPr>
    </w:p>
    <w:p w14:paraId="4FEDF899" w14:textId="2E2B92EF" w:rsidR="001D23E9" w:rsidRPr="009D5459" w:rsidRDefault="0083460E" w:rsidP="00233EF8">
      <w:pPr>
        <w:pStyle w:val="ListParagraph"/>
        <w:numPr>
          <w:ilvl w:val="1"/>
          <w:numId w:val="28"/>
        </w:numPr>
        <w:snapToGrid w:val="0"/>
        <w:spacing w:line="276" w:lineRule="auto"/>
        <w:ind w:left="720" w:hanging="720"/>
        <w:rPr>
          <w:rFonts w:ascii="Proxima Nova" w:hAnsi="Proxima Nova" w:cstheme="minorHAnsi"/>
          <w:sz w:val="22"/>
          <w:szCs w:val="22"/>
          <w:bdr w:val="none" w:sz="0" w:space="0" w:color="auto" w:frame="1"/>
        </w:rPr>
      </w:pPr>
      <w:r w:rsidRPr="009D5459">
        <w:rPr>
          <w:rFonts w:ascii="Proxima Nova" w:hAnsi="Proxima Nova" w:cstheme="minorHAnsi"/>
          <w:sz w:val="22"/>
          <w:szCs w:val="22"/>
          <w:bdr w:val="none" w:sz="0" w:space="0" w:color="auto" w:frame="1"/>
        </w:rPr>
        <w:t>Ultimately, by drawing on ableism we can explore how restrictive practices are both justified by, and themselves produce, dehumanisation and violability, and vindicate hierarchies of privilege, authority and wealth.</w:t>
      </w:r>
    </w:p>
    <w:p w14:paraId="1429509F" w14:textId="77777777" w:rsidR="00B77441" w:rsidRPr="009D5459" w:rsidRDefault="00B77441" w:rsidP="00D9215C">
      <w:pPr>
        <w:pStyle w:val="ListParagraph"/>
        <w:spacing w:line="276" w:lineRule="auto"/>
        <w:ind w:hanging="720"/>
        <w:rPr>
          <w:rFonts w:ascii="Proxima Nova" w:hAnsi="Proxima Nova" w:cstheme="minorHAnsi"/>
          <w:sz w:val="22"/>
          <w:szCs w:val="22"/>
          <w:bdr w:val="none" w:sz="0" w:space="0" w:color="auto" w:frame="1"/>
        </w:rPr>
      </w:pPr>
    </w:p>
    <w:p w14:paraId="413E16D8" w14:textId="23A9D638" w:rsidR="00C3225F" w:rsidRPr="00933B76" w:rsidRDefault="00C3225F" w:rsidP="00C3225F">
      <w:pPr>
        <w:spacing w:line="276" w:lineRule="auto"/>
        <w:rPr>
          <w:rFonts w:ascii="Proxima Nova" w:hAnsi="Proxima Nova" w:cstheme="minorHAnsi"/>
        </w:rPr>
      </w:pPr>
      <w:r w:rsidRPr="00933B76">
        <w:rPr>
          <w:rFonts w:ascii="Proxima Nova" w:hAnsi="Proxima Nova"/>
          <w:b/>
          <w:color w:val="AC1F79"/>
        </w:rPr>
        <w:t>Gendering Ableism</w:t>
      </w:r>
    </w:p>
    <w:p w14:paraId="05FF423A" w14:textId="6BC04FFE" w:rsidR="00C3225F" w:rsidRPr="00233EF8" w:rsidRDefault="00C3225F" w:rsidP="00233EF8">
      <w:pPr>
        <w:spacing w:line="276" w:lineRule="auto"/>
        <w:ind w:left="720" w:hanging="720"/>
        <w:rPr>
          <w:rFonts w:ascii="Proxima Nova" w:hAnsi="Proxima Nova"/>
          <w:sz w:val="22"/>
          <w:szCs w:val="22"/>
        </w:rPr>
      </w:pPr>
    </w:p>
    <w:p w14:paraId="77BBE77F" w14:textId="324E5A32" w:rsidR="00E50432" w:rsidRPr="00233EF8" w:rsidRDefault="00674625" w:rsidP="00233EF8">
      <w:pPr>
        <w:pStyle w:val="ListParagraph"/>
        <w:numPr>
          <w:ilvl w:val="1"/>
          <w:numId w:val="28"/>
        </w:numPr>
        <w:spacing w:line="276" w:lineRule="auto"/>
        <w:ind w:left="720" w:hanging="720"/>
        <w:rPr>
          <w:rFonts w:ascii="Proxima Nova" w:hAnsi="Proxima Nova"/>
          <w:sz w:val="22"/>
          <w:szCs w:val="22"/>
        </w:rPr>
      </w:pPr>
      <w:r w:rsidRPr="00233EF8">
        <w:rPr>
          <w:rFonts w:ascii="Proxima Nova" w:hAnsi="Proxima Nova" w:cstheme="minorHAnsi"/>
          <w:sz w:val="22"/>
          <w:szCs w:val="22"/>
        </w:rPr>
        <w:t>U</w:t>
      </w:r>
      <w:r w:rsidR="00097068" w:rsidRPr="00233EF8">
        <w:rPr>
          <w:rFonts w:ascii="Proxima Nova" w:hAnsi="Proxima Nova" w:cstheme="minorHAnsi"/>
          <w:sz w:val="22"/>
          <w:szCs w:val="22"/>
        </w:rPr>
        <w:t xml:space="preserve">se of restrictive practices in relation to women and girls with disability gives rise to violence at the </w:t>
      </w:r>
      <w:r w:rsidR="00237D1D" w:rsidRPr="00233EF8">
        <w:rPr>
          <w:rFonts w:ascii="Proxima Nova" w:hAnsi="Proxima Nova" w:cstheme="minorHAnsi"/>
          <w:sz w:val="22"/>
          <w:szCs w:val="22"/>
        </w:rPr>
        <w:t>i</w:t>
      </w:r>
      <w:r w:rsidR="00097068" w:rsidRPr="00233EF8">
        <w:rPr>
          <w:rFonts w:ascii="Proxima Nova" w:hAnsi="Proxima Nova" w:cstheme="minorHAnsi"/>
          <w:sz w:val="22"/>
          <w:szCs w:val="22"/>
        </w:rPr>
        <w:t xml:space="preserve">ntersections of abled and gendered norms. </w:t>
      </w:r>
      <w:r w:rsidR="008B4BEB" w:rsidRPr="00233EF8">
        <w:rPr>
          <w:rFonts w:ascii="Proxima Nova" w:hAnsi="Proxima Nova" w:cstheme="minorHAnsi"/>
          <w:sz w:val="22"/>
          <w:szCs w:val="22"/>
        </w:rPr>
        <w:t>U</w:t>
      </w:r>
      <w:r w:rsidR="00097068" w:rsidRPr="00233EF8">
        <w:rPr>
          <w:rFonts w:ascii="Proxima Nova" w:hAnsi="Proxima Nova" w:cstheme="minorHAnsi"/>
          <w:sz w:val="22"/>
          <w:szCs w:val="22"/>
        </w:rPr>
        <w:t xml:space="preserve">se of restrictive practices exposes women and girls with disability to violence that is justified </w:t>
      </w:r>
      <w:proofErr w:type="gramStart"/>
      <w:r w:rsidR="00097068" w:rsidRPr="00233EF8">
        <w:rPr>
          <w:rFonts w:ascii="Proxima Nova" w:hAnsi="Proxima Nova" w:cstheme="minorHAnsi"/>
          <w:sz w:val="22"/>
          <w:szCs w:val="22"/>
        </w:rPr>
        <w:t>on the basis of</w:t>
      </w:r>
      <w:proofErr w:type="gramEnd"/>
      <w:r w:rsidR="00097068" w:rsidRPr="00233EF8">
        <w:rPr>
          <w:rFonts w:ascii="Proxima Nova" w:hAnsi="Proxima Nova" w:cstheme="minorHAnsi"/>
          <w:sz w:val="22"/>
          <w:szCs w:val="22"/>
        </w:rPr>
        <w:t xml:space="preserve"> the profound devaluing of embodied and social experiences that are gendered as female – such as menstruation, sexual assault and domestic violence victimisation, </w:t>
      </w:r>
      <w:r w:rsidR="008B4BEB" w:rsidRPr="00233EF8">
        <w:rPr>
          <w:rFonts w:ascii="Proxima Nova" w:hAnsi="Proxima Nova" w:cstheme="minorHAnsi"/>
          <w:sz w:val="22"/>
          <w:szCs w:val="22"/>
        </w:rPr>
        <w:t xml:space="preserve">female sexual pleasure and intimacy, </w:t>
      </w:r>
      <w:r w:rsidR="00097068" w:rsidRPr="00233EF8">
        <w:rPr>
          <w:rFonts w:ascii="Proxima Nova" w:hAnsi="Proxima Nova" w:cstheme="minorHAnsi"/>
          <w:sz w:val="22"/>
          <w:szCs w:val="22"/>
        </w:rPr>
        <w:t>reproduction, mothering, menopause, and gynaecological cancers.</w:t>
      </w:r>
    </w:p>
    <w:p w14:paraId="529BAC46" w14:textId="77777777" w:rsidR="00097068" w:rsidRPr="00233EF8" w:rsidRDefault="00097068" w:rsidP="00233EF8">
      <w:pPr>
        <w:spacing w:line="276" w:lineRule="auto"/>
        <w:rPr>
          <w:rFonts w:ascii="Proxima Nova" w:hAnsi="Proxima Nova" w:cstheme="minorHAnsi"/>
          <w:sz w:val="22"/>
          <w:szCs w:val="22"/>
        </w:rPr>
      </w:pPr>
    </w:p>
    <w:p w14:paraId="0305CF60" w14:textId="666D46DA" w:rsidR="0083460E" w:rsidRPr="00233EF8" w:rsidRDefault="0083460E" w:rsidP="00233EF8">
      <w:pPr>
        <w:pStyle w:val="ListParagraph"/>
        <w:numPr>
          <w:ilvl w:val="1"/>
          <w:numId w:val="28"/>
        </w:numPr>
        <w:spacing w:line="276" w:lineRule="auto"/>
        <w:ind w:left="720" w:hanging="720"/>
        <w:rPr>
          <w:rFonts w:ascii="Proxima Nova" w:hAnsi="Proxima Nova" w:cstheme="minorHAnsi"/>
          <w:sz w:val="22"/>
          <w:szCs w:val="22"/>
        </w:rPr>
      </w:pPr>
      <w:r w:rsidRPr="00233EF8">
        <w:rPr>
          <w:rFonts w:ascii="Proxima Nova" w:hAnsi="Proxima Nova" w:cstheme="minorHAnsi"/>
          <w:sz w:val="22"/>
          <w:szCs w:val="22"/>
        </w:rPr>
        <w:t xml:space="preserve">Restrictive practices in relation to women and girls with disability can be approached as enforcing social norms ascribed to </w:t>
      </w:r>
      <w:proofErr w:type="gramStart"/>
      <w:r w:rsidRPr="00233EF8">
        <w:rPr>
          <w:rFonts w:ascii="Proxima Nova" w:hAnsi="Proxima Nova" w:cstheme="minorHAnsi"/>
          <w:sz w:val="22"/>
          <w:szCs w:val="22"/>
        </w:rPr>
        <w:t>human-ness</w:t>
      </w:r>
      <w:proofErr w:type="gramEnd"/>
      <w:r w:rsidRPr="00233EF8">
        <w:rPr>
          <w:rFonts w:ascii="Proxima Nova" w:hAnsi="Proxima Nova" w:cstheme="minorHAnsi"/>
          <w:sz w:val="22"/>
          <w:szCs w:val="22"/>
        </w:rPr>
        <w:t xml:space="preserve"> and to femaleness.</w:t>
      </w:r>
      <w:r w:rsidRPr="00233EF8">
        <w:rPr>
          <w:rStyle w:val="EndnoteReference"/>
          <w:rFonts w:ascii="Proxima Nova" w:hAnsi="Proxima Nova" w:cstheme="minorHAnsi"/>
          <w:sz w:val="22"/>
          <w:szCs w:val="22"/>
        </w:rPr>
        <w:endnoteReference w:id="203"/>
      </w:r>
      <w:r w:rsidRPr="00233EF8">
        <w:rPr>
          <w:rFonts w:ascii="Proxima Nova" w:hAnsi="Proxima Nova" w:cstheme="minorHAnsi"/>
          <w:sz w:val="22"/>
          <w:szCs w:val="22"/>
        </w:rPr>
        <w:t xml:space="preserve"> As Garland-Thomson states:</w:t>
      </w:r>
    </w:p>
    <w:p w14:paraId="10F14FCC" w14:textId="77777777" w:rsidR="0083460E" w:rsidRPr="00233EF8" w:rsidRDefault="0083460E" w:rsidP="00233EF8">
      <w:pPr>
        <w:pStyle w:val="ListParagraph"/>
        <w:spacing w:line="276" w:lineRule="auto"/>
        <w:ind w:hanging="720"/>
        <w:rPr>
          <w:rFonts w:ascii="Proxima Nova" w:hAnsi="Proxima Nova" w:cstheme="minorHAnsi"/>
          <w:sz w:val="22"/>
          <w:szCs w:val="22"/>
        </w:rPr>
      </w:pPr>
    </w:p>
    <w:p w14:paraId="148F0840" w14:textId="77777777" w:rsidR="0083460E" w:rsidRPr="00233EF8" w:rsidRDefault="0083460E" w:rsidP="00233EF8">
      <w:pPr>
        <w:pStyle w:val="ListParagraph"/>
        <w:spacing w:line="276" w:lineRule="auto"/>
        <w:ind w:left="1134"/>
        <w:rPr>
          <w:rFonts w:ascii="Proxima Nova" w:hAnsi="Proxima Nova" w:cstheme="minorHAnsi"/>
          <w:sz w:val="22"/>
          <w:szCs w:val="22"/>
        </w:rPr>
      </w:pPr>
      <w:r w:rsidRPr="00233EF8">
        <w:rPr>
          <w:rFonts w:ascii="Proxima Nova" w:hAnsi="Proxima Nova" w:cstheme="minorHAnsi"/>
          <w:i/>
          <w:iCs/>
          <w:sz w:val="22"/>
          <w:szCs w:val="22"/>
        </w:rPr>
        <w:t>Disabled women are, of course, a marked and excluded – albeit quite varied – group within the larger social class of women. The relative privileges of normative femininity are often denied to disabled women. Cultural stereotypes imagine disabled women as asexual, unfit to reproduce, overly dependent, unattractive – as generally removed from the sphere of true womanhood and feminine beauty.</w:t>
      </w:r>
      <w:r w:rsidRPr="00233EF8">
        <w:rPr>
          <w:rStyle w:val="EndnoteReference"/>
          <w:rFonts w:ascii="Proxima Nova" w:hAnsi="Proxima Nova" w:cstheme="minorHAnsi"/>
          <w:sz w:val="22"/>
          <w:szCs w:val="22"/>
        </w:rPr>
        <w:endnoteReference w:id="204"/>
      </w:r>
      <w:r w:rsidRPr="00233EF8">
        <w:rPr>
          <w:rFonts w:ascii="Proxima Nova" w:hAnsi="Proxima Nova" w:cstheme="minorHAnsi"/>
          <w:sz w:val="22"/>
          <w:szCs w:val="22"/>
        </w:rPr>
        <w:t xml:space="preserve"> </w:t>
      </w:r>
    </w:p>
    <w:p w14:paraId="4E3C4023" w14:textId="77777777" w:rsidR="0083460E" w:rsidRPr="00233EF8" w:rsidRDefault="0083460E" w:rsidP="00233EF8">
      <w:pPr>
        <w:spacing w:line="276" w:lineRule="auto"/>
        <w:ind w:left="567" w:hanging="567"/>
        <w:rPr>
          <w:rFonts w:ascii="Proxima Nova" w:hAnsi="Proxima Nova" w:cstheme="minorHAnsi"/>
          <w:sz w:val="22"/>
          <w:szCs w:val="22"/>
        </w:rPr>
      </w:pPr>
    </w:p>
    <w:p w14:paraId="78756417" w14:textId="77777777" w:rsidR="0083460E" w:rsidRPr="00233EF8" w:rsidRDefault="0083460E" w:rsidP="00233EF8">
      <w:pPr>
        <w:pStyle w:val="ListParagraph"/>
        <w:numPr>
          <w:ilvl w:val="1"/>
          <w:numId w:val="28"/>
        </w:numPr>
        <w:spacing w:line="276" w:lineRule="auto"/>
        <w:ind w:left="720" w:hanging="720"/>
        <w:rPr>
          <w:rFonts w:ascii="Proxima Nova" w:hAnsi="Proxima Nova" w:cstheme="minorHAnsi"/>
          <w:sz w:val="22"/>
          <w:szCs w:val="22"/>
          <w:lang w:val="en-AU"/>
        </w:rPr>
      </w:pPr>
      <w:r w:rsidRPr="00233EF8">
        <w:rPr>
          <w:rFonts w:ascii="Proxima Nova" w:hAnsi="Proxima Nova" w:cstheme="minorHAnsi"/>
          <w:sz w:val="22"/>
          <w:szCs w:val="22"/>
          <w:lang w:val="en-AU"/>
        </w:rPr>
        <w:t>This is most evident in relation to the restrictive practices of sterilisation, menstrual suppression and contraception, as explained by Steele and Goldblatt regarding the gendered norms of menstruation:</w:t>
      </w:r>
    </w:p>
    <w:p w14:paraId="4A8DBD57" w14:textId="77777777" w:rsidR="0083460E" w:rsidRPr="00233EF8" w:rsidRDefault="0083460E" w:rsidP="00233EF8">
      <w:pPr>
        <w:spacing w:line="276" w:lineRule="auto"/>
        <w:rPr>
          <w:rFonts w:ascii="Proxima Nova" w:hAnsi="Proxima Nova" w:cstheme="minorHAnsi"/>
          <w:sz w:val="22"/>
          <w:szCs w:val="22"/>
        </w:rPr>
      </w:pPr>
    </w:p>
    <w:p w14:paraId="3AA59D87" w14:textId="77777777" w:rsidR="0083460E" w:rsidRPr="00233EF8" w:rsidRDefault="0083460E" w:rsidP="00233EF8">
      <w:pPr>
        <w:autoSpaceDE w:val="0"/>
        <w:autoSpaceDN w:val="0"/>
        <w:adjustRightInd w:val="0"/>
        <w:spacing w:line="276" w:lineRule="auto"/>
        <w:ind w:left="1134"/>
        <w:rPr>
          <w:rFonts w:ascii="Proxima Nova" w:hAnsi="Proxima Nova" w:cstheme="minorHAnsi"/>
          <w:sz w:val="22"/>
          <w:szCs w:val="22"/>
        </w:rPr>
      </w:pPr>
      <w:r w:rsidRPr="00233EF8">
        <w:rPr>
          <w:rFonts w:ascii="Proxima Nova" w:eastAsia="GalliardStd-Roman" w:hAnsi="Proxima Nova" w:cstheme="minorHAnsi"/>
          <w:i/>
          <w:iCs/>
          <w:color w:val="000000"/>
          <w:sz w:val="22"/>
          <w:szCs w:val="22"/>
        </w:rPr>
        <w:t>In a context where women are constructed as deficient vis-a-vis men, … women and girls with disabilities are positioned against norms of the able woman thus giving rise to greater degrees and different forms of discrimination, violence, and marginalization. Women and girls with disabilities are viewed as mentally and physically incapable of meeting gendered norms to conceal their menstruation and to control their sexuality and manage their fertility. Moreover, in being unable to meet gendered norms of motherhood and sexuality, women and girls with disabilities are viewed as burdens on those who provide care to them, with menstruation being seen as an additional and superfluous demand on labour and time for carers because women and girls with disabilities are viewed as not needing menstruation for reproductive reasons. As such, there are assumptions operating on at least three levels: (a) that women and girls with disabilities should conceal and control their menstruation; (b) that women and girls with disabilities are incapable of doing so; and (c) that it is inefficient and unnecessary for others to support women and girls with disabilities to menstruate.</w:t>
      </w:r>
      <w:r w:rsidRPr="00233EF8">
        <w:rPr>
          <w:rStyle w:val="EndnoteReference"/>
          <w:rFonts w:ascii="Proxima Nova" w:eastAsia="GalliardStd-Roman" w:hAnsi="Proxima Nova" w:cstheme="minorHAnsi"/>
          <w:color w:val="000000"/>
          <w:sz w:val="22"/>
          <w:szCs w:val="22"/>
        </w:rPr>
        <w:endnoteReference w:id="205"/>
      </w:r>
    </w:p>
    <w:p w14:paraId="7E992599" w14:textId="77777777" w:rsidR="0083460E" w:rsidRPr="00233EF8" w:rsidRDefault="0083460E" w:rsidP="00233EF8">
      <w:pPr>
        <w:spacing w:line="276" w:lineRule="auto"/>
        <w:ind w:left="720" w:hanging="720"/>
        <w:rPr>
          <w:rFonts w:ascii="Proxima Nova" w:hAnsi="Proxima Nova" w:cstheme="minorHAnsi"/>
          <w:sz w:val="22"/>
          <w:szCs w:val="22"/>
        </w:rPr>
      </w:pPr>
    </w:p>
    <w:p w14:paraId="54444B74" w14:textId="21B3B105" w:rsidR="0083460E" w:rsidRPr="00233EF8" w:rsidRDefault="0083460E" w:rsidP="00233EF8">
      <w:pPr>
        <w:pStyle w:val="ListParagraph"/>
        <w:numPr>
          <w:ilvl w:val="1"/>
          <w:numId w:val="28"/>
        </w:numPr>
        <w:spacing w:line="276" w:lineRule="auto"/>
        <w:ind w:left="720" w:hanging="720"/>
        <w:rPr>
          <w:rFonts w:ascii="Proxima Nova" w:hAnsi="Proxima Nova" w:cstheme="minorHAnsi"/>
          <w:sz w:val="22"/>
          <w:szCs w:val="22"/>
          <w:lang w:val="en-AU"/>
        </w:rPr>
      </w:pPr>
      <w:r w:rsidRPr="00233EF8">
        <w:rPr>
          <w:rFonts w:ascii="Proxima Nova" w:hAnsi="Proxima Nova" w:cstheme="minorHAnsi"/>
          <w:sz w:val="22"/>
          <w:szCs w:val="22"/>
        </w:rPr>
        <w:t>However, by reason of their diversity, not all women and girls with disability will be equally positioned in relation to norms of femininity (notably because these norms are not only informed by ability but whiteness, class and heterosexuality</w:t>
      </w:r>
      <w:r w:rsidR="00FF51F1" w:rsidRPr="00233EF8">
        <w:rPr>
          <w:rFonts w:ascii="Proxima Nova" w:hAnsi="Proxima Nova" w:cstheme="minorHAnsi"/>
          <w:sz w:val="22"/>
          <w:szCs w:val="22"/>
        </w:rPr>
        <w:t xml:space="preserve"> etc</w:t>
      </w:r>
      <w:r w:rsidRPr="00233EF8">
        <w:rPr>
          <w:rFonts w:ascii="Proxima Nova" w:hAnsi="Proxima Nova" w:cstheme="minorHAnsi"/>
          <w:sz w:val="22"/>
          <w:szCs w:val="22"/>
        </w:rPr>
        <w:t>).</w:t>
      </w:r>
      <w:r w:rsidR="00F96F21" w:rsidRPr="00233EF8">
        <w:rPr>
          <w:rFonts w:ascii="Proxima Nova" w:hAnsi="Proxima Nova" w:cstheme="minorHAnsi"/>
          <w:sz w:val="22"/>
          <w:szCs w:val="22"/>
        </w:rPr>
        <w:t xml:space="preserve"> </w:t>
      </w:r>
      <w:r w:rsidRPr="00233EF8">
        <w:rPr>
          <w:rFonts w:ascii="Proxima Nova" w:hAnsi="Proxima Nova" w:cstheme="minorHAnsi"/>
          <w:sz w:val="22"/>
          <w:szCs w:val="22"/>
        </w:rPr>
        <w:t>Therefore, some women and girls with disability who are deemed to diverge further from these norms might be more targeted for restrictive practices. Moreover, Nirmala Erevelles argues for the necessity of attention to the ‘actual historical, social, and economic conditions that influence (disabled) people’s lives, conditions further mediated by race, ethnic, gender, class and sexual politics.’</w:t>
      </w:r>
      <w:r w:rsidRPr="00233EF8">
        <w:rPr>
          <w:rStyle w:val="EndnoteReference"/>
          <w:rFonts w:ascii="Proxima Nova" w:hAnsi="Proxima Nova" w:cstheme="minorHAnsi"/>
          <w:sz w:val="22"/>
          <w:szCs w:val="22"/>
        </w:rPr>
        <w:endnoteReference w:id="206"/>
      </w:r>
      <w:r w:rsidRPr="00233EF8">
        <w:rPr>
          <w:rFonts w:ascii="Proxima Nova" w:hAnsi="Proxima Nova" w:cstheme="minorHAnsi"/>
          <w:sz w:val="22"/>
          <w:szCs w:val="22"/>
        </w:rPr>
        <w:t xml:space="preserve"> Thus, as well as abstract gendered norms, it is vital to consider how the differing material economic and social conditions of women and girls with disability (in a contemporary and historical context) inform their unequal exposure to restrictive practices.</w:t>
      </w:r>
    </w:p>
    <w:p w14:paraId="5B0F7822" w14:textId="77777777" w:rsidR="0083460E" w:rsidRPr="00233EF8" w:rsidRDefault="0083460E" w:rsidP="00233EF8">
      <w:pPr>
        <w:spacing w:line="276" w:lineRule="auto"/>
        <w:ind w:left="720" w:hanging="720"/>
        <w:rPr>
          <w:rFonts w:ascii="Proxima Nova" w:hAnsi="Proxima Nova" w:cstheme="minorHAnsi"/>
          <w:sz w:val="22"/>
          <w:szCs w:val="22"/>
        </w:rPr>
      </w:pPr>
    </w:p>
    <w:p w14:paraId="1462B755" w14:textId="77777777" w:rsidR="00F96F21" w:rsidRPr="00233EF8" w:rsidRDefault="0083460E" w:rsidP="00233EF8">
      <w:pPr>
        <w:pStyle w:val="ListParagraph"/>
        <w:numPr>
          <w:ilvl w:val="1"/>
          <w:numId w:val="28"/>
        </w:numPr>
        <w:spacing w:line="276" w:lineRule="auto"/>
        <w:ind w:left="720" w:hanging="720"/>
        <w:rPr>
          <w:rFonts w:ascii="Proxima Nova" w:hAnsi="Proxima Nova" w:cstheme="minorHAnsi"/>
          <w:sz w:val="22"/>
          <w:szCs w:val="22"/>
          <w:lang w:val="en-AU"/>
        </w:rPr>
      </w:pPr>
      <w:r w:rsidRPr="00233EF8">
        <w:rPr>
          <w:rFonts w:ascii="Proxima Nova" w:hAnsi="Proxima Nova" w:cstheme="minorHAnsi"/>
          <w:sz w:val="22"/>
          <w:szCs w:val="22"/>
        </w:rPr>
        <w:t>To this end, it i</w:t>
      </w:r>
      <w:r w:rsidRPr="00233EF8">
        <w:rPr>
          <w:rFonts w:ascii="Proxima Nova" w:hAnsi="Proxima Nova" w:cstheme="minorHAnsi"/>
          <w:sz w:val="22"/>
          <w:szCs w:val="22"/>
          <w:lang w:val="en-AU"/>
        </w:rPr>
        <w:t>s also useful to draw on the analytical tool of intersectionality. As Patricia Hill Collins and Sirma Bilge explain: ‘[a]</w:t>
      </w:r>
      <w:r w:rsidRPr="00233EF8">
        <w:rPr>
          <w:rFonts w:ascii="Proxima Nova" w:hAnsi="Proxima Nova"/>
          <w:sz w:val="22"/>
          <w:szCs w:val="22"/>
        </w:rPr>
        <w:t>s an analytic tool, intersectionality views categories of race, class, gender, sexuality, class, nation, ability, ethnicity, and age – among others – as interrelated and mutually shaping one another’ and ‘while often invisible, these intersecting power relations affect all aspects of the social world.’</w:t>
      </w:r>
      <w:r w:rsidRPr="00233EF8">
        <w:rPr>
          <w:rStyle w:val="EndnoteReference"/>
          <w:rFonts w:ascii="Proxima Nova" w:hAnsi="Proxima Nova"/>
          <w:sz w:val="22"/>
          <w:szCs w:val="22"/>
        </w:rPr>
        <w:endnoteReference w:id="207"/>
      </w:r>
      <w:r w:rsidRPr="00233EF8">
        <w:rPr>
          <w:rFonts w:ascii="Proxima Nova" w:hAnsi="Proxima Nova"/>
          <w:sz w:val="22"/>
          <w:szCs w:val="22"/>
        </w:rPr>
        <w:t xml:space="preserve"> </w:t>
      </w:r>
      <w:r w:rsidRPr="00233EF8">
        <w:rPr>
          <w:rFonts w:ascii="Proxima Nova" w:hAnsi="Proxima Nova" w:cstheme="minorHAnsi"/>
          <w:sz w:val="22"/>
          <w:szCs w:val="22"/>
          <w:lang w:val="en-AU"/>
        </w:rPr>
        <w:t xml:space="preserve">Intersectionality involves nuanced analysis of </w:t>
      </w:r>
      <w:r w:rsidRPr="00233EF8">
        <w:rPr>
          <w:rFonts w:ascii="Proxima Nova" w:hAnsi="Proxima Nova"/>
          <w:sz w:val="22"/>
          <w:szCs w:val="22"/>
        </w:rPr>
        <w:t>power relations ‘both via specific intersections – for example, of racism and sexism, or capitalism and heterosexism – as well as across domains of power – namely, structural, disciplinary, cultural, and interpersonal’</w:t>
      </w:r>
      <w:r w:rsidRPr="00233EF8">
        <w:rPr>
          <w:rStyle w:val="EndnoteReference"/>
          <w:rFonts w:ascii="Proxima Nova" w:hAnsi="Proxima Nova"/>
          <w:sz w:val="22"/>
          <w:szCs w:val="22"/>
        </w:rPr>
        <w:endnoteReference w:id="208"/>
      </w:r>
      <w:r w:rsidRPr="00233EF8">
        <w:rPr>
          <w:rFonts w:ascii="Proxima Nova" w:hAnsi="Proxima Nova"/>
          <w:sz w:val="22"/>
          <w:szCs w:val="22"/>
        </w:rPr>
        <w:t xml:space="preserve"> and directs attention to ‘the importance of examining intersecting power relations in a social context’, such as settler colonialism.</w:t>
      </w:r>
      <w:r w:rsidRPr="00233EF8">
        <w:rPr>
          <w:rStyle w:val="EndnoteReference"/>
          <w:rFonts w:ascii="Proxima Nova" w:hAnsi="Proxima Nova"/>
          <w:sz w:val="22"/>
          <w:szCs w:val="22"/>
        </w:rPr>
        <w:endnoteReference w:id="209"/>
      </w:r>
      <w:r w:rsidRPr="00233EF8">
        <w:rPr>
          <w:rFonts w:ascii="Proxima Nova" w:hAnsi="Proxima Nova"/>
          <w:sz w:val="22"/>
          <w:szCs w:val="22"/>
        </w:rPr>
        <w:t xml:space="preserve"> A further aspect is relationality, which ‘embraces a both/and analytical framework that shifts focus from seeing categories as oppositional, for example, the differences between race and gender, to examining their interconnections.’</w:t>
      </w:r>
      <w:r w:rsidRPr="00233EF8">
        <w:rPr>
          <w:rStyle w:val="EndnoteReference"/>
          <w:rFonts w:ascii="Proxima Nova" w:hAnsi="Proxima Nova"/>
          <w:sz w:val="22"/>
          <w:szCs w:val="22"/>
        </w:rPr>
        <w:endnoteReference w:id="210"/>
      </w:r>
      <w:r w:rsidRPr="00233EF8">
        <w:rPr>
          <w:rFonts w:ascii="Proxima Nova" w:hAnsi="Proxima Nova" w:cstheme="minorHAnsi"/>
          <w:sz w:val="22"/>
          <w:szCs w:val="22"/>
        </w:rPr>
        <w:t xml:space="preserve"> </w:t>
      </w:r>
    </w:p>
    <w:p w14:paraId="0C98B31B" w14:textId="77777777" w:rsidR="0083460E" w:rsidRPr="00233EF8" w:rsidRDefault="0083460E" w:rsidP="00233EF8">
      <w:pPr>
        <w:spacing w:line="276" w:lineRule="auto"/>
        <w:ind w:left="720" w:hanging="720"/>
        <w:rPr>
          <w:rFonts w:ascii="Proxima Nova" w:hAnsi="Proxima Nova" w:cstheme="minorHAnsi"/>
          <w:sz w:val="22"/>
          <w:szCs w:val="22"/>
        </w:rPr>
      </w:pPr>
    </w:p>
    <w:p w14:paraId="04E86473" w14:textId="2E17F412" w:rsidR="00306CC4" w:rsidRPr="00233EF8" w:rsidRDefault="0083460E" w:rsidP="00233EF8">
      <w:pPr>
        <w:pStyle w:val="ListParagraph"/>
        <w:numPr>
          <w:ilvl w:val="1"/>
          <w:numId w:val="28"/>
        </w:numPr>
        <w:autoSpaceDE w:val="0"/>
        <w:autoSpaceDN w:val="0"/>
        <w:adjustRightInd w:val="0"/>
        <w:spacing w:line="276" w:lineRule="auto"/>
        <w:ind w:left="720" w:hanging="720"/>
        <w:rPr>
          <w:rFonts w:ascii="Proxima Nova" w:hAnsi="Proxima Nova" w:cstheme="minorHAnsi"/>
          <w:sz w:val="22"/>
          <w:szCs w:val="22"/>
          <w:lang w:val="en-AU"/>
        </w:rPr>
      </w:pPr>
      <w:r w:rsidRPr="00233EF8">
        <w:rPr>
          <w:rFonts w:ascii="Proxima Nova" w:hAnsi="Proxima Nova" w:cstheme="minorHAnsi"/>
          <w:sz w:val="22"/>
          <w:szCs w:val="22"/>
          <w:lang w:val="en-AU"/>
        </w:rPr>
        <w:t xml:space="preserve">For present purposes, intersectional analysis of </w:t>
      </w:r>
      <w:r w:rsidR="00F96F21" w:rsidRPr="00233EF8">
        <w:rPr>
          <w:rFonts w:ascii="Proxima Nova" w:hAnsi="Proxima Nova" w:cstheme="minorHAnsi"/>
          <w:sz w:val="22"/>
          <w:szCs w:val="22"/>
          <w:lang w:val="en-AU"/>
        </w:rPr>
        <w:t xml:space="preserve">the use of </w:t>
      </w:r>
      <w:r w:rsidRPr="00233EF8">
        <w:rPr>
          <w:rFonts w:ascii="Proxima Nova" w:hAnsi="Proxima Nova" w:cstheme="minorHAnsi"/>
          <w:sz w:val="22"/>
          <w:szCs w:val="22"/>
          <w:lang w:val="en-AU"/>
        </w:rPr>
        <w:t xml:space="preserve">restrictive practices </w:t>
      </w:r>
      <w:r w:rsidR="00F96F21" w:rsidRPr="00233EF8">
        <w:rPr>
          <w:rFonts w:ascii="Proxima Nova" w:hAnsi="Proxima Nova" w:cstheme="minorHAnsi"/>
          <w:sz w:val="22"/>
          <w:szCs w:val="22"/>
          <w:lang w:val="en-AU"/>
        </w:rPr>
        <w:t>on</w:t>
      </w:r>
      <w:r w:rsidRPr="00233EF8">
        <w:rPr>
          <w:rFonts w:ascii="Proxima Nova" w:hAnsi="Proxima Nova" w:cstheme="minorHAnsi"/>
          <w:sz w:val="22"/>
          <w:szCs w:val="22"/>
          <w:lang w:val="en-AU"/>
        </w:rPr>
        <w:t xml:space="preserve"> women and girls with disability is particularly useful in </w:t>
      </w:r>
      <w:r w:rsidR="00B548B7" w:rsidRPr="00233EF8">
        <w:rPr>
          <w:rFonts w:ascii="Proxima Nova" w:hAnsi="Proxima Nova" w:cstheme="minorHAnsi"/>
          <w:sz w:val="22"/>
          <w:szCs w:val="22"/>
          <w:lang w:val="en-AU"/>
        </w:rPr>
        <w:t>three</w:t>
      </w:r>
      <w:r w:rsidRPr="00233EF8">
        <w:rPr>
          <w:rFonts w:ascii="Proxima Nova" w:hAnsi="Proxima Nova" w:cstheme="minorHAnsi"/>
          <w:sz w:val="22"/>
          <w:szCs w:val="22"/>
          <w:lang w:val="en-AU"/>
        </w:rPr>
        <w:t xml:space="preserve"> ways. First, it focuses on women and girls’ exposure to and experiences of restrictive practices in </w:t>
      </w:r>
      <w:r w:rsidR="00F96F21" w:rsidRPr="00233EF8">
        <w:rPr>
          <w:rFonts w:ascii="Proxima Nova" w:hAnsi="Proxima Nova" w:cstheme="minorHAnsi"/>
          <w:sz w:val="22"/>
          <w:szCs w:val="22"/>
          <w:lang w:val="en-AU"/>
        </w:rPr>
        <w:t xml:space="preserve">the context of </w:t>
      </w:r>
      <w:r w:rsidRPr="00233EF8">
        <w:rPr>
          <w:rFonts w:ascii="Proxima Nova" w:hAnsi="Proxima Nova" w:cstheme="minorHAnsi"/>
          <w:sz w:val="22"/>
          <w:szCs w:val="22"/>
          <w:lang w:val="en-AU"/>
        </w:rPr>
        <w:t xml:space="preserve">relationships between ableism and other systems of oppression such as sexism, racism and classism. </w:t>
      </w:r>
      <w:r w:rsidR="008B4BEB" w:rsidRPr="00233EF8">
        <w:rPr>
          <w:rFonts w:ascii="Proxima Nova" w:hAnsi="Proxima Nova" w:cstheme="minorHAnsi"/>
          <w:sz w:val="22"/>
          <w:szCs w:val="22"/>
          <w:bdr w:val="none" w:sz="0" w:space="0" w:color="auto" w:frame="1"/>
        </w:rPr>
        <w:t>W</w:t>
      </w:r>
      <w:r w:rsidRPr="00233EF8">
        <w:rPr>
          <w:rFonts w:ascii="Proxima Nova" w:hAnsi="Proxima Nova" w:cstheme="minorHAnsi"/>
          <w:sz w:val="22"/>
          <w:szCs w:val="22"/>
          <w:bdr w:val="none" w:sz="0" w:space="0" w:color="auto" w:frame="1"/>
        </w:rPr>
        <w:t>omen and girls</w:t>
      </w:r>
      <w:r w:rsidR="008B4BEB" w:rsidRPr="00233EF8">
        <w:rPr>
          <w:rFonts w:ascii="Proxima Nova" w:hAnsi="Proxima Nova" w:cstheme="minorHAnsi"/>
          <w:sz w:val="22"/>
          <w:szCs w:val="22"/>
          <w:bdr w:val="none" w:sz="0" w:space="0" w:color="auto" w:frame="1"/>
        </w:rPr>
        <w:t xml:space="preserve"> with disability</w:t>
      </w:r>
      <w:r w:rsidRPr="00233EF8">
        <w:rPr>
          <w:rFonts w:ascii="Proxima Nova" w:hAnsi="Proxima Nova" w:cstheme="minorHAnsi"/>
          <w:sz w:val="22"/>
          <w:szCs w:val="22"/>
          <w:bdr w:val="none" w:sz="0" w:space="0" w:color="auto" w:frame="1"/>
        </w:rPr>
        <w:t xml:space="preserve"> who fit normative ideals of the responsible disabled subject who is trying to overcome their disability and contribute to society (or at least not using so much public resources) might be less exposed to restrictive practices. In contrast, others (e.g. who are criminalised, poor, drug users, racialised or Indigenous) might be more exposed to restrictive practices because they are seen as having </w:t>
      </w:r>
      <w:r w:rsidRPr="00233EF8">
        <w:rPr>
          <w:rFonts w:ascii="Proxima Nova" w:hAnsi="Proxima Nova" w:cstheme="minorHAnsi"/>
          <w:sz w:val="22"/>
          <w:szCs w:val="22"/>
        </w:rPr>
        <w:t>‘transgressive’ or ‘non-normative’ forms of disability</w:t>
      </w:r>
      <w:r w:rsidRPr="00233EF8">
        <w:rPr>
          <w:rStyle w:val="EndnoteReference"/>
          <w:rFonts w:ascii="Proxima Nova" w:hAnsi="Proxima Nova" w:cstheme="minorHAnsi"/>
          <w:sz w:val="22"/>
          <w:szCs w:val="22"/>
        </w:rPr>
        <w:endnoteReference w:id="211"/>
      </w:r>
      <w:r w:rsidRPr="00233EF8">
        <w:rPr>
          <w:rFonts w:ascii="Proxima Nova" w:hAnsi="Proxima Nova" w:cstheme="minorHAnsi"/>
          <w:sz w:val="22"/>
          <w:szCs w:val="22"/>
        </w:rPr>
        <w:t xml:space="preserve"> ‘that do not fit into the neat packages of a highly mobile, young, wheelchair user working to be independently productive, are easily dismissed as not truly deserving of benefits or accommodations.’</w:t>
      </w:r>
      <w:r w:rsidRPr="00233EF8">
        <w:rPr>
          <w:rStyle w:val="EndnoteReference"/>
          <w:rFonts w:ascii="Proxima Nova" w:hAnsi="Proxima Nova" w:cstheme="minorHAnsi"/>
          <w:sz w:val="22"/>
          <w:szCs w:val="22"/>
        </w:rPr>
        <w:endnoteReference w:id="212"/>
      </w:r>
      <w:r w:rsidRPr="00233EF8">
        <w:rPr>
          <w:rFonts w:ascii="Proxima Nova" w:hAnsi="Proxima Nova" w:cstheme="minorHAnsi"/>
          <w:sz w:val="22"/>
          <w:szCs w:val="22"/>
        </w:rPr>
        <w:t xml:space="preserve"> Judgements about ‘challenging behaviour’ and ‘behaviours of concern’, and economic efficiency in care, will be informed by </w:t>
      </w:r>
      <w:r w:rsidR="008B4BEB" w:rsidRPr="00233EF8">
        <w:rPr>
          <w:rFonts w:ascii="Proxima Nova" w:hAnsi="Proxima Nova" w:cstheme="minorHAnsi"/>
          <w:sz w:val="22"/>
          <w:szCs w:val="22"/>
        </w:rPr>
        <w:t>an individual’s disability</w:t>
      </w:r>
      <w:r w:rsidRPr="00233EF8">
        <w:rPr>
          <w:rFonts w:ascii="Proxima Nova" w:hAnsi="Proxima Nova" w:cstheme="minorHAnsi"/>
          <w:sz w:val="22"/>
          <w:szCs w:val="22"/>
        </w:rPr>
        <w:t xml:space="preserve">, </w:t>
      </w:r>
      <w:r w:rsidR="008B4BEB" w:rsidRPr="00233EF8">
        <w:rPr>
          <w:rFonts w:ascii="Proxima Nova" w:hAnsi="Proxima Nova" w:cstheme="minorHAnsi"/>
          <w:sz w:val="22"/>
          <w:szCs w:val="22"/>
        </w:rPr>
        <w:t xml:space="preserve">as well as </w:t>
      </w:r>
      <w:r w:rsidRPr="00233EF8">
        <w:rPr>
          <w:rFonts w:ascii="Proxima Nova" w:hAnsi="Proxima Nova" w:cstheme="minorHAnsi"/>
          <w:sz w:val="22"/>
          <w:szCs w:val="22"/>
        </w:rPr>
        <w:t>whether their disability is meeting normative expectations of disability</w:t>
      </w:r>
      <w:r w:rsidR="00F96F21" w:rsidRPr="00233EF8">
        <w:rPr>
          <w:rFonts w:ascii="Proxima Nova" w:hAnsi="Proxima Nova" w:cstheme="minorHAnsi"/>
          <w:sz w:val="22"/>
          <w:szCs w:val="22"/>
        </w:rPr>
        <w:t xml:space="preserve"> and how much their care, wellbeing and lives are worth as against the</w:t>
      </w:r>
      <w:r w:rsidR="008B4BEB" w:rsidRPr="00233EF8">
        <w:rPr>
          <w:rFonts w:ascii="Proxima Nova" w:hAnsi="Proxima Nova" w:cstheme="minorHAnsi"/>
          <w:sz w:val="22"/>
          <w:szCs w:val="22"/>
        </w:rPr>
        <w:t xml:space="preserve"> care, wellbeing and lives of other individuals with disability and maximising</w:t>
      </w:r>
      <w:r w:rsidR="00F96F21" w:rsidRPr="00233EF8">
        <w:rPr>
          <w:rFonts w:ascii="Proxima Nova" w:hAnsi="Proxima Nova" w:cstheme="minorHAnsi"/>
          <w:sz w:val="22"/>
          <w:szCs w:val="22"/>
        </w:rPr>
        <w:t xml:space="preserve"> profit and financial sustainability of services</w:t>
      </w:r>
      <w:r w:rsidRPr="00233EF8">
        <w:rPr>
          <w:rFonts w:ascii="Proxima Nova" w:hAnsi="Proxima Nova" w:cstheme="minorHAnsi"/>
          <w:sz w:val="22"/>
          <w:szCs w:val="22"/>
        </w:rPr>
        <w:t>.</w:t>
      </w:r>
      <w:r w:rsidR="00306CC4" w:rsidRPr="00233EF8">
        <w:rPr>
          <w:rFonts w:ascii="Proxima Nova" w:hAnsi="Proxima Nova" w:cstheme="minorHAnsi"/>
          <w:sz w:val="22"/>
          <w:szCs w:val="22"/>
        </w:rPr>
        <w:t xml:space="preserve"> </w:t>
      </w:r>
      <w:r w:rsidR="00E50432" w:rsidRPr="00233EF8">
        <w:rPr>
          <w:rFonts w:ascii="Proxima Nova" w:hAnsi="Proxima Nova" w:cstheme="minorHAnsi"/>
          <w:sz w:val="22"/>
          <w:szCs w:val="22"/>
        </w:rPr>
        <w:t>In</w:t>
      </w:r>
      <w:r w:rsidR="00E50432" w:rsidRPr="00233EF8">
        <w:rPr>
          <w:rFonts w:ascii="Proxima Nova" w:hAnsi="Proxima Nova" w:cstheme="minorHAnsi"/>
          <w:sz w:val="22"/>
          <w:szCs w:val="22"/>
          <w:lang w:val="en-AU"/>
        </w:rPr>
        <w:t>tersectionality</w:t>
      </w:r>
      <w:r w:rsidRPr="00233EF8">
        <w:rPr>
          <w:rFonts w:ascii="Proxima Nova" w:hAnsi="Proxima Nova" w:cstheme="minorHAnsi"/>
          <w:sz w:val="22"/>
          <w:szCs w:val="22"/>
          <w:lang w:val="en-AU"/>
        </w:rPr>
        <w:t xml:space="preserve"> situates these </w:t>
      </w:r>
      <w:r w:rsidR="00306CC4" w:rsidRPr="00233EF8">
        <w:rPr>
          <w:rFonts w:ascii="Proxima Nova" w:hAnsi="Proxima Nova" w:cstheme="minorHAnsi"/>
          <w:sz w:val="22"/>
          <w:szCs w:val="22"/>
          <w:lang w:val="en-AU"/>
        </w:rPr>
        <w:t xml:space="preserve">judgements </w:t>
      </w:r>
      <w:r w:rsidRPr="00233EF8">
        <w:rPr>
          <w:rFonts w:ascii="Proxima Nova" w:hAnsi="Proxima Nova" w:cstheme="minorHAnsi"/>
          <w:sz w:val="22"/>
          <w:szCs w:val="22"/>
          <w:lang w:val="en-AU"/>
        </w:rPr>
        <w:t>in the specific social and historical contexts of Australia, including eugenics, settler colonialism and neoliberalism</w:t>
      </w:r>
      <w:r w:rsidR="00306CC4" w:rsidRPr="00233EF8">
        <w:rPr>
          <w:rFonts w:ascii="Proxima Nova" w:hAnsi="Proxima Nova" w:cstheme="minorHAnsi"/>
          <w:sz w:val="22"/>
          <w:szCs w:val="22"/>
          <w:lang w:val="en-AU"/>
        </w:rPr>
        <w:t xml:space="preserve"> and thus invites a finer level of discrimination in determining the relative significance of </w:t>
      </w:r>
      <w:r w:rsidR="00306CC4" w:rsidRPr="00233EF8">
        <w:rPr>
          <w:rFonts w:ascii="Proxima Nova" w:hAnsi="Proxima Nova" w:cstheme="minorHAnsi"/>
          <w:sz w:val="22"/>
          <w:szCs w:val="22"/>
        </w:rPr>
        <w:t xml:space="preserve">care, wellbeing and lives of different categories in the disability community, such as </w:t>
      </w:r>
      <w:r w:rsidRPr="00233EF8">
        <w:rPr>
          <w:rFonts w:ascii="Proxima Nova" w:hAnsi="Proxima Nova" w:cstheme="minorHAnsi"/>
          <w:sz w:val="22"/>
          <w:szCs w:val="22"/>
          <w:lang w:val="en-AU"/>
        </w:rPr>
        <w:t>First Nations</w:t>
      </w:r>
      <w:r w:rsidR="00306CC4" w:rsidRPr="00233EF8">
        <w:rPr>
          <w:rFonts w:ascii="Proxima Nova" w:hAnsi="Proxima Nova" w:cstheme="minorHAnsi"/>
          <w:sz w:val="22"/>
          <w:szCs w:val="22"/>
          <w:lang w:val="en-AU"/>
        </w:rPr>
        <w:t>,</w:t>
      </w:r>
      <w:r w:rsidRPr="00233EF8">
        <w:rPr>
          <w:rFonts w:ascii="Proxima Nova" w:hAnsi="Proxima Nova" w:cstheme="minorHAnsi"/>
          <w:sz w:val="22"/>
          <w:szCs w:val="22"/>
          <w:lang w:val="en-AU"/>
        </w:rPr>
        <w:t xml:space="preserve"> racialised </w:t>
      </w:r>
      <w:r w:rsidR="00306CC4" w:rsidRPr="00233EF8">
        <w:rPr>
          <w:rFonts w:ascii="Proxima Nova" w:hAnsi="Proxima Nova" w:cstheme="minorHAnsi"/>
          <w:sz w:val="22"/>
          <w:szCs w:val="22"/>
          <w:lang w:val="en-AU"/>
        </w:rPr>
        <w:t xml:space="preserve">and poor </w:t>
      </w:r>
      <w:r w:rsidRPr="00233EF8">
        <w:rPr>
          <w:rFonts w:ascii="Proxima Nova" w:hAnsi="Proxima Nova" w:cstheme="minorHAnsi"/>
          <w:sz w:val="22"/>
          <w:szCs w:val="22"/>
          <w:lang w:val="en-AU"/>
        </w:rPr>
        <w:t>women and girls</w:t>
      </w:r>
      <w:r w:rsidR="00306CC4" w:rsidRPr="00233EF8">
        <w:rPr>
          <w:rFonts w:ascii="Proxima Nova" w:hAnsi="Proxima Nova" w:cstheme="minorHAnsi"/>
          <w:sz w:val="22"/>
          <w:szCs w:val="22"/>
          <w:lang w:val="en-AU"/>
        </w:rPr>
        <w:t xml:space="preserve"> with disability</w:t>
      </w:r>
      <w:r w:rsidRPr="00233EF8">
        <w:rPr>
          <w:rFonts w:ascii="Proxima Nova" w:hAnsi="Proxima Nova" w:cstheme="minorHAnsi"/>
          <w:sz w:val="22"/>
          <w:szCs w:val="22"/>
          <w:lang w:val="en-AU"/>
        </w:rPr>
        <w:t xml:space="preserve">. </w:t>
      </w:r>
      <w:r w:rsidR="008B4BEB" w:rsidRPr="00233EF8">
        <w:rPr>
          <w:rFonts w:ascii="Proxima Nova" w:hAnsi="Proxima Nova" w:cstheme="minorHAnsi"/>
          <w:sz w:val="22"/>
          <w:szCs w:val="22"/>
          <w:lang w:val="en-AU"/>
        </w:rPr>
        <w:t xml:space="preserve">This was noted by Uncle </w:t>
      </w:r>
      <w:r w:rsidR="008B4BEB" w:rsidRPr="00233EF8">
        <w:rPr>
          <w:rStyle w:val="apple-converted-space"/>
          <w:rFonts w:ascii="Proxima Nova" w:hAnsi="Proxima Nova"/>
          <w:color w:val="000000"/>
          <w:sz w:val="22"/>
          <w:szCs w:val="22"/>
          <w:shd w:val="clear" w:color="auto" w:fill="FFFFFF"/>
        </w:rPr>
        <w:t>Lester Bostock in the context of ‘double disadvantage’</w:t>
      </w:r>
      <w:r w:rsidR="008B4BEB" w:rsidRPr="00233EF8">
        <w:rPr>
          <w:rStyle w:val="EndnoteReference"/>
          <w:rFonts w:ascii="Proxima Nova" w:hAnsi="Proxima Nova"/>
          <w:color w:val="000000"/>
          <w:sz w:val="22"/>
          <w:szCs w:val="22"/>
          <w:shd w:val="clear" w:color="auto" w:fill="FFFFFF"/>
        </w:rPr>
        <w:endnoteReference w:id="213"/>
      </w:r>
      <w:r w:rsidR="00BF579D" w:rsidRPr="00233EF8">
        <w:rPr>
          <w:rStyle w:val="apple-converted-space"/>
          <w:rFonts w:ascii="Proxima Nova" w:hAnsi="Proxima Nova"/>
          <w:color w:val="000000"/>
          <w:sz w:val="22"/>
          <w:szCs w:val="22"/>
          <w:shd w:val="clear" w:color="auto" w:fill="FFFFFF"/>
        </w:rPr>
        <w:t xml:space="preserve"> and in Scott Avery’s work on intersectionality and First Nations people with disability.</w:t>
      </w:r>
      <w:r w:rsidR="00BF579D" w:rsidRPr="00233EF8">
        <w:rPr>
          <w:rStyle w:val="EndnoteReference"/>
          <w:rFonts w:ascii="Proxima Nova" w:hAnsi="Proxima Nova"/>
          <w:color w:val="000000"/>
          <w:sz w:val="22"/>
          <w:szCs w:val="22"/>
          <w:shd w:val="clear" w:color="auto" w:fill="FFFFFF"/>
        </w:rPr>
        <w:endnoteReference w:id="214"/>
      </w:r>
    </w:p>
    <w:p w14:paraId="1B7796CF" w14:textId="77777777" w:rsidR="00306CC4" w:rsidRPr="00233EF8" w:rsidRDefault="00306CC4" w:rsidP="00233EF8">
      <w:pPr>
        <w:pStyle w:val="ListParagraph"/>
        <w:spacing w:line="276" w:lineRule="auto"/>
        <w:ind w:hanging="720"/>
        <w:rPr>
          <w:rFonts w:ascii="Proxima Nova" w:hAnsi="Proxima Nova" w:cstheme="minorHAnsi"/>
          <w:sz w:val="22"/>
          <w:szCs w:val="22"/>
          <w:lang w:val="en-AU"/>
        </w:rPr>
      </w:pPr>
    </w:p>
    <w:p w14:paraId="0A89C661" w14:textId="1DF9EC10" w:rsidR="00B548B7" w:rsidRPr="00233EF8" w:rsidRDefault="00B548B7" w:rsidP="00233EF8">
      <w:pPr>
        <w:pStyle w:val="ListParagraph"/>
        <w:numPr>
          <w:ilvl w:val="1"/>
          <w:numId w:val="28"/>
        </w:numPr>
        <w:autoSpaceDE w:val="0"/>
        <w:autoSpaceDN w:val="0"/>
        <w:adjustRightInd w:val="0"/>
        <w:spacing w:line="276" w:lineRule="auto"/>
        <w:ind w:left="720" w:hanging="720"/>
        <w:rPr>
          <w:rFonts w:ascii="Proxima Nova" w:hAnsi="Proxima Nova" w:cstheme="minorHAnsi"/>
          <w:sz w:val="22"/>
          <w:szCs w:val="22"/>
          <w:lang w:val="en-AU"/>
        </w:rPr>
      </w:pPr>
      <w:r w:rsidRPr="00233EF8">
        <w:rPr>
          <w:rFonts w:ascii="Proxima Nova" w:hAnsi="Proxima Nova" w:cstheme="minorHAnsi"/>
          <w:sz w:val="22"/>
          <w:szCs w:val="22"/>
          <w:lang w:val="en-AU"/>
        </w:rPr>
        <w:t xml:space="preserve">Second, given the particular focus </w:t>
      </w:r>
      <w:r w:rsidR="00640D22" w:rsidRPr="00233EF8">
        <w:rPr>
          <w:rFonts w:ascii="Proxima Nova" w:hAnsi="Proxima Nova" w:cstheme="minorHAnsi"/>
          <w:sz w:val="22"/>
          <w:szCs w:val="22"/>
          <w:lang w:val="en-AU"/>
        </w:rPr>
        <w:t xml:space="preserve">in settler colonialism and eugenics </w:t>
      </w:r>
      <w:r w:rsidRPr="00233EF8">
        <w:rPr>
          <w:rFonts w:ascii="Proxima Nova" w:hAnsi="Proxima Nova" w:cstheme="minorHAnsi"/>
          <w:sz w:val="22"/>
          <w:szCs w:val="22"/>
          <w:lang w:val="en-AU"/>
        </w:rPr>
        <w:t>on</w:t>
      </w:r>
      <w:r w:rsidR="00640D22" w:rsidRPr="00233EF8">
        <w:rPr>
          <w:rFonts w:ascii="Proxima Nova" w:hAnsi="Proxima Nova" w:cstheme="minorHAnsi"/>
          <w:sz w:val="22"/>
          <w:szCs w:val="22"/>
          <w:lang w:val="en-AU"/>
        </w:rPr>
        <w:t xml:space="preserve"> the role of</w:t>
      </w:r>
      <w:r w:rsidRPr="00233EF8">
        <w:rPr>
          <w:rFonts w:ascii="Proxima Nova" w:hAnsi="Proxima Nova" w:cstheme="minorHAnsi"/>
          <w:sz w:val="22"/>
          <w:szCs w:val="22"/>
          <w:lang w:val="en-AU"/>
        </w:rPr>
        <w:t xml:space="preserve"> women’s reproduction</w:t>
      </w:r>
      <w:r w:rsidR="00640D22" w:rsidRPr="00233EF8">
        <w:rPr>
          <w:rFonts w:ascii="Proxima Nova" w:hAnsi="Proxima Nova" w:cstheme="minorHAnsi"/>
          <w:sz w:val="22"/>
          <w:szCs w:val="22"/>
          <w:lang w:val="en-AU"/>
        </w:rPr>
        <w:t xml:space="preserve"> to the fitness of the nation</w:t>
      </w:r>
      <w:r w:rsidRPr="00233EF8">
        <w:rPr>
          <w:rFonts w:ascii="Proxima Nova" w:hAnsi="Proxima Nova" w:cstheme="minorHAnsi"/>
          <w:sz w:val="22"/>
          <w:szCs w:val="22"/>
          <w:lang w:val="en-AU"/>
        </w:rPr>
        <w:t xml:space="preserve">, intersectionality focuses our attention on the </w:t>
      </w:r>
      <w:r w:rsidR="00640D22" w:rsidRPr="00233EF8">
        <w:rPr>
          <w:rFonts w:ascii="Proxima Nova" w:hAnsi="Proxima Nova" w:cstheme="minorHAnsi"/>
          <w:sz w:val="22"/>
          <w:szCs w:val="22"/>
          <w:lang w:val="en-AU"/>
        </w:rPr>
        <w:t>particular concern with women’s sexuality and reproduction in r</w:t>
      </w:r>
      <w:r w:rsidRPr="00233EF8">
        <w:rPr>
          <w:rFonts w:ascii="Proxima Nova" w:hAnsi="Proxima Nova" w:cstheme="minorHAnsi"/>
          <w:sz w:val="22"/>
          <w:szCs w:val="22"/>
          <w:lang w:val="en-AU"/>
        </w:rPr>
        <w:t>estrictive practices related to women and girls</w:t>
      </w:r>
      <w:r w:rsidR="00640D22" w:rsidRPr="00233EF8">
        <w:rPr>
          <w:rFonts w:ascii="Proxima Nova" w:hAnsi="Proxima Nova" w:cstheme="minorHAnsi"/>
          <w:sz w:val="22"/>
          <w:szCs w:val="22"/>
          <w:lang w:val="en-AU"/>
        </w:rPr>
        <w:t xml:space="preserve"> with disability</w:t>
      </w:r>
      <w:r w:rsidRPr="00233EF8">
        <w:rPr>
          <w:rFonts w:ascii="Proxima Nova" w:hAnsi="Proxima Nova" w:cstheme="minorHAnsi"/>
          <w:sz w:val="22"/>
          <w:szCs w:val="22"/>
          <w:lang w:val="en-AU"/>
        </w:rPr>
        <w:t xml:space="preserve"> (</w:t>
      </w:r>
      <w:proofErr w:type="gramStart"/>
      <w:r w:rsidRPr="00233EF8">
        <w:rPr>
          <w:rFonts w:ascii="Proxima Nova" w:hAnsi="Proxima Nova" w:cstheme="minorHAnsi"/>
          <w:sz w:val="22"/>
          <w:szCs w:val="22"/>
          <w:lang w:val="en-AU"/>
        </w:rPr>
        <w:t>e.g.</w:t>
      </w:r>
      <w:proofErr w:type="gramEnd"/>
      <w:r w:rsidRPr="00233EF8">
        <w:rPr>
          <w:rFonts w:ascii="Proxima Nova" w:hAnsi="Proxima Nova" w:cstheme="minorHAnsi"/>
          <w:sz w:val="22"/>
          <w:szCs w:val="22"/>
          <w:lang w:val="en-AU"/>
        </w:rPr>
        <w:t xml:space="preserve"> sterilisation, </w:t>
      </w:r>
      <w:r w:rsidR="00640D22" w:rsidRPr="00233EF8">
        <w:rPr>
          <w:rFonts w:ascii="Proxima Nova" w:hAnsi="Proxima Nova" w:cstheme="minorHAnsi"/>
          <w:sz w:val="22"/>
          <w:szCs w:val="22"/>
          <w:lang w:val="en-AU"/>
        </w:rPr>
        <w:t xml:space="preserve">contraception </w:t>
      </w:r>
      <w:r w:rsidRPr="00233EF8">
        <w:rPr>
          <w:rFonts w:ascii="Proxima Nova" w:hAnsi="Proxima Nova" w:cstheme="minorHAnsi"/>
          <w:sz w:val="22"/>
          <w:szCs w:val="22"/>
          <w:lang w:val="en-AU"/>
        </w:rPr>
        <w:t>forced child removal)</w:t>
      </w:r>
      <w:r w:rsidR="00640D22" w:rsidRPr="00233EF8">
        <w:rPr>
          <w:rFonts w:ascii="Proxima Nova" w:hAnsi="Proxima Nova" w:cstheme="minorHAnsi"/>
          <w:sz w:val="22"/>
          <w:szCs w:val="22"/>
          <w:lang w:val="en-AU"/>
        </w:rPr>
        <w:t>.</w:t>
      </w:r>
      <w:r w:rsidR="00FE1FFE" w:rsidRPr="00233EF8">
        <w:rPr>
          <w:rFonts w:ascii="Proxima Nova" w:hAnsi="Proxima Nova" w:cstheme="minorHAnsi"/>
          <w:sz w:val="22"/>
          <w:szCs w:val="22"/>
          <w:lang w:val="en-AU"/>
        </w:rPr>
        <w:t xml:space="preserve"> The use of </w:t>
      </w:r>
      <w:r w:rsidR="00A8625E" w:rsidRPr="00233EF8">
        <w:rPr>
          <w:rFonts w:ascii="Proxima Nova" w:hAnsi="Proxima Nova"/>
          <w:sz w:val="22"/>
          <w:szCs w:val="22"/>
        </w:rPr>
        <w:t>restrictive</w:t>
      </w:r>
      <w:r w:rsidR="00FE1FFE" w:rsidRPr="00233EF8">
        <w:rPr>
          <w:rFonts w:ascii="Proxima Nova" w:hAnsi="Proxima Nova"/>
          <w:sz w:val="22"/>
          <w:szCs w:val="22"/>
        </w:rPr>
        <w:t xml:space="preserve"> practices on women and girls with disability, particularly sterilisation and contraception, is often understood against a historical backdrop of eugenics (</w:t>
      </w:r>
      <w:proofErr w:type="gramStart"/>
      <w:r w:rsidR="00FE1FFE" w:rsidRPr="00233EF8">
        <w:rPr>
          <w:rFonts w:ascii="Proxima Nova" w:hAnsi="Proxima Nova"/>
          <w:sz w:val="22"/>
          <w:szCs w:val="22"/>
        </w:rPr>
        <w:t>e.g.</w:t>
      </w:r>
      <w:proofErr w:type="gramEnd"/>
      <w:r w:rsidR="00FE1FFE" w:rsidRPr="00233EF8">
        <w:rPr>
          <w:rFonts w:ascii="Proxima Nova" w:hAnsi="Proxima Nova"/>
          <w:sz w:val="22"/>
          <w:szCs w:val="22"/>
        </w:rPr>
        <w:t xml:space="preserve"> sterilisation and Buck v Bell)</w:t>
      </w:r>
      <w:r w:rsidR="008B4BEB" w:rsidRPr="00233EF8">
        <w:rPr>
          <w:rFonts w:ascii="Proxima Nova" w:hAnsi="Proxima Nova"/>
          <w:sz w:val="22"/>
          <w:szCs w:val="22"/>
        </w:rPr>
        <w:t>, with the modern, individualised legal regulatory approach favourably contrasted to mass legislative historical approach</w:t>
      </w:r>
      <w:r w:rsidR="00FE1FFE" w:rsidRPr="00233EF8">
        <w:rPr>
          <w:rFonts w:ascii="Proxima Nova" w:hAnsi="Proxima Nova"/>
          <w:sz w:val="22"/>
          <w:szCs w:val="22"/>
        </w:rPr>
        <w:t xml:space="preserve">. However, it is vital to consider </w:t>
      </w:r>
      <w:r w:rsidR="00FE1FFE" w:rsidRPr="00233EF8">
        <w:rPr>
          <w:rFonts w:ascii="Proxima Nova" w:hAnsi="Proxima Nova"/>
          <w:sz w:val="22"/>
          <w:szCs w:val="22"/>
        </w:rPr>
        <w:lastRenderedPageBreak/>
        <w:t>eugenics not as a historical, timebound period but rather as a logic that persists in contemporary restrictive practices.</w:t>
      </w:r>
      <w:r w:rsidR="00FE1FFE" w:rsidRPr="00233EF8">
        <w:rPr>
          <w:rStyle w:val="EndnoteReference"/>
          <w:rFonts w:ascii="Proxima Nova" w:hAnsi="Proxima Nova"/>
          <w:sz w:val="22"/>
          <w:szCs w:val="22"/>
        </w:rPr>
        <w:endnoteReference w:id="215"/>
      </w:r>
      <w:r w:rsidR="00FE1FFE" w:rsidRPr="00233EF8">
        <w:rPr>
          <w:rFonts w:ascii="Proxima Nova" w:hAnsi="Proxima Nova"/>
          <w:sz w:val="22"/>
          <w:szCs w:val="22"/>
        </w:rPr>
        <w:t xml:space="preserve"> For example, </w:t>
      </w:r>
      <w:r w:rsidR="00B54F8C" w:rsidRPr="00233EF8">
        <w:rPr>
          <w:rFonts w:ascii="Proxima Nova" w:hAnsi="Proxima Nova"/>
          <w:sz w:val="22"/>
          <w:szCs w:val="22"/>
        </w:rPr>
        <w:t xml:space="preserve">sterilisation and contraception of women and girls with disability, abortion and </w:t>
      </w:r>
      <w:r w:rsidR="00FE1FFE" w:rsidRPr="00233EF8">
        <w:rPr>
          <w:rFonts w:ascii="Proxima Nova" w:hAnsi="Proxima Nova"/>
          <w:sz w:val="22"/>
          <w:szCs w:val="22"/>
        </w:rPr>
        <w:t>forced removal of children from women with d</w:t>
      </w:r>
      <w:r w:rsidR="00B54F8C" w:rsidRPr="00233EF8">
        <w:rPr>
          <w:rFonts w:ascii="Proxima Nova" w:hAnsi="Proxima Nova"/>
          <w:sz w:val="22"/>
          <w:szCs w:val="22"/>
        </w:rPr>
        <w:t>isability reflect</w:t>
      </w:r>
      <w:r w:rsidR="00FE1FFE" w:rsidRPr="00233EF8">
        <w:rPr>
          <w:rFonts w:ascii="Proxima Nova" w:hAnsi="Proxima Nova"/>
          <w:sz w:val="22"/>
          <w:szCs w:val="22"/>
        </w:rPr>
        <w:t xml:space="preserve"> assumptions </w:t>
      </w:r>
      <w:r w:rsidR="008B4BEB" w:rsidRPr="00233EF8">
        <w:rPr>
          <w:rFonts w:ascii="Proxima Nova" w:hAnsi="Proxima Nova"/>
          <w:sz w:val="22"/>
          <w:szCs w:val="22"/>
        </w:rPr>
        <w:t xml:space="preserve">that </w:t>
      </w:r>
      <w:r w:rsidR="00FE1FFE" w:rsidRPr="00233EF8">
        <w:rPr>
          <w:rFonts w:ascii="Proxima Nova" w:hAnsi="Proxima Nova"/>
          <w:sz w:val="22"/>
          <w:szCs w:val="22"/>
        </w:rPr>
        <w:t>women and girls w</w:t>
      </w:r>
      <w:r w:rsidR="00B54F8C" w:rsidRPr="00233EF8">
        <w:rPr>
          <w:rFonts w:ascii="Proxima Nova" w:hAnsi="Proxima Nova"/>
          <w:sz w:val="22"/>
          <w:szCs w:val="22"/>
        </w:rPr>
        <w:t xml:space="preserve">ith disability should not be sexually active or reproduce because they will be unfit parents and intervention is necessary to protect any children that are born and society at large from the purported intergenerational </w:t>
      </w:r>
      <w:r w:rsidR="00BF579D" w:rsidRPr="00233EF8">
        <w:rPr>
          <w:rFonts w:ascii="Proxima Nova" w:hAnsi="Proxima Nova"/>
          <w:sz w:val="22"/>
          <w:szCs w:val="22"/>
        </w:rPr>
        <w:t xml:space="preserve">biological or </w:t>
      </w:r>
      <w:r w:rsidR="00B54F8C" w:rsidRPr="00233EF8">
        <w:rPr>
          <w:rFonts w:ascii="Proxima Nova" w:hAnsi="Proxima Nova"/>
          <w:sz w:val="22"/>
          <w:szCs w:val="22"/>
        </w:rPr>
        <w:t>social transference of their disability</w:t>
      </w:r>
      <w:r w:rsidR="00FE1FFE" w:rsidRPr="00233EF8">
        <w:rPr>
          <w:rFonts w:ascii="Proxima Nova" w:hAnsi="Proxima Nova"/>
          <w:sz w:val="22"/>
          <w:szCs w:val="22"/>
        </w:rPr>
        <w:t>.</w:t>
      </w:r>
      <w:r w:rsidR="00D00BA7" w:rsidRPr="00233EF8">
        <w:rPr>
          <w:rFonts w:ascii="Proxima Nova" w:hAnsi="Proxima Nova"/>
          <w:sz w:val="22"/>
          <w:szCs w:val="22"/>
        </w:rPr>
        <w:t xml:space="preserve"> A further example is trivialising or </w:t>
      </w:r>
      <w:r w:rsidR="00BF579D" w:rsidRPr="00233EF8">
        <w:rPr>
          <w:rFonts w:ascii="Proxima Nova" w:hAnsi="Proxima Nova"/>
          <w:sz w:val="22"/>
          <w:szCs w:val="22"/>
        </w:rPr>
        <w:t>punishi</w:t>
      </w:r>
      <w:r w:rsidR="00D00BA7" w:rsidRPr="00233EF8">
        <w:rPr>
          <w:rFonts w:ascii="Proxima Nova" w:hAnsi="Proxima Nova"/>
          <w:sz w:val="22"/>
          <w:szCs w:val="22"/>
        </w:rPr>
        <w:t xml:space="preserve">ng the pain experienced by women and girls with disability, where instead of accessing medical advice and treatment for physical pain or trauma, women and girls with disability are subjected to interventions that </w:t>
      </w:r>
      <w:r w:rsidR="00945B00" w:rsidRPr="00233EF8">
        <w:rPr>
          <w:rFonts w:ascii="Proxima Nova" w:hAnsi="Proxima Nova"/>
          <w:sz w:val="22"/>
          <w:szCs w:val="22"/>
        </w:rPr>
        <w:t>approache</w:t>
      </w:r>
      <w:r w:rsidR="00D00BA7" w:rsidRPr="00233EF8">
        <w:rPr>
          <w:rFonts w:ascii="Proxima Nova" w:hAnsi="Proxima Nova"/>
          <w:sz w:val="22"/>
          <w:szCs w:val="22"/>
        </w:rPr>
        <w:t>s their expressions of distress and discomfort as a</w:t>
      </w:r>
      <w:r w:rsidR="00945B00" w:rsidRPr="00233EF8">
        <w:rPr>
          <w:rFonts w:ascii="Proxima Nova" w:hAnsi="Proxima Nova"/>
          <w:sz w:val="22"/>
          <w:szCs w:val="22"/>
        </w:rPr>
        <w:t xml:space="preserve">n organisational inconvenience and </w:t>
      </w:r>
      <w:r w:rsidR="00D00BA7" w:rsidRPr="00233EF8">
        <w:rPr>
          <w:rFonts w:ascii="Proxima Nova" w:hAnsi="Proxima Nova"/>
          <w:sz w:val="22"/>
          <w:szCs w:val="22"/>
        </w:rPr>
        <w:t>problem</w:t>
      </w:r>
      <w:r w:rsidR="00945B00" w:rsidRPr="00233EF8">
        <w:rPr>
          <w:rFonts w:ascii="Proxima Nova" w:hAnsi="Proxima Nova"/>
          <w:sz w:val="22"/>
          <w:szCs w:val="22"/>
        </w:rPr>
        <w:t xml:space="preserve"> to control</w:t>
      </w:r>
      <w:r w:rsidR="00D00BA7" w:rsidRPr="00233EF8">
        <w:rPr>
          <w:rFonts w:ascii="Proxima Nova" w:hAnsi="Proxima Nova"/>
          <w:sz w:val="22"/>
          <w:szCs w:val="22"/>
        </w:rPr>
        <w:t>. Th</w:t>
      </w:r>
      <w:r w:rsidR="00945B00" w:rsidRPr="00233EF8">
        <w:rPr>
          <w:rFonts w:ascii="Proxima Nova" w:hAnsi="Proxima Nova"/>
          <w:sz w:val="22"/>
          <w:szCs w:val="22"/>
        </w:rPr>
        <w:t xml:space="preserve">e </w:t>
      </w:r>
      <w:r w:rsidR="00D00BA7" w:rsidRPr="00233EF8">
        <w:rPr>
          <w:rFonts w:ascii="Proxima Nova" w:hAnsi="Proxima Nova"/>
          <w:sz w:val="22"/>
          <w:szCs w:val="22"/>
        </w:rPr>
        <w:t xml:space="preserve">incomprehensibility of women and girls with disability </w:t>
      </w:r>
      <w:r w:rsidR="00945B00" w:rsidRPr="00233EF8">
        <w:rPr>
          <w:rFonts w:ascii="Proxima Nova" w:hAnsi="Proxima Nova"/>
          <w:sz w:val="22"/>
          <w:szCs w:val="22"/>
        </w:rPr>
        <w:t xml:space="preserve">experiencing pain speaks to their dehumanisation and </w:t>
      </w:r>
      <w:r w:rsidR="000150A1" w:rsidRPr="00233EF8">
        <w:rPr>
          <w:rFonts w:ascii="Proxima Nova" w:hAnsi="Proxima Nova"/>
          <w:sz w:val="22"/>
          <w:szCs w:val="22"/>
        </w:rPr>
        <w:t>the devaluing of their bodies and lives</w:t>
      </w:r>
      <w:r w:rsidR="00945B00" w:rsidRPr="00233EF8">
        <w:rPr>
          <w:rFonts w:ascii="Proxima Nova" w:hAnsi="Proxima Nova"/>
          <w:sz w:val="22"/>
          <w:szCs w:val="22"/>
        </w:rPr>
        <w:t>.</w:t>
      </w:r>
    </w:p>
    <w:p w14:paraId="629D335D" w14:textId="77777777" w:rsidR="00B548B7" w:rsidRPr="00233EF8" w:rsidRDefault="00B548B7" w:rsidP="00233EF8">
      <w:pPr>
        <w:autoSpaceDE w:val="0"/>
        <w:autoSpaceDN w:val="0"/>
        <w:adjustRightInd w:val="0"/>
        <w:spacing w:line="276" w:lineRule="auto"/>
        <w:ind w:left="720" w:hanging="720"/>
        <w:rPr>
          <w:rFonts w:ascii="Proxima Nova" w:hAnsi="Proxima Nova" w:cstheme="minorHAnsi"/>
          <w:sz w:val="22"/>
          <w:szCs w:val="22"/>
        </w:rPr>
      </w:pPr>
    </w:p>
    <w:p w14:paraId="66416594" w14:textId="4383B248" w:rsidR="00306CC4" w:rsidRPr="00233EF8" w:rsidRDefault="0083460E" w:rsidP="00233EF8">
      <w:pPr>
        <w:pStyle w:val="ListParagraph"/>
        <w:numPr>
          <w:ilvl w:val="1"/>
          <w:numId w:val="28"/>
        </w:numPr>
        <w:autoSpaceDE w:val="0"/>
        <w:autoSpaceDN w:val="0"/>
        <w:adjustRightInd w:val="0"/>
        <w:spacing w:line="276" w:lineRule="auto"/>
        <w:ind w:left="720" w:hanging="720"/>
        <w:rPr>
          <w:rFonts w:ascii="Proxima Nova" w:hAnsi="Proxima Nova" w:cstheme="minorHAnsi"/>
          <w:sz w:val="22"/>
          <w:szCs w:val="22"/>
          <w:lang w:val="en-AU"/>
        </w:rPr>
      </w:pPr>
      <w:r w:rsidRPr="00233EF8">
        <w:rPr>
          <w:rFonts w:ascii="Proxima Nova" w:hAnsi="Proxima Nova" w:cstheme="minorHAnsi"/>
          <w:sz w:val="22"/>
          <w:szCs w:val="22"/>
          <w:lang w:val="en-AU"/>
        </w:rPr>
        <w:t>Third, inte</w:t>
      </w:r>
      <w:r w:rsidR="00DB3807" w:rsidRPr="00233EF8">
        <w:rPr>
          <w:rFonts w:ascii="Proxima Nova" w:hAnsi="Proxima Nova" w:cstheme="minorHAnsi"/>
          <w:sz w:val="22"/>
          <w:szCs w:val="22"/>
          <w:lang w:val="en-AU"/>
        </w:rPr>
        <w:t>rsectionality highlights how prohibiting</w:t>
      </w:r>
      <w:r w:rsidRPr="00233EF8">
        <w:rPr>
          <w:rFonts w:ascii="Proxima Nova" w:hAnsi="Proxima Nova" w:cstheme="minorHAnsi"/>
          <w:sz w:val="22"/>
          <w:szCs w:val="22"/>
          <w:lang w:val="en-AU"/>
        </w:rPr>
        <w:t xml:space="preserve"> and redressing the violence of restrictive practices against women and girls with disability requires broader structural change. </w:t>
      </w:r>
    </w:p>
    <w:p w14:paraId="4AE0C517" w14:textId="77777777" w:rsidR="0083460E" w:rsidRPr="00233EF8" w:rsidRDefault="0083460E" w:rsidP="00233EF8">
      <w:pPr>
        <w:pStyle w:val="ListParagraph"/>
        <w:spacing w:line="276" w:lineRule="auto"/>
        <w:ind w:hanging="720"/>
        <w:rPr>
          <w:rFonts w:ascii="Proxima Nova" w:hAnsi="Proxima Nova" w:cstheme="minorHAnsi"/>
          <w:sz w:val="22"/>
          <w:szCs w:val="22"/>
        </w:rPr>
      </w:pPr>
    </w:p>
    <w:p w14:paraId="2BF5E54A" w14:textId="7EE75A5A" w:rsidR="0083460E" w:rsidRPr="00233EF8" w:rsidRDefault="0083460E" w:rsidP="00233EF8">
      <w:pPr>
        <w:pStyle w:val="ListParagraph"/>
        <w:numPr>
          <w:ilvl w:val="1"/>
          <w:numId w:val="28"/>
        </w:numPr>
        <w:autoSpaceDE w:val="0"/>
        <w:autoSpaceDN w:val="0"/>
        <w:adjustRightInd w:val="0"/>
        <w:spacing w:line="276" w:lineRule="auto"/>
        <w:ind w:left="720" w:hanging="720"/>
        <w:rPr>
          <w:rFonts w:ascii="Proxima Nova" w:hAnsi="Proxima Nova" w:cstheme="minorHAnsi"/>
          <w:sz w:val="22"/>
          <w:szCs w:val="22"/>
          <w:lang w:val="en-AU"/>
        </w:rPr>
      </w:pPr>
      <w:r w:rsidRPr="00233EF8">
        <w:rPr>
          <w:rFonts w:ascii="Proxima Nova" w:hAnsi="Proxima Nova" w:cstheme="minorHAnsi"/>
          <w:sz w:val="22"/>
          <w:szCs w:val="22"/>
          <w:lang w:val="en-AU"/>
        </w:rPr>
        <w:t xml:space="preserve">As well as considering interlocking oppression in relation to restrictive practices and the experiences of women and girls with disability, it is also important to consider how oppression shapes disablement itself, including the role of state violence, racism, and poverty in making some women and girls more likely to become disabled </w:t>
      </w:r>
      <w:r w:rsidR="00BF579D" w:rsidRPr="00233EF8">
        <w:rPr>
          <w:rFonts w:ascii="Proxima Nova" w:hAnsi="Proxima Nova" w:cstheme="minorHAnsi"/>
          <w:sz w:val="22"/>
          <w:szCs w:val="22"/>
          <w:lang w:val="en-AU"/>
        </w:rPr>
        <w:t xml:space="preserve">(including through restrictive practices) </w:t>
      </w:r>
      <w:r w:rsidRPr="00233EF8">
        <w:rPr>
          <w:rFonts w:ascii="Proxima Nova" w:hAnsi="Proxima Nova" w:cstheme="minorHAnsi"/>
          <w:sz w:val="22"/>
          <w:szCs w:val="22"/>
          <w:lang w:val="en-AU"/>
        </w:rPr>
        <w:t>and</w:t>
      </w:r>
      <w:r w:rsidR="00BF579D" w:rsidRPr="00233EF8">
        <w:rPr>
          <w:rFonts w:ascii="Proxima Nova" w:hAnsi="Proxima Nova" w:cstheme="minorHAnsi"/>
          <w:sz w:val="22"/>
          <w:szCs w:val="22"/>
          <w:lang w:val="en-AU"/>
        </w:rPr>
        <w:t xml:space="preserve">/or more likely to be </w:t>
      </w:r>
      <w:r w:rsidRPr="00233EF8">
        <w:rPr>
          <w:rFonts w:ascii="Proxima Nova" w:hAnsi="Proxima Nova" w:cstheme="minorHAnsi"/>
          <w:sz w:val="22"/>
          <w:szCs w:val="22"/>
          <w:lang w:val="en-AU"/>
        </w:rPr>
        <w:t xml:space="preserve">exposed to restrictive practices. </w:t>
      </w:r>
      <w:r w:rsidRPr="00233EF8">
        <w:rPr>
          <w:rFonts w:ascii="Proxima Nova" w:hAnsi="Proxima Nova" w:cstheme="minorHAnsi"/>
          <w:sz w:val="22"/>
          <w:szCs w:val="22"/>
        </w:rPr>
        <w:t>Erevelles points out the need to reject sentimentalising or universalising disablement:</w:t>
      </w:r>
    </w:p>
    <w:p w14:paraId="136A0ADF" w14:textId="77777777" w:rsidR="0083460E" w:rsidRPr="00233EF8" w:rsidRDefault="0083460E" w:rsidP="00233EF8">
      <w:pPr>
        <w:pStyle w:val="ListParagraph"/>
        <w:spacing w:line="276" w:lineRule="auto"/>
        <w:rPr>
          <w:rFonts w:ascii="Proxima Nova" w:hAnsi="Proxima Nova" w:cstheme="minorHAnsi"/>
          <w:sz w:val="22"/>
          <w:szCs w:val="22"/>
        </w:rPr>
      </w:pPr>
    </w:p>
    <w:p w14:paraId="662FCF52" w14:textId="77777777" w:rsidR="0083460E" w:rsidRPr="00233EF8" w:rsidRDefault="0083460E" w:rsidP="00233EF8">
      <w:pPr>
        <w:pStyle w:val="ListParagraph"/>
        <w:spacing w:line="276" w:lineRule="auto"/>
        <w:ind w:left="1134"/>
        <w:rPr>
          <w:rFonts w:ascii="Proxima Nova" w:hAnsi="Proxima Nova" w:cstheme="minorHAnsi"/>
          <w:sz w:val="22"/>
          <w:szCs w:val="22"/>
        </w:rPr>
      </w:pPr>
      <w:r w:rsidRPr="00233EF8">
        <w:rPr>
          <w:rFonts w:ascii="Proxima Nova" w:hAnsi="Proxima Nova" w:cstheme="minorHAnsi"/>
          <w:i/>
          <w:iCs/>
          <w:sz w:val="22"/>
          <w:szCs w:val="22"/>
        </w:rPr>
        <w:t>How can acquiring a disability be celebrated as “the most universal of human conditions” if it is acquired under the oppressive conditions of poverty, economic exploitation, police brutality, neo-colonial violence, and lack of access to adequate health care and education? What happens when human variation (</w:t>
      </w:r>
      <w:proofErr w:type="gramStart"/>
      <w:r w:rsidRPr="00233EF8">
        <w:rPr>
          <w:rFonts w:ascii="Proxima Nova" w:hAnsi="Proxima Nova" w:cstheme="minorHAnsi"/>
          <w:i/>
          <w:iCs/>
          <w:sz w:val="22"/>
          <w:szCs w:val="22"/>
        </w:rPr>
        <w:t>e.g.</w:t>
      </w:r>
      <w:proofErr w:type="gramEnd"/>
      <w:r w:rsidRPr="00233EF8">
        <w:rPr>
          <w:rFonts w:ascii="Proxima Nova" w:hAnsi="Proxima Nova" w:cstheme="minorHAnsi"/>
          <w:i/>
          <w:iCs/>
          <w:sz w:val="22"/>
          <w:szCs w:val="22"/>
        </w:rPr>
        <w:t xml:space="preserve"> race) is deployed in the construction of disabled identities for purely oppressive purposes (e.g. slavery colonialism, and immigration law)?</w:t>
      </w:r>
      <w:r w:rsidRPr="00233EF8">
        <w:rPr>
          <w:rStyle w:val="EndnoteReference"/>
          <w:rFonts w:ascii="Proxima Nova" w:hAnsi="Proxima Nova" w:cstheme="minorHAnsi"/>
          <w:sz w:val="22"/>
          <w:szCs w:val="22"/>
        </w:rPr>
        <w:endnoteReference w:id="216"/>
      </w:r>
    </w:p>
    <w:p w14:paraId="5331737A" w14:textId="77777777" w:rsidR="0083460E" w:rsidRPr="00233EF8" w:rsidRDefault="0083460E" w:rsidP="00233EF8">
      <w:pPr>
        <w:spacing w:line="276" w:lineRule="auto"/>
        <w:rPr>
          <w:rFonts w:ascii="Proxima Nova" w:eastAsiaTheme="minorHAnsi" w:hAnsi="Proxima Nova" w:cstheme="minorHAnsi"/>
          <w:sz w:val="22"/>
          <w:szCs w:val="22"/>
          <w:lang w:val="en-GB"/>
        </w:rPr>
      </w:pPr>
    </w:p>
    <w:p w14:paraId="2B27DE5F" w14:textId="0C822BE7" w:rsidR="0083460E" w:rsidRPr="00233EF8" w:rsidRDefault="0083460E" w:rsidP="00233EF8">
      <w:pPr>
        <w:pStyle w:val="ListParagraph"/>
        <w:spacing w:line="276" w:lineRule="auto"/>
        <w:rPr>
          <w:rFonts w:ascii="Proxima Nova" w:hAnsi="Proxima Nova" w:cstheme="minorHAnsi"/>
          <w:sz w:val="22"/>
          <w:szCs w:val="22"/>
        </w:rPr>
      </w:pPr>
      <w:r w:rsidRPr="00233EF8">
        <w:rPr>
          <w:rFonts w:ascii="Proxima Nova" w:hAnsi="Proxima Nova" w:cstheme="minorHAnsi"/>
          <w:sz w:val="22"/>
          <w:szCs w:val="22"/>
        </w:rPr>
        <w:t>Thus, the Royal Commission might situate its exploration of the inequalities of exposure to restrictive practices (and other forms of violence) in the broader context of the inequalities of disablement.</w:t>
      </w:r>
    </w:p>
    <w:p w14:paraId="338AAE31" w14:textId="77777777" w:rsidR="0083460E" w:rsidRPr="00233EF8" w:rsidRDefault="0083460E" w:rsidP="00233EF8">
      <w:pPr>
        <w:spacing w:line="276" w:lineRule="auto"/>
        <w:rPr>
          <w:rFonts w:ascii="Proxima Nova" w:hAnsi="Proxima Nova" w:cstheme="minorHAnsi"/>
          <w:sz w:val="22"/>
          <w:szCs w:val="22"/>
        </w:rPr>
      </w:pPr>
    </w:p>
    <w:p w14:paraId="62CB0701" w14:textId="170A9783" w:rsidR="0083460E" w:rsidRPr="00233EF8" w:rsidRDefault="0083460E" w:rsidP="00233EF8">
      <w:pPr>
        <w:pStyle w:val="ListParagraph"/>
        <w:numPr>
          <w:ilvl w:val="1"/>
          <w:numId w:val="28"/>
        </w:numPr>
        <w:snapToGrid w:val="0"/>
        <w:spacing w:line="276" w:lineRule="auto"/>
        <w:ind w:left="720" w:hanging="720"/>
        <w:rPr>
          <w:rFonts w:ascii="Proxima Nova" w:hAnsi="Proxima Nova" w:cstheme="minorHAnsi"/>
          <w:sz w:val="22"/>
          <w:szCs w:val="22"/>
          <w:bdr w:val="none" w:sz="0" w:space="0" w:color="auto" w:frame="1"/>
        </w:rPr>
      </w:pPr>
      <w:r w:rsidRPr="00233EF8">
        <w:rPr>
          <w:rFonts w:ascii="Proxima Nova" w:hAnsi="Proxima Nova" w:cstheme="minorHAnsi"/>
          <w:sz w:val="22"/>
          <w:szCs w:val="22"/>
          <w:bdr w:val="none" w:sz="0" w:space="0" w:color="auto" w:frame="1"/>
        </w:rPr>
        <w:t xml:space="preserve">In the following sub-sections, we introduce dynamics of violence that deepen an understanding of restrictive practices as </w:t>
      </w:r>
      <w:r w:rsidR="009D58A0" w:rsidRPr="00233EF8">
        <w:rPr>
          <w:rFonts w:ascii="Proxima Nova" w:hAnsi="Proxima Nova" w:cstheme="minorHAnsi"/>
          <w:sz w:val="22"/>
          <w:szCs w:val="22"/>
          <w:bdr w:val="none" w:sz="0" w:space="0" w:color="auto" w:frame="1"/>
        </w:rPr>
        <w:t xml:space="preserve">gendered </w:t>
      </w:r>
      <w:r w:rsidRPr="00233EF8">
        <w:rPr>
          <w:rFonts w:ascii="Proxima Nova" w:hAnsi="Proxima Nova" w:cstheme="minorHAnsi"/>
          <w:sz w:val="22"/>
          <w:szCs w:val="22"/>
          <w:bdr w:val="none" w:sz="0" w:space="0" w:color="auto" w:frame="1"/>
        </w:rPr>
        <w:t>ableist violence.</w:t>
      </w:r>
    </w:p>
    <w:p w14:paraId="4497775E" w14:textId="77777777" w:rsidR="00B77441" w:rsidRPr="00233EF8" w:rsidRDefault="00B77441" w:rsidP="00233EF8">
      <w:pPr>
        <w:spacing w:line="276" w:lineRule="auto"/>
        <w:rPr>
          <w:rFonts w:ascii="Proxima Nova" w:hAnsi="Proxima Nova" w:cstheme="minorHAnsi"/>
          <w:sz w:val="22"/>
          <w:szCs w:val="22"/>
        </w:rPr>
      </w:pPr>
    </w:p>
    <w:p w14:paraId="79A90669" w14:textId="54AE89E7" w:rsidR="00C8152F" w:rsidRPr="00933B76" w:rsidRDefault="00C8152F" w:rsidP="00C8152F">
      <w:pPr>
        <w:spacing w:line="276" w:lineRule="auto"/>
        <w:rPr>
          <w:rFonts w:ascii="Proxima Nova" w:hAnsi="Proxima Nova" w:cstheme="minorHAnsi"/>
        </w:rPr>
      </w:pPr>
      <w:r w:rsidRPr="00933B76">
        <w:rPr>
          <w:rFonts w:ascii="Proxima Nova" w:hAnsi="Proxima Nova"/>
          <w:b/>
          <w:color w:val="AC1F79"/>
        </w:rPr>
        <w:t>Dehumanisation: Ontological and Epistemic Violence</w:t>
      </w:r>
    </w:p>
    <w:p w14:paraId="6467E028" w14:textId="77777777" w:rsidR="00C8152F" w:rsidRPr="00233EF8" w:rsidRDefault="00C8152F" w:rsidP="00233EF8">
      <w:pPr>
        <w:spacing w:line="276" w:lineRule="auto"/>
        <w:ind w:left="720" w:hanging="720"/>
        <w:rPr>
          <w:rFonts w:ascii="Proxima Nova" w:hAnsi="Proxima Nova"/>
          <w:sz w:val="22"/>
          <w:szCs w:val="22"/>
        </w:rPr>
      </w:pPr>
    </w:p>
    <w:p w14:paraId="4BBCCD7C" w14:textId="77777777" w:rsidR="00D4016D" w:rsidRPr="00233EF8" w:rsidRDefault="00D4016D" w:rsidP="00233EF8">
      <w:pPr>
        <w:pStyle w:val="ListParagraph"/>
        <w:numPr>
          <w:ilvl w:val="1"/>
          <w:numId w:val="28"/>
        </w:numPr>
        <w:autoSpaceDE w:val="0"/>
        <w:autoSpaceDN w:val="0"/>
        <w:adjustRightInd w:val="0"/>
        <w:spacing w:line="276" w:lineRule="auto"/>
        <w:ind w:left="720" w:hanging="720"/>
        <w:rPr>
          <w:rFonts w:ascii="Proxima Nova" w:hAnsi="Proxima Nova" w:cstheme="minorHAnsi"/>
          <w:sz w:val="22"/>
          <w:szCs w:val="22"/>
          <w:lang w:val="en"/>
        </w:rPr>
      </w:pPr>
      <w:r w:rsidRPr="00233EF8">
        <w:rPr>
          <w:rFonts w:ascii="Proxima Nova" w:hAnsi="Proxima Nova" w:cstheme="minorHAnsi"/>
          <w:sz w:val="22"/>
          <w:szCs w:val="22"/>
          <w:lang w:val="en"/>
        </w:rPr>
        <w:t xml:space="preserve">Use of restrictive practices denies women and girls with disability the capacity to control their bodies and define their experiences (epistemology) and ultimately negates their value in the world (ontology). Ontological and epistemic violence are further dimensions of the gendered ableist violence arising from use of restrictive </w:t>
      </w:r>
      <w:r w:rsidRPr="00233EF8">
        <w:rPr>
          <w:rFonts w:ascii="Proxima Nova" w:hAnsi="Proxima Nova"/>
          <w:sz w:val="22"/>
          <w:szCs w:val="22"/>
        </w:rPr>
        <w:t>practices on women and girls with disability</w:t>
      </w:r>
      <w:r w:rsidRPr="00233EF8">
        <w:rPr>
          <w:rFonts w:ascii="Proxima Nova" w:hAnsi="Proxima Nova" w:cstheme="minorHAnsi"/>
          <w:sz w:val="22"/>
          <w:szCs w:val="22"/>
          <w:lang w:val="en"/>
        </w:rPr>
        <w:t xml:space="preserve">. </w:t>
      </w:r>
    </w:p>
    <w:p w14:paraId="2523F766" w14:textId="77777777" w:rsidR="00D4016D" w:rsidRPr="00233EF8" w:rsidRDefault="00D4016D" w:rsidP="00233EF8">
      <w:pPr>
        <w:autoSpaceDE w:val="0"/>
        <w:autoSpaceDN w:val="0"/>
        <w:adjustRightInd w:val="0"/>
        <w:spacing w:line="276" w:lineRule="auto"/>
        <w:ind w:left="720" w:hanging="720"/>
        <w:rPr>
          <w:rFonts w:ascii="Proxima Nova" w:hAnsi="Proxima Nova" w:cstheme="minorHAnsi"/>
          <w:sz w:val="22"/>
          <w:szCs w:val="22"/>
          <w:lang w:val="en"/>
        </w:rPr>
      </w:pPr>
    </w:p>
    <w:p w14:paraId="6FD6C65D" w14:textId="77777777" w:rsidR="00D4016D" w:rsidRPr="00233EF8" w:rsidRDefault="00D4016D" w:rsidP="00233EF8">
      <w:pPr>
        <w:pStyle w:val="ListParagraph"/>
        <w:numPr>
          <w:ilvl w:val="1"/>
          <w:numId w:val="28"/>
        </w:numPr>
        <w:autoSpaceDE w:val="0"/>
        <w:autoSpaceDN w:val="0"/>
        <w:adjustRightInd w:val="0"/>
        <w:spacing w:line="276" w:lineRule="auto"/>
        <w:ind w:left="720" w:hanging="720"/>
        <w:contextualSpacing w:val="0"/>
        <w:rPr>
          <w:rFonts w:ascii="Proxima Nova" w:hAnsi="Proxima Nova" w:cstheme="minorHAnsi"/>
          <w:sz w:val="22"/>
          <w:szCs w:val="22"/>
          <w:lang w:val="en"/>
        </w:rPr>
      </w:pPr>
      <w:r w:rsidRPr="00233EF8">
        <w:rPr>
          <w:rFonts w:ascii="Proxima Nova" w:hAnsi="Proxima Nova" w:cstheme="minorHAnsi"/>
          <w:sz w:val="22"/>
          <w:szCs w:val="22"/>
          <w:lang w:val="en"/>
        </w:rPr>
        <w:t>Ontological violence relates to how disability as a way of being in the world renders individuals as deserving of violence and incomprehensible as grievable victims. Kafer argues that this ontology of disability relates to temporal relations between disability and futurity. Conventionally, the envisioning of a desirable future is one without disability and the</w:t>
      </w:r>
      <w:r w:rsidRPr="00233EF8">
        <w:rPr>
          <w:rFonts w:ascii="Proxima Nova" w:hAnsi="Proxima Nova" w:cstheme="minorHAnsi"/>
          <w:sz w:val="22"/>
          <w:szCs w:val="22"/>
        </w:rPr>
        <w:t xml:space="preserve"> negation of the legitimate existence of disabled people.</w:t>
      </w:r>
      <w:r w:rsidRPr="00233EF8">
        <w:rPr>
          <w:rStyle w:val="EndnoteReference"/>
          <w:rFonts w:ascii="Proxima Nova" w:hAnsi="Proxima Nova" w:cstheme="minorHAnsi"/>
          <w:sz w:val="22"/>
          <w:szCs w:val="22"/>
        </w:rPr>
        <w:endnoteReference w:id="217"/>
      </w:r>
      <w:r w:rsidRPr="00233EF8">
        <w:rPr>
          <w:rFonts w:ascii="Proxima Nova" w:hAnsi="Proxima Nova" w:cstheme="minorHAnsi"/>
          <w:sz w:val="22"/>
          <w:szCs w:val="22"/>
        </w:rPr>
        <w:t xml:space="preserve"> This is most evident in medical initiatives such as genetic testing for disability, utilising assisted reproductive technologies to avoid disabled babies, and a focus on developing medical cures for disability. It is also reflected in education, recreational and employment initiatives that make social, economic and political inclusion of people with disability conditional on their approximation of normative expectations of behaviour and appearance. The illegitimacy of disabled peoples’ ways of being in the world as disabled position them as less than full humans now and in the </w:t>
      </w:r>
      <w:r w:rsidRPr="00233EF8">
        <w:rPr>
          <w:rFonts w:ascii="Proxima Nova" w:hAnsi="Proxima Nova" w:cstheme="minorHAnsi"/>
          <w:sz w:val="22"/>
          <w:szCs w:val="22"/>
        </w:rPr>
        <w:lastRenderedPageBreak/>
        <w:t>future, contributing to an understanding of violence as necessary to expel disability from humanity.</w:t>
      </w:r>
      <w:r w:rsidRPr="00233EF8">
        <w:rPr>
          <w:rStyle w:val="EndnoteReference"/>
          <w:rFonts w:ascii="Proxima Nova" w:hAnsi="Proxima Nova" w:cstheme="minorHAnsi"/>
          <w:sz w:val="22"/>
          <w:szCs w:val="22"/>
        </w:rPr>
        <w:endnoteReference w:id="218"/>
      </w:r>
      <w:r w:rsidRPr="00233EF8">
        <w:rPr>
          <w:rFonts w:ascii="Proxima Nova" w:hAnsi="Proxima Nova" w:cstheme="minorHAnsi"/>
          <w:sz w:val="22"/>
          <w:szCs w:val="22"/>
        </w:rPr>
        <w:t xml:space="preserve"> In turn, people with disability are not ‘grievable’ in their injury or deaths – as less than humans, their suffering and death is not recognised as a social loss.</w:t>
      </w:r>
      <w:r w:rsidRPr="00233EF8">
        <w:rPr>
          <w:rStyle w:val="EndnoteReference"/>
          <w:rFonts w:ascii="Proxima Nova" w:hAnsi="Proxima Nova" w:cstheme="minorHAnsi"/>
          <w:sz w:val="22"/>
          <w:szCs w:val="22"/>
        </w:rPr>
        <w:endnoteReference w:id="219"/>
      </w:r>
      <w:r w:rsidRPr="00233EF8">
        <w:rPr>
          <w:rFonts w:ascii="Proxima Nova" w:hAnsi="Proxima Nova" w:cstheme="minorHAnsi"/>
          <w:sz w:val="22"/>
          <w:szCs w:val="22"/>
        </w:rPr>
        <w:t xml:space="preserve"> Ontological violence is also apparent in relation to other marginalised groups such as racialised people</w:t>
      </w:r>
      <w:r w:rsidRPr="00233EF8">
        <w:rPr>
          <w:rStyle w:val="EndnoteReference"/>
          <w:rFonts w:ascii="Proxima Nova" w:hAnsi="Proxima Nova" w:cstheme="minorHAnsi"/>
          <w:sz w:val="22"/>
          <w:szCs w:val="22"/>
        </w:rPr>
        <w:endnoteReference w:id="220"/>
      </w:r>
      <w:r w:rsidRPr="00233EF8">
        <w:rPr>
          <w:rFonts w:ascii="Proxima Nova" w:hAnsi="Proxima Nova" w:cstheme="minorHAnsi"/>
          <w:sz w:val="22"/>
          <w:szCs w:val="22"/>
        </w:rPr>
        <w:t xml:space="preserve"> and First Nations and Indigenous people.</w:t>
      </w:r>
      <w:r w:rsidRPr="00233EF8">
        <w:rPr>
          <w:rStyle w:val="EndnoteReference"/>
          <w:rFonts w:ascii="Proxima Nova" w:hAnsi="Proxima Nova" w:cstheme="minorHAnsi"/>
          <w:sz w:val="22"/>
          <w:szCs w:val="22"/>
        </w:rPr>
        <w:endnoteReference w:id="221"/>
      </w:r>
      <w:r w:rsidRPr="00233EF8">
        <w:rPr>
          <w:rFonts w:ascii="Proxima Nova" w:hAnsi="Proxima Nova" w:cstheme="minorHAnsi"/>
          <w:sz w:val="22"/>
          <w:szCs w:val="22"/>
        </w:rPr>
        <w:t xml:space="preserve"> </w:t>
      </w:r>
    </w:p>
    <w:p w14:paraId="1D84D479" w14:textId="77777777" w:rsidR="00D4016D" w:rsidRPr="00233EF8" w:rsidRDefault="00D4016D" w:rsidP="00233EF8">
      <w:pPr>
        <w:autoSpaceDE w:val="0"/>
        <w:autoSpaceDN w:val="0"/>
        <w:adjustRightInd w:val="0"/>
        <w:spacing w:line="276" w:lineRule="auto"/>
        <w:ind w:left="720" w:hanging="720"/>
        <w:rPr>
          <w:rFonts w:ascii="Proxima Nova" w:hAnsi="Proxima Nova" w:cstheme="minorHAnsi"/>
          <w:sz w:val="22"/>
          <w:szCs w:val="22"/>
          <w:lang w:val="en"/>
        </w:rPr>
      </w:pPr>
    </w:p>
    <w:p w14:paraId="0BD7F503" w14:textId="2BCD085B" w:rsidR="00D4016D" w:rsidRPr="00233EF8" w:rsidRDefault="00D4016D" w:rsidP="00233EF8">
      <w:pPr>
        <w:pStyle w:val="ListParagraph"/>
        <w:numPr>
          <w:ilvl w:val="1"/>
          <w:numId w:val="28"/>
        </w:numPr>
        <w:autoSpaceDE w:val="0"/>
        <w:autoSpaceDN w:val="0"/>
        <w:adjustRightInd w:val="0"/>
        <w:spacing w:line="276" w:lineRule="auto"/>
        <w:ind w:left="720" w:hanging="720"/>
        <w:contextualSpacing w:val="0"/>
        <w:rPr>
          <w:rFonts w:ascii="Proxima Nova" w:hAnsi="Proxima Nova" w:cstheme="minorHAnsi"/>
          <w:sz w:val="22"/>
          <w:szCs w:val="22"/>
          <w:lang w:val="en"/>
        </w:rPr>
      </w:pPr>
      <w:r w:rsidRPr="00233EF8">
        <w:rPr>
          <w:rFonts w:ascii="Proxima Nova" w:hAnsi="Proxima Nova" w:cstheme="minorHAnsi"/>
          <w:sz w:val="22"/>
          <w:szCs w:val="22"/>
        </w:rPr>
        <w:t>Ontological violence is gendered, insofar as what counts for recognition as a legitimate existence is not only about normative understandings of what it means to be (a full/valued/normal/</w:t>
      </w:r>
      <w:r w:rsidR="007B7386" w:rsidRPr="00233EF8">
        <w:rPr>
          <w:rFonts w:ascii="Proxima Nova" w:hAnsi="Proxima Nova" w:cstheme="minorHAnsi"/>
          <w:sz w:val="22"/>
          <w:szCs w:val="22"/>
        </w:rPr>
        <w:t>inviolable/</w:t>
      </w:r>
      <w:r w:rsidRPr="00233EF8">
        <w:rPr>
          <w:rFonts w:ascii="Proxima Nova" w:hAnsi="Proxima Nova" w:cstheme="minorHAnsi"/>
          <w:sz w:val="22"/>
          <w:szCs w:val="22"/>
        </w:rPr>
        <w:t>grievable) human and but also normative understandings of what it means to be (a full/valued/normal/</w:t>
      </w:r>
      <w:r w:rsidR="007B7386" w:rsidRPr="00233EF8">
        <w:rPr>
          <w:rFonts w:ascii="Proxima Nova" w:hAnsi="Proxima Nova" w:cstheme="minorHAnsi"/>
          <w:sz w:val="22"/>
          <w:szCs w:val="22"/>
        </w:rPr>
        <w:t>inviolable/</w:t>
      </w:r>
      <w:r w:rsidRPr="00233EF8">
        <w:rPr>
          <w:rFonts w:ascii="Proxima Nova" w:hAnsi="Proxima Nova" w:cstheme="minorHAnsi"/>
          <w:sz w:val="22"/>
          <w:szCs w:val="22"/>
        </w:rPr>
        <w:t xml:space="preserve">grievable) female, and thus legitimate subjects (or perhaps, in some instances of extreme dehumanisation, objects) of violence. </w:t>
      </w:r>
    </w:p>
    <w:p w14:paraId="76DF1967" w14:textId="77777777" w:rsidR="00D4016D" w:rsidRPr="00233EF8" w:rsidRDefault="00D4016D" w:rsidP="00233EF8">
      <w:pPr>
        <w:autoSpaceDE w:val="0"/>
        <w:autoSpaceDN w:val="0"/>
        <w:adjustRightInd w:val="0"/>
        <w:spacing w:line="276" w:lineRule="auto"/>
        <w:ind w:left="720" w:hanging="720"/>
        <w:rPr>
          <w:rFonts w:ascii="Proxima Nova" w:hAnsi="Proxima Nova" w:cstheme="minorHAnsi"/>
          <w:sz w:val="22"/>
          <w:szCs w:val="22"/>
          <w:lang w:val="en"/>
        </w:rPr>
      </w:pPr>
    </w:p>
    <w:p w14:paraId="67DE6FCA" w14:textId="77777777" w:rsidR="00D4016D" w:rsidRPr="00233EF8" w:rsidRDefault="00D4016D" w:rsidP="00233EF8">
      <w:pPr>
        <w:pStyle w:val="ListParagraph"/>
        <w:numPr>
          <w:ilvl w:val="1"/>
          <w:numId w:val="28"/>
        </w:numPr>
        <w:autoSpaceDE w:val="0"/>
        <w:autoSpaceDN w:val="0"/>
        <w:adjustRightInd w:val="0"/>
        <w:spacing w:line="276" w:lineRule="auto"/>
        <w:ind w:left="720" w:hanging="720"/>
        <w:contextualSpacing w:val="0"/>
        <w:rPr>
          <w:rFonts w:ascii="Proxima Nova" w:hAnsi="Proxima Nova" w:cstheme="minorHAnsi"/>
          <w:sz w:val="22"/>
          <w:szCs w:val="22"/>
          <w:lang w:val="en"/>
        </w:rPr>
      </w:pPr>
      <w:r w:rsidRPr="00233EF8">
        <w:rPr>
          <w:rFonts w:ascii="Proxima Nova" w:hAnsi="Proxima Nova"/>
          <w:sz w:val="22"/>
          <w:szCs w:val="22"/>
          <w:lang w:val="en"/>
        </w:rPr>
        <w:t>‘Epistemic violence’ is a further and closely related dynamic of violence. Epistemic violence can be understood by reference to Miranda Fricker’s work on ‘epistemic injustice.’ Fricker explains epistemic injustice as ‘</w:t>
      </w:r>
      <w:r w:rsidRPr="00233EF8">
        <w:rPr>
          <w:rFonts w:ascii="Proxima Nova" w:hAnsi="Proxima Nova"/>
          <w:sz w:val="22"/>
          <w:szCs w:val="22"/>
        </w:rPr>
        <w:t>a wrong done to someone specifically in their capacity as a knower.’</w:t>
      </w:r>
      <w:r w:rsidRPr="00233EF8">
        <w:rPr>
          <w:rStyle w:val="EndnoteReference"/>
          <w:rFonts w:ascii="Proxima Nova" w:hAnsi="Proxima Nova"/>
          <w:sz w:val="22"/>
          <w:szCs w:val="22"/>
        </w:rPr>
        <w:endnoteReference w:id="222"/>
      </w:r>
      <w:r w:rsidRPr="00233EF8">
        <w:rPr>
          <w:rFonts w:ascii="Proxima Nova" w:hAnsi="Proxima Nova"/>
          <w:sz w:val="22"/>
          <w:szCs w:val="22"/>
        </w:rPr>
        <w:t xml:space="preserve"> She identifies two specific forms of epistemic injustice: testimonial injustice and hermeneutical injustice. She explains:</w:t>
      </w:r>
    </w:p>
    <w:p w14:paraId="5B737D76" w14:textId="77777777" w:rsidR="00D4016D" w:rsidRPr="00233EF8" w:rsidRDefault="00D4016D" w:rsidP="00233EF8">
      <w:pPr>
        <w:pStyle w:val="ListParagraph"/>
        <w:autoSpaceDE w:val="0"/>
        <w:autoSpaceDN w:val="0"/>
        <w:adjustRightInd w:val="0"/>
        <w:spacing w:line="276" w:lineRule="auto"/>
        <w:ind w:hanging="720"/>
        <w:contextualSpacing w:val="0"/>
        <w:rPr>
          <w:rFonts w:ascii="Proxima Nova" w:hAnsi="Proxima Nova"/>
          <w:sz w:val="22"/>
          <w:szCs w:val="22"/>
        </w:rPr>
      </w:pPr>
    </w:p>
    <w:p w14:paraId="78A0F2FA" w14:textId="77777777" w:rsidR="00D4016D" w:rsidRPr="00233EF8" w:rsidRDefault="00D4016D" w:rsidP="00233EF8">
      <w:pPr>
        <w:pStyle w:val="ListParagraph"/>
        <w:autoSpaceDE w:val="0"/>
        <w:autoSpaceDN w:val="0"/>
        <w:adjustRightInd w:val="0"/>
        <w:spacing w:line="276" w:lineRule="auto"/>
        <w:ind w:left="1134"/>
        <w:contextualSpacing w:val="0"/>
        <w:rPr>
          <w:rFonts w:ascii="Proxima Nova" w:hAnsi="Proxima Nova"/>
          <w:sz w:val="22"/>
          <w:szCs w:val="22"/>
        </w:rPr>
      </w:pPr>
      <w:r w:rsidRPr="00233EF8">
        <w:rPr>
          <w:rFonts w:ascii="Proxima Nova" w:hAnsi="Proxima Nova"/>
          <w:i/>
          <w:iCs/>
          <w:sz w:val="22"/>
          <w:szCs w:val="22"/>
        </w:rPr>
        <w:t>Testimonial injustice occurs when prejudice causes a hearer to give a deflated level of credibility to a speaker’s word; hermeneutical injustice occurs at a prior stage, when a gap in collective interpretive resources puts someone at an unfair disadvantage when it comes to making sense of their social experiences. An example of the first might be that the police do not believe you because you are black; an example of the second might be that you suffer sexual harassment in a culture that still lacks that critical concept. We might say that testimonial injustice is caused by prejudice in the economy of credibility; and that hermeneutical injustice is caused by structural prejudice in the economy.</w:t>
      </w:r>
      <w:r w:rsidRPr="00233EF8">
        <w:rPr>
          <w:rStyle w:val="EndnoteReference"/>
          <w:rFonts w:ascii="Proxima Nova" w:hAnsi="Proxima Nova"/>
          <w:sz w:val="22"/>
          <w:szCs w:val="22"/>
        </w:rPr>
        <w:endnoteReference w:id="223"/>
      </w:r>
    </w:p>
    <w:p w14:paraId="51965C3A" w14:textId="77777777" w:rsidR="00D4016D" w:rsidRPr="00233EF8" w:rsidRDefault="00D4016D" w:rsidP="00233EF8">
      <w:pPr>
        <w:autoSpaceDE w:val="0"/>
        <w:autoSpaceDN w:val="0"/>
        <w:adjustRightInd w:val="0"/>
        <w:spacing w:line="276" w:lineRule="auto"/>
        <w:ind w:left="720" w:hanging="720"/>
        <w:rPr>
          <w:rFonts w:ascii="Proxima Nova" w:hAnsi="Proxima Nova" w:cstheme="minorHAnsi"/>
          <w:sz w:val="22"/>
          <w:szCs w:val="22"/>
          <w:lang w:val="en"/>
        </w:rPr>
      </w:pPr>
    </w:p>
    <w:p w14:paraId="105CFD35" w14:textId="77777777" w:rsidR="00D4016D" w:rsidRPr="00233EF8" w:rsidRDefault="00D4016D" w:rsidP="00233EF8">
      <w:pPr>
        <w:pStyle w:val="ListParagraph"/>
        <w:numPr>
          <w:ilvl w:val="1"/>
          <w:numId w:val="28"/>
        </w:numPr>
        <w:autoSpaceDE w:val="0"/>
        <w:autoSpaceDN w:val="0"/>
        <w:adjustRightInd w:val="0"/>
        <w:spacing w:line="276" w:lineRule="auto"/>
        <w:ind w:left="720" w:hanging="720"/>
        <w:contextualSpacing w:val="0"/>
        <w:rPr>
          <w:rFonts w:ascii="Proxima Nova" w:hAnsi="Proxima Nova" w:cstheme="minorHAnsi"/>
          <w:sz w:val="22"/>
          <w:szCs w:val="22"/>
          <w:lang w:val="en"/>
        </w:rPr>
      </w:pPr>
      <w:r w:rsidRPr="00233EF8">
        <w:rPr>
          <w:rFonts w:ascii="Proxima Nova" w:hAnsi="Proxima Nova" w:cstheme="minorHAnsi"/>
          <w:sz w:val="22"/>
          <w:szCs w:val="22"/>
          <w:lang w:val="en"/>
        </w:rPr>
        <w:t>Epistemic violence in relation to people with disability is apparent in: the overriding of their consent and the failure to recognise their capacity to make their own decisions and choices; the pathologising of their expression, resistance and distress; and the absence of social, political and legal paradigms to recognise the full spectrum of their experiences of injustice and violence.</w:t>
      </w:r>
      <w:r w:rsidRPr="00233EF8">
        <w:rPr>
          <w:rStyle w:val="EndnoteReference"/>
          <w:rFonts w:ascii="Proxima Nova" w:hAnsi="Proxima Nova" w:cstheme="minorHAnsi"/>
          <w:sz w:val="22"/>
          <w:szCs w:val="22"/>
          <w:lang w:val="en"/>
        </w:rPr>
        <w:endnoteReference w:id="224"/>
      </w:r>
      <w:r w:rsidRPr="00233EF8">
        <w:rPr>
          <w:rFonts w:ascii="Proxima Nova" w:hAnsi="Proxima Nova" w:cstheme="minorHAnsi"/>
          <w:sz w:val="22"/>
          <w:szCs w:val="22"/>
          <w:lang w:val="en"/>
        </w:rPr>
        <w:t xml:space="preserve"> In relation to restrictive practices, testimonial injustice is evident in: the denial of legal capacity in the use of restrictive practices; and the law and justice system practices which deny people with disability the opportunity to be recognised as victims and witnesses if they were to seek justice for restrictive practices. Hermeneutical injustice is evident in the exclusion of restrictive practices from legal and political paradigms of violence, and in the normalisation of violence and control in closed and segregated settings. This makes it difficult for individuals to identify restrictive practices as exceptions to the everyday, and as acts of violence.</w:t>
      </w:r>
    </w:p>
    <w:p w14:paraId="5A6A8F74" w14:textId="77777777" w:rsidR="00D4016D" w:rsidRPr="00233EF8" w:rsidRDefault="00D4016D" w:rsidP="00233EF8">
      <w:pPr>
        <w:autoSpaceDE w:val="0"/>
        <w:autoSpaceDN w:val="0"/>
        <w:adjustRightInd w:val="0"/>
        <w:spacing w:line="276" w:lineRule="auto"/>
        <w:ind w:left="720" w:hanging="720"/>
        <w:rPr>
          <w:rFonts w:ascii="Proxima Nova" w:hAnsi="Proxima Nova" w:cstheme="minorHAnsi"/>
          <w:sz w:val="22"/>
          <w:szCs w:val="22"/>
          <w:lang w:val="en"/>
        </w:rPr>
      </w:pPr>
    </w:p>
    <w:p w14:paraId="450E2DA2" w14:textId="283E3A71" w:rsidR="00D4016D" w:rsidRPr="00233EF8" w:rsidRDefault="00D4016D" w:rsidP="00233EF8">
      <w:pPr>
        <w:pStyle w:val="ListParagraph"/>
        <w:numPr>
          <w:ilvl w:val="1"/>
          <w:numId w:val="28"/>
        </w:numPr>
        <w:autoSpaceDE w:val="0"/>
        <w:autoSpaceDN w:val="0"/>
        <w:adjustRightInd w:val="0"/>
        <w:spacing w:line="276" w:lineRule="auto"/>
        <w:ind w:left="720" w:hanging="720"/>
        <w:contextualSpacing w:val="0"/>
        <w:rPr>
          <w:rFonts w:ascii="Proxima Nova" w:hAnsi="Proxima Nova" w:cstheme="minorHAnsi"/>
          <w:sz w:val="22"/>
          <w:szCs w:val="22"/>
          <w:lang w:val="en"/>
        </w:rPr>
      </w:pPr>
      <w:r w:rsidRPr="00233EF8">
        <w:rPr>
          <w:rFonts w:ascii="Proxima Nova" w:hAnsi="Proxima Nova" w:cstheme="minorHAnsi"/>
          <w:sz w:val="22"/>
          <w:szCs w:val="22"/>
          <w:lang w:val="en"/>
        </w:rPr>
        <w:t>Epistemic violence is supported by medical knowledge which renders individuals legible and knowable by singular reference to diagnosis. A</w:t>
      </w:r>
      <w:r w:rsidRPr="00233EF8">
        <w:rPr>
          <w:rFonts w:ascii="Proxima Nova" w:hAnsi="Proxima Nova" w:cstheme="minorHAnsi"/>
          <w:sz w:val="22"/>
          <w:szCs w:val="22"/>
        </w:rPr>
        <w:t>s Chapman and Withers note: ‘[c]asting a person or an imagined type of person as thoroughly knowable is always violent. It involves subtracting purpose, responsibility, agency, or animacy from framings of how that person or “those people” function.’</w:t>
      </w:r>
      <w:r w:rsidRPr="00233EF8">
        <w:rPr>
          <w:rStyle w:val="EndnoteReference"/>
          <w:rFonts w:ascii="Proxima Nova" w:hAnsi="Proxima Nova" w:cstheme="minorHAnsi"/>
          <w:sz w:val="22"/>
          <w:szCs w:val="22"/>
        </w:rPr>
        <w:endnoteReference w:id="225"/>
      </w:r>
      <w:r w:rsidRPr="00233EF8">
        <w:rPr>
          <w:rFonts w:ascii="Proxima Nova" w:hAnsi="Proxima Nova" w:cstheme="minorHAnsi"/>
          <w:sz w:val="22"/>
          <w:szCs w:val="22"/>
        </w:rPr>
        <w:t xml:space="preserve"> It is also apparent in </w:t>
      </w:r>
      <w:r w:rsidRPr="00233EF8">
        <w:rPr>
          <w:rFonts w:ascii="Proxima Nova" w:hAnsi="Proxima Nova" w:cstheme="minorHAnsi"/>
          <w:sz w:val="22"/>
          <w:szCs w:val="22"/>
          <w:lang w:val="en"/>
        </w:rPr>
        <w:t xml:space="preserve">foundational legal concepts such as ‘capacity’, as well as substituted decision-making laws and legal processes that prevent individuals from having their choices and views legally recognised. It is apparent in the actions of service providers in denying people with disability choices in even the smallest and perhaps seemingly mundane aspects of their lives, such as </w:t>
      </w:r>
      <w:r w:rsidR="00BF579D" w:rsidRPr="00233EF8">
        <w:rPr>
          <w:rFonts w:ascii="Proxima Nova" w:hAnsi="Proxima Nova" w:cstheme="minorHAnsi"/>
          <w:sz w:val="22"/>
          <w:szCs w:val="22"/>
          <w:lang w:val="en"/>
        </w:rPr>
        <w:t xml:space="preserve">social interactions, sleeping patterns, and </w:t>
      </w:r>
      <w:r w:rsidRPr="00233EF8">
        <w:rPr>
          <w:rFonts w:ascii="Proxima Nova" w:hAnsi="Proxima Nova" w:cstheme="minorHAnsi"/>
          <w:sz w:val="22"/>
          <w:szCs w:val="22"/>
          <w:lang w:val="en"/>
        </w:rPr>
        <w:t>eating.</w:t>
      </w:r>
      <w:r w:rsidRPr="00233EF8">
        <w:rPr>
          <w:rStyle w:val="EndnoteReference"/>
          <w:rFonts w:ascii="Proxima Nova" w:hAnsi="Proxima Nova" w:cstheme="minorHAnsi"/>
          <w:sz w:val="22"/>
          <w:szCs w:val="22"/>
          <w:lang w:val="en"/>
        </w:rPr>
        <w:endnoteReference w:id="226"/>
      </w:r>
      <w:r w:rsidRPr="00233EF8">
        <w:rPr>
          <w:rFonts w:ascii="Proxima Nova" w:hAnsi="Proxima Nova" w:cstheme="minorHAnsi"/>
          <w:sz w:val="22"/>
          <w:szCs w:val="22"/>
          <w:lang w:val="en"/>
        </w:rPr>
        <w:t xml:space="preserve"> </w:t>
      </w:r>
    </w:p>
    <w:p w14:paraId="4BF9672F" w14:textId="77777777" w:rsidR="00D4016D" w:rsidRPr="00233EF8" w:rsidRDefault="00D4016D" w:rsidP="00233EF8">
      <w:pPr>
        <w:pStyle w:val="ListParagraph"/>
        <w:spacing w:line="276" w:lineRule="auto"/>
        <w:ind w:hanging="720"/>
        <w:rPr>
          <w:rFonts w:ascii="Proxima Nova" w:hAnsi="Proxima Nova" w:cstheme="minorHAnsi"/>
          <w:sz w:val="22"/>
          <w:szCs w:val="22"/>
          <w:lang w:val="en"/>
        </w:rPr>
      </w:pPr>
    </w:p>
    <w:p w14:paraId="6C72C74A" w14:textId="1447ADF1" w:rsidR="007A77A7" w:rsidRPr="00233EF8" w:rsidRDefault="00D4016D" w:rsidP="00233EF8">
      <w:pPr>
        <w:widowControl w:val="0"/>
        <w:numPr>
          <w:ilvl w:val="1"/>
          <w:numId w:val="28"/>
        </w:numPr>
        <w:autoSpaceDE w:val="0"/>
        <w:autoSpaceDN w:val="0"/>
        <w:adjustRightInd w:val="0"/>
        <w:spacing w:line="276" w:lineRule="auto"/>
        <w:ind w:left="720" w:hanging="720"/>
        <w:rPr>
          <w:rFonts w:ascii="Proxima Nova" w:eastAsia="Calibri" w:hAnsi="Proxima Nova" w:cstheme="minorHAnsi"/>
          <w:sz w:val="22"/>
          <w:szCs w:val="22"/>
          <w:lang w:val="en-GB"/>
        </w:rPr>
      </w:pPr>
      <w:r w:rsidRPr="00233EF8">
        <w:rPr>
          <w:rFonts w:ascii="Proxima Nova" w:hAnsi="Proxima Nova" w:cstheme="minorHAnsi"/>
          <w:sz w:val="22"/>
          <w:szCs w:val="22"/>
          <w:lang w:val="en"/>
        </w:rPr>
        <w:t>Epistemic violence in relation to people with disability is situated in interlocking systems and forces of oppression. For example, resistance expressed by racialised women and girls with disability might be more readily understood as dangerous and in need of suppression through restrictive practices.</w:t>
      </w:r>
      <w:r w:rsidRPr="00233EF8">
        <w:rPr>
          <w:rStyle w:val="EndnoteReference"/>
          <w:rFonts w:ascii="Proxima Nova" w:hAnsi="Proxima Nova" w:cstheme="minorHAnsi"/>
          <w:sz w:val="22"/>
          <w:szCs w:val="22"/>
          <w:lang w:val="en"/>
        </w:rPr>
        <w:endnoteReference w:id="227"/>
      </w:r>
      <w:r w:rsidRPr="00233EF8">
        <w:rPr>
          <w:rFonts w:ascii="Proxima Nova" w:hAnsi="Proxima Nova" w:cstheme="minorHAnsi"/>
          <w:sz w:val="22"/>
          <w:szCs w:val="22"/>
          <w:lang w:val="en"/>
        </w:rPr>
        <w:t xml:space="preserve"> Resistance to patriarchy expressed by women and girls or the failure of women and girls to follow social norms might be pathologised as challenging </w:t>
      </w:r>
      <w:r w:rsidRPr="00233EF8">
        <w:rPr>
          <w:rFonts w:ascii="Proxima Nova" w:hAnsi="Proxima Nova" w:cstheme="minorHAnsi"/>
          <w:sz w:val="22"/>
          <w:szCs w:val="22"/>
          <w:lang w:val="en"/>
        </w:rPr>
        <w:lastRenderedPageBreak/>
        <w:t>behaviour in need of restrictive practices.</w:t>
      </w:r>
      <w:r w:rsidRPr="00233EF8">
        <w:rPr>
          <w:rStyle w:val="EndnoteReference"/>
          <w:rFonts w:ascii="Proxima Nova" w:hAnsi="Proxima Nova" w:cstheme="minorHAnsi"/>
          <w:sz w:val="22"/>
          <w:szCs w:val="22"/>
          <w:lang w:val="en"/>
        </w:rPr>
        <w:endnoteReference w:id="228"/>
      </w:r>
      <w:r w:rsidRPr="00233EF8">
        <w:rPr>
          <w:rFonts w:ascii="Proxima Nova" w:hAnsi="Proxima Nova" w:cstheme="minorHAnsi"/>
          <w:sz w:val="22"/>
          <w:szCs w:val="22"/>
          <w:lang w:val="en"/>
        </w:rPr>
        <w:t xml:space="preserve"> </w:t>
      </w:r>
      <w:r w:rsidR="007A77A7" w:rsidRPr="00233EF8">
        <w:rPr>
          <w:rFonts w:ascii="Proxima Nova" w:hAnsi="Proxima Nova" w:cstheme="minorHAnsi"/>
          <w:sz w:val="22"/>
          <w:szCs w:val="22"/>
          <w:lang w:val="en"/>
        </w:rPr>
        <w:t>E</w:t>
      </w:r>
      <w:r w:rsidRPr="00233EF8">
        <w:rPr>
          <w:rFonts w:ascii="Proxima Nova" w:hAnsi="Proxima Nova" w:cstheme="minorHAnsi"/>
          <w:sz w:val="22"/>
          <w:szCs w:val="22"/>
          <w:lang w:val="en"/>
        </w:rPr>
        <w:t>xpression related to sexuality and menstruation might elicit a more repressive response through non-consensual and coercive sterilisation and menstrual suppression in relation to women and girls with disability in order to enforce gendered norms</w:t>
      </w:r>
      <w:r w:rsidR="00302F0D" w:rsidRPr="00233EF8">
        <w:rPr>
          <w:rFonts w:ascii="Proxima Nova" w:hAnsi="Proxima Nova" w:cstheme="minorHAnsi"/>
          <w:sz w:val="22"/>
          <w:szCs w:val="22"/>
          <w:lang w:val="en"/>
        </w:rPr>
        <w:t xml:space="preserve"> of the concealment of signs of menstrual blood and emotions associated with menstruation</w:t>
      </w:r>
      <w:r w:rsidRPr="00233EF8">
        <w:rPr>
          <w:rFonts w:ascii="Proxima Nova" w:hAnsi="Proxima Nova" w:cstheme="minorHAnsi"/>
          <w:sz w:val="22"/>
          <w:szCs w:val="22"/>
          <w:lang w:val="en"/>
        </w:rPr>
        <w:t>.</w:t>
      </w:r>
      <w:r w:rsidRPr="00233EF8">
        <w:rPr>
          <w:rStyle w:val="EndnoteReference"/>
          <w:rFonts w:ascii="Proxima Nova" w:hAnsi="Proxima Nova" w:cstheme="minorHAnsi"/>
          <w:sz w:val="22"/>
          <w:szCs w:val="22"/>
          <w:lang w:val="en"/>
        </w:rPr>
        <w:endnoteReference w:id="229"/>
      </w:r>
      <w:r w:rsidRPr="00233EF8">
        <w:rPr>
          <w:rFonts w:ascii="Proxima Nova" w:hAnsi="Proxima Nova" w:cstheme="minorHAnsi"/>
          <w:sz w:val="22"/>
          <w:szCs w:val="22"/>
          <w:lang w:val="en"/>
        </w:rPr>
        <w:t xml:space="preserve"> </w:t>
      </w:r>
      <w:r w:rsidR="007A77A7" w:rsidRPr="00233EF8">
        <w:rPr>
          <w:rFonts w:ascii="Proxima Nova" w:hAnsi="Proxima Nova" w:cstheme="minorHAnsi"/>
          <w:sz w:val="22"/>
          <w:szCs w:val="22"/>
          <w:lang w:val="en"/>
        </w:rPr>
        <w:t xml:space="preserve">Moreover, women and girls with disability are less likely to be believed when they report violence. This is evident in the context of RACFs. </w:t>
      </w:r>
      <w:r w:rsidR="007A77A7" w:rsidRPr="00233EF8">
        <w:rPr>
          <w:rFonts w:ascii="Proxima Nova" w:eastAsia="Calibri" w:hAnsi="Proxima Nova" w:cstheme="minorHAnsi"/>
          <w:sz w:val="22"/>
          <w:szCs w:val="22"/>
          <w:lang w:val="en-GB"/>
        </w:rPr>
        <w:t>Women in RACFs experience sexual violence, including from staff and other residents.</w:t>
      </w:r>
      <w:r w:rsidR="007A77A7" w:rsidRPr="00233EF8">
        <w:rPr>
          <w:rStyle w:val="EndnoteReference"/>
          <w:rFonts w:ascii="Proxima Nova" w:eastAsia="Calibri" w:hAnsi="Proxima Nova" w:cstheme="minorHAnsi"/>
          <w:sz w:val="22"/>
          <w:szCs w:val="22"/>
          <w:lang w:val="en-GB"/>
        </w:rPr>
        <w:endnoteReference w:id="230"/>
      </w:r>
      <w:r w:rsidR="007A77A7" w:rsidRPr="00233EF8">
        <w:rPr>
          <w:rFonts w:ascii="Proxima Nova" w:eastAsia="Calibri" w:hAnsi="Proxima Nova" w:cstheme="minorHAnsi"/>
          <w:sz w:val="22"/>
          <w:szCs w:val="22"/>
          <w:lang w:val="en-GB"/>
        </w:rPr>
        <w:t xml:space="preserve"> Research indicates victims predominantly have disability.</w:t>
      </w:r>
      <w:r w:rsidR="007A77A7" w:rsidRPr="00233EF8">
        <w:rPr>
          <w:rStyle w:val="EndnoteReference"/>
          <w:rFonts w:ascii="Proxima Nova" w:eastAsia="Calibri" w:hAnsi="Proxima Nova" w:cstheme="minorHAnsi"/>
          <w:sz w:val="22"/>
          <w:szCs w:val="22"/>
          <w:lang w:val="en-GB"/>
        </w:rPr>
        <w:endnoteReference w:id="231"/>
      </w:r>
      <w:r w:rsidR="007A77A7" w:rsidRPr="00233EF8">
        <w:rPr>
          <w:rFonts w:ascii="Proxima Nova" w:eastAsia="Calibri" w:hAnsi="Proxima Nova" w:cstheme="minorHAnsi"/>
          <w:sz w:val="22"/>
          <w:szCs w:val="22"/>
          <w:lang w:val="en-GB"/>
        </w:rPr>
        <w:t xml:space="preserve"> Research suggests this is particularly problematic for older women with dementia, because their disability means they are less likely to be believed or understood when they disclose sexual assault and police are unlikely to pursue the matters. Moreover, their distress might be perceived as a behavioural symptom of their dementia and thus responded to through the use of restrictive practices.</w:t>
      </w:r>
      <w:r w:rsidR="007A77A7" w:rsidRPr="00233EF8">
        <w:rPr>
          <w:rStyle w:val="EndnoteReference"/>
          <w:rFonts w:ascii="Proxima Nova" w:eastAsia="Calibri" w:hAnsi="Proxima Nova" w:cstheme="minorHAnsi"/>
          <w:sz w:val="22"/>
          <w:szCs w:val="22"/>
          <w:lang w:val="en-GB"/>
        </w:rPr>
        <w:endnoteReference w:id="232"/>
      </w:r>
      <w:r w:rsidR="007A77A7" w:rsidRPr="00233EF8">
        <w:rPr>
          <w:rFonts w:ascii="Proxima Nova" w:eastAsia="Calibri" w:hAnsi="Proxima Nova" w:cstheme="minorHAnsi"/>
          <w:sz w:val="22"/>
          <w:szCs w:val="22"/>
          <w:vertAlign w:val="superscript"/>
          <w:lang w:val="en-GB"/>
        </w:rPr>
        <w:t xml:space="preserve"> </w:t>
      </w:r>
      <w:r w:rsidR="007A77A7" w:rsidRPr="00233EF8">
        <w:rPr>
          <w:rFonts w:ascii="Proxima Nova" w:eastAsia="Calibri" w:hAnsi="Proxima Nova" w:cstheme="minorHAnsi"/>
          <w:sz w:val="22"/>
          <w:szCs w:val="22"/>
          <w:lang w:val="en-GB"/>
        </w:rPr>
        <w:t>The impacts are particularly dire, as noted by Smith in their systematic review of literature on sexual assault of older people in nursing homes: ‘[w]</w:t>
      </w:r>
      <w:r w:rsidR="007A77A7" w:rsidRPr="00233EF8">
        <w:rPr>
          <w:rFonts w:ascii="Proxima Nova" w:eastAsia="Calibri" w:hAnsi="Proxima Nova" w:cstheme="minorHAnsi"/>
          <w:color w:val="000000"/>
          <w:sz w:val="22"/>
          <w:szCs w:val="22"/>
          <w:lang w:val="en-GB"/>
        </w:rPr>
        <w:t>ithin a year of being assaulted, 50% of victims died … Considering older people have an increased risk of mortality after traumatic experiences or of suffering from anxiety disorders, it is reasonable to postulate, the sexual assault can contribute to an accelerated death.’</w:t>
      </w:r>
      <w:r w:rsidR="007A77A7" w:rsidRPr="00233EF8">
        <w:rPr>
          <w:rStyle w:val="EndnoteReference"/>
          <w:rFonts w:ascii="Proxima Nova" w:eastAsia="Calibri" w:hAnsi="Proxima Nova" w:cstheme="minorHAnsi"/>
          <w:color w:val="000000"/>
          <w:sz w:val="22"/>
          <w:szCs w:val="22"/>
          <w:lang w:val="en-GB"/>
        </w:rPr>
        <w:endnoteReference w:id="233"/>
      </w:r>
    </w:p>
    <w:p w14:paraId="05AB9ADB" w14:textId="77777777" w:rsidR="00D4016D" w:rsidRPr="00233EF8" w:rsidRDefault="00D4016D" w:rsidP="00233EF8">
      <w:pPr>
        <w:pStyle w:val="ListParagraph"/>
        <w:spacing w:line="276" w:lineRule="auto"/>
        <w:ind w:hanging="720"/>
        <w:rPr>
          <w:rFonts w:ascii="Proxima Nova" w:hAnsi="Proxima Nova" w:cstheme="minorHAnsi"/>
          <w:sz w:val="22"/>
          <w:szCs w:val="22"/>
          <w:lang w:val="en"/>
        </w:rPr>
      </w:pPr>
    </w:p>
    <w:p w14:paraId="236081FA" w14:textId="77777777" w:rsidR="00D4016D" w:rsidRPr="00233EF8" w:rsidRDefault="00D4016D" w:rsidP="00233EF8">
      <w:pPr>
        <w:pStyle w:val="ListParagraph"/>
        <w:numPr>
          <w:ilvl w:val="1"/>
          <w:numId w:val="28"/>
        </w:numPr>
        <w:autoSpaceDE w:val="0"/>
        <w:autoSpaceDN w:val="0"/>
        <w:adjustRightInd w:val="0"/>
        <w:spacing w:line="276" w:lineRule="auto"/>
        <w:ind w:left="720" w:hanging="720"/>
        <w:contextualSpacing w:val="0"/>
        <w:rPr>
          <w:rFonts w:ascii="Proxima Nova" w:hAnsi="Proxima Nova" w:cstheme="minorHAnsi"/>
          <w:sz w:val="22"/>
          <w:szCs w:val="22"/>
          <w:lang w:val="en"/>
        </w:rPr>
      </w:pPr>
      <w:r w:rsidRPr="00233EF8">
        <w:rPr>
          <w:rFonts w:ascii="Proxima Nova" w:hAnsi="Proxima Nova" w:cstheme="minorHAnsi"/>
          <w:sz w:val="22"/>
          <w:szCs w:val="22"/>
          <w:lang w:val="en"/>
        </w:rPr>
        <w:t>Restrictive practices perpetrate longer term epistemic violence through limiting future opportunities for self-understanding and expression. As explained by Roper et al (all of whom have lived experience of the Australian or New Zealand mental health systems) in the context of mental health systems,</w:t>
      </w:r>
      <w:r w:rsidRPr="00233EF8">
        <w:rPr>
          <w:rFonts w:ascii="Proxima Nova" w:hAnsi="Proxima Nova"/>
          <w:sz w:val="22"/>
          <w:szCs w:val="22"/>
        </w:rPr>
        <w:t xml:space="preserve"> restrictive practices and the broader mental health system have: ‘oppressive, ongoing and cumulative negative impacts on self-hood from restraints on meaning-making, self-expression, hope and trust in oneself.’</w:t>
      </w:r>
      <w:r w:rsidRPr="00233EF8">
        <w:rPr>
          <w:rStyle w:val="EndnoteReference"/>
          <w:rFonts w:ascii="Proxima Nova" w:hAnsi="Proxima Nova"/>
          <w:sz w:val="22"/>
          <w:szCs w:val="22"/>
        </w:rPr>
        <w:endnoteReference w:id="234"/>
      </w:r>
      <w:r w:rsidRPr="00233EF8">
        <w:rPr>
          <w:rFonts w:ascii="Proxima Nova" w:hAnsi="Proxima Nova"/>
          <w:sz w:val="22"/>
          <w:szCs w:val="22"/>
        </w:rPr>
        <w:t xml:space="preserve"> They state</w:t>
      </w:r>
      <w:r w:rsidRPr="00233EF8">
        <w:rPr>
          <w:rFonts w:ascii="Proxima Nova" w:hAnsi="Proxima Nova" w:cstheme="minorHAnsi"/>
          <w:sz w:val="22"/>
          <w:szCs w:val="22"/>
          <w:lang w:val="en"/>
        </w:rPr>
        <w:t>: ‘</w:t>
      </w:r>
      <w:r w:rsidRPr="00233EF8">
        <w:rPr>
          <w:rFonts w:ascii="Proxima Nova" w:hAnsi="Proxima Nova"/>
          <w:sz w:val="22"/>
          <w:szCs w:val="22"/>
        </w:rPr>
        <w:t>[t]o be able to think freely is surely the most sacrosanct of all freedoms, and to interfere with this without a person’s consent is both ethically and physically harmful.’</w:t>
      </w:r>
      <w:r w:rsidRPr="00233EF8">
        <w:rPr>
          <w:rStyle w:val="EndnoteReference"/>
          <w:rFonts w:ascii="Proxima Nova" w:hAnsi="Proxima Nova"/>
          <w:sz w:val="22"/>
          <w:szCs w:val="22"/>
        </w:rPr>
        <w:endnoteReference w:id="235"/>
      </w:r>
      <w:r w:rsidRPr="00233EF8">
        <w:rPr>
          <w:rFonts w:ascii="Proxima Nova" w:hAnsi="Proxima Nova"/>
          <w:sz w:val="22"/>
          <w:szCs w:val="22"/>
        </w:rPr>
        <w:t xml:space="preserve"> </w:t>
      </w:r>
    </w:p>
    <w:p w14:paraId="4867130F" w14:textId="77777777" w:rsidR="00D4016D" w:rsidRPr="00233EF8" w:rsidRDefault="00D4016D" w:rsidP="00233EF8">
      <w:pPr>
        <w:autoSpaceDE w:val="0"/>
        <w:autoSpaceDN w:val="0"/>
        <w:adjustRightInd w:val="0"/>
        <w:spacing w:line="276" w:lineRule="auto"/>
        <w:ind w:left="720" w:hanging="720"/>
        <w:rPr>
          <w:rFonts w:ascii="Proxima Nova" w:hAnsi="Proxima Nova" w:cstheme="minorHAnsi"/>
          <w:sz w:val="22"/>
          <w:szCs w:val="22"/>
          <w:lang w:val="en"/>
        </w:rPr>
      </w:pPr>
    </w:p>
    <w:p w14:paraId="35530BFA" w14:textId="77777777" w:rsidR="00D4016D" w:rsidRPr="00233EF8" w:rsidRDefault="00D4016D" w:rsidP="00233EF8">
      <w:pPr>
        <w:pStyle w:val="ListParagraph"/>
        <w:numPr>
          <w:ilvl w:val="1"/>
          <w:numId w:val="28"/>
        </w:numPr>
        <w:autoSpaceDE w:val="0"/>
        <w:autoSpaceDN w:val="0"/>
        <w:adjustRightInd w:val="0"/>
        <w:spacing w:line="276" w:lineRule="auto"/>
        <w:ind w:left="720" w:hanging="720"/>
        <w:contextualSpacing w:val="0"/>
        <w:rPr>
          <w:rFonts w:ascii="Proxima Nova" w:hAnsi="Proxima Nova"/>
          <w:sz w:val="22"/>
          <w:szCs w:val="22"/>
          <w:lang w:val="en"/>
        </w:rPr>
      </w:pPr>
      <w:r w:rsidRPr="00233EF8">
        <w:rPr>
          <w:rFonts w:ascii="Proxima Nova" w:hAnsi="Proxima Nova"/>
          <w:sz w:val="22"/>
          <w:szCs w:val="22"/>
          <w:lang w:val="en"/>
        </w:rPr>
        <w:t xml:space="preserve">Engaging with the epistemic violence of the use of restrictive practices directs the Royal Commission’s attention to how people with disability are impacted by the negation of epistemic and ontological authority. This not only negatively impacts people with </w:t>
      </w:r>
      <w:proofErr w:type="gramStart"/>
      <w:r w:rsidRPr="00233EF8">
        <w:rPr>
          <w:rFonts w:ascii="Proxima Nova" w:hAnsi="Proxima Nova"/>
          <w:sz w:val="22"/>
          <w:szCs w:val="22"/>
          <w:lang w:val="en"/>
        </w:rPr>
        <w:t>disability, but</w:t>
      </w:r>
      <w:proofErr w:type="gramEnd"/>
      <w:r w:rsidRPr="00233EF8">
        <w:rPr>
          <w:rFonts w:ascii="Proxima Nova" w:hAnsi="Proxima Nova"/>
          <w:sz w:val="22"/>
          <w:szCs w:val="22"/>
          <w:lang w:val="en"/>
        </w:rPr>
        <w:t xml:space="preserve"> has a productive and positive impact on others by validating and empowering the authority of legal, medical and helping professionals.</w:t>
      </w:r>
      <w:r w:rsidRPr="00233EF8">
        <w:rPr>
          <w:rStyle w:val="EndnoteReference"/>
          <w:rFonts w:ascii="Proxima Nova" w:hAnsi="Proxima Nova"/>
          <w:sz w:val="22"/>
          <w:szCs w:val="22"/>
          <w:lang w:val="en"/>
        </w:rPr>
        <w:endnoteReference w:id="236"/>
      </w:r>
      <w:r w:rsidRPr="00233EF8">
        <w:rPr>
          <w:rFonts w:ascii="Proxima Nova" w:hAnsi="Proxima Nova"/>
          <w:sz w:val="22"/>
          <w:szCs w:val="22"/>
          <w:lang w:val="en"/>
        </w:rPr>
        <w:t xml:space="preserve"> </w:t>
      </w:r>
      <w:r w:rsidRPr="00233EF8">
        <w:rPr>
          <w:rFonts w:ascii="Proxima Nova" w:hAnsi="Proxima Nova" w:cstheme="minorHAnsi"/>
          <w:sz w:val="22"/>
          <w:szCs w:val="22"/>
        </w:rPr>
        <w:t>Yet rarely is this authority challenged because these professions occupy epistemically and economically privileged positions in society.</w:t>
      </w:r>
      <w:r w:rsidRPr="00233EF8">
        <w:rPr>
          <w:rFonts w:ascii="Proxima Nova" w:hAnsi="Proxima Nova"/>
          <w:sz w:val="22"/>
          <w:szCs w:val="22"/>
          <w:lang w:val="en"/>
        </w:rPr>
        <w:t xml:space="preserve"> </w:t>
      </w:r>
    </w:p>
    <w:p w14:paraId="4DFF5461" w14:textId="77777777" w:rsidR="00D4016D" w:rsidRPr="00233EF8" w:rsidRDefault="00D4016D" w:rsidP="00233EF8">
      <w:pPr>
        <w:autoSpaceDE w:val="0"/>
        <w:autoSpaceDN w:val="0"/>
        <w:adjustRightInd w:val="0"/>
        <w:spacing w:line="276" w:lineRule="auto"/>
        <w:ind w:left="720" w:hanging="720"/>
        <w:rPr>
          <w:rFonts w:ascii="Proxima Nova" w:hAnsi="Proxima Nova" w:cstheme="minorHAnsi"/>
          <w:sz w:val="22"/>
          <w:szCs w:val="22"/>
          <w:lang w:val="en"/>
        </w:rPr>
      </w:pPr>
    </w:p>
    <w:p w14:paraId="5754EFEB" w14:textId="73EAB3F4" w:rsidR="00D4016D" w:rsidRPr="00233EF8" w:rsidRDefault="00D4016D" w:rsidP="00233EF8">
      <w:pPr>
        <w:pStyle w:val="ListParagraph"/>
        <w:numPr>
          <w:ilvl w:val="1"/>
          <w:numId w:val="28"/>
        </w:numPr>
        <w:spacing w:line="276" w:lineRule="auto"/>
        <w:ind w:left="720" w:hanging="720"/>
        <w:contextualSpacing w:val="0"/>
        <w:rPr>
          <w:rFonts w:ascii="Proxima Nova" w:hAnsi="Proxima Nova" w:cstheme="minorHAnsi"/>
          <w:sz w:val="22"/>
          <w:szCs w:val="22"/>
        </w:rPr>
      </w:pPr>
      <w:r w:rsidRPr="00233EF8">
        <w:rPr>
          <w:rFonts w:ascii="Proxima Nova" w:hAnsi="Proxima Nova" w:cstheme="minorHAnsi"/>
          <w:sz w:val="22"/>
          <w:szCs w:val="22"/>
          <w:lang w:val="en"/>
        </w:rPr>
        <w:t xml:space="preserve">Therefore, considering ontological violence and epistemic violence in the use of restrictive practices </w:t>
      </w:r>
      <w:r w:rsidR="00302F0D" w:rsidRPr="00233EF8">
        <w:rPr>
          <w:rFonts w:ascii="Proxima Nova" w:hAnsi="Proxima Nova" w:cstheme="minorHAnsi"/>
          <w:sz w:val="22"/>
          <w:szCs w:val="22"/>
          <w:lang w:val="en"/>
        </w:rPr>
        <w:t xml:space="preserve">can </w:t>
      </w:r>
      <w:r w:rsidRPr="00233EF8">
        <w:rPr>
          <w:rFonts w:ascii="Proxima Nova" w:hAnsi="Proxima Nova" w:cstheme="minorHAnsi"/>
          <w:sz w:val="22"/>
          <w:szCs w:val="22"/>
          <w:lang w:val="en"/>
        </w:rPr>
        <w:t>help the Royal Commission to understand the violence of restrictive practices in several inter-related ways. First, restrictive practices as coercive interventions deny individuals the opportunity to make their own choices about their bodies and lives. Second, conventional justifications of restrictive practices as protective responses to individual be</w:t>
      </w:r>
      <w:r w:rsidRPr="00233EF8">
        <w:rPr>
          <w:rFonts w:ascii="Proxima Nova" w:hAnsi="Proxima Nova"/>
          <w:sz w:val="22"/>
          <w:szCs w:val="22"/>
          <w:lang w:val="en"/>
        </w:rPr>
        <w:t xml:space="preserve">haviour deny individuals the opportunity to express their resistance to their circumstances, to express distress in response to previous experiences of violence, or to express themselves in ways that elicit in others discomfort, fear, confusion or disgust. Fourth, </w:t>
      </w:r>
      <w:r w:rsidRPr="00233EF8">
        <w:rPr>
          <w:rFonts w:ascii="Proxima Nova" w:hAnsi="Proxima Nova" w:cstheme="minorHAnsi"/>
          <w:sz w:val="22"/>
          <w:szCs w:val="22"/>
        </w:rPr>
        <w:t xml:space="preserve">we can move beyond an individualised understanding of attitudes towards disability in order to understand an entire cultural logic about disability that shapes the parameters in which people with disability can be known and can exist in the world. This broader understanding is informed by ableism, imperialism, colonialism, capitalism, patriarchal heteronormativity and white supremacy. In turn, we can shift from focusing on changing individual attitudes (e.g. through community education) to exposing and transforming cultural logics about </w:t>
      </w:r>
      <w:r w:rsidR="007B7386" w:rsidRPr="00233EF8">
        <w:rPr>
          <w:rFonts w:ascii="Proxima Nova" w:hAnsi="Proxima Nova" w:cstheme="minorHAnsi"/>
          <w:sz w:val="22"/>
          <w:szCs w:val="22"/>
        </w:rPr>
        <w:t>the violability</w:t>
      </w:r>
      <w:r w:rsidR="00302F0D" w:rsidRPr="00233EF8">
        <w:rPr>
          <w:rFonts w:ascii="Proxima Nova" w:hAnsi="Proxima Nova" w:cstheme="minorHAnsi"/>
          <w:sz w:val="22"/>
          <w:szCs w:val="22"/>
        </w:rPr>
        <w:t>,</w:t>
      </w:r>
      <w:r w:rsidR="007B7386" w:rsidRPr="00233EF8">
        <w:rPr>
          <w:rFonts w:ascii="Proxima Nova" w:hAnsi="Proxima Nova" w:cstheme="minorHAnsi"/>
          <w:sz w:val="22"/>
          <w:szCs w:val="22"/>
        </w:rPr>
        <w:t xml:space="preserve"> ungrievability </w:t>
      </w:r>
      <w:r w:rsidR="00302F0D" w:rsidRPr="00233EF8">
        <w:rPr>
          <w:rFonts w:ascii="Proxima Nova" w:hAnsi="Proxima Nova" w:cstheme="minorHAnsi"/>
          <w:sz w:val="22"/>
          <w:szCs w:val="22"/>
        </w:rPr>
        <w:t>and need to control people</w:t>
      </w:r>
      <w:r w:rsidRPr="00233EF8">
        <w:rPr>
          <w:rFonts w:ascii="Proxima Nova" w:hAnsi="Proxima Nova" w:cstheme="minorHAnsi"/>
          <w:sz w:val="22"/>
          <w:szCs w:val="22"/>
        </w:rPr>
        <w:t xml:space="preserve"> with disability embedded in </w:t>
      </w:r>
      <w:r w:rsidRPr="00233EF8">
        <w:rPr>
          <w:rFonts w:ascii="Proxima Nova" w:hAnsi="Proxima Nova" w:cstheme="minorHAnsi"/>
          <w:sz w:val="22"/>
          <w:szCs w:val="22"/>
          <w:lang w:val="en"/>
        </w:rPr>
        <w:t>invisible/mundane/everyday aspects of society, such as the built environment, service provision, bureaucratic processes, funding arrangements, regulatory frameworks, and in</w:t>
      </w:r>
      <w:r w:rsidRPr="00233EF8">
        <w:rPr>
          <w:rFonts w:ascii="Proxima Nova" w:hAnsi="Proxima Nova" w:cstheme="minorHAnsi"/>
          <w:sz w:val="22"/>
          <w:szCs w:val="22"/>
        </w:rPr>
        <w:t xml:space="preserve"> the knowledge systems underpinning some of the most epistemically and financially privileged professions in society. </w:t>
      </w:r>
      <w:r w:rsidR="00302F0D" w:rsidRPr="00233EF8">
        <w:rPr>
          <w:rFonts w:ascii="Proxima Nova" w:hAnsi="Proxima Nova"/>
          <w:sz w:val="22"/>
          <w:szCs w:val="22"/>
          <w:lang w:val="en"/>
        </w:rPr>
        <w:t>Exposing and transforming cultural logics</w:t>
      </w:r>
      <w:r w:rsidRPr="00233EF8">
        <w:rPr>
          <w:rFonts w:ascii="Proxima Nova" w:hAnsi="Proxima Nova"/>
          <w:sz w:val="22"/>
          <w:szCs w:val="22"/>
          <w:lang w:val="en"/>
        </w:rPr>
        <w:t xml:space="preserve"> includes</w:t>
      </w:r>
      <w:r w:rsidRPr="00233EF8">
        <w:rPr>
          <w:rFonts w:ascii="Proxima Nova" w:hAnsi="Proxima Nova" w:cstheme="minorHAnsi"/>
          <w:sz w:val="22"/>
          <w:szCs w:val="22"/>
        </w:rPr>
        <w:t xml:space="preserve"> interrogating the endurance of eugenics logic about disability (and other marginalised populations) in legal and medical knowledge and disability services systems. </w:t>
      </w:r>
      <w:r w:rsidR="00302F0D" w:rsidRPr="00233EF8">
        <w:rPr>
          <w:rFonts w:ascii="Proxima Nova" w:hAnsi="Proxima Nova" w:cstheme="minorHAnsi"/>
          <w:sz w:val="22"/>
          <w:szCs w:val="22"/>
        </w:rPr>
        <w:t>A focus on cultural logics als</w:t>
      </w:r>
      <w:r w:rsidRPr="00233EF8">
        <w:rPr>
          <w:rFonts w:ascii="Proxima Nova" w:hAnsi="Proxima Nova" w:cstheme="minorHAnsi"/>
          <w:sz w:val="22"/>
          <w:szCs w:val="22"/>
        </w:rPr>
        <w:t xml:space="preserve">o indicates the fundamental interconnection between preventing and redressing violence </w:t>
      </w:r>
      <w:r w:rsidRPr="00233EF8">
        <w:rPr>
          <w:rFonts w:ascii="Proxima Nova" w:hAnsi="Proxima Nova" w:cstheme="minorHAnsi"/>
          <w:sz w:val="22"/>
          <w:szCs w:val="22"/>
        </w:rPr>
        <w:lastRenderedPageBreak/>
        <w:t xml:space="preserve">against people with disability and </w:t>
      </w:r>
      <w:r w:rsidR="00302F0D" w:rsidRPr="00233EF8">
        <w:rPr>
          <w:rFonts w:ascii="Proxima Nova" w:hAnsi="Proxima Nova" w:cstheme="minorHAnsi"/>
          <w:sz w:val="22"/>
          <w:szCs w:val="22"/>
        </w:rPr>
        <w:t xml:space="preserve">preventing and redressing </w:t>
      </w:r>
      <w:r w:rsidRPr="00233EF8">
        <w:rPr>
          <w:rFonts w:ascii="Proxima Nova" w:hAnsi="Proxima Nova" w:cstheme="minorHAnsi"/>
          <w:sz w:val="22"/>
          <w:szCs w:val="22"/>
        </w:rPr>
        <w:t>material and epistemic/ontological violence against other marginalised groups.</w:t>
      </w:r>
    </w:p>
    <w:p w14:paraId="6101F967" w14:textId="77777777" w:rsidR="007842E8" w:rsidRPr="00233EF8" w:rsidRDefault="007842E8" w:rsidP="00233EF8">
      <w:pPr>
        <w:pStyle w:val="ListParagraph"/>
        <w:spacing w:line="276" w:lineRule="auto"/>
        <w:ind w:hanging="720"/>
        <w:contextualSpacing w:val="0"/>
        <w:rPr>
          <w:rFonts w:ascii="Proxima Nova" w:hAnsi="Proxima Nova" w:cstheme="minorHAnsi"/>
          <w:sz w:val="22"/>
          <w:szCs w:val="22"/>
          <w:lang w:val="en"/>
        </w:rPr>
      </w:pPr>
    </w:p>
    <w:p w14:paraId="2FE80DBE" w14:textId="77777777" w:rsidR="007842E8" w:rsidRPr="00933B76" w:rsidRDefault="007842E8" w:rsidP="007842E8">
      <w:pPr>
        <w:spacing w:line="276" w:lineRule="auto"/>
        <w:rPr>
          <w:rFonts w:ascii="Proxima Nova" w:hAnsi="Proxima Nova" w:cstheme="minorHAnsi"/>
        </w:rPr>
      </w:pPr>
      <w:r w:rsidRPr="00933B76">
        <w:rPr>
          <w:rFonts w:ascii="Proxima Nova" w:hAnsi="Proxima Nova"/>
          <w:b/>
          <w:color w:val="AC1F79"/>
        </w:rPr>
        <w:t>Settler Colonial Violence</w:t>
      </w:r>
    </w:p>
    <w:p w14:paraId="7464003F" w14:textId="77777777" w:rsidR="007842E8" w:rsidRPr="00233EF8" w:rsidRDefault="007842E8" w:rsidP="00233EF8">
      <w:pPr>
        <w:autoSpaceDE w:val="0"/>
        <w:autoSpaceDN w:val="0"/>
        <w:adjustRightInd w:val="0"/>
        <w:spacing w:line="276" w:lineRule="auto"/>
        <w:rPr>
          <w:rFonts w:ascii="Proxima Nova" w:hAnsi="Proxima Nova" w:cstheme="minorHAnsi"/>
          <w:sz w:val="22"/>
          <w:szCs w:val="22"/>
          <w:lang w:val="en"/>
        </w:rPr>
      </w:pPr>
    </w:p>
    <w:p w14:paraId="3B6A6301" w14:textId="27B49269" w:rsidR="007842E8" w:rsidRPr="00233EF8" w:rsidRDefault="007842E8" w:rsidP="00233EF8">
      <w:pPr>
        <w:pStyle w:val="ListParagraph"/>
        <w:numPr>
          <w:ilvl w:val="1"/>
          <w:numId w:val="28"/>
        </w:numPr>
        <w:spacing w:line="276" w:lineRule="auto"/>
        <w:ind w:left="720" w:hanging="720"/>
        <w:rPr>
          <w:rFonts w:ascii="Proxima Nova" w:hAnsi="Proxima Nova" w:cstheme="minorHAnsi"/>
          <w:sz w:val="22"/>
          <w:szCs w:val="22"/>
          <w:lang w:val="en-AU"/>
        </w:rPr>
      </w:pPr>
      <w:r w:rsidRPr="00233EF8">
        <w:rPr>
          <w:rFonts w:ascii="Proxima Nova" w:hAnsi="Proxima Nova" w:cstheme="minorHAnsi"/>
          <w:sz w:val="22"/>
          <w:szCs w:val="22"/>
          <w:lang w:val="en-AU"/>
        </w:rPr>
        <w:t>Research suggests that First Nations people are more subject to restrictive practices,</w:t>
      </w:r>
      <w:r w:rsidRPr="00233EF8">
        <w:rPr>
          <w:rStyle w:val="EndnoteReference"/>
          <w:rFonts w:ascii="Proxima Nova" w:hAnsi="Proxima Nova" w:cstheme="minorHAnsi"/>
          <w:sz w:val="22"/>
          <w:szCs w:val="22"/>
          <w:lang w:val="en-AU"/>
        </w:rPr>
        <w:endnoteReference w:id="237"/>
      </w:r>
      <w:r w:rsidRPr="00233EF8">
        <w:rPr>
          <w:rFonts w:ascii="Proxima Nova" w:hAnsi="Proxima Nova" w:cstheme="minorHAnsi"/>
          <w:sz w:val="22"/>
          <w:szCs w:val="22"/>
          <w:lang w:val="en-AU"/>
        </w:rPr>
        <w:t xml:space="preserve"> and this can be understood in a broader context of their higher representation in systems of </w:t>
      </w:r>
      <w:r w:rsidR="00DE38DB" w:rsidRPr="00233EF8">
        <w:rPr>
          <w:rFonts w:ascii="Proxima Nova" w:hAnsi="Proxima Nova" w:cstheme="minorHAnsi"/>
          <w:sz w:val="22"/>
          <w:szCs w:val="22"/>
          <w:lang w:val="en-AU"/>
        </w:rPr>
        <w:t xml:space="preserve">incarceration and </w:t>
      </w:r>
      <w:r w:rsidRPr="00233EF8">
        <w:rPr>
          <w:rFonts w:ascii="Proxima Nova" w:hAnsi="Proxima Nova" w:cstheme="minorHAnsi"/>
          <w:sz w:val="22"/>
          <w:szCs w:val="22"/>
          <w:lang w:val="en-AU"/>
        </w:rPr>
        <w:t>control, such as criminal justice and child welfare systems. Restrictive practices are one part of a broader phenomenon of settler colonial violence.</w:t>
      </w:r>
    </w:p>
    <w:p w14:paraId="7B64E96A" w14:textId="77777777" w:rsidR="007842E8" w:rsidRPr="00233EF8" w:rsidRDefault="007842E8" w:rsidP="00233EF8">
      <w:pPr>
        <w:spacing w:line="276" w:lineRule="auto"/>
        <w:ind w:left="720" w:hanging="720"/>
        <w:rPr>
          <w:rFonts w:ascii="Proxima Nova" w:hAnsi="Proxima Nova" w:cstheme="minorHAnsi"/>
          <w:sz w:val="22"/>
          <w:szCs w:val="22"/>
        </w:rPr>
      </w:pPr>
    </w:p>
    <w:p w14:paraId="75D54994" w14:textId="041F5D92" w:rsidR="007842E8" w:rsidRPr="00233EF8" w:rsidRDefault="007842E8" w:rsidP="00233EF8">
      <w:pPr>
        <w:pStyle w:val="ListParagraph"/>
        <w:numPr>
          <w:ilvl w:val="1"/>
          <w:numId w:val="28"/>
        </w:numPr>
        <w:autoSpaceDE w:val="0"/>
        <w:autoSpaceDN w:val="0"/>
        <w:adjustRightInd w:val="0"/>
        <w:spacing w:line="276" w:lineRule="auto"/>
        <w:ind w:left="720" w:hanging="720"/>
        <w:rPr>
          <w:rFonts w:ascii="Proxima Nova" w:hAnsi="Proxima Nova" w:cstheme="minorHAnsi"/>
          <w:sz w:val="22"/>
          <w:szCs w:val="22"/>
        </w:rPr>
      </w:pPr>
      <w:r w:rsidRPr="00233EF8">
        <w:rPr>
          <w:rFonts w:ascii="Proxima Nova" w:hAnsi="Proxima Nova" w:cstheme="minorHAnsi"/>
          <w:sz w:val="22"/>
          <w:szCs w:val="22"/>
          <w:lang w:val="en"/>
        </w:rPr>
        <w:t>Settler colonial violence is not simply about prejudice or hatred towards First Nations people. Rather, it is about a ‘logic of elimination’ – the dispossession, displacement and elimination of First Nations people.</w:t>
      </w:r>
      <w:r w:rsidRPr="00233EF8">
        <w:rPr>
          <w:rStyle w:val="EndnoteReference"/>
          <w:rFonts w:ascii="Proxima Nova" w:hAnsi="Proxima Nova" w:cstheme="minorHAnsi"/>
          <w:sz w:val="22"/>
          <w:szCs w:val="22"/>
          <w:lang w:val="en"/>
        </w:rPr>
        <w:endnoteReference w:id="238"/>
      </w:r>
      <w:r w:rsidRPr="00233EF8">
        <w:rPr>
          <w:rFonts w:ascii="Proxima Nova" w:hAnsi="Proxima Nova" w:cstheme="minorHAnsi"/>
          <w:sz w:val="22"/>
          <w:szCs w:val="22"/>
          <w:lang w:val="en"/>
        </w:rPr>
        <w:t xml:space="preserve"> Bond explains that settler colonial violence gives rise to the </w:t>
      </w:r>
      <w:r w:rsidRPr="00233EF8">
        <w:rPr>
          <w:rFonts w:ascii="Proxima Nova" w:hAnsi="Proxima Nova" w:cstheme="minorHAnsi"/>
          <w:sz w:val="22"/>
          <w:szCs w:val="22"/>
        </w:rPr>
        <w:t>deliberate irrelevance of First Nations people’s lives and deaths:</w:t>
      </w:r>
    </w:p>
    <w:p w14:paraId="1274B25F" w14:textId="77777777" w:rsidR="007842E8" w:rsidRPr="00233EF8" w:rsidRDefault="007842E8" w:rsidP="00233EF8">
      <w:pPr>
        <w:autoSpaceDE w:val="0"/>
        <w:autoSpaceDN w:val="0"/>
        <w:adjustRightInd w:val="0"/>
        <w:spacing w:line="276" w:lineRule="auto"/>
        <w:ind w:left="720" w:hanging="720"/>
        <w:rPr>
          <w:rFonts w:ascii="Proxima Nova" w:hAnsi="Proxima Nova" w:cstheme="minorHAnsi"/>
          <w:sz w:val="22"/>
          <w:szCs w:val="22"/>
        </w:rPr>
      </w:pPr>
    </w:p>
    <w:p w14:paraId="21EBA6E1" w14:textId="77777777" w:rsidR="007842E8" w:rsidRPr="00233EF8" w:rsidRDefault="007842E8" w:rsidP="00233EF8">
      <w:pPr>
        <w:autoSpaceDE w:val="0"/>
        <w:autoSpaceDN w:val="0"/>
        <w:adjustRightInd w:val="0"/>
        <w:spacing w:line="276" w:lineRule="auto"/>
        <w:ind w:left="1134"/>
        <w:rPr>
          <w:rFonts w:ascii="Proxima Nova" w:hAnsi="Proxima Nova" w:cstheme="minorHAnsi"/>
          <w:i/>
          <w:iCs/>
          <w:sz w:val="22"/>
          <w:szCs w:val="22"/>
        </w:rPr>
      </w:pPr>
      <w:r w:rsidRPr="00233EF8">
        <w:rPr>
          <w:rFonts w:ascii="Proxima Nova" w:hAnsi="Proxima Nova" w:cstheme="minorHAnsi"/>
          <w:i/>
          <w:iCs/>
          <w:sz w:val="22"/>
          <w:szCs w:val="22"/>
        </w:rPr>
        <w:t>And there really is nothing mysterious about the deaths of Aboriginal people in Australia, either.</w:t>
      </w:r>
    </w:p>
    <w:p w14:paraId="686DBA56" w14:textId="77777777" w:rsidR="007842E8" w:rsidRPr="00233EF8" w:rsidRDefault="007842E8" w:rsidP="00233EF8">
      <w:pPr>
        <w:autoSpaceDE w:val="0"/>
        <w:autoSpaceDN w:val="0"/>
        <w:adjustRightInd w:val="0"/>
        <w:spacing w:line="276" w:lineRule="auto"/>
        <w:ind w:left="1134"/>
        <w:rPr>
          <w:rFonts w:ascii="Proxima Nova" w:hAnsi="Proxima Nova" w:cstheme="minorHAnsi"/>
          <w:sz w:val="22"/>
          <w:szCs w:val="22"/>
        </w:rPr>
      </w:pPr>
    </w:p>
    <w:p w14:paraId="549262B6" w14:textId="77777777" w:rsidR="007842E8" w:rsidRPr="00233EF8" w:rsidRDefault="007842E8" w:rsidP="00233EF8">
      <w:pPr>
        <w:autoSpaceDE w:val="0"/>
        <w:autoSpaceDN w:val="0"/>
        <w:adjustRightInd w:val="0"/>
        <w:spacing w:line="276" w:lineRule="auto"/>
        <w:ind w:left="1134"/>
        <w:rPr>
          <w:rFonts w:ascii="Proxima Nova" w:hAnsi="Proxima Nova" w:cstheme="minorHAnsi"/>
          <w:sz w:val="22"/>
          <w:szCs w:val="22"/>
        </w:rPr>
      </w:pPr>
      <w:r w:rsidRPr="00233EF8">
        <w:rPr>
          <w:rFonts w:ascii="Proxima Nova" w:hAnsi="Proxima Nova" w:cstheme="minorHAnsi"/>
          <w:i/>
          <w:iCs/>
          <w:sz w:val="22"/>
          <w:szCs w:val="22"/>
        </w:rPr>
        <w:t>The settlers have long insisted that our death was destined, that our race was doomed, and that we, as a people, were vanishing. Our disappearance was inevitable because it was necessary to sustain terra nullius, the foundational myth of Australia. Black deaths rationalised White invasion and land expansion in Australia.</w:t>
      </w:r>
      <w:r w:rsidRPr="00233EF8">
        <w:rPr>
          <w:rStyle w:val="EndnoteReference"/>
          <w:rFonts w:ascii="Proxima Nova" w:hAnsi="Proxima Nova" w:cstheme="minorHAnsi"/>
          <w:sz w:val="22"/>
          <w:szCs w:val="22"/>
        </w:rPr>
        <w:endnoteReference w:id="239"/>
      </w:r>
    </w:p>
    <w:p w14:paraId="0EE1C86C" w14:textId="77777777" w:rsidR="007842E8" w:rsidRPr="00233EF8" w:rsidRDefault="007842E8" w:rsidP="00233EF8">
      <w:pPr>
        <w:autoSpaceDE w:val="0"/>
        <w:autoSpaceDN w:val="0"/>
        <w:adjustRightInd w:val="0"/>
        <w:spacing w:line="276" w:lineRule="auto"/>
        <w:ind w:left="709" w:hanging="851"/>
        <w:rPr>
          <w:rFonts w:ascii="Proxima Nova" w:hAnsi="Proxima Nova"/>
          <w:sz w:val="22"/>
          <w:szCs w:val="22"/>
        </w:rPr>
      </w:pPr>
    </w:p>
    <w:p w14:paraId="06D284B8" w14:textId="77777777" w:rsidR="007842E8" w:rsidRPr="00233EF8" w:rsidRDefault="007842E8" w:rsidP="00233EF8">
      <w:pPr>
        <w:pStyle w:val="ListParagraph"/>
        <w:numPr>
          <w:ilvl w:val="1"/>
          <w:numId w:val="28"/>
        </w:numPr>
        <w:autoSpaceDE w:val="0"/>
        <w:autoSpaceDN w:val="0"/>
        <w:adjustRightInd w:val="0"/>
        <w:spacing w:line="276" w:lineRule="auto"/>
        <w:ind w:left="720" w:hanging="720"/>
        <w:rPr>
          <w:rFonts w:ascii="Proxima Nova" w:hAnsi="Proxima Nova" w:cstheme="minorHAnsi"/>
          <w:sz w:val="22"/>
          <w:szCs w:val="22"/>
        </w:rPr>
      </w:pPr>
      <w:r w:rsidRPr="00233EF8">
        <w:rPr>
          <w:rFonts w:ascii="Proxima Nova" w:hAnsi="Proxima Nova" w:cstheme="minorHAnsi"/>
          <w:sz w:val="22"/>
          <w:szCs w:val="22"/>
        </w:rPr>
        <w:t>Moreover, positioning First Nations people as ‘deviant’ or ‘vulnerable’ also involves positioning white people and the settler state as ‘rescuer’, which thus rationalises death and undercuts self-determination, absolving the settler state from accountability:</w:t>
      </w:r>
    </w:p>
    <w:p w14:paraId="553A4422" w14:textId="77777777" w:rsidR="007842E8" w:rsidRPr="00233EF8" w:rsidRDefault="007842E8" w:rsidP="00233EF8">
      <w:pPr>
        <w:pStyle w:val="ListParagraph"/>
        <w:autoSpaceDE w:val="0"/>
        <w:autoSpaceDN w:val="0"/>
        <w:adjustRightInd w:val="0"/>
        <w:spacing w:line="276" w:lineRule="auto"/>
        <w:ind w:left="709" w:hanging="851"/>
        <w:rPr>
          <w:rFonts w:ascii="Proxima Nova" w:hAnsi="Proxima Nova" w:cstheme="minorHAnsi"/>
          <w:sz w:val="22"/>
          <w:szCs w:val="22"/>
        </w:rPr>
      </w:pPr>
    </w:p>
    <w:p w14:paraId="3754BC85" w14:textId="77777777" w:rsidR="007842E8" w:rsidRPr="00233EF8" w:rsidRDefault="007842E8" w:rsidP="00233EF8">
      <w:pPr>
        <w:autoSpaceDE w:val="0"/>
        <w:autoSpaceDN w:val="0"/>
        <w:adjustRightInd w:val="0"/>
        <w:spacing w:line="276" w:lineRule="auto"/>
        <w:ind w:left="1134"/>
        <w:rPr>
          <w:rFonts w:ascii="Proxima Nova" w:hAnsi="Proxima Nova" w:cstheme="minorHAnsi"/>
          <w:i/>
          <w:iCs/>
          <w:sz w:val="22"/>
          <w:szCs w:val="22"/>
        </w:rPr>
      </w:pPr>
      <w:r w:rsidRPr="00233EF8">
        <w:rPr>
          <w:rFonts w:ascii="Proxima Nova" w:hAnsi="Proxima Nova" w:cstheme="minorHAnsi"/>
          <w:i/>
          <w:iCs/>
          <w:sz w:val="22"/>
          <w:szCs w:val="22"/>
        </w:rPr>
        <w:t xml:space="preserve">Black deviance (statistical or otherwise) has been a useful narrative device for the settlers. </w:t>
      </w:r>
    </w:p>
    <w:p w14:paraId="48D110EF" w14:textId="77777777" w:rsidR="007842E8" w:rsidRPr="00233EF8" w:rsidRDefault="007842E8" w:rsidP="00233EF8">
      <w:pPr>
        <w:autoSpaceDE w:val="0"/>
        <w:autoSpaceDN w:val="0"/>
        <w:adjustRightInd w:val="0"/>
        <w:spacing w:line="276" w:lineRule="auto"/>
        <w:ind w:left="1134"/>
        <w:rPr>
          <w:rFonts w:ascii="Proxima Nova" w:hAnsi="Proxima Nova" w:cstheme="minorHAnsi"/>
          <w:i/>
          <w:iCs/>
          <w:sz w:val="22"/>
          <w:szCs w:val="22"/>
        </w:rPr>
      </w:pPr>
    </w:p>
    <w:p w14:paraId="178379C4" w14:textId="77777777" w:rsidR="007842E8" w:rsidRPr="00233EF8" w:rsidRDefault="007842E8" w:rsidP="00233EF8">
      <w:pPr>
        <w:autoSpaceDE w:val="0"/>
        <w:autoSpaceDN w:val="0"/>
        <w:adjustRightInd w:val="0"/>
        <w:spacing w:line="276" w:lineRule="auto"/>
        <w:ind w:left="1134"/>
        <w:rPr>
          <w:rFonts w:ascii="Proxima Nova" w:hAnsi="Proxima Nova" w:cstheme="minorHAnsi"/>
          <w:sz w:val="22"/>
          <w:szCs w:val="22"/>
        </w:rPr>
      </w:pPr>
      <w:r w:rsidRPr="00233EF8">
        <w:rPr>
          <w:rFonts w:ascii="Proxima Nova" w:hAnsi="Proxima Nova" w:cstheme="minorHAnsi"/>
          <w:i/>
          <w:iCs/>
          <w:sz w:val="22"/>
          <w:szCs w:val="22"/>
        </w:rPr>
        <w:t>Black deviance supports claims of White benevolence, in which White people are simultaneously positioned as our aspirational goal and saviours. It suggests to us that Black lives matter to them. Yet in emphasising our deviance, the sins of a system that White people uphold and benefit from remains unnamed and unnoticed.</w:t>
      </w:r>
      <w:r w:rsidRPr="00233EF8">
        <w:rPr>
          <w:rStyle w:val="EndnoteReference"/>
          <w:rFonts w:ascii="Proxima Nova" w:hAnsi="Proxima Nova" w:cstheme="minorHAnsi"/>
          <w:sz w:val="22"/>
          <w:szCs w:val="22"/>
        </w:rPr>
        <w:endnoteReference w:id="240"/>
      </w:r>
      <w:r w:rsidRPr="00233EF8">
        <w:rPr>
          <w:rFonts w:ascii="Proxima Nova" w:hAnsi="Proxima Nova" w:cstheme="minorHAnsi"/>
          <w:sz w:val="22"/>
          <w:szCs w:val="22"/>
        </w:rPr>
        <w:t xml:space="preserve"> </w:t>
      </w:r>
    </w:p>
    <w:p w14:paraId="29E31EFC" w14:textId="77777777" w:rsidR="007842E8" w:rsidRPr="00233EF8" w:rsidRDefault="007842E8" w:rsidP="00233EF8">
      <w:pPr>
        <w:autoSpaceDE w:val="0"/>
        <w:autoSpaceDN w:val="0"/>
        <w:adjustRightInd w:val="0"/>
        <w:spacing w:line="276" w:lineRule="auto"/>
        <w:ind w:left="720" w:hanging="720"/>
        <w:rPr>
          <w:rFonts w:ascii="Proxima Nova" w:hAnsi="Proxima Nova" w:cstheme="minorHAnsi"/>
          <w:sz w:val="22"/>
          <w:szCs w:val="22"/>
        </w:rPr>
      </w:pPr>
    </w:p>
    <w:p w14:paraId="092867AB" w14:textId="0E2ED24F" w:rsidR="007842E8" w:rsidRPr="00233EF8" w:rsidRDefault="007842E8" w:rsidP="00233EF8">
      <w:pPr>
        <w:pStyle w:val="ListParagraph"/>
        <w:numPr>
          <w:ilvl w:val="1"/>
          <w:numId w:val="28"/>
        </w:numPr>
        <w:autoSpaceDE w:val="0"/>
        <w:autoSpaceDN w:val="0"/>
        <w:adjustRightInd w:val="0"/>
        <w:spacing w:line="276" w:lineRule="auto"/>
        <w:ind w:left="720" w:hanging="720"/>
        <w:rPr>
          <w:rFonts w:ascii="Proxima Nova" w:hAnsi="Proxima Nova" w:cstheme="minorHAnsi"/>
          <w:sz w:val="22"/>
          <w:szCs w:val="22"/>
          <w:lang w:val="en"/>
        </w:rPr>
      </w:pPr>
      <w:r w:rsidRPr="00233EF8">
        <w:rPr>
          <w:rFonts w:ascii="Proxima Nova" w:hAnsi="Proxima Nova" w:cstheme="minorHAnsi"/>
          <w:sz w:val="22"/>
          <w:szCs w:val="22"/>
          <w:lang w:val="en"/>
        </w:rPr>
        <w:t xml:space="preserve">Discourses of disability, when applied to First Nations people, can be used to justify the logic of elimination </w:t>
      </w:r>
      <w:r w:rsidR="00E46178" w:rsidRPr="00233EF8">
        <w:rPr>
          <w:rFonts w:ascii="Proxima Nova" w:hAnsi="Proxima Nova" w:cstheme="minorHAnsi"/>
          <w:sz w:val="22"/>
          <w:szCs w:val="22"/>
          <w:lang w:val="en"/>
        </w:rPr>
        <w:t xml:space="preserve">in </w:t>
      </w:r>
      <w:r w:rsidRPr="00233EF8">
        <w:rPr>
          <w:rFonts w:ascii="Proxima Nova" w:hAnsi="Proxima Nova" w:cstheme="minorHAnsi"/>
          <w:sz w:val="22"/>
          <w:szCs w:val="22"/>
          <w:lang w:val="en"/>
        </w:rPr>
        <w:t>settler colonial violence.</w:t>
      </w:r>
      <w:r w:rsidRPr="00233EF8">
        <w:rPr>
          <w:rStyle w:val="EndnoteReference"/>
          <w:rFonts w:ascii="Proxima Nova" w:hAnsi="Proxima Nova" w:cstheme="minorHAnsi"/>
          <w:sz w:val="22"/>
          <w:szCs w:val="22"/>
          <w:lang w:val="en"/>
        </w:rPr>
        <w:endnoteReference w:id="241"/>
      </w:r>
      <w:r w:rsidRPr="00233EF8">
        <w:rPr>
          <w:rFonts w:ascii="Proxima Nova" w:hAnsi="Proxima Nova" w:cstheme="minorHAnsi"/>
          <w:sz w:val="22"/>
          <w:szCs w:val="22"/>
          <w:lang w:val="en"/>
        </w:rPr>
        <w:t xml:space="preserve"> </w:t>
      </w:r>
      <w:r w:rsidRPr="00233EF8">
        <w:rPr>
          <w:rFonts w:ascii="Proxima Nova" w:hAnsi="Proxima Nova" w:cstheme="minorHAnsi"/>
          <w:sz w:val="22"/>
          <w:szCs w:val="22"/>
        </w:rPr>
        <w:t>The development of diagnostic and service frameworks about disability is inextricably related to notions of race, whiteness and Indigeneity, and was used to justify dispossession and violence against Indigenous and First Nations people.</w:t>
      </w:r>
      <w:r w:rsidRPr="00233EF8">
        <w:rPr>
          <w:rStyle w:val="EndnoteReference"/>
          <w:rFonts w:ascii="Proxima Nova" w:hAnsi="Proxima Nova" w:cstheme="minorHAnsi"/>
          <w:sz w:val="22"/>
          <w:szCs w:val="22"/>
        </w:rPr>
        <w:endnoteReference w:id="242"/>
      </w:r>
      <w:r w:rsidRPr="00233EF8">
        <w:rPr>
          <w:rFonts w:ascii="Proxima Nova" w:hAnsi="Proxima Nova" w:cstheme="minorHAnsi"/>
          <w:sz w:val="22"/>
          <w:szCs w:val="22"/>
        </w:rPr>
        <w:t xml:space="preserve"> Scholarship exploring the juncture of disability, eugenics and settler colonial histories has highlighted the interrelationship of Indigenous and racial settler colonial violence with disablement and medical epistemologies of disability,</w:t>
      </w:r>
      <w:r w:rsidRPr="00233EF8">
        <w:rPr>
          <w:rStyle w:val="EndnoteReference"/>
          <w:rFonts w:ascii="Proxima Nova" w:hAnsi="Proxima Nova" w:cstheme="minorHAnsi"/>
          <w:sz w:val="22"/>
          <w:szCs w:val="22"/>
        </w:rPr>
        <w:endnoteReference w:id="243"/>
      </w:r>
      <w:r w:rsidRPr="00233EF8">
        <w:rPr>
          <w:rFonts w:ascii="Proxima Nova" w:hAnsi="Proxima Nova" w:cstheme="minorHAnsi"/>
          <w:sz w:val="22"/>
          <w:szCs w:val="22"/>
        </w:rPr>
        <w:t xml:space="preserve"> as well as the role of disability diagnosis and disability-specific coercive interventions in rationalising enslavement, dispossession, child removal, disenfranchisement, incarceration, sterilisation and genocide of First Nations people and other racialised minorities.</w:t>
      </w:r>
      <w:r w:rsidRPr="00233EF8">
        <w:rPr>
          <w:rStyle w:val="EndnoteReference"/>
          <w:rFonts w:ascii="Proxima Nova" w:hAnsi="Proxima Nova" w:cstheme="minorHAnsi"/>
          <w:sz w:val="22"/>
          <w:szCs w:val="22"/>
        </w:rPr>
        <w:endnoteReference w:id="244"/>
      </w:r>
    </w:p>
    <w:p w14:paraId="3546E410" w14:textId="77777777" w:rsidR="0091486E" w:rsidRPr="00233EF8" w:rsidRDefault="0091486E" w:rsidP="00233EF8">
      <w:pPr>
        <w:pStyle w:val="ListParagraph"/>
        <w:autoSpaceDE w:val="0"/>
        <w:autoSpaceDN w:val="0"/>
        <w:adjustRightInd w:val="0"/>
        <w:spacing w:line="276" w:lineRule="auto"/>
        <w:rPr>
          <w:rFonts w:ascii="Proxima Nova" w:hAnsi="Proxima Nova" w:cstheme="minorHAnsi"/>
          <w:sz w:val="22"/>
          <w:szCs w:val="22"/>
          <w:lang w:val="en"/>
        </w:rPr>
      </w:pPr>
    </w:p>
    <w:p w14:paraId="102FA08C" w14:textId="30C48652" w:rsidR="0091486E" w:rsidRPr="00233EF8" w:rsidRDefault="0091486E" w:rsidP="00233EF8">
      <w:pPr>
        <w:pStyle w:val="ListParagraph"/>
        <w:numPr>
          <w:ilvl w:val="1"/>
          <w:numId w:val="28"/>
        </w:numPr>
        <w:autoSpaceDE w:val="0"/>
        <w:autoSpaceDN w:val="0"/>
        <w:adjustRightInd w:val="0"/>
        <w:spacing w:line="276" w:lineRule="auto"/>
        <w:ind w:left="720" w:hanging="720"/>
        <w:rPr>
          <w:rFonts w:ascii="Proxima Nova" w:hAnsi="Proxima Nova" w:cstheme="minorHAnsi"/>
          <w:sz w:val="22"/>
          <w:szCs w:val="22"/>
          <w:lang w:val="en"/>
        </w:rPr>
      </w:pPr>
      <w:r w:rsidRPr="00233EF8">
        <w:rPr>
          <w:rFonts w:ascii="Proxima Nova" w:hAnsi="Proxima Nova" w:cstheme="minorHAnsi"/>
          <w:sz w:val="22"/>
          <w:szCs w:val="22"/>
          <w:lang w:val="en"/>
        </w:rPr>
        <w:t xml:space="preserve">Exploring restrictive practices in the context of settler colonial violence is important for understanding the reasons and impacts of their use in relation to First Nations people with disability, as well as </w:t>
      </w:r>
      <w:r w:rsidR="00127D10" w:rsidRPr="00233EF8">
        <w:rPr>
          <w:rFonts w:ascii="Proxima Nova" w:hAnsi="Proxima Nova" w:cstheme="minorHAnsi"/>
          <w:sz w:val="22"/>
          <w:szCs w:val="22"/>
          <w:lang w:val="en"/>
        </w:rPr>
        <w:t xml:space="preserve">for </w:t>
      </w:r>
      <w:r w:rsidRPr="00233EF8">
        <w:rPr>
          <w:rFonts w:ascii="Proxima Nova" w:hAnsi="Proxima Nova" w:cstheme="minorHAnsi"/>
          <w:sz w:val="22"/>
          <w:szCs w:val="22"/>
          <w:lang w:val="en"/>
        </w:rPr>
        <w:t>moving beyond a purely individualised approach to supported decision-making and redress of restrictive practices to also recognise First Nations (collective) trauma and self-determination.</w:t>
      </w:r>
    </w:p>
    <w:p w14:paraId="6E1DAE7C" w14:textId="77777777" w:rsidR="007842E8" w:rsidRPr="00233EF8" w:rsidRDefault="007842E8" w:rsidP="00233EF8">
      <w:pPr>
        <w:autoSpaceDE w:val="0"/>
        <w:autoSpaceDN w:val="0"/>
        <w:adjustRightInd w:val="0"/>
        <w:spacing w:line="276" w:lineRule="auto"/>
        <w:ind w:left="720" w:hanging="720"/>
        <w:rPr>
          <w:rFonts w:ascii="Proxima Nova" w:hAnsi="Proxima Nova" w:cstheme="minorHAnsi"/>
          <w:sz w:val="22"/>
          <w:szCs w:val="22"/>
          <w:lang w:val="en"/>
        </w:rPr>
      </w:pPr>
    </w:p>
    <w:p w14:paraId="03BBC110" w14:textId="77777777" w:rsidR="007842E8" w:rsidRPr="00233EF8" w:rsidRDefault="007842E8" w:rsidP="00233EF8">
      <w:pPr>
        <w:pStyle w:val="ListParagraph"/>
        <w:numPr>
          <w:ilvl w:val="1"/>
          <w:numId w:val="28"/>
        </w:numPr>
        <w:autoSpaceDE w:val="0"/>
        <w:autoSpaceDN w:val="0"/>
        <w:adjustRightInd w:val="0"/>
        <w:spacing w:line="276" w:lineRule="auto"/>
        <w:ind w:left="720" w:hanging="720"/>
        <w:rPr>
          <w:rFonts w:ascii="Proxima Nova" w:hAnsi="Proxima Nova" w:cstheme="minorHAnsi"/>
          <w:sz w:val="22"/>
          <w:szCs w:val="22"/>
          <w:lang w:val="en"/>
        </w:rPr>
      </w:pPr>
      <w:r w:rsidRPr="00233EF8">
        <w:rPr>
          <w:rFonts w:ascii="Proxima Nova" w:hAnsi="Proxima Nova" w:cstheme="minorHAnsi"/>
          <w:sz w:val="22"/>
          <w:szCs w:val="22"/>
        </w:rPr>
        <w:t xml:space="preserve">The dynamic of settler colonial violence helps to explore how the use of restrictive practices against women and girls with disability, notably the gendered forms related to reproduction, sexuality and parenting, contribute to dispossession, displacement and the elimination of First Nations people. This dynamic is also useful for considering the role of supporting First </w:t>
      </w:r>
      <w:r w:rsidRPr="00233EF8">
        <w:rPr>
          <w:rFonts w:ascii="Proxima Nova" w:hAnsi="Proxima Nova" w:cstheme="minorHAnsi"/>
          <w:sz w:val="22"/>
          <w:szCs w:val="22"/>
        </w:rPr>
        <w:lastRenderedPageBreak/>
        <w:t>Nations’ self-determination and nation-building as part of wide-reaching redress and transformative change, additional to prohibition and redress of restrictive practices.</w:t>
      </w:r>
    </w:p>
    <w:p w14:paraId="6314CC22" w14:textId="77777777" w:rsidR="007842E8" w:rsidRPr="00233EF8" w:rsidRDefault="007842E8" w:rsidP="00233EF8">
      <w:pPr>
        <w:pStyle w:val="ListParagraph"/>
        <w:spacing w:line="276" w:lineRule="auto"/>
        <w:ind w:hanging="720"/>
        <w:contextualSpacing w:val="0"/>
        <w:rPr>
          <w:rFonts w:ascii="Proxima Nova" w:hAnsi="Proxima Nova" w:cstheme="minorHAnsi"/>
          <w:sz w:val="22"/>
          <w:szCs w:val="22"/>
          <w:lang w:val="en"/>
        </w:rPr>
      </w:pPr>
    </w:p>
    <w:p w14:paraId="2E1DE214" w14:textId="05444D3E" w:rsidR="00020146" w:rsidRPr="00525188" w:rsidRDefault="00020146" w:rsidP="00020146">
      <w:pPr>
        <w:spacing w:line="276" w:lineRule="auto"/>
        <w:rPr>
          <w:rFonts w:ascii="Proxima Nova" w:hAnsi="Proxima Nova" w:cstheme="minorHAnsi"/>
          <w:sz w:val="22"/>
          <w:szCs w:val="22"/>
        </w:rPr>
      </w:pPr>
      <w:r w:rsidRPr="00020146">
        <w:rPr>
          <w:rFonts w:ascii="Proxima Nova" w:hAnsi="Proxima Nova"/>
          <w:b/>
          <w:color w:val="AC1F79"/>
          <w:sz w:val="22"/>
          <w:szCs w:val="22"/>
        </w:rPr>
        <w:t>Profiting from Violence: Economic Dynamics of Restrictive Practices</w:t>
      </w:r>
    </w:p>
    <w:p w14:paraId="1427278C" w14:textId="77777777" w:rsidR="00020146" w:rsidRPr="00233EF8" w:rsidRDefault="00020146" w:rsidP="00233EF8">
      <w:pPr>
        <w:pStyle w:val="ListParagraph"/>
        <w:spacing w:line="276" w:lineRule="auto"/>
        <w:ind w:hanging="720"/>
        <w:contextualSpacing w:val="0"/>
        <w:rPr>
          <w:rFonts w:ascii="Proxima Nova" w:hAnsi="Proxima Nova" w:cstheme="minorHAnsi"/>
          <w:sz w:val="22"/>
          <w:szCs w:val="22"/>
          <w:lang w:val="en"/>
        </w:rPr>
      </w:pPr>
    </w:p>
    <w:p w14:paraId="3BB496E6" w14:textId="269FA84A" w:rsidR="00AD7D02" w:rsidRPr="00233EF8" w:rsidRDefault="005572EF" w:rsidP="00233EF8">
      <w:pPr>
        <w:pStyle w:val="ListParagraph"/>
        <w:numPr>
          <w:ilvl w:val="1"/>
          <w:numId w:val="28"/>
        </w:numPr>
        <w:spacing w:line="276" w:lineRule="auto"/>
        <w:ind w:left="720" w:hanging="720"/>
        <w:rPr>
          <w:rFonts w:ascii="Proxima Nova" w:hAnsi="Proxima Nova" w:cstheme="minorHAnsi"/>
          <w:sz w:val="22"/>
          <w:szCs w:val="22"/>
        </w:rPr>
      </w:pPr>
      <w:r w:rsidRPr="00233EF8">
        <w:rPr>
          <w:rFonts w:ascii="Proxima Nova" w:hAnsi="Proxima Nova" w:cstheme="minorHAnsi"/>
          <w:sz w:val="22"/>
          <w:szCs w:val="22"/>
        </w:rPr>
        <w:t xml:space="preserve">The </w:t>
      </w:r>
      <w:r w:rsidR="007B67B3" w:rsidRPr="00233EF8">
        <w:rPr>
          <w:rFonts w:ascii="Proxima Nova" w:hAnsi="Proxima Nova" w:cstheme="minorHAnsi"/>
          <w:sz w:val="22"/>
          <w:szCs w:val="22"/>
        </w:rPr>
        <w:t>economic devaluing of the care, wellbeing and lives of women and girls with disability through use of restrictive is not simply a matter of structural discrimination and oppression. There is also a productive element to use of r</w:t>
      </w:r>
      <w:r w:rsidRPr="00233EF8">
        <w:rPr>
          <w:rFonts w:ascii="Proxima Nova" w:hAnsi="Proxima Nova" w:cstheme="minorHAnsi"/>
          <w:sz w:val="22"/>
          <w:szCs w:val="22"/>
        </w:rPr>
        <w:t>estrictive practices</w:t>
      </w:r>
      <w:r w:rsidR="007B67B3" w:rsidRPr="00233EF8">
        <w:rPr>
          <w:rFonts w:ascii="Proxima Nova" w:hAnsi="Proxima Nova" w:cstheme="minorHAnsi"/>
          <w:sz w:val="22"/>
          <w:szCs w:val="22"/>
        </w:rPr>
        <w:t xml:space="preserve"> on women and girls with disability</w:t>
      </w:r>
      <w:r w:rsidR="006863F7" w:rsidRPr="00233EF8">
        <w:rPr>
          <w:rFonts w:ascii="Proxima Nova" w:hAnsi="Proxima Nova" w:cstheme="minorHAnsi"/>
          <w:sz w:val="22"/>
          <w:szCs w:val="22"/>
        </w:rPr>
        <w:t xml:space="preserve"> – financial enrichment </w:t>
      </w:r>
      <w:r w:rsidR="007B67B3" w:rsidRPr="00233EF8">
        <w:rPr>
          <w:rFonts w:ascii="Proxima Nova" w:hAnsi="Proxima Nova" w:cstheme="minorHAnsi"/>
          <w:sz w:val="22"/>
          <w:szCs w:val="22"/>
        </w:rPr>
        <w:t>to service provider</w:t>
      </w:r>
      <w:r w:rsidR="00A06472" w:rsidRPr="00233EF8">
        <w:rPr>
          <w:rFonts w:ascii="Proxima Nova" w:hAnsi="Proxima Nova" w:cstheme="minorHAnsi"/>
          <w:sz w:val="22"/>
          <w:szCs w:val="22"/>
        </w:rPr>
        <w:t>s</w:t>
      </w:r>
      <w:r w:rsidR="006863F7" w:rsidRPr="00233EF8">
        <w:rPr>
          <w:rFonts w:ascii="Proxima Nova" w:hAnsi="Proxima Nova" w:cstheme="minorHAnsi"/>
          <w:sz w:val="22"/>
          <w:szCs w:val="22"/>
        </w:rPr>
        <w:t>.</w:t>
      </w:r>
      <w:r w:rsidR="007B67B3" w:rsidRPr="00233EF8">
        <w:rPr>
          <w:rFonts w:ascii="Proxima Nova" w:hAnsi="Proxima Nova" w:cstheme="minorHAnsi"/>
          <w:sz w:val="22"/>
          <w:szCs w:val="22"/>
        </w:rPr>
        <w:t xml:space="preserve"> As we noted </w:t>
      </w:r>
      <w:r w:rsidR="00AD166E" w:rsidRPr="00233EF8">
        <w:rPr>
          <w:rFonts w:ascii="Proxima Nova" w:hAnsi="Proxima Nova" w:cstheme="minorHAnsi"/>
          <w:sz w:val="22"/>
          <w:szCs w:val="22"/>
        </w:rPr>
        <w:t>earlier in this section</w:t>
      </w:r>
      <w:r w:rsidR="007B67B3" w:rsidRPr="00233EF8">
        <w:rPr>
          <w:rFonts w:ascii="Proxima Nova" w:hAnsi="Proxima Nova" w:cstheme="minorHAnsi"/>
          <w:sz w:val="22"/>
          <w:szCs w:val="22"/>
        </w:rPr>
        <w:t>, r</w:t>
      </w:r>
      <w:r w:rsidR="00AD7D02" w:rsidRPr="00233EF8">
        <w:rPr>
          <w:rFonts w:ascii="Proxima Nova" w:hAnsi="Proxima Nova"/>
          <w:sz w:val="22"/>
          <w:szCs w:val="22"/>
          <w:bdr w:val="none" w:sz="0" w:space="0" w:color="auto" w:frame="1"/>
        </w:rPr>
        <w:t xml:space="preserve">estrictive practices </w:t>
      </w:r>
      <w:r w:rsidR="00AD7D02" w:rsidRPr="00233EF8">
        <w:rPr>
          <w:rFonts w:ascii="Proxima Nova" w:hAnsi="Proxima Nova" w:cstheme="minorHAnsi"/>
          <w:sz w:val="22"/>
          <w:szCs w:val="22"/>
          <w:bdr w:val="none" w:sz="0" w:space="0" w:color="auto" w:frame="1"/>
        </w:rPr>
        <w:t xml:space="preserve">enhance the wealth of disability service providers who </w:t>
      </w:r>
      <w:r w:rsidR="009C7634" w:rsidRPr="00233EF8">
        <w:rPr>
          <w:rFonts w:ascii="Proxima Nova" w:hAnsi="Proxima Nova" w:cstheme="minorHAnsi"/>
          <w:sz w:val="22"/>
          <w:szCs w:val="22"/>
          <w:bdr w:val="none" w:sz="0" w:space="0" w:color="auto" w:frame="1"/>
        </w:rPr>
        <w:t xml:space="preserve">can </w:t>
      </w:r>
      <w:r w:rsidR="00AD7D02" w:rsidRPr="00233EF8">
        <w:rPr>
          <w:rFonts w:ascii="Proxima Nova" w:hAnsi="Proxima Nova" w:cstheme="minorHAnsi"/>
          <w:sz w:val="22"/>
          <w:szCs w:val="22"/>
          <w:bdr w:val="none" w:sz="0" w:space="0" w:color="auto" w:frame="1"/>
        </w:rPr>
        <w:t>use restrictive practices to</w:t>
      </w:r>
      <w:r w:rsidR="009C7634" w:rsidRPr="00233EF8">
        <w:rPr>
          <w:rFonts w:ascii="Proxima Nova" w:hAnsi="Proxima Nova" w:cstheme="minorHAnsi"/>
          <w:sz w:val="22"/>
          <w:szCs w:val="22"/>
          <w:bdr w:val="none" w:sz="0" w:space="0" w:color="auto" w:frame="1"/>
        </w:rPr>
        <w:t xml:space="preserve"> maximise economic efficiency of care provision (this being particularly well-known in the context of RACFs),</w:t>
      </w:r>
      <w:r w:rsidR="009C7634" w:rsidRPr="00233EF8">
        <w:rPr>
          <w:rStyle w:val="EndnoteReference"/>
          <w:rFonts w:ascii="Proxima Nova" w:hAnsi="Proxima Nova" w:cstheme="minorHAnsi"/>
          <w:sz w:val="22"/>
          <w:szCs w:val="22"/>
          <w:bdr w:val="none" w:sz="0" w:space="0" w:color="auto" w:frame="1"/>
        </w:rPr>
        <w:endnoteReference w:id="245"/>
      </w:r>
      <w:r w:rsidR="009C7634" w:rsidRPr="00233EF8">
        <w:rPr>
          <w:rFonts w:ascii="Proxima Nova" w:hAnsi="Proxima Nova" w:cstheme="minorHAnsi"/>
          <w:sz w:val="22"/>
          <w:szCs w:val="22"/>
          <w:bdr w:val="none" w:sz="0" w:space="0" w:color="auto" w:frame="1"/>
        </w:rPr>
        <w:t xml:space="preserve"> as well as to</w:t>
      </w:r>
      <w:r w:rsidR="00AD7D02" w:rsidRPr="00233EF8">
        <w:rPr>
          <w:rFonts w:ascii="Proxima Nova" w:hAnsi="Proxima Nova" w:cstheme="minorHAnsi"/>
          <w:sz w:val="22"/>
          <w:szCs w:val="22"/>
          <w:bdr w:val="none" w:sz="0" w:space="0" w:color="auto" w:frame="1"/>
        </w:rPr>
        <w:t xml:space="preserve"> repress dissent and resistance.</w:t>
      </w:r>
    </w:p>
    <w:p w14:paraId="0C4B64E1" w14:textId="77777777" w:rsidR="00AD7D02" w:rsidRPr="00233EF8" w:rsidRDefault="00AD7D02" w:rsidP="00233EF8">
      <w:pPr>
        <w:pStyle w:val="ListParagraph"/>
        <w:spacing w:line="276" w:lineRule="auto"/>
        <w:ind w:hanging="720"/>
        <w:rPr>
          <w:rFonts w:ascii="Proxima Nova" w:hAnsi="Proxima Nova" w:cstheme="minorHAnsi"/>
          <w:sz w:val="22"/>
          <w:szCs w:val="22"/>
        </w:rPr>
      </w:pPr>
    </w:p>
    <w:p w14:paraId="721D0B51" w14:textId="172923EB" w:rsidR="007B67B3" w:rsidRPr="00233EF8" w:rsidRDefault="007B67B3" w:rsidP="00233EF8">
      <w:pPr>
        <w:pStyle w:val="ListParagraph"/>
        <w:numPr>
          <w:ilvl w:val="1"/>
          <w:numId w:val="28"/>
        </w:numPr>
        <w:spacing w:line="276" w:lineRule="auto"/>
        <w:ind w:left="720" w:hanging="720"/>
        <w:rPr>
          <w:rFonts w:ascii="Proxima Nova" w:hAnsi="Proxima Nova" w:cstheme="minorHAnsi"/>
          <w:sz w:val="22"/>
          <w:szCs w:val="22"/>
        </w:rPr>
      </w:pPr>
      <w:r w:rsidRPr="00233EF8">
        <w:rPr>
          <w:rFonts w:ascii="Proxima Nova" w:hAnsi="Proxima Nova" w:cstheme="minorHAnsi"/>
          <w:sz w:val="22"/>
          <w:szCs w:val="22"/>
        </w:rPr>
        <w:t xml:space="preserve">Therefore, we argue that </w:t>
      </w:r>
      <w:r w:rsidR="00237D1D" w:rsidRPr="00233EF8">
        <w:rPr>
          <w:rFonts w:ascii="Proxima Nova" w:hAnsi="Proxima Nova" w:cstheme="minorHAnsi"/>
          <w:sz w:val="22"/>
          <w:szCs w:val="22"/>
          <w:lang w:val="en"/>
        </w:rPr>
        <w:t>economic</w:t>
      </w:r>
      <w:r w:rsidR="006863F7" w:rsidRPr="00233EF8">
        <w:rPr>
          <w:rFonts w:ascii="Proxima Nova" w:hAnsi="Proxima Nova" w:cstheme="minorHAnsi"/>
          <w:sz w:val="22"/>
          <w:szCs w:val="22"/>
          <w:lang w:val="en"/>
        </w:rPr>
        <w:t xml:space="preserve"> violence</w:t>
      </w:r>
      <w:r w:rsidRPr="00233EF8">
        <w:rPr>
          <w:rFonts w:ascii="Proxima Nova" w:hAnsi="Proxima Nova" w:cstheme="minorHAnsi"/>
          <w:sz w:val="22"/>
          <w:szCs w:val="22"/>
          <w:lang w:val="en"/>
        </w:rPr>
        <w:t xml:space="preserve"> is a key dynamic of the gendered ableist violence of restrictive practices, which the Royal Commission must engage with in order to understand the drivers for continued use of restrictive practices and what is needed to comprehensively prohibit and redress this violence.</w:t>
      </w:r>
    </w:p>
    <w:p w14:paraId="043336BE" w14:textId="77777777" w:rsidR="007B67B3" w:rsidRPr="00233EF8" w:rsidRDefault="007B67B3" w:rsidP="00233EF8">
      <w:pPr>
        <w:pStyle w:val="ListParagraph"/>
        <w:spacing w:line="276" w:lineRule="auto"/>
        <w:ind w:hanging="720"/>
        <w:rPr>
          <w:rFonts w:ascii="Proxima Nova" w:hAnsi="Proxima Nova" w:cstheme="minorHAnsi"/>
          <w:sz w:val="22"/>
          <w:szCs w:val="22"/>
          <w:lang w:val="en"/>
        </w:rPr>
      </w:pPr>
    </w:p>
    <w:p w14:paraId="78F2451B" w14:textId="09DA63EA" w:rsidR="006863F7" w:rsidRPr="00233EF8" w:rsidRDefault="007B67B3" w:rsidP="00233EF8">
      <w:pPr>
        <w:pStyle w:val="ListParagraph"/>
        <w:numPr>
          <w:ilvl w:val="1"/>
          <w:numId w:val="28"/>
        </w:numPr>
        <w:spacing w:line="276" w:lineRule="auto"/>
        <w:ind w:left="720" w:hanging="720"/>
        <w:rPr>
          <w:rFonts w:ascii="Proxima Nova" w:hAnsi="Proxima Nova" w:cstheme="minorHAnsi"/>
          <w:sz w:val="22"/>
          <w:szCs w:val="22"/>
        </w:rPr>
      </w:pPr>
      <w:r w:rsidRPr="00233EF8">
        <w:rPr>
          <w:rFonts w:ascii="Proxima Nova" w:hAnsi="Proxima Nova" w:cstheme="minorHAnsi"/>
          <w:sz w:val="22"/>
          <w:szCs w:val="22"/>
          <w:lang w:val="en"/>
        </w:rPr>
        <w:t>As discussed in the context of ‘ableism’</w:t>
      </w:r>
      <w:r w:rsidR="006863F7" w:rsidRPr="00233EF8">
        <w:rPr>
          <w:rFonts w:ascii="Proxima Nova" w:hAnsi="Proxima Nova" w:cstheme="minorHAnsi"/>
          <w:sz w:val="22"/>
          <w:szCs w:val="22"/>
          <w:lang w:val="en"/>
        </w:rPr>
        <w:t xml:space="preserve"> people with disability </w:t>
      </w:r>
      <w:r w:rsidRPr="00233EF8">
        <w:rPr>
          <w:rFonts w:ascii="Proxima Nova" w:hAnsi="Proxima Nova" w:cstheme="minorHAnsi"/>
          <w:sz w:val="22"/>
          <w:szCs w:val="22"/>
          <w:lang w:val="en"/>
        </w:rPr>
        <w:t xml:space="preserve">are positioned </w:t>
      </w:r>
      <w:r w:rsidR="006863F7" w:rsidRPr="00233EF8">
        <w:rPr>
          <w:rFonts w:ascii="Proxima Nova" w:hAnsi="Proxima Nova" w:cstheme="minorHAnsi"/>
          <w:sz w:val="22"/>
          <w:szCs w:val="22"/>
          <w:lang w:val="en"/>
        </w:rPr>
        <w:t xml:space="preserve">as surplus and a burden on the economy. For women and girls with disability, this can relate to the view that they fail to provide both productive and reproductive labour. </w:t>
      </w:r>
      <w:r w:rsidRPr="00233EF8">
        <w:rPr>
          <w:rFonts w:ascii="Proxima Nova" w:hAnsi="Proxima Nova" w:cstheme="minorHAnsi"/>
          <w:sz w:val="22"/>
          <w:szCs w:val="22"/>
          <w:lang w:val="en"/>
        </w:rPr>
        <w:t xml:space="preserve">By this we mean </w:t>
      </w:r>
      <w:r w:rsidR="00251903" w:rsidRPr="00233EF8">
        <w:rPr>
          <w:rFonts w:ascii="Proxima Nova" w:hAnsi="Proxima Nova" w:cstheme="minorHAnsi"/>
          <w:sz w:val="22"/>
          <w:szCs w:val="22"/>
          <w:lang w:val="en"/>
        </w:rPr>
        <w:t>it</w:t>
      </w:r>
      <w:r w:rsidRPr="00233EF8">
        <w:rPr>
          <w:rFonts w:ascii="Proxima Nova" w:hAnsi="Proxima Nova" w:cstheme="minorHAnsi"/>
          <w:sz w:val="22"/>
          <w:szCs w:val="22"/>
          <w:lang w:val="en"/>
        </w:rPr>
        <w:t xml:space="preserve"> is not only the case that women and girls with disability are considered unfit for full, open employment, but they are also </w:t>
      </w:r>
      <w:proofErr w:type="gramStart"/>
      <w:r w:rsidRPr="00233EF8">
        <w:rPr>
          <w:rFonts w:ascii="Proxima Nova" w:hAnsi="Proxima Nova" w:cstheme="minorHAnsi"/>
          <w:sz w:val="22"/>
          <w:szCs w:val="22"/>
          <w:lang w:val="en"/>
        </w:rPr>
        <w:t>unfit</w:t>
      </w:r>
      <w:proofErr w:type="gramEnd"/>
      <w:r w:rsidRPr="00233EF8">
        <w:rPr>
          <w:rFonts w:ascii="Proxima Nova" w:hAnsi="Proxima Nova" w:cstheme="minorHAnsi"/>
          <w:sz w:val="22"/>
          <w:szCs w:val="22"/>
          <w:lang w:val="en"/>
        </w:rPr>
        <w:t xml:space="preserve"> for </w:t>
      </w:r>
      <w:r w:rsidR="00CE19B7" w:rsidRPr="00233EF8">
        <w:rPr>
          <w:rFonts w:ascii="Proxima Nova" w:hAnsi="Proxima Nova" w:cstheme="minorHAnsi"/>
          <w:sz w:val="22"/>
          <w:szCs w:val="22"/>
          <w:lang w:val="en"/>
        </w:rPr>
        <w:t>labour in the private family sphere such as reproducing and parenting children and maintaining a household.</w:t>
      </w:r>
    </w:p>
    <w:p w14:paraId="01522435" w14:textId="77777777" w:rsidR="006863F7" w:rsidRPr="00233EF8" w:rsidRDefault="006863F7" w:rsidP="00233EF8">
      <w:pPr>
        <w:spacing w:line="276" w:lineRule="auto"/>
        <w:ind w:left="720" w:hanging="720"/>
        <w:rPr>
          <w:rFonts w:ascii="Proxima Nova" w:hAnsi="Proxima Nova" w:cstheme="minorHAnsi"/>
          <w:sz w:val="22"/>
          <w:szCs w:val="22"/>
        </w:rPr>
      </w:pPr>
    </w:p>
    <w:p w14:paraId="4743C16C" w14:textId="7C771775" w:rsidR="006863F7" w:rsidRPr="00233EF8" w:rsidRDefault="00CE19B7" w:rsidP="00233EF8">
      <w:pPr>
        <w:pStyle w:val="ListParagraph"/>
        <w:numPr>
          <w:ilvl w:val="1"/>
          <w:numId w:val="28"/>
        </w:numPr>
        <w:spacing w:line="276" w:lineRule="auto"/>
        <w:ind w:left="720" w:hanging="720"/>
        <w:rPr>
          <w:rFonts w:ascii="Proxima Nova" w:hAnsi="Proxima Nova" w:cstheme="minorHAnsi"/>
          <w:sz w:val="22"/>
          <w:szCs w:val="22"/>
        </w:rPr>
      </w:pPr>
      <w:r w:rsidRPr="00233EF8">
        <w:rPr>
          <w:rFonts w:ascii="Proxima Nova" w:hAnsi="Proxima Nova" w:cstheme="minorHAnsi"/>
          <w:sz w:val="22"/>
          <w:szCs w:val="22"/>
          <w:lang w:val="en"/>
        </w:rPr>
        <w:t>The</w:t>
      </w:r>
      <w:r w:rsidR="006863F7" w:rsidRPr="00233EF8">
        <w:rPr>
          <w:rFonts w:ascii="Proxima Nova" w:hAnsi="Proxima Nova" w:cstheme="minorHAnsi"/>
          <w:sz w:val="22"/>
          <w:szCs w:val="22"/>
          <w:lang w:val="en"/>
        </w:rPr>
        <w:t xml:space="preserve"> exclusion</w:t>
      </w:r>
      <w:r w:rsidRPr="00233EF8">
        <w:rPr>
          <w:rFonts w:ascii="Proxima Nova" w:hAnsi="Proxima Nova" w:cstheme="minorHAnsi"/>
          <w:sz w:val="22"/>
          <w:szCs w:val="22"/>
          <w:lang w:val="en"/>
        </w:rPr>
        <w:t xml:space="preserve"> of women and girls with disability</w:t>
      </w:r>
      <w:r w:rsidR="006863F7" w:rsidRPr="00233EF8">
        <w:rPr>
          <w:rFonts w:ascii="Proxima Nova" w:hAnsi="Proxima Nova" w:cstheme="minorHAnsi"/>
          <w:sz w:val="22"/>
          <w:szCs w:val="22"/>
          <w:lang w:val="en"/>
        </w:rPr>
        <w:t xml:space="preserve"> </w:t>
      </w:r>
      <w:r w:rsidRPr="00233EF8">
        <w:rPr>
          <w:rFonts w:ascii="Proxima Nova" w:hAnsi="Proxima Nova" w:cstheme="minorHAnsi"/>
          <w:sz w:val="22"/>
          <w:szCs w:val="22"/>
          <w:lang w:val="en"/>
        </w:rPr>
        <w:t xml:space="preserve">as labour </w:t>
      </w:r>
      <w:r w:rsidR="006863F7" w:rsidRPr="00233EF8">
        <w:rPr>
          <w:rFonts w:ascii="Proxima Nova" w:hAnsi="Proxima Nova" w:cstheme="minorHAnsi"/>
          <w:sz w:val="22"/>
          <w:szCs w:val="22"/>
          <w:lang w:val="en"/>
        </w:rPr>
        <w:t>from the economy gives rise to other (violent) ways of extracting profit from their bodies.</w:t>
      </w:r>
      <w:r w:rsidR="006863F7" w:rsidRPr="00233EF8">
        <w:rPr>
          <w:rStyle w:val="EndnoteReference"/>
          <w:rFonts w:ascii="Proxima Nova" w:hAnsi="Proxima Nova" w:cstheme="minorHAnsi"/>
          <w:sz w:val="22"/>
          <w:szCs w:val="22"/>
          <w:lang w:val="en"/>
        </w:rPr>
        <w:endnoteReference w:id="246"/>
      </w:r>
      <w:r w:rsidR="006863F7" w:rsidRPr="00233EF8">
        <w:rPr>
          <w:rFonts w:ascii="Proxima Nova" w:hAnsi="Proxima Nova" w:cstheme="minorHAnsi"/>
          <w:sz w:val="22"/>
          <w:szCs w:val="22"/>
          <w:lang w:val="en"/>
        </w:rPr>
        <w:t xml:space="preserve"> </w:t>
      </w:r>
      <w:r w:rsidRPr="00233EF8">
        <w:rPr>
          <w:rFonts w:ascii="Proxima Nova" w:hAnsi="Proxima Nova" w:cstheme="minorHAnsi"/>
          <w:sz w:val="22"/>
          <w:szCs w:val="22"/>
          <w:lang w:val="en"/>
        </w:rPr>
        <w:t>In general terms, this extractin</w:t>
      </w:r>
      <w:r w:rsidR="008D5E78" w:rsidRPr="00233EF8">
        <w:rPr>
          <w:rFonts w:ascii="Proxima Nova" w:hAnsi="Proxima Nova" w:cstheme="minorHAnsi"/>
          <w:sz w:val="22"/>
          <w:szCs w:val="22"/>
          <w:lang w:val="en"/>
        </w:rPr>
        <w:t>g</w:t>
      </w:r>
      <w:r w:rsidRPr="00233EF8">
        <w:rPr>
          <w:rFonts w:ascii="Proxima Nova" w:hAnsi="Proxima Nova" w:cstheme="minorHAnsi"/>
          <w:sz w:val="22"/>
          <w:szCs w:val="22"/>
          <w:lang w:val="en"/>
        </w:rPr>
        <w:t xml:space="preserve"> might involve </w:t>
      </w:r>
      <w:r w:rsidR="006863F7" w:rsidRPr="00233EF8">
        <w:rPr>
          <w:rFonts w:ascii="Proxima Nova" w:hAnsi="Proxima Nova" w:cstheme="minorHAnsi"/>
          <w:sz w:val="22"/>
          <w:szCs w:val="22"/>
          <w:lang w:val="en"/>
        </w:rPr>
        <w:t xml:space="preserve">profit derived from their grossly underpaid labour as is evident through </w:t>
      </w:r>
      <w:r w:rsidR="007E5715" w:rsidRPr="00233EF8">
        <w:rPr>
          <w:rFonts w:ascii="Proxima Nova" w:hAnsi="Proxima Nova" w:cstheme="minorHAnsi"/>
          <w:sz w:val="22"/>
          <w:szCs w:val="22"/>
          <w:lang w:val="en"/>
        </w:rPr>
        <w:t>Australian Disability Enterprises (</w:t>
      </w:r>
      <w:r w:rsidRPr="00233EF8">
        <w:rPr>
          <w:rFonts w:ascii="Proxima Nova" w:hAnsi="Proxima Nova" w:cstheme="minorHAnsi"/>
          <w:sz w:val="22"/>
          <w:szCs w:val="22"/>
          <w:lang w:val="en"/>
        </w:rPr>
        <w:t>sheltered workshops)</w:t>
      </w:r>
      <w:r w:rsidR="006863F7" w:rsidRPr="00233EF8">
        <w:rPr>
          <w:rFonts w:ascii="Proxima Nova" w:hAnsi="Proxima Nova" w:cstheme="minorHAnsi"/>
          <w:sz w:val="22"/>
          <w:szCs w:val="22"/>
          <w:lang w:val="en"/>
        </w:rPr>
        <w:t xml:space="preserve"> and </w:t>
      </w:r>
      <w:r w:rsidRPr="00233EF8">
        <w:rPr>
          <w:rFonts w:ascii="Proxima Nova" w:hAnsi="Proxima Nova" w:cstheme="minorHAnsi"/>
          <w:sz w:val="22"/>
          <w:szCs w:val="22"/>
          <w:lang w:val="en"/>
        </w:rPr>
        <w:t xml:space="preserve">historically in </w:t>
      </w:r>
      <w:r w:rsidR="006863F7" w:rsidRPr="00233EF8">
        <w:rPr>
          <w:rFonts w:ascii="Proxima Nova" w:hAnsi="Proxima Nova" w:cstheme="minorHAnsi"/>
          <w:sz w:val="22"/>
          <w:szCs w:val="22"/>
          <w:lang w:val="en"/>
        </w:rPr>
        <w:t xml:space="preserve">their forced/unpaid labour </w:t>
      </w:r>
      <w:r w:rsidR="00251903" w:rsidRPr="00233EF8">
        <w:rPr>
          <w:rFonts w:ascii="Proxima Nova" w:hAnsi="Proxima Nova" w:cstheme="minorHAnsi"/>
          <w:sz w:val="22"/>
          <w:szCs w:val="22"/>
          <w:lang w:val="en"/>
        </w:rPr>
        <w:t>in</w:t>
      </w:r>
      <w:r w:rsidR="006863F7" w:rsidRPr="00233EF8">
        <w:rPr>
          <w:rFonts w:ascii="Proxima Nova" w:hAnsi="Proxima Nova" w:cstheme="minorHAnsi"/>
          <w:sz w:val="22"/>
          <w:szCs w:val="22"/>
          <w:lang w:val="en"/>
        </w:rPr>
        <w:t xml:space="preserve"> disability institutions.</w:t>
      </w:r>
      <w:r w:rsidR="006863F7" w:rsidRPr="00233EF8">
        <w:rPr>
          <w:rStyle w:val="EndnoteReference"/>
          <w:rFonts w:ascii="Proxima Nova" w:hAnsi="Proxima Nova" w:cstheme="minorHAnsi"/>
          <w:sz w:val="22"/>
          <w:szCs w:val="22"/>
          <w:lang w:val="en"/>
        </w:rPr>
        <w:endnoteReference w:id="247"/>
      </w:r>
      <w:r w:rsidR="006863F7" w:rsidRPr="00233EF8">
        <w:rPr>
          <w:rFonts w:ascii="Proxima Nova" w:hAnsi="Proxima Nova" w:cstheme="minorHAnsi"/>
          <w:sz w:val="22"/>
          <w:szCs w:val="22"/>
          <w:lang w:val="en"/>
        </w:rPr>
        <w:t xml:space="preserve"> </w:t>
      </w:r>
      <w:r w:rsidRPr="00233EF8">
        <w:rPr>
          <w:rFonts w:ascii="Proxima Nova" w:hAnsi="Proxima Nova" w:cstheme="minorHAnsi"/>
          <w:sz w:val="22"/>
          <w:szCs w:val="22"/>
          <w:lang w:val="en"/>
        </w:rPr>
        <w:t>Yet, b</w:t>
      </w:r>
      <w:r w:rsidR="006863F7" w:rsidRPr="00233EF8">
        <w:rPr>
          <w:rFonts w:ascii="Proxima Nova" w:hAnsi="Proxima Nova" w:cstheme="minorHAnsi"/>
          <w:sz w:val="22"/>
          <w:szCs w:val="22"/>
          <w:lang w:val="en"/>
        </w:rPr>
        <w:t>eyond the conventional understanding of labour as ‘work’, extraction of profit from those deemed unproductiv</w:t>
      </w:r>
      <w:r w:rsidR="00251903" w:rsidRPr="00233EF8">
        <w:rPr>
          <w:rFonts w:ascii="Proxima Nova" w:hAnsi="Proxima Nova" w:cstheme="minorHAnsi"/>
          <w:sz w:val="22"/>
          <w:szCs w:val="22"/>
          <w:lang w:val="en"/>
        </w:rPr>
        <w:t>e</w:t>
      </w:r>
      <w:r w:rsidR="006863F7" w:rsidRPr="00233EF8">
        <w:rPr>
          <w:rFonts w:ascii="Proxima Nova" w:hAnsi="Proxima Nova" w:cstheme="minorHAnsi"/>
          <w:sz w:val="22"/>
          <w:szCs w:val="22"/>
          <w:lang w:val="en"/>
        </w:rPr>
        <w:t xml:space="preserve"> or </w:t>
      </w:r>
      <w:r w:rsidR="00251903" w:rsidRPr="00233EF8">
        <w:rPr>
          <w:rFonts w:ascii="Proxima Nova" w:hAnsi="Proxima Nova" w:cstheme="minorHAnsi"/>
          <w:sz w:val="22"/>
          <w:szCs w:val="22"/>
          <w:lang w:val="en"/>
        </w:rPr>
        <w:t>i</w:t>
      </w:r>
      <w:r w:rsidR="006863F7" w:rsidRPr="00233EF8">
        <w:rPr>
          <w:rFonts w:ascii="Proxima Nova" w:hAnsi="Proxima Nova" w:cstheme="minorHAnsi"/>
          <w:sz w:val="22"/>
          <w:szCs w:val="22"/>
          <w:lang w:val="en"/>
        </w:rPr>
        <w:t>ncapable can occur through the economic gains derived from warehousing people with disability in institutions</w:t>
      </w:r>
      <w:r w:rsidR="00251903" w:rsidRPr="00233EF8">
        <w:rPr>
          <w:rFonts w:ascii="Proxima Nova" w:hAnsi="Proxima Nova" w:cstheme="minorHAnsi"/>
          <w:sz w:val="22"/>
          <w:szCs w:val="22"/>
          <w:lang w:val="en"/>
        </w:rPr>
        <w:t xml:space="preserve"> and group homes</w:t>
      </w:r>
      <w:r w:rsidR="006863F7" w:rsidRPr="00233EF8">
        <w:rPr>
          <w:rFonts w:ascii="Proxima Nova" w:hAnsi="Proxima Nova" w:cstheme="minorHAnsi"/>
          <w:sz w:val="22"/>
          <w:szCs w:val="22"/>
          <w:lang w:val="en"/>
        </w:rPr>
        <w:t xml:space="preserve"> </w:t>
      </w:r>
      <w:r w:rsidRPr="00233EF8">
        <w:rPr>
          <w:rFonts w:ascii="Proxima Nova" w:hAnsi="Proxima Nova" w:cstheme="minorHAnsi"/>
          <w:sz w:val="22"/>
          <w:szCs w:val="22"/>
          <w:lang w:val="en"/>
        </w:rPr>
        <w:t>and</w:t>
      </w:r>
      <w:r w:rsidR="006863F7" w:rsidRPr="00233EF8">
        <w:rPr>
          <w:rFonts w:ascii="Proxima Nova" w:hAnsi="Proxima Nova" w:cstheme="minorHAnsi"/>
          <w:sz w:val="22"/>
          <w:szCs w:val="22"/>
          <w:lang w:val="en"/>
        </w:rPr>
        <w:t xml:space="preserve"> precarious housing such as boarding houses</w:t>
      </w:r>
      <w:r w:rsidRPr="00233EF8">
        <w:rPr>
          <w:rFonts w:ascii="Proxima Nova" w:hAnsi="Proxima Nova" w:cstheme="minorHAnsi"/>
          <w:sz w:val="22"/>
          <w:szCs w:val="22"/>
          <w:lang w:val="en"/>
        </w:rPr>
        <w:t>.</w:t>
      </w:r>
      <w:r w:rsidRPr="00233EF8">
        <w:rPr>
          <w:rStyle w:val="EndnoteReference"/>
          <w:rFonts w:ascii="Proxima Nova" w:hAnsi="Proxima Nova" w:cstheme="minorHAnsi"/>
          <w:sz w:val="22"/>
          <w:szCs w:val="22"/>
          <w:lang w:val="en"/>
        </w:rPr>
        <w:endnoteReference w:id="248"/>
      </w:r>
      <w:r w:rsidRPr="00233EF8">
        <w:rPr>
          <w:rFonts w:ascii="Proxima Nova" w:hAnsi="Proxima Nova" w:cstheme="minorHAnsi"/>
          <w:sz w:val="22"/>
          <w:szCs w:val="22"/>
          <w:lang w:val="en"/>
        </w:rPr>
        <w:t xml:space="preserve"> This warehousing involves congregating a large number of people with disability at a higher concentration than would occur in the community </w:t>
      </w:r>
      <w:r w:rsidR="00251903" w:rsidRPr="00233EF8">
        <w:rPr>
          <w:rFonts w:ascii="Proxima Nova" w:hAnsi="Proxima Nova" w:cstheme="minorHAnsi"/>
          <w:sz w:val="22"/>
          <w:szCs w:val="22"/>
          <w:lang w:val="en"/>
        </w:rPr>
        <w:t xml:space="preserve">which can also be coupled with </w:t>
      </w:r>
      <w:r w:rsidR="006863F7" w:rsidRPr="00233EF8">
        <w:rPr>
          <w:rFonts w:ascii="Proxima Nova" w:hAnsi="Proxima Nova" w:cstheme="minorHAnsi"/>
          <w:sz w:val="22"/>
          <w:szCs w:val="22"/>
          <w:lang w:val="en"/>
        </w:rPr>
        <w:t xml:space="preserve">disability service provision which is </w:t>
      </w:r>
      <w:r w:rsidRPr="00233EF8">
        <w:rPr>
          <w:rFonts w:ascii="Proxima Nova" w:hAnsi="Proxima Nova" w:cstheme="minorHAnsi"/>
          <w:sz w:val="22"/>
          <w:szCs w:val="22"/>
          <w:lang w:val="en"/>
        </w:rPr>
        <w:t>driven by organisational convenienc</w:t>
      </w:r>
      <w:r w:rsidR="00251903" w:rsidRPr="00233EF8">
        <w:rPr>
          <w:rFonts w:ascii="Proxima Nova" w:hAnsi="Proxima Nova" w:cstheme="minorHAnsi"/>
          <w:sz w:val="22"/>
          <w:szCs w:val="22"/>
          <w:lang w:val="en"/>
        </w:rPr>
        <w:t>e</w:t>
      </w:r>
      <w:r w:rsidRPr="00233EF8">
        <w:rPr>
          <w:rFonts w:ascii="Proxima Nova" w:hAnsi="Proxima Nova" w:cstheme="minorHAnsi"/>
          <w:sz w:val="22"/>
          <w:szCs w:val="22"/>
          <w:lang w:val="en"/>
        </w:rPr>
        <w:t xml:space="preserve"> and efficiency rather than genuine care. Warehousing maximises organisational profit </w:t>
      </w:r>
      <w:proofErr w:type="gramStart"/>
      <w:r w:rsidRPr="00233EF8">
        <w:rPr>
          <w:rFonts w:ascii="Proxima Nova" w:hAnsi="Proxima Nova" w:cstheme="minorHAnsi"/>
          <w:sz w:val="22"/>
          <w:szCs w:val="22"/>
          <w:lang w:val="en"/>
        </w:rPr>
        <w:t>at the same time that</w:t>
      </w:r>
      <w:proofErr w:type="gramEnd"/>
      <w:r w:rsidRPr="00233EF8">
        <w:rPr>
          <w:rFonts w:ascii="Proxima Nova" w:hAnsi="Proxima Nova" w:cstheme="minorHAnsi"/>
          <w:sz w:val="22"/>
          <w:szCs w:val="22"/>
          <w:lang w:val="en"/>
        </w:rPr>
        <w:t xml:space="preserve"> it causes emotional and physical violation and neglect, and in turn physical pain and illness, psychological distress and even premature death of its residents.</w:t>
      </w:r>
      <w:r w:rsidR="006F375D" w:rsidRPr="00233EF8">
        <w:rPr>
          <w:rFonts w:ascii="Proxima Nova" w:hAnsi="Proxima Nova" w:cstheme="minorHAnsi"/>
          <w:sz w:val="22"/>
          <w:szCs w:val="22"/>
          <w:lang w:val="en"/>
        </w:rPr>
        <w:t xml:space="preserve"> Restrictive practices are </w:t>
      </w:r>
      <w:r w:rsidR="000C5754" w:rsidRPr="00233EF8">
        <w:rPr>
          <w:rFonts w:ascii="Proxima Nova" w:hAnsi="Proxima Nova" w:cstheme="minorHAnsi"/>
          <w:sz w:val="22"/>
          <w:szCs w:val="22"/>
          <w:lang w:val="en"/>
        </w:rPr>
        <w:t xml:space="preserve">a core aspect </w:t>
      </w:r>
      <w:r w:rsidR="00251903" w:rsidRPr="00233EF8">
        <w:rPr>
          <w:rFonts w:ascii="Proxima Nova" w:hAnsi="Proxima Nova" w:cstheme="minorHAnsi"/>
          <w:sz w:val="22"/>
          <w:szCs w:val="22"/>
          <w:lang w:val="en"/>
        </w:rPr>
        <w:t xml:space="preserve">of </w:t>
      </w:r>
      <w:r w:rsidR="000C5754" w:rsidRPr="00233EF8">
        <w:rPr>
          <w:rFonts w:ascii="Proxima Nova" w:hAnsi="Proxima Nova" w:cstheme="minorHAnsi"/>
          <w:sz w:val="22"/>
          <w:szCs w:val="22"/>
          <w:lang w:val="en"/>
        </w:rPr>
        <w:t xml:space="preserve">maximising the ‘labour’ of residents in disability and aged care </w:t>
      </w:r>
      <w:r w:rsidR="008D5E78" w:rsidRPr="00233EF8">
        <w:rPr>
          <w:rFonts w:ascii="Proxima Nova" w:hAnsi="Proxima Nova" w:cstheme="minorHAnsi"/>
          <w:sz w:val="22"/>
          <w:szCs w:val="22"/>
          <w:lang w:val="en"/>
        </w:rPr>
        <w:t>accommodation</w:t>
      </w:r>
      <w:r w:rsidR="000C5754" w:rsidRPr="00233EF8">
        <w:rPr>
          <w:rFonts w:ascii="Proxima Nova" w:hAnsi="Proxima Nova" w:cstheme="minorHAnsi"/>
          <w:sz w:val="22"/>
          <w:szCs w:val="22"/>
          <w:lang w:val="en"/>
        </w:rPr>
        <w:t xml:space="preserve"> because they help minimise the cost and resources required to </w:t>
      </w:r>
      <w:r w:rsidR="00D12C77" w:rsidRPr="00233EF8">
        <w:rPr>
          <w:rFonts w:ascii="Proxima Nova" w:hAnsi="Proxima Nova" w:cstheme="minorHAnsi"/>
          <w:sz w:val="22"/>
          <w:szCs w:val="22"/>
          <w:lang w:val="en"/>
        </w:rPr>
        <w:t xml:space="preserve">acquit the </w:t>
      </w:r>
      <w:r w:rsidR="00D0453D" w:rsidRPr="00233EF8">
        <w:rPr>
          <w:rFonts w:ascii="Proxima Nova" w:hAnsi="Proxima Nova" w:cstheme="minorHAnsi"/>
          <w:sz w:val="22"/>
          <w:szCs w:val="22"/>
          <w:lang w:val="en"/>
        </w:rPr>
        <w:t>services</w:t>
      </w:r>
      <w:r w:rsidR="00D12C77" w:rsidRPr="00233EF8">
        <w:rPr>
          <w:rFonts w:ascii="Proxima Nova" w:hAnsi="Proxima Nova" w:cstheme="minorHAnsi"/>
          <w:sz w:val="22"/>
          <w:szCs w:val="22"/>
          <w:lang w:val="en"/>
        </w:rPr>
        <w:t xml:space="preserve"> for which they are funded</w:t>
      </w:r>
      <w:r w:rsidR="000C5754" w:rsidRPr="00233EF8">
        <w:rPr>
          <w:rFonts w:ascii="Proxima Nova" w:hAnsi="Proxima Nova" w:cstheme="minorHAnsi"/>
          <w:sz w:val="22"/>
          <w:szCs w:val="22"/>
          <w:lang w:val="en"/>
        </w:rPr>
        <w:t>.</w:t>
      </w:r>
    </w:p>
    <w:p w14:paraId="0D60209C" w14:textId="77777777" w:rsidR="006863F7" w:rsidRPr="00233EF8" w:rsidRDefault="006863F7" w:rsidP="00233EF8">
      <w:pPr>
        <w:spacing w:line="276" w:lineRule="auto"/>
        <w:ind w:left="720" w:hanging="720"/>
        <w:rPr>
          <w:rFonts w:ascii="Proxima Nova" w:hAnsi="Proxima Nova" w:cstheme="minorHAnsi"/>
          <w:sz w:val="22"/>
          <w:szCs w:val="22"/>
        </w:rPr>
      </w:pPr>
    </w:p>
    <w:p w14:paraId="3BCFAD7B" w14:textId="7FCBCEF3" w:rsidR="006863F7" w:rsidRPr="00233EF8" w:rsidRDefault="006863F7" w:rsidP="00233EF8">
      <w:pPr>
        <w:pStyle w:val="ListParagraph"/>
        <w:numPr>
          <w:ilvl w:val="1"/>
          <w:numId w:val="28"/>
        </w:numPr>
        <w:spacing w:line="276" w:lineRule="auto"/>
        <w:ind w:left="720" w:hanging="720"/>
        <w:contextualSpacing w:val="0"/>
        <w:rPr>
          <w:rFonts w:ascii="Proxima Nova" w:hAnsi="Proxima Nova" w:cstheme="minorHAnsi"/>
          <w:sz w:val="22"/>
          <w:szCs w:val="22"/>
        </w:rPr>
      </w:pPr>
      <w:r w:rsidRPr="00233EF8">
        <w:rPr>
          <w:rFonts w:ascii="Proxima Nova" w:hAnsi="Proxima Nova" w:cstheme="minorHAnsi"/>
          <w:sz w:val="22"/>
          <w:szCs w:val="22"/>
        </w:rPr>
        <w:t xml:space="preserve">Economic dynamics of violence can assist in understanding two </w:t>
      </w:r>
      <w:proofErr w:type="gramStart"/>
      <w:r w:rsidRPr="00233EF8">
        <w:rPr>
          <w:rFonts w:ascii="Proxima Nova" w:hAnsi="Proxima Nova" w:cstheme="minorHAnsi"/>
          <w:sz w:val="22"/>
          <w:szCs w:val="22"/>
        </w:rPr>
        <w:t>particular dimensions</w:t>
      </w:r>
      <w:proofErr w:type="gramEnd"/>
      <w:r w:rsidRPr="00233EF8">
        <w:rPr>
          <w:rFonts w:ascii="Proxima Nova" w:hAnsi="Proxima Nova" w:cstheme="minorHAnsi"/>
          <w:sz w:val="22"/>
          <w:szCs w:val="22"/>
        </w:rPr>
        <w:t xml:space="preserve"> of the violence of restrictive practices. First, </w:t>
      </w:r>
      <w:r w:rsidRPr="00233EF8">
        <w:rPr>
          <w:rFonts w:ascii="Proxima Nova" w:hAnsi="Proxima Nova" w:cstheme="minorHAnsi"/>
          <w:sz w:val="22"/>
          <w:szCs w:val="22"/>
          <w:lang w:val="en"/>
        </w:rPr>
        <w:t xml:space="preserve">economic violence facilitates a deeper appreciation of the financial drivers of restrictive practices, notably how violence can result in financial benefit to others. </w:t>
      </w:r>
      <w:r w:rsidR="00717FA1" w:rsidRPr="00233EF8">
        <w:rPr>
          <w:rFonts w:ascii="Proxima Nova" w:hAnsi="Proxima Nova" w:cstheme="minorHAnsi"/>
          <w:sz w:val="22"/>
          <w:szCs w:val="22"/>
          <w:lang w:val="en"/>
        </w:rPr>
        <w:t xml:space="preserve">The use of restrictive practices can be understood as </w:t>
      </w:r>
      <w:proofErr w:type="gramStart"/>
      <w:r w:rsidR="00717FA1" w:rsidRPr="00233EF8">
        <w:rPr>
          <w:rFonts w:ascii="Proxima Nova" w:hAnsi="Proxima Nova" w:cstheme="minorHAnsi"/>
          <w:sz w:val="22"/>
          <w:szCs w:val="22"/>
          <w:lang w:val="en"/>
        </w:rPr>
        <w:t>opening up</w:t>
      </w:r>
      <w:proofErr w:type="gramEnd"/>
      <w:r w:rsidR="00717FA1" w:rsidRPr="00233EF8">
        <w:rPr>
          <w:rFonts w:ascii="Proxima Nova" w:hAnsi="Proxima Nova" w:cstheme="minorHAnsi"/>
          <w:sz w:val="22"/>
          <w:szCs w:val="22"/>
          <w:lang w:val="en"/>
        </w:rPr>
        <w:t xml:space="preserve"> the possibility of people with disability as </w:t>
      </w:r>
      <w:r w:rsidRPr="00233EF8">
        <w:rPr>
          <w:rFonts w:ascii="Proxima Nova" w:hAnsi="Proxima Nova" w:cstheme="minorHAnsi"/>
          <w:sz w:val="22"/>
          <w:szCs w:val="22"/>
          <w:lang w:val="en"/>
        </w:rPr>
        <w:t>presenting economic opportunity</w:t>
      </w:r>
      <w:r w:rsidR="00717FA1" w:rsidRPr="00233EF8">
        <w:rPr>
          <w:rFonts w:ascii="Proxima Nova" w:hAnsi="Proxima Nova" w:cstheme="minorHAnsi"/>
          <w:sz w:val="22"/>
          <w:szCs w:val="22"/>
          <w:lang w:val="en"/>
        </w:rPr>
        <w:t xml:space="preserve"> and gain</w:t>
      </w:r>
      <w:r w:rsidRPr="00233EF8">
        <w:rPr>
          <w:rFonts w:ascii="Proxima Nova" w:hAnsi="Proxima Nova" w:cstheme="minorHAnsi"/>
          <w:sz w:val="22"/>
          <w:szCs w:val="22"/>
          <w:lang w:val="en"/>
        </w:rPr>
        <w:t xml:space="preserve"> </w:t>
      </w:r>
      <w:r w:rsidR="00717FA1" w:rsidRPr="00233EF8">
        <w:rPr>
          <w:rFonts w:ascii="Proxima Nova" w:hAnsi="Proxima Nova" w:cstheme="minorHAnsi"/>
          <w:sz w:val="22"/>
          <w:szCs w:val="22"/>
          <w:lang w:val="en"/>
        </w:rPr>
        <w:t>to</w:t>
      </w:r>
      <w:r w:rsidRPr="00233EF8">
        <w:rPr>
          <w:rFonts w:ascii="Proxima Nova" w:hAnsi="Proxima Nova" w:cstheme="minorHAnsi"/>
          <w:sz w:val="22"/>
          <w:szCs w:val="22"/>
          <w:lang w:val="en"/>
        </w:rPr>
        <w:t xml:space="preserve"> others, rather than simply being seen as an economic burden </w:t>
      </w:r>
      <w:r w:rsidR="00251903" w:rsidRPr="00233EF8">
        <w:rPr>
          <w:rFonts w:ascii="Proxima Nova" w:hAnsi="Proxima Nova" w:cstheme="minorHAnsi"/>
          <w:sz w:val="22"/>
          <w:szCs w:val="22"/>
          <w:lang w:val="en"/>
        </w:rPr>
        <w:t xml:space="preserve">on </w:t>
      </w:r>
      <w:r w:rsidRPr="00233EF8">
        <w:rPr>
          <w:rFonts w:ascii="Proxima Nova" w:hAnsi="Proxima Nova" w:cstheme="minorHAnsi"/>
          <w:sz w:val="22"/>
          <w:szCs w:val="22"/>
          <w:lang w:val="en"/>
        </w:rPr>
        <w:t xml:space="preserve">others. Restrictive practices are a means of </w:t>
      </w:r>
      <w:r w:rsidRPr="00233EF8">
        <w:rPr>
          <w:rFonts w:ascii="Proxima Nova" w:hAnsi="Proxima Nova" w:cstheme="minorHAnsi"/>
          <w:sz w:val="22"/>
          <w:szCs w:val="22"/>
        </w:rPr>
        <w:t>warehousing women and girls with disability, not simply to repress them and keep them ‘out of si</w:t>
      </w:r>
      <w:r w:rsidR="00717FA1" w:rsidRPr="00233EF8">
        <w:rPr>
          <w:rFonts w:ascii="Proxima Nova" w:hAnsi="Proxima Nova" w:cstheme="minorHAnsi"/>
          <w:sz w:val="22"/>
          <w:szCs w:val="22"/>
        </w:rPr>
        <w:t xml:space="preserve">ght, out of mind’ but to </w:t>
      </w:r>
      <w:r w:rsidRPr="00233EF8">
        <w:rPr>
          <w:rFonts w:ascii="Proxima Nova" w:hAnsi="Proxima Nova" w:cstheme="minorHAnsi"/>
          <w:sz w:val="22"/>
          <w:szCs w:val="22"/>
        </w:rPr>
        <w:t xml:space="preserve">extract maximum profit from their bodies. </w:t>
      </w:r>
      <w:r w:rsidR="00717FA1" w:rsidRPr="00233EF8">
        <w:rPr>
          <w:rFonts w:ascii="Proxima Nova" w:hAnsi="Proxima Nova" w:cstheme="minorHAnsi"/>
          <w:sz w:val="22"/>
          <w:szCs w:val="22"/>
        </w:rPr>
        <w:t>This is particularly evident in relation to sterilisation, menstrual suppression and contraception as a means of eliminating the need for staff and resources to be used on managing menstrual blood</w:t>
      </w:r>
      <w:r w:rsidR="00FB7FF2" w:rsidRPr="00233EF8">
        <w:rPr>
          <w:rFonts w:ascii="Proxima Nova" w:hAnsi="Proxima Nova" w:cstheme="minorHAnsi"/>
          <w:sz w:val="22"/>
          <w:szCs w:val="22"/>
        </w:rPr>
        <w:t>, which is framed as an unnecessary burden on carers, as noted earlier in this section when discussing ‘gendering ableism’</w:t>
      </w:r>
      <w:r w:rsidR="00717FA1" w:rsidRPr="00233EF8">
        <w:rPr>
          <w:rFonts w:ascii="Proxima Nova" w:hAnsi="Proxima Nova" w:cstheme="minorHAnsi"/>
          <w:sz w:val="22"/>
          <w:szCs w:val="22"/>
        </w:rPr>
        <w:t>.</w:t>
      </w:r>
      <w:r w:rsidR="00FB7FF2" w:rsidRPr="00233EF8">
        <w:rPr>
          <w:rStyle w:val="EndnoteReference"/>
          <w:rFonts w:ascii="Proxima Nova" w:hAnsi="Proxima Nova" w:cstheme="minorHAnsi"/>
          <w:sz w:val="22"/>
          <w:szCs w:val="22"/>
        </w:rPr>
        <w:endnoteReference w:id="249"/>
      </w:r>
      <w:r w:rsidR="00FB7FF2" w:rsidRPr="00233EF8">
        <w:rPr>
          <w:rFonts w:ascii="Proxima Nova" w:hAnsi="Proxima Nova" w:cstheme="minorHAnsi"/>
          <w:sz w:val="22"/>
          <w:szCs w:val="22"/>
        </w:rPr>
        <w:t xml:space="preserve"> </w:t>
      </w:r>
    </w:p>
    <w:p w14:paraId="293F12FD" w14:textId="77777777" w:rsidR="006863F7" w:rsidRPr="00233EF8" w:rsidRDefault="006863F7" w:rsidP="00233EF8">
      <w:pPr>
        <w:pStyle w:val="ListParagraph"/>
        <w:spacing w:line="276" w:lineRule="auto"/>
        <w:ind w:hanging="720"/>
        <w:rPr>
          <w:rFonts w:ascii="Proxima Nova" w:hAnsi="Proxima Nova" w:cstheme="minorHAnsi"/>
          <w:sz w:val="22"/>
          <w:szCs w:val="22"/>
        </w:rPr>
      </w:pPr>
    </w:p>
    <w:p w14:paraId="6A1B6A95" w14:textId="02C20962" w:rsidR="00FB7FF2" w:rsidRPr="00233EF8" w:rsidRDefault="006863F7" w:rsidP="00233EF8">
      <w:pPr>
        <w:pStyle w:val="ListParagraph"/>
        <w:numPr>
          <w:ilvl w:val="1"/>
          <w:numId w:val="28"/>
        </w:numPr>
        <w:spacing w:line="276" w:lineRule="auto"/>
        <w:ind w:left="720" w:hanging="720"/>
        <w:contextualSpacing w:val="0"/>
        <w:rPr>
          <w:rFonts w:ascii="Proxima Nova" w:hAnsi="Proxima Nova" w:cstheme="minorHAnsi"/>
          <w:sz w:val="22"/>
          <w:szCs w:val="22"/>
        </w:rPr>
      </w:pPr>
      <w:r w:rsidRPr="00233EF8">
        <w:rPr>
          <w:rFonts w:ascii="Proxima Nova" w:hAnsi="Proxima Nova" w:cstheme="minorHAnsi"/>
          <w:sz w:val="22"/>
          <w:szCs w:val="22"/>
        </w:rPr>
        <w:lastRenderedPageBreak/>
        <w:t>Second, considering</w:t>
      </w:r>
      <w:r w:rsidR="00FB7FF2" w:rsidRPr="00233EF8">
        <w:rPr>
          <w:rFonts w:ascii="Proxima Nova" w:hAnsi="Proxima Nova" w:cstheme="minorHAnsi"/>
          <w:sz w:val="22"/>
          <w:szCs w:val="22"/>
        </w:rPr>
        <w:t xml:space="preserve"> the </w:t>
      </w:r>
      <w:r w:rsidR="008D5E78" w:rsidRPr="00233EF8">
        <w:rPr>
          <w:rFonts w:ascii="Proxima Nova" w:hAnsi="Proxima Nova" w:cstheme="minorHAnsi"/>
          <w:sz w:val="22"/>
          <w:szCs w:val="22"/>
        </w:rPr>
        <w:t>financial</w:t>
      </w:r>
      <w:r w:rsidR="00FB7FF2" w:rsidRPr="00233EF8">
        <w:rPr>
          <w:rFonts w:ascii="Proxima Nova" w:hAnsi="Proxima Nova" w:cstheme="minorHAnsi"/>
          <w:sz w:val="22"/>
          <w:szCs w:val="22"/>
        </w:rPr>
        <w:t xml:space="preserve"> enrichment associated with use of</w:t>
      </w:r>
      <w:r w:rsidRPr="00233EF8">
        <w:rPr>
          <w:rFonts w:ascii="Proxima Nova" w:hAnsi="Proxima Nova" w:cstheme="minorHAnsi"/>
          <w:sz w:val="22"/>
          <w:szCs w:val="22"/>
        </w:rPr>
        <w:t xml:space="preserve"> restrictive practices </w:t>
      </w:r>
      <w:r w:rsidRPr="00233EF8">
        <w:rPr>
          <w:rFonts w:ascii="Proxima Nova" w:hAnsi="Proxima Nova" w:cstheme="minorHAnsi"/>
          <w:sz w:val="22"/>
          <w:szCs w:val="22"/>
          <w:lang w:val="en"/>
        </w:rPr>
        <w:t>broadens the possibilities of redress, as extending beyond compensation of injury</w:t>
      </w:r>
      <w:r w:rsidR="00251903" w:rsidRPr="00233EF8">
        <w:rPr>
          <w:rFonts w:ascii="Proxima Nova" w:hAnsi="Proxima Nova" w:cstheme="minorHAnsi"/>
          <w:sz w:val="22"/>
          <w:szCs w:val="22"/>
          <w:lang w:val="en"/>
        </w:rPr>
        <w:t>/loss to</w:t>
      </w:r>
      <w:r w:rsidR="00FB7FF2" w:rsidRPr="00233EF8">
        <w:rPr>
          <w:rFonts w:ascii="Proxima Nova" w:hAnsi="Proxima Nova" w:cstheme="minorHAnsi"/>
          <w:sz w:val="22"/>
          <w:szCs w:val="22"/>
          <w:lang w:val="en"/>
        </w:rPr>
        <w:t xml:space="preserve"> the person with disability</w:t>
      </w:r>
      <w:r w:rsidRPr="00233EF8">
        <w:rPr>
          <w:rFonts w:ascii="Proxima Nova" w:hAnsi="Proxima Nova" w:cstheme="minorHAnsi"/>
          <w:sz w:val="22"/>
          <w:szCs w:val="22"/>
          <w:lang w:val="en"/>
        </w:rPr>
        <w:t xml:space="preserve">, to include restitution of financial benefit to </w:t>
      </w:r>
      <w:r w:rsidR="00251903" w:rsidRPr="00233EF8">
        <w:rPr>
          <w:rFonts w:ascii="Proxima Nova" w:hAnsi="Proxima Nova" w:cstheme="minorHAnsi"/>
          <w:sz w:val="22"/>
          <w:szCs w:val="22"/>
          <w:lang w:val="en"/>
        </w:rPr>
        <w:t>perpetrators and services</w:t>
      </w:r>
      <w:r w:rsidRPr="00233EF8">
        <w:rPr>
          <w:rFonts w:ascii="Proxima Nova" w:hAnsi="Proxima Nova" w:cstheme="minorHAnsi"/>
          <w:sz w:val="22"/>
          <w:szCs w:val="22"/>
          <w:lang w:val="en"/>
        </w:rPr>
        <w:t xml:space="preserve">. This will require careful consideration of the scope of financial gain, notably when the economic violence has been historical in nature and charities or corporations have subsequently grown the wealth they derived from the bodies of people with disability, </w:t>
      </w:r>
      <w:r w:rsidR="00251903" w:rsidRPr="00233EF8">
        <w:rPr>
          <w:rFonts w:ascii="Proxima Nova" w:hAnsi="Proxima Nova" w:cstheme="minorHAnsi"/>
          <w:sz w:val="22"/>
          <w:szCs w:val="22"/>
          <w:lang w:val="en"/>
        </w:rPr>
        <w:t>such that</w:t>
      </w:r>
      <w:r w:rsidRPr="00233EF8">
        <w:rPr>
          <w:rFonts w:ascii="Proxima Nova" w:hAnsi="Proxima Nova" w:cstheme="minorHAnsi"/>
          <w:sz w:val="22"/>
          <w:szCs w:val="22"/>
          <w:lang w:val="en"/>
        </w:rPr>
        <w:t xml:space="preserve"> there is a continuity of financial benefit across time (even if they have purportedly transformed </w:t>
      </w:r>
      <w:r w:rsidR="00FB7FF2" w:rsidRPr="00233EF8">
        <w:rPr>
          <w:rFonts w:ascii="Proxima Nova" w:hAnsi="Proxima Nova" w:cstheme="minorHAnsi"/>
          <w:sz w:val="22"/>
          <w:szCs w:val="22"/>
          <w:lang w:val="en"/>
        </w:rPr>
        <w:t>their ethos and practices). Redress of financial enrichment</w:t>
      </w:r>
      <w:r w:rsidRPr="00233EF8">
        <w:rPr>
          <w:rFonts w:ascii="Proxima Nova" w:hAnsi="Proxima Nova" w:cstheme="minorHAnsi"/>
          <w:sz w:val="22"/>
          <w:szCs w:val="22"/>
          <w:lang w:val="en"/>
        </w:rPr>
        <w:t xml:space="preserve"> requires a switch in how economies of disability and aged care service provision are typically understood. </w:t>
      </w:r>
      <w:r w:rsidR="006B12EA" w:rsidRPr="00233EF8">
        <w:rPr>
          <w:rFonts w:ascii="Proxima Nova" w:hAnsi="Proxima Nova" w:cstheme="minorHAnsi"/>
          <w:sz w:val="22"/>
          <w:szCs w:val="22"/>
          <w:lang w:val="en"/>
        </w:rPr>
        <w:t xml:space="preserve">This broadened approach to redress </w:t>
      </w:r>
      <w:r w:rsidR="00251903" w:rsidRPr="00233EF8">
        <w:rPr>
          <w:rFonts w:ascii="Proxima Nova" w:hAnsi="Proxima Nova" w:cstheme="minorHAnsi"/>
          <w:sz w:val="22"/>
          <w:szCs w:val="22"/>
          <w:lang w:val="en"/>
        </w:rPr>
        <w:t>might be</w:t>
      </w:r>
      <w:r w:rsidR="006B12EA" w:rsidRPr="00233EF8">
        <w:rPr>
          <w:rFonts w:ascii="Proxima Nova" w:hAnsi="Proxima Nova" w:cstheme="minorHAnsi"/>
          <w:sz w:val="22"/>
          <w:szCs w:val="22"/>
          <w:lang w:val="en"/>
        </w:rPr>
        <w:t xml:space="preserve"> relevant to the group homes context that prompted the Royal Commission’s commitment to exploring redress in</w:t>
      </w:r>
      <w:r w:rsidR="00251903" w:rsidRPr="00233EF8">
        <w:rPr>
          <w:rFonts w:ascii="Proxima Nova" w:hAnsi="Proxima Nova" w:cstheme="minorHAnsi"/>
          <w:sz w:val="22"/>
          <w:szCs w:val="22"/>
          <w:lang w:val="en"/>
        </w:rPr>
        <w:t xml:space="preserve"> its</w:t>
      </w:r>
      <w:r w:rsidR="006B12EA" w:rsidRPr="00233EF8">
        <w:rPr>
          <w:rFonts w:ascii="Proxima Nova" w:hAnsi="Proxima Nova" w:cstheme="minorHAnsi"/>
          <w:sz w:val="22"/>
          <w:szCs w:val="22"/>
          <w:lang w:val="en"/>
        </w:rPr>
        <w:t xml:space="preserve"> future work.</w:t>
      </w:r>
    </w:p>
    <w:p w14:paraId="4F6859C1" w14:textId="77777777" w:rsidR="00FB7FF2" w:rsidRPr="00233EF8" w:rsidRDefault="00FB7FF2" w:rsidP="00233EF8">
      <w:pPr>
        <w:pStyle w:val="ListParagraph"/>
        <w:spacing w:line="276" w:lineRule="auto"/>
        <w:ind w:hanging="720"/>
        <w:rPr>
          <w:rFonts w:ascii="Proxima Nova" w:hAnsi="Proxima Nova" w:cstheme="minorHAnsi"/>
          <w:sz w:val="22"/>
          <w:szCs w:val="22"/>
          <w:lang w:val="en"/>
        </w:rPr>
      </w:pPr>
    </w:p>
    <w:p w14:paraId="6036CBF4" w14:textId="3F092FE0" w:rsidR="006863F7" w:rsidRPr="00233EF8" w:rsidRDefault="006B12EA" w:rsidP="00233EF8">
      <w:pPr>
        <w:pStyle w:val="ListParagraph"/>
        <w:numPr>
          <w:ilvl w:val="1"/>
          <w:numId w:val="28"/>
        </w:numPr>
        <w:spacing w:line="276" w:lineRule="auto"/>
        <w:ind w:left="720" w:hanging="720"/>
        <w:contextualSpacing w:val="0"/>
        <w:rPr>
          <w:rFonts w:ascii="Proxima Nova" w:hAnsi="Proxima Nova" w:cstheme="minorHAnsi"/>
          <w:sz w:val="22"/>
          <w:szCs w:val="22"/>
        </w:rPr>
      </w:pPr>
      <w:r w:rsidRPr="00233EF8">
        <w:rPr>
          <w:rFonts w:ascii="Proxima Nova" w:hAnsi="Proxima Nova" w:cstheme="minorHAnsi"/>
          <w:sz w:val="22"/>
          <w:szCs w:val="22"/>
        </w:rPr>
        <w:t>Therefore, c</w:t>
      </w:r>
      <w:r w:rsidR="006863F7" w:rsidRPr="00233EF8">
        <w:rPr>
          <w:rFonts w:ascii="Proxima Nova" w:hAnsi="Proxima Nova" w:cstheme="minorHAnsi"/>
          <w:sz w:val="22"/>
          <w:szCs w:val="22"/>
        </w:rPr>
        <w:t xml:space="preserve">onsidering economic dynamics of violence of restrictive practice is useful in three respects. First, it highlights the financial incentives for perpetrating violence through restrictive practices. Second, it highlights that preventing violence must involve </w:t>
      </w:r>
      <w:r w:rsidRPr="00233EF8">
        <w:rPr>
          <w:rFonts w:ascii="Proxima Nova" w:hAnsi="Proxima Nova" w:cstheme="minorHAnsi"/>
          <w:sz w:val="22"/>
          <w:szCs w:val="22"/>
        </w:rPr>
        <w:t>dismantlin</w:t>
      </w:r>
      <w:r w:rsidR="006863F7" w:rsidRPr="00233EF8">
        <w:rPr>
          <w:rFonts w:ascii="Proxima Nova" w:hAnsi="Proxima Nova" w:cstheme="minorHAnsi"/>
          <w:sz w:val="22"/>
          <w:szCs w:val="22"/>
        </w:rPr>
        <w:t>g financial and economic structures that provide profit and financial incentives (</w:t>
      </w:r>
      <w:proofErr w:type="gramStart"/>
      <w:r w:rsidR="006863F7" w:rsidRPr="00233EF8">
        <w:rPr>
          <w:rFonts w:ascii="Proxima Nova" w:hAnsi="Proxima Nova" w:cstheme="minorHAnsi"/>
          <w:sz w:val="22"/>
          <w:szCs w:val="22"/>
        </w:rPr>
        <w:t>e.g.</w:t>
      </w:r>
      <w:proofErr w:type="gramEnd"/>
      <w:r w:rsidR="006863F7" w:rsidRPr="00233EF8">
        <w:rPr>
          <w:rFonts w:ascii="Proxima Nova" w:hAnsi="Proxima Nova" w:cstheme="minorHAnsi"/>
          <w:sz w:val="22"/>
          <w:szCs w:val="22"/>
        </w:rPr>
        <w:t xml:space="preserve"> disability service and aged care provision as</w:t>
      </w:r>
      <w:r w:rsidR="00251903" w:rsidRPr="00233EF8">
        <w:rPr>
          <w:rFonts w:ascii="Proxima Nova" w:hAnsi="Proxima Nova" w:cstheme="minorHAnsi"/>
          <w:sz w:val="22"/>
          <w:szCs w:val="22"/>
        </w:rPr>
        <w:t xml:space="preserve"> profitable or a</w:t>
      </w:r>
      <w:r w:rsidR="006863F7" w:rsidRPr="00233EF8">
        <w:rPr>
          <w:rFonts w:ascii="Proxima Nova" w:hAnsi="Proxima Nova" w:cstheme="minorHAnsi"/>
          <w:sz w:val="22"/>
          <w:szCs w:val="22"/>
        </w:rPr>
        <w:t xml:space="preserve"> lucrative investment). Third, it indicates that redressing this violence must not only attend to remedies for the injuries experienced, but also explore remedies specifically related to</w:t>
      </w:r>
      <w:r w:rsidRPr="00233EF8">
        <w:rPr>
          <w:rFonts w:ascii="Proxima Nova" w:hAnsi="Proxima Nova" w:cstheme="minorHAnsi"/>
          <w:sz w:val="22"/>
          <w:szCs w:val="22"/>
        </w:rPr>
        <w:t xml:space="preserve"> accountability for </w:t>
      </w:r>
      <w:r w:rsidR="006863F7" w:rsidRPr="00233EF8">
        <w:rPr>
          <w:rFonts w:ascii="Proxima Nova" w:hAnsi="Proxima Nova" w:cstheme="minorHAnsi"/>
          <w:sz w:val="22"/>
          <w:szCs w:val="22"/>
        </w:rPr>
        <w:t xml:space="preserve">financial enrichment of perpetrators. </w:t>
      </w:r>
    </w:p>
    <w:p w14:paraId="313B4162" w14:textId="02E23332" w:rsidR="006863F7" w:rsidRPr="00233EF8" w:rsidRDefault="006863F7" w:rsidP="00233EF8">
      <w:pPr>
        <w:pStyle w:val="ListParagraph"/>
        <w:spacing w:line="276" w:lineRule="auto"/>
        <w:ind w:hanging="720"/>
        <w:rPr>
          <w:rFonts w:ascii="Proxima Nova" w:hAnsi="Proxima Nova" w:cstheme="minorHAnsi"/>
          <w:sz w:val="22"/>
          <w:szCs w:val="22"/>
          <w:lang w:val="en"/>
        </w:rPr>
      </w:pPr>
    </w:p>
    <w:p w14:paraId="20170BC7" w14:textId="4A96EDBE" w:rsidR="008D5E78" w:rsidRPr="00933B76" w:rsidRDefault="008D5E78" w:rsidP="008D5E78">
      <w:pPr>
        <w:spacing w:line="276" w:lineRule="auto"/>
        <w:rPr>
          <w:rFonts w:ascii="Proxima Nova" w:hAnsi="Proxima Nova" w:cstheme="minorHAnsi"/>
        </w:rPr>
      </w:pPr>
      <w:r w:rsidRPr="00933B76">
        <w:rPr>
          <w:rFonts w:ascii="Proxima Nova" w:hAnsi="Proxima Nova"/>
          <w:b/>
          <w:color w:val="AC1F79"/>
        </w:rPr>
        <w:t>Structural Violence</w:t>
      </w:r>
    </w:p>
    <w:p w14:paraId="3AD2B246" w14:textId="400DE83F" w:rsidR="008D5E78" w:rsidRPr="00233EF8" w:rsidRDefault="008D5E78" w:rsidP="00233EF8">
      <w:pPr>
        <w:pStyle w:val="ListParagraph"/>
        <w:spacing w:line="276" w:lineRule="auto"/>
        <w:ind w:hanging="720"/>
        <w:rPr>
          <w:rFonts w:ascii="Proxima Nova" w:hAnsi="Proxima Nova" w:cstheme="minorHAnsi"/>
          <w:sz w:val="22"/>
          <w:szCs w:val="22"/>
          <w:lang w:val="en"/>
        </w:rPr>
      </w:pPr>
    </w:p>
    <w:p w14:paraId="3126936B" w14:textId="0DB3F532" w:rsidR="00646BC6" w:rsidRPr="00233EF8" w:rsidRDefault="00646BC6" w:rsidP="00233EF8">
      <w:pPr>
        <w:pStyle w:val="ListParagraph"/>
        <w:numPr>
          <w:ilvl w:val="1"/>
          <w:numId w:val="28"/>
        </w:numPr>
        <w:snapToGrid w:val="0"/>
        <w:spacing w:line="276" w:lineRule="auto"/>
        <w:ind w:left="720" w:hanging="720"/>
        <w:contextualSpacing w:val="0"/>
        <w:rPr>
          <w:rFonts w:ascii="Proxima Nova" w:hAnsi="Proxima Nova" w:cstheme="minorHAnsi"/>
          <w:sz w:val="22"/>
          <w:szCs w:val="22"/>
          <w:bdr w:val="none" w:sz="0" w:space="0" w:color="auto" w:frame="1"/>
        </w:rPr>
      </w:pPr>
      <w:r w:rsidRPr="00233EF8">
        <w:rPr>
          <w:rFonts w:ascii="Proxima Nova" w:hAnsi="Proxima Nova" w:cstheme="minorHAnsi"/>
          <w:color w:val="000000" w:themeColor="text1"/>
          <w:spacing w:val="-4"/>
          <w:sz w:val="22"/>
          <w:szCs w:val="22"/>
          <w:shd w:val="clear" w:color="auto" w:fill="FFFFFF"/>
        </w:rPr>
        <w:t>W</w:t>
      </w:r>
      <w:r w:rsidRPr="00233EF8">
        <w:rPr>
          <w:rFonts w:ascii="Proxima Nova" w:hAnsi="Proxima Nova" w:cstheme="minorHAnsi"/>
          <w:sz w:val="22"/>
          <w:szCs w:val="22"/>
        </w:rPr>
        <w:t xml:space="preserve">omen with disability throughout Australia bear a disproportionate burden of poverty and are amongst the poorest of all groups in society. They experience multiple and intersecting forms of discrimination and disadvantage, which creates and perpetuates systemic inequality between disabled men and women. In practice this means that women with disability have far fewer opportunities, lower status and less power and influence than men with disability (and non-disabled women), and far less chance of realising substantive enjoyment of rights. These rights </w:t>
      </w:r>
      <w:proofErr w:type="gramStart"/>
      <w:r w:rsidRPr="00233EF8">
        <w:rPr>
          <w:rFonts w:ascii="Proxima Nova" w:hAnsi="Proxima Nova" w:cstheme="minorHAnsi"/>
          <w:sz w:val="22"/>
          <w:szCs w:val="22"/>
        </w:rPr>
        <w:t>include:</w:t>
      </w:r>
      <w:proofErr w:type="gramEnd"/>
      <w:r w:rsidRPr="00233EF8">
        <w:rPr>
          <w:rFonts w:ascii="Proxima Nova" w:hAnsi="Proxima Nova" w:cstheme="minorHAnsi"/>
          <w:sz w:val="22"/>
          <w:szCs w:val="22"/>
        </w:rPr>
        <w:t xml:space="preserve"> freedom to act and to be recognised as autonomous, fully capable adults; to participate fully in economic, social and political development; and to make decisions concerning their circumstances and conditions.</w:t>
      </w:r>
      <w:r w:rsidRPr="00233EF8">
        <w:rPr>
          <w:rStyle w:val="EndnoteReference"/>
          <w:rFonts w:ascii="Proxima Nova" w:hAnsi="Proxima Nova" w:cstheme="minorHAnsi"/>
          <w:sz w:val="22"/>
          <w:szCs w:val="22"/>
        </w:rPr>
        <w:endnoteReference w:id="250"/>
      </w:r>
    </w:p>
    <w:p w14:paraId="4BD230D7" w14:textId="77777777" w:rsidR="00233EF8" w:rsidRPr="00233EF8" w:rsidRDefault="00233EF8" w:rsidP="00233EF8">
      <w:pPr>
        <w:snapToGrid w:val="0"/>
        <w:spacing w:line="276" w:lineRule="auto"/>
        <w:rPr>
          <w:rFonts w:ascii="Proxima Nova" w:hAnsi="Proxima Nova" w:cstheme="minorHAnsi"/>
          <w:sz w:val="22"/>
          <w:szCs w:val="22"/>
          <w:bdr w:val="none" w:sz="0" w:space="0" w:color="auto" w:frame="1"/>
        </w:rPr>
      </w:pPr>
    </w:p>
    <w:p w14:paraId="50CDF685" w14:textId="51C1368E" w:rsidR="00251903" w:rsidRPr="00233EF8" w:rsidRDefault="00251903" w:rsidP="00233EF8">
      <w:pPr>
        <w:pStyle w:val="ListParagraph"/>
        <w:numPr>
          <w:ilvl w:val="1"/>
          <w:numId w:val="28"/>
        </w:numPr>
        <w:autoSpaceDE w:val="0"/>
        <w:autoSpaceDN w:val="0"/>
        <w:adjustRightInd w:val="0"/>
        <w:spacing w:line="276" w:lineRule="auto"/>
        <w:ind w:left="720" w:hanging="720"/>
        <w:contextualSpacing w:val="0"/>
        <w:rPr>
          <w:rFonts w:ascii="Proxima Nova" w:hAnsi="Proxima Nova" w:cstheme="minorHAnsi"/>
          <w:sz w:val="22"/>
          <w:szCs w:val="22"/>
          <w:lang w:val="en"/>
        </w:rPr>
      </w:pPr>
      <w:r w:rsidRPr="00233EF8">
        <w:rPr>
          <w:rFonts w:ascii="Proxima Nova" w:hAnsi="Proxima Nova" w:cstheme="minorHAnsi"/>
          <w:sz w:val="22"/>
          <w:szCs w:val="22"/>
          <w:lang w:val="en"/>
        </w:rPr>
        <w:t xml:space="preserve">The concept of ‘structural violence’ can help to understand the broader impacts of restrictive practices on inequality, discrimination and disadvantage experienced by women and girls with disability. Structural violence includes how forces of oppression such as </w:t>
      </w:r>
      <w:r w:rsidRPr="00233EF8">
        <w:rPr>
          <w:rFonts w:ascii="Proxima Nova" w:hAnsi="Proxima Nova" w:cstheme="minorHAnsi"/>
          <w:sz w:val="22"/>
          <w:szCs w:val="22"/>
        </w:rPr>
        <w:t>ableism, imperialism, colonialism, capitalism, patriarchal heteronormativity and white supremacy shape the differential experiences of violence and flourishing between groups of people with disability (</w:t>
      </w:r>
      <w:proofErr w:type="gramStart"/>
      <w:r w:rsidRPr="00233EF8">
        <w:rPr>
          <w:rFonts w:ascii="Proxima Nova" w:hAnsi="Proxima Nova" w:cstheme="minorHAnsi"/>
          <w:sz w:val="22"/>
          <w:szCs w:val="22"/>
        </w:rPr>
        <w:t>e.g.</w:t>
      </w:r>
      <w:proofErr w:type="gramEnd"/>
      <w:r w:rsidRPr="00233EF8">
        <w:rPr>
          <w:rFonts w:ascii="Proxima Nova" w:hAnsi="Proxima Nova" w:cstheme="minorHAnsi"/>
          <w:sz w:val="22"/>
          <w:szCs w:val="22"/>
        </w:rPr>
        <w:t xml:space="preserve"> First Nations people with disability, racialised people with disability, people with disability in the criminal justice system, or people with disability who live in public housing).</w:t>
      </w:r>
      <w:r w:rsidRPr="00233EF8">
        <w:rPr>
          <w:rStyle w:val="EndnoteReference"/>
          <w:rFonts w:ascii="Proxima Nova" w:hAnsi="Proxima Nova" w:cstheme="minorHAnsi"/>
          <w:sz w:val="22"/>
          <w:szCs w:val="22"/>
        </w:rPr>
        <w:endnoteReference w:id="251"/>
      </w:r>
    </w:p>
    <w:p w14:paraId="7C56C634" w14:textId="77777777" w:rsidR="00233EF8" w:rsidRPr="00233EF8" w:rsidRDefault="00233EF8" w:rsidP="00233EF8">
      <w:pPr>
        <w:autoSpaceDE w:val="0"/>
        <w:autoSpaceDN w:val="0"/>
        <w:adjustRightInd w:val="0"/>
        <w:spacing w:line="276" w:lineRule="auto"/>
        <w:rPr>
          <w:rFonts w:ascii="Proxima Nova" w:hAnsi="Proxima Nova" w:cstheme="minorHAnsi"/>
          <w:sz w:val="22"/>
          <w:szCs w:val="22"/>
          <w:lang w:val="en"/>
        </w:rPr>
      </w:pPr>
    </w:p>
    <w:p w14:paraId="0877373E" w14:textId="3EC81665" w:rsidR="00251903" w:rsidRPr="00233EF8" w:rsidRDefault="00251903" w:rsidP="00233EF8">
      <w:pPr>
        <w:pStyle w:val="ListParagraph"/>
        <w:numPr>
          <w:ilvl w:val="1"/>
          <w:numId w:val="28"/>
        </w:numPr>
        <w:autoSpaceDE w:val="0"/>
        <w:autoSpaceDN w:val="0"/>
        <w:adjustRightInd w:val="0"/>
        <w:spacing w:line="276" w:lineRule="auto"/>
        <w:ind w:left="720" w:hanging="720"/>
        <w:contextualSpacing w:val="0"/>
        <w:rPr>
          <w:rFonts w:ascii="Proxima Nova" w:hAnsi="Proxima Nova" w:cstheme="minorHAnsi"/>
          <w:sz w:val="22"/>
          <w:szCs w:val="22"/>
          <w:lang w:val="en"/>
        </w:rPr>
      </w:pPr>
      <w:r w:rsidRPr="00233EF8">
        <w:rPr>
          <w:rFonts w:ascii="Proxima Nova" w:hAnsi="Proxima Nova" w:cstheme="minorHAnsi"/>
          <w:sz w:val="22"/>
          <w:szCs w:val="22"/>
          <w:lang w:val="en"/>
        </w:rPr>
        <w:t>For many women and girls with disability, restrictive practices are not simply a one-off event in a life otherwise free of violence. Rather, these are generally one dimension of violence in lives situated in an entire network of interlocking laws, systems and disciplines that enable violence, oppression, segregation and precarity across their life. The interlocking of laws, the long-term nature of legal orders, and the funding, service and policy pipelines transfer people between segregated contexts and settings during their lives.</w:t>
      </w:r>
    </w:p>
    <w:p w14:paraId="1D0FF630" w14:textId="77777777" w:rsidR="00251903" w:rsidRPr="00233EF8" w:rsidRDefault="00251903" w:rsidP="00233EF8">
      <w:pPr>
        <w:autoSpaceDE w:val="0"/>
        <w:autoSpaceDN w:val="0"/>
        <w:adjustRightInd w:val="0"/>
        <w:spacing w:line="276" w:lineRule="auto"/>
        <w:rPr>
          <w:rFonts w:ascii="Proxima Nova" w:hAnsi="Proxima Nova" w:cstheme="minorHAnsi"/>
          <w:sz w:val="22"/>
          <w:szCs w:val="22"/>
          <w:lang w:val="en"/>
        </w:rPr>
      </w:pPr>
    </w:p>
    <w:p w14:paraId="2DF9DDC6" w14:textId="60E9E607" w:rsidR="00F837FC" w:rsidRPr="00233EF8" w:rsidRDefault="00F837FC" w:rsidP="00233EF8">
      <w:pPr>
        <w:pStyle w:val="ListParagraph"/>
        <w:numPr>
          <w:ilvl w:val="1"/>
          <w:numId w:val="28"/>
        </w:numPr>
        <w:spacing w:line="276" w:lineRule="auto"/>
        <w:ind w:left="720" w:hanging="720"/>
        <w:rPr>
          <w:rFonts w:ascii="Proxima Nova" w:hAnsi="Proxima Nova"/>
          <w:sz w:val="22"/>
          <w:szCs w:val="22"/>
        </w:rPr>
      </w:pPr>
      <w:r w:rsidRPr="00233EF8">
        <w:rPr>
          <w:rFonts w:ascii="Proxima Nova" w:hAnsi="Proxima Nova"/>
          <w:sz w:val="22"/>
          <w:szCs w:val="22"/>
        </w:rPr>
        <w:t xml:space="preserve">Restrictive practices </w:t>
      </w:r>
      <w:r w:rsidR="000C2F35" w:rsidRPr="00233EF8">
        <w:rPr>
          <w:rFonts w:ascii="Proxima Nova" w:hAnsi="Proxima Nova"/>
          <w:sz w:val="22"/>
          <w:szCs w:val="22"/>
        </w:rPr>
        <w:t>deny to</w:t>
      </w:r>
      <w:r w:rsidRPr="00233EF8">
        <w:rPr>
          <w:rFonts w:ascii="Proxima Nova" w:hAnsi="Proxima Nova"/>
          <w:sz w:val="22"/>
          <w:szCs w:val="22"/>
        </w:rPr>
        <w:t xml:space="preserve"> people</w:t>
      </w:r>
      <w:r w:rsidR="000C2F35" w:rsidRPr="00233EF8">
        <w:rPr>
          <w:rFonts w:ascii="Proxima Nova" w:hAnsi="Proxima Nova"/>
          <w:sz w:val="22"/>
          <w:szCs w:val="22"/>
        </w:rPr>
        <w:t xml:space="preserve"> with disability wellbeing and</w:t>
      </w:r>
      <w:r w:rsidRPr="00233EF8">
        <w:rPr>
          <w:rFonts w:ascii="Proxima Nova" w:hAnsi="Proxima Nova"/>
          <w:sz w:val="22"/>
          <w:szCs w:val="22"/>
        </w:rPr>
        <w:t xml:space="preserve"> flourishing, </w:t>
      </w:r>
      <w:r w:rsidR="000C2F35" w:rsidRPr="00233EF8">
        <w:rPr>
          <w:rFonts w:ascii="Proxima Nova" w:hAnsi="Proxima Nova"/>
          <w:sz w:val="22"/>
          <w:szCs w:val="22"/>
        </w:rPr>
        <w:t xml:space="preserve">physical and psychological safety, </w:t>
      </w:r>
      <w:r w:rsidRPr="00233EF8">
        <w:rPr>
          <w:rFonts w:ascii="Proxima Nova" w:hAnsi="Proxima Nova"/>
          <w:sz w:val="22"/>
          <w:szCs w:val="22"/>
        </w:rPr>
        <w:t>social, economic and civic participation, expe</w:t>
      </w:r>
      <w:r w:rsidR="000C2F35" w:rsidRPr="00233EF8">
        <w:rPr>
          <w:rFonts w:ascii="Proxima Nova" w:hAnsi="Proxima Nova"/>
          <w:sz w:val="22"/>
          <w:szCs w:val="22"/>
        </w:rPr>
        <w:t>r</w:t>
      </w:r>
      <w:r w:rsidRPr="00233EF8">
        <w:rPr>
          <w:rFonts w:ascii="Proxima Nova" w:hAnsi="Proxima Nova"/>
          <w:sz w:val="22"/>
          <w:szCs w:val="22"/>
        </w:rPr>
        <w:t xml:space="preserve">iences of intimacy and </w:t>
      </w:r>
      <w:r w:rsidR="000C2F35" w:rsidRPr="00233EF8">
        <w:rPr>
          <w:rFonts w:ascii="Proxima Nova" w:hAnsi="Proxima Nova"/>
          <w:sz w:val="22"/>
          <w:szCs w:val="22"/>
        </w:rPr>
        <w:t xml:space="preserve">opportunities for </w:t>
      </w:r>
      <w:r w:rsidRPr="00233EF8">
        <w:rPr>
          <w:rFonts w:ascii="Proxima Nova" w:hAnsi="Proxima Nova"/>
          <w:sz w:val="22"/>
          <w:szCs w:val="22"/>
        </w:rPr>
        <w:t xml:space="preserve">family formation, and thus contribute to longer term structural violence experienced by people with disability across their lives and across generations, and this structural violence should be understood in </w:t>
      </w:r>
      <w:r w:rsidR="00251903" w:rsidRPr="00233EF8">
        <w:rPr>
          <w:rFonts w:ascii="Proxima Nova" w:hAnsi="Proxima Nova"/>
          <w:sz w:val="22"/>
          <w:szCs w:val="22"/>
        </w:rPr>
        <w:t xml:space="preserve">a </w:t>
      </w:r>
      <w:r w:rsidRPr="00233EF8">
        <w:rPr>
          <w:rFonts w:ascii="Proxima Nova" w:hAnsi="Proxima Nova"/>
          <w:sz w:val="22"/>
          <w:szCs w:val="22"/>
        </w:rPr>
        <w:t>settler colonial context</w:t>
      </w:r>
      <w:r w:rsidR="00251903" w:rsidRPr="00233EF8">
        <w:rPr>
          <w:rFonts w:ascii="Proxima Nova" w:hAnsi="Proxima Nova"/>
          <w:sz w:val="22"/>
          <w:szCs w:val="22"/>
        </w:rPr>
        <w:t xml:space="preserve"> for its </w:t>
      </w:r>
      <w:proofErr w:type="gramStart"/>
      <w:r w:rsidR="00251903" w:rsidRPr="00233EF8">
        <w:rPr>
          <w:rFonts w:ascii="Proxima Nova" w:hAnsi="Proxima Nova"/>
          <w:sz w:val="22"/>
          <w:szCs w:val="22"/>
        </w:rPr>
        <w:t>particular impacts</w:t>
      </w:r>
      <w:proofErr w:type="gramEnd"/>
      <w:r w:rsidR="00251903" w:rsidRPr="00233EF8">
        <w:rPr>
          <w:rFonts w:ascii="Proxima Nova" w:hAnsi="Proxima Nova"/>
          <w:sz w:val="22"/>
          <w:szCs w:val="22"/>
        </w:rPr>
        <w:t xml:space="preserve"> on First Nations people</w:t>
      </w:r>
      <w:r w:rsidRPr="00233EF8">
        <w:rPr>
          <w:rFonts w:ascii="Proxima Nova" w:hAnsi="Proxima Nova"/>
          <w:sz w:val="22"/>
          <w:szCs w:val="22"/>
        </w:rPr>
        <w:t xml:space="preserve">. </w:t>
      </w:r>
    </w:p>
    <w:p w14:paraId="5E80202B" w14:textId="77777777" w:rsidR="0083460E" w:rsidRPr="00233EF8" w:rsidRDefault="0083460E" w:rsidP="00233EF8">
      <w:pPr>
        <w:pStyle w:val="ListParagraph"/>
        <w:autoSpaceDE w:val="0"/>
        <w:autoSpaceDN w:val="0"/>
        <w:adjustRightInd w:val="0"/>
        <w:spacing w:line="276" w:lineRule="auto"/>
        <w:ind w:hanging="720"/>
        <w:contextualSpacing w:val="0"/>
        <w:rPr>
          <w:rFonts w:ascii="Proxima Nova" w:hAnsi="Proxima Nova" w:cstheme="minorHAnsi"/>
          <w:sz w:val="22"/>
          <w:szCs w:val="22"/>
          <w:lang w:val="en"/>
        </w:rPr>
      </w:pPr>
    </w:p>
    <w:p w14:paraId="745EF845" w14:textId="381D0549" w:rsidR="0083460E" w:rsidRPr="00233EF8" w:rsidRDefault="0083460E" w:rsidP="00233EF8">
      <w:pPr>
        <w:pStyle w:val="ListParagraph"/>
        <w:numPr>
          <w:ilvl w:val="1"/>
          <w:numId w:val="28"/>
        </w:numPr>
        <w:autoSpaceDE w:val="0"/>
        <w:autoSpaceDN w:val="0"/>
        <w:adjustRightInd w:val="0"/>
        <w:spacing w:line="276" w:lineRule="auto"/>
        <w:ind w:left="720" w:hanging="720"/>
        <w:contextualSpacing w:val="0"/>
        <w:rPr>
          <w:rFonts w:ascii="Proxima Nova" w:hAnsi="Proxima Nova" w:cstheme="minorHAnsi"/>
          <w:sz w:val="22"/>
          <w:szCs w:val="22"/>
        </w:rPr>
      </w:pPr>
      <w:r w:rsidRPr="00233EF8">
        <w:rPr>
          <w:rFonts w:ascii="Proxima Nova" w:hAnsi="Proxima Nova" w:cstheme="minorHAnsi"/>
          <w:sz w:val="22"/>
          <w:szCs w:val="22"/>
        </w:rPr>
        <w:lastRenderedPageBreak/>
        <w:t>This is particularly so for women with disability in the criminal justice system. Their experiences of restrictive practices might be in the context of incarceration in prison, community-based forensic disability services or court diversion orders confining them to a group home.</w:t>
      </w:r>
      <w:r w:rsidRPr="00233EF8">
        <w:rPr>
          <w:rStyle w:val="EndnoteReference"/>
          <w:rFonts w:ascii="Proxima Nova" w:hAnsi="Proxima Nova" w:cstheme="minorHAnsi"/>
          <w:sz w:val="22"/>
          <w:szCs w:val="22"/>
        </w:rPr>
        <w:endnoteReference w:id="252"/>
      </w:r>
      <w:r w:rsidRPr="00233EF8">
        <w:rPr>
          <w:rFonts w:ascii="Proxima Nova" w:hAnsi="Proxima Nova" w:cstheme="minorHAnsi"/>
          <w:sz w:val="22"/>
          <w:szCs w:val="22"/>
        </w:rPr>
        <w:t xml:space="preserve"> The</w:t>
      </w:r>
      <w:r w:rsidR="00251903" w:rsidRPr="00233EF8">
        <w:rPr>
          <w:rFonts w:ascii="Proxima Nova" w:hAnsi="Proxima Nova" w:cstheme="minorHAnsi"/>
          <w:sz w:val="22"/>
          <w:szCs w:val="22"/>
        </w:rPr>
        <w:t>ir experiences of restrictive practices</w:t>
      </w:r>
      <w:r w:rsidRPr="00233EF8">
        <w:rPr>
          <w:rFonts w:ascii="Proxima Nova" w:hAnsi="Proxima Nova" w:cstheme="minorHAnsi"/>
          <w:sz w:val="22"/>
          <w:szCs w:val="22"/>
        </w:rPr>
        <w:t xml:space="preserve"> may also be situated in a broader context of regular contact with police as persons of interest (as well as victims of crime and under civil mental health legislation) and multiple periods of incarceration over their lives. </w:t>
      </w:r>
      <w:r w:rsidR="00251903" w:rsidRPr="00233EF8">
        <w:rPr>
          <w:rFonts w:ascii="Proxima Nova" w:hAnsi="Proxima Nova" w:cstheme="minorHAnsi"/>
          <w:sz w:val="22"/>
          <w:szCs w:val="22"/>
        </w:rPr>
        <w:t>Many women with disability in the criminal justice system</w:t>
      </w:r>
      <w:r w:rsidRPr="00233EF8">
        <w:rPr>
          <w:rFonts w:ascii="Proxima Nova" w:hAnsi="Proxima Nova" w:cstheme="minorHAnsi"/>
          <w:sz w:val="22"/>
          <w:szCs w:val="22"/>
        </w:rPr>
        <w:t xml:space="preserve"> experience significant social disadvantage as adults — such as homelessness, sexual and domestic violence, removal of children, and limited access to disability services — as well as early childhood disadvantage through child abuse and neglect, high rates of out-of-home care (OOHC) and contact with juvenile justice. They </w:t>
      </w:r>
      <w:r w:rsidR="00251903" w:rsidRPr="00233EF8">
        <w:rPr>
          <w:rFonts w:ascii="Proxima Nova" w:hAnsi="Proxima Nova" w:cstheme="minorHAnsi"/>
          <w:sz w:val="22"/>
          <w:szCs w:val="22"/>
        </w:rPr>
        <w:t xml:space="preserve">might </w:t>
      </w:r>
      <w:r w:rsidRPr="00233EF8">
        <w:rPr>
          <w:rFonts w:ascii="Proxima Nova" w:hAnsi="Proxima Nova" w:cstheme="minorHAnsi"/>
          <w:sz w:val="22"/>
          <w:szCs w:val="22"/>
        </w:rPr>
        <w:t>have experienced violence and a lack of accountability from the State, including in the context of services purportedly directed towards helping them (</w:t>
      </w:r>
      <w:proofErr w:type="gramStart"/>
      <w:r w:rsidRPr="00233EF8">
        <w:rPr>
          <w:rFonts w:ascii="Proxima Nova" w:hAnsi="Proxima Nova" w:cstheme="minorHAnsi"/>
          <w:sz w:val="22"/>
          <w:szCs w:val="22"/>
        </w:rPr>
        <w:t>e.g.</w:t>
      </w:r>
      <w:proofErr w:type="gramEnd"/>
      <w:r w:rsidRPr="00233EF8">
        <w:rPr>
          <w:rFonts w:ascii="Proxima Nova" w:hAnsi="Proxima Nova" w:cstheme="minorHAnsi"/>
          <w:sz w:val="22"/>
          <w:szCs w:val="22"/>
        </w:rPr>
        <w:t xml:space="preserve"> child welfare, education and health). A high number of women in prison have experienced victimisation and trauma.</w:t>
      </w:r>
      <w:r w:rsidRPr="00233EF8">
        <w:rPr>
          <w:rStyle w:val="EndnoteReference"/>
          <w:rFonts w:ascii="Proxima Nova" w:hAnsi="Proxima Nova" w:cstheme="minorHAnsi"/>
          <w:sz w:val="22"/>
          <w:szCs w:val="22"/>
        </w:rPr>
        <w:endnoteReference w:id="253"/>
      </w:r>
      <w:r w:rsidRPr="00233EF8">
        <w:rPr>
          <w:rFonts w:ascii="Proxima Nova" w:hAnsi="Proxima Nova" w:cstheme="minorHAnsi"/>
          <w:sz w:val="22"/>
          <w:szCs w:val="22"/>
        </w:rPr>
        <w:t xml:space="preserve"> This can exacerbate the impacts of restrictive practices in prison </w:t>
      </w:r>
      <w:proofErr w:type="gramStart"/>
      <w:r w:rsidRPr="00233EF8">
        <w:rPr>
          <w:rFonts w:ascii="Proxima Nova" w:hAnsi="Proxima Nova" w:cstheme="minorHAnsi"/>
          <w:sz w:val="22"/>
          <w:szCs w:val="22"/>
        </w:rPr>
        <w:t>and also</w:t>
      </w:r>
      <w:proofErr w:type="gramEnd"/>
      <w:r w:rsidRPr="00233EF8">
        <w:rPr>
          <w:rFonts w:ascii="Proxima Nova" w:hAnsi="Proxima Nova" w:cstheme="minorHAnsi"/>
          <w:sz w:val="22"/>
          <w:szCs w:val="22"/>
        </w:rPr>
        <w:t xml:space="preserve"> give rise to the possibility that restrictive practices are used to respond to behaviour that relates to those past experiences. For some, these lives of violence, injustice and State irresponsibility are intergenerational or experienced by an entire community. For First Nations people, and women and girls with disability in the criminal justice system, it is one aspect of ongoing settler colonial dispossession and displacement.</w:t>
      </w:r>
    </w:p>
    <w:p w14:paraId="7A67696C" w14:textId="77777777" w:rsidR="0083460E" w:rsidRPr="00233EF8" w:rsidRDefault="0083460E" w:rsidP="00233EF8">
      <w:pPr>
        <w:autoSpaceDE w:val="0"/>
        <w:autoSpaceDN w:val="0"/>
        <w:adjustRightInd w:val="0"/>
        <w:spacing w:line="276" w:lineRule="auto"/>
        <w:ind w:left="720" w:hanging="720"/>
        <w:rPr>
          <w:rFonts w:ascii="Proxima Nova" w:hAnsi="Proxima Nova" w:cstheme="minorHAnsi"/>
          <w:sz w:val="22"/>
          <w:szCs w:val="22"/>
          <w:lang w:val="en"/>
        </w:rPr>
      </w:pPr>
    </w:p>
    <w:p w14:paraId="6A97C37E" w14:textId="6AAB863B" w:rsidR="0083460E" w:rsidRPr="00233EF8" w:rsidRDefault="008D06E2" w:rsidP="00233EF8">
      <w:pPr>
        <w:pStyle w:val="ListParagraph"/>
        <w:numPr>
          <w:ilvl w:val="1"/>
          <w:numId w:val="28"/>
        </w:numPr>
        <w:autoSpaceDE w:val="0"/>
        <w:autoSpaceDN w:val="0"/>
        <w:adjustRightInd w:val="0"/>
        <w:spacing w:line="276" w:lineRule="auto"/>
        <w:ind w:left="720" w:hanging="720"/>
        <w:contextualSpacing w:val="0"/>
        <w:rPr>
          <w:rFonts w:ascii="Proxima Nova" w:hAnsi="Proxima Nova" w:cstheme="minorHAnsi"/>
          <w:sz w:val="22"/>
          <w:szCs w:val="22"/>
        </w:rPr>
      </w:pPr>
      <w:r w:rsidRPr="00233EF8">
        <w:rPr>
          <w:rFonts w:ascii="Proxima Nova" w:hAnsi="Proxima Nova" w:cstheme="minorHAnsi"/>
          <w:sz w:val="22"/>
          <w:szCs w:val="22"/>
        </w:rPr>
        <w:t>S</w:t>
      </w:r>
      <w:r w:rsidR="0083460E" w:rsidRPr="00233EF8">
        <w:rPr>
          <w:rFonts w:ascii="Proxima Nova" w:hAnsi="Proxima Nova" w:cstheme="minorHAnsi"/>
          <w:sz w:val="22"/>
          <w:szCs w:val="22"/>
        </w:rPr>
        <w:t>ituating</w:t>
      </w:r>
      <w:r w:rsidR="00DC39E3" w:rsidRPr="00233EF8">
        <w:rPr>
          <w:rFonts w:ascii="Proxima Nova" w:hAnsi="Proxima Nova" w:cstheme="minorHAnsi"/>
          <w:sz w:val="22"/>
          <w:szCs w:val="22"/>
        </w:rPr>
        <w:t xml:space="preserve"> use of</w:t>
      </w:r>
      <w:r w:rsidR="0083460E" w:rsidRPr="00233EF8">
        <w:rPr>
          <w:rFonts w:ascii="Proxima Nova" w:hAnsi="Proxima Nova" w:cstheme="minorHAnsi"/>
          <w:sz w:val="22"/>
          <w:szCs w:val="22"/>
        </w:rPr>
        <w:t xml:space="preserve"> restrictive practices within broader structural violence shows the extent that it contributes to longer term violation and dehumanisation of people with disability. Further, this positioning provides impetus for wide-reaching redress and transformative change in addition to the prohibition and redress of restrictive practices</w:t>
      </w:r>
      <w:r w:rsidR="005F24AF" w:rsidRPr="00233EF8">
        <w:rPr>
          <w:rFonts w:ascii="Proxima Nova" w:hAnsi="Proxima Nova" w:cstheme="minorHAnsi"/>
          <w:sz w:val="22"/>
          <w:szCs w:val="22"/>
        </w:rPr>
        <w:t xml:space="preserve"> </w:t>
      </w:r>
      <w:proofErr w:type="gramStart"/>
      <w:r w:rsidR="005F24AF" w:rsidRPr="00233EF8">
        <w:rPr>
          <w:rFonts w:ascii="Proxima Nova" w:hAnsi="Proxima Nova" w:cstheme="minorHAnsi"/>
          <w:sz w:val="22"/>
          <w:szCs w:val="22"/>
        </w:rPr>
        <w:t>and also</w:t>
      </w:r>
      <w:proofErr w:type="gramEnd"/>
      <w:r w:rsidR="005F24AF" w:rsidRPr="00233EF8">
        <w:rPr>
          <w:rFonts w:ascii="Proxima Nova" w:hAnsi="Proxima Nova" w:cstheme="minorHAnsi"/>
          <w:sz w:val="22"/>
          <w:szCs w:val="22"/>
        </w:rPr>
        <w:t xml:space="preserve"> demonstrates the problem of a focus on evidence-based ‘alternatives’ to restrictive practices (narrowly construed)</w:t>
      </w:r>
      <w:r w:rsidR="008071DC" w:rsidRPr="00233EF8">
        <w:rPr>
          <w:rFonts w:ascii="Proxima Nova" w:hAnsi="Proxima Nova" w:cstheme="minorHAnsi"/>
          <w:sz w:val="22"/>
          <w:szCs w:val="22"/>
        </w:rPr>
        <w:t>, as we discussed earlier in Section 5</w:t>
      </w:r>
      <w:r w:rsidR="00704A4F">
        <w:rPr>
          <w:rFonts w:ascii="Proxima Nova" w:hAnsi="Proxima Nova" w:cstheme="minorHAnsi"/>
          <w:sz w:val="22"/>
          <w:szCs w:val="22"/>
        </w:rPr>
        <w:t>.</w:t>
      </w:r>
    </w:p>
    <w:p w14:paraId="58A5EB02" w14:textId="7035905A" w:rsidR="008B16C3" w:rsidRPr="00233EF8" w:rsidRDefault="008B16C3" w:rsidP="00233EF8">
      <w:pPr>
        <w:autoSpaceDE w:val="0"/>
        <w:autoSpaceDN w:val="0"/>
        <w:adjustRightInd w:val="0"/>
        <w:spacing w:line="276" w:lineRule="auto"/>
        <w:ind w:left="720" w:hanging="720"/>
        <w:rPr>
          <w:rFonts w:ascii="Proxima Nova" w:hAnsi="Proxima Nova" w:cstheme="minorHAnsi"/>
          <w:sz w:val="22"/>
          <w:szCs w:val="22"/>
          <w:lang w:val="en"/>
        </w:rPr>
      </w:pPr>
    </w:p>
    <w:p w14:paraId="5A9F7BDB" w14:textId="77777777" w:rsidR="0083460E" w:rsidRPr="00233EF8" w:rsidRDefault="0083460E" w:rsidP="00233EF8">
      <w:pPr>
        <w:pStyle w:val="ListParagraph"/>
        <w:numPr>
          <w:ilvl w:val="1"/>
          <w:numId w:val="28"/>
        </w:numPr>
        <w:autoSpaceDE w:val="0"/>
        <w:autoSpaceDN w:val="0"/>
        <w:adjustRightInd w:val="0"/>
        <w:spacing w:line="276" w:lineRule="auto"/>
        <w:ind w:left="720" w:hanging="720"/>
        <w:contextualSpacing w:val="0"/>
        <w:rPr>
          <w:rFonts w:ascii="Proxima Nova" w:hAnsi="Proxima Nova" w:cstheme="minorHAnsi"/>
          <w:sz w:val="22"/>
          <w:szCs w:val="22"/>
          <w:lang w:val="en"/>
        </w:rPr>
      </w:pPr>
      <w:r w:rsidRPr="00233EF8">
        <w:rPr>
          <w:rFonts w:ascii="Proxima Nova" w:hAnsi="Proxima Nova" w:cstheme="minorHAnsi"/>
          <w:sz w:val="22"/>
          <w:szCs w:val="22"/>
        </w:rPr>
        <w:t xml:space="preserve">Structural violence might, in part, take the form of </w:t>
      </w:r>
      <w:r w:rsidRPr="00233EF8">
        <w:rPr>
          <w:rFonts w:ascii="Proxima Nova" w:hAnsi="Proxima Nova" w:cstheme="minorHAnsi"/>
          <w:sz w:val="22"/>
          <w:szCs w:val="22"/>
          <w:lang w:val="en"/>
        </w:rPr>
        <w:t xml:space="preserve">‘slow violence.’ Nixon defines </w:t>
      </w:r>
      <w:r w:rsidRPr="00233EF8">
        <w:rPr>
          <w:rFonts w:ascii="Proxima Nova" w:hAnsi="Proxima Nova" w:cstheme="minorHAnsi"/>
          <w:sz w:val="22"/>
          <w:szCs w:val="22"/>
        </w:rPr>
        <w:t>‘slow violence’ as ‘violence that occurs gradually and out of sight’ and ‘is dispersed across time and space.’</w:t>
      </w:r>
      <w:r w:rsidRPr="00233EF8">
        <w:rPr>
          <w:rStyle w:val="EndnoteReference"/>
          <w:rFonts w:ascii="Proxima Nova" w:hAnsi="Proxima Nova" w:cstheme="minorHAnsi"/>
          <w:sz w:val="22"/>
          <w:szCs w:val="22"/>
        </w:rPr>
        <w:endnoteReference w:id="254"/>
      </w:r>
      <w:r w:rsidRPr="00233EF8">
        <w:rPr>
          <w:rFonts w:ascii="Proxima Nova" w:hAnsi="Proxima Nova" w:cstheme="minorHAnsi"/>
          <w:sz w:val="22"/>
          <w:szCs w:val="22"/>
        </w:rPr>
        <w:t xml:space="preserve"> Slow violence ‘is typically not viewed as violence at all’ by reason of the conventional understanding of violence as ‘an event or action that is immediate in time, explosive and spectacular in space.’</w:t>
      </w:r>
      <w:r w:rsidRPr="00233EF8">
        <w:rPr>
          <w:rStyle w:val="EndnoteReference"/>
          <w:rFonts w:ascii="Proxima Nova" w:hAnsi="Proxima Nova" w:cstheme="minorHAnsi"/>
          <w:sz w:val="22"/>
          <w:szCs w:val="22"/>
        </w:rPr>
        <w:endnoteReference w:id="255"/>
      </w:r>
      <w:r w:rsidRPr="00233EF8">
        <w:rPr>
          <w:rFonts w:ascii="Proxima Nova" w:hAnsi="Proxima Nova" w:cstheme="minorHAnsi"/>
          <w:sz w:val="22"/>
          <w:szCs w:val="22"/>
        </w:rPr>
        <w:t xml:space="preserve"> </w:t>
      </w:r>
    </w:p>
    <w:p w14:paraId="335F5D79" w14:textId="77777777" w:rsidR="0083460E" w:rsidRPr="00233EF8" w:rsidRDefault="0083460E" w:rsidP="00233EF8">
      <w:pPr>
        <w:autoSpaceDE w:val="0"/>
        <w:autoSpaceDN w:val="0"/>
        <w:adjustRightInd w:val="0"/>
        <w:spacing w:line="276" w:lineRule="auto"/>
        <w:ind w:left="720" w:hanging="720"/>
        <w:rPr>
          <w:rFonts w:ascii="Proxima Nova" w:hAnsi="Proxima Nova" w:cstheme="minorHAnsi"/>
          <w:sz w:val="22"/>
          <w:szCs w:val="22"/>
          <w:lang w:val="en"/>
        </w:rPr>
      </w:pPr>
    </w:p>
    <w:p w14:paraId="6C91A76C" w14:textId="3F7819D1" w:rsidR="0083460E" w:rsidRPr="00233EF8" w:rsidRDefault="0083460E" w:rsidP="00233EF8">
      <w:pPr>
        <w:pStyle w:val="ListParagraph"/>
        <w:numPr>
          <w:ilvl w:val="1"/>
          <w:numId w:val="28"/>
        </w:numPr>
        <w:autoSpaceDE w:val="0"/>
        <w:autoSpaceDN w:val="0"/>
        <w:adjustRightInd w:val="0"/>
        <w:spacing w:line="276" w:lineRule="auto"/>
        <w:ind w:left="720" w:hanging="720"/>
        <w:contextualSpacing w:val="0"/>
        <w:rPr>
          <w:rFonts w:ascii="Proxima Nova" w:hAnsi="Proxima Nova" w:cstheme="minorHAnsi"/>
          <w:sz w:val="22"/>
          <w:szCs w:val="22"/>
          <w:lang w:val="en"/>
        </w:rPr>
      </w:pPr>
      <w:r w:rsidRPr="00233EF8">
        <w:rPr>
          <w:rFonts w:ascii="Proxima Nova" w:hAnsi="Proxima Nova" w:cstheme="minorHAnsi"/>
          <w:sz w:val="22"/>
          <w:szCs w:val="22"/>
        </w:rPr>
        <w:t>Drawing out the dynamics of slow violence in relation to</w:t>
      </w:r>
      <w:r w:rsidR="00414D5F" w:rsidRPr="00233EF8">
        <w:rPr>
          <w:rFonts w:ascii="Proxima Nova" w:hAnsi="Proxima Nova" w:cstheme="minorHAnsi"/>
          <w:sz w:val="22"/>
          <w:szCs w:val="22"/>
        </w:rPr>
        <w:t xml:space="preserve"> use of</w:t>
      </w:r>
      <w:r w:rsidRPr="00233EF8">
        <w:rPr>
          <w:rFonts w:ascii="Proxima Nova" w:hAnsi="Proxima Nova" w:cstheme="minorHAnsi"/>
          <w:sz w:val="22"/>
          <w:szCs w:val="22"/>
        </w:rPr>
        <w:t xml:space="preserve"> restrictive practices focuses attention on harms that might otherwise ‘slip under the radar’ because these harms accumulate gradually over time. ‘Slow violence’ is particularly useful in the context of women and girls with disability who are subject to extreme social disadvantage, multiple forms of coercive intervention and confinement, and State irresponsibility across their lives.</w:t>
      </w:r>
      <w:r w:rsidRPr="00233EF8">
        <w:rPr>
          <w:rStyle w:val="EndnoteReference"/>
          <w:rFonts w:ascii="Proxima Nova" w:hAnsi="Proxima Nova" w:cstheme="minorHAnsi"/>
          <w:sz w:val="22"/>
          <w:szCs w:val="22"/>
        </w:rPr>
        <w:endnoteReference w:id="256"/>
      </w:r>
      <w:r w:rsidRPr="00233EF8">
        <w:rPr>
          <w:rFonts w:ascii="Proxima Nova" w:hAnsi="Proxima Nova" w:cstheme="minorHAnsi"/>
          <w:sz w:val="22"/>
          <w:szCs w:val="22"/>
        </w:rPr>
        <w:t xml:space="preserve"> </w:t>
      </w:r>
    </w:p>
    <w:p w14:paraId="521CD8E3" w14:textId="77777777" w:rsidR="008071DC" w:rsidRPr="00233EF8" w:rsidRDefault="008071DC" w:rsidP="00233EF8">
      <w:pPr>
        <w:autoSpaceDE w:val="0"/>
        <w:autoSpaceDN w:val="0"/>
        <w:adjustRightInd w:val="0"/>
        <w:spacing w:line="276" w:lineRule="auto"/>
        <w:rPr>
          <w:rFonts w:ascii="Proxima Nova" w:hAnsi="Proxima Nova" w:cstheme="minorHAnsi"/>
          <w:sz w:val="22"/>
          <w:szCs w:val="22"/>
          <w:lang w:val="en"/>
        </w:rPr>
      </w:pPr>
    </w:p>
    <w:p w14:paraId="29797B01" w14:textId="00BB783F" w:rsidR="008071DC" w:rsidRPr="00233EF8" w:rsidRDefault="008071DC" w:rsidP="00233EF8">
      <w:pPr>
        <w:pStyle w:val="ListParagraph"/>
        <w:numPr>
          <w:ilvl w:val="1"/>
          <w:numId w:val="28"/>
        </w:numPr>
        <w:autoSpaceDE w:val="0"/>
        <w:autoSpaceDN w:val="0"/>
        <w:adjustRightInd w:val="0"/>
        <w:spacing w:line="276" w:lineRule="auto"/>
        <w:ind w:left="720" w:hanging="720"/>
        <w:contextualSpacing w:val="0"/>
        <w:rPr>
          <w:rFonts w:ascii="Proxima Nova" w:hAnsi="Proxima Nova" w:cstheme="minorHAnsi"/>
          <w:sz w:val="22"/>
          <w:szCs w:val="22"/>
          <w:lang w:val="en"/>
        </w:rPr>
      </w:pPr>
      <w:r w:rsidRPr="00233EF8">
        <w:rPr>
          <w:rFonts w:ascii="Proxima Nova" w:hAnsi="Proxima Nova" w:cstheme="minorHAnsi"/>
          <w:sz w:val="22"/>
          <w:szCs w:val="22"/>
          <w:lang w:val="en"/>
        </w:rPr>
        <w:t>Building on earlier discussion of restrictive practices as gendered ableist violence, we can expand the temporal and structural scale of the harm inherent in the use of restrictive practices to consider how their use contributes to the conditions where individuals with disability, and entire disabled populations deemed of less social value, are cast in a form of existence that denies them opportunities to flourish (or even live). This has been referred to as ‘debilitation’,</w:t>
      </w:r>
      <w:r w:rsidRPr="00233EF8">
        <w:rPr>
          <w:rStyle w:val="EndnoteReference"/>
          <w:rFonts w:ascii="Proxima Nova" w:hAnsi="Proxima Nova" w:cstheme="minorHAnsi"/>
          <w:sz w:val="22"/>
          <w:szCs w:val="22"/>
          <w:lang w:val="en"/>
        </w:rPr>
        <w:endnoteReference w:id="257"/>
      </w:r>
      <w:r w:rsidRPr="00233EF8">
        <w:rPr>
          <w:rFonts w:ascii="Proxima Nova" w:hAnsi="Proxima Nova" w:cstheme="minorHAnsi"/>
          <w:sz w:val="22"/>
          <w:szCs w:val="22"/>
          <w:lang w:val="en"/>
        </w:rPr>
        <w:t xml:space="preserve"> (others have referred to this as biopolitical ‘scientific racism’,</w:t>
      </w:r>
      <w:r w:rsidRPr="00233EF8">
        <w:rPr>
          <w:rStyle w:val="EndnoteReference"/>
          <w:rFonts w:ascii="Proxima Nova" w:hAnsi="Proxima Nova" w:cstheme="minorHAnsi"/>
          <w:sz w:val="22"/>
          <w:szCs w:val="22"/>
          <w:lang w:val="en"/>
        </w:rPr>
        <w:endnoteReference w:id="258"/>
      </w:r>
      <w:r w:rsidRPr="00233EF8">
        <w:rPr>
          <w:rFonts w:ascii="Proxima Nova" w:hAnsi="Proxima Nova" w:cstheme="minorHAnsi"/>
          <w:sz w:val="22"/>
          <w:szCs w:val="22"/>
          <w:lang w:val="en"/>
        </w:rPr>
        <w:t xml:space="preserve"> ‘or ‘slow death’).</w:t>
      </w:r>
      <w:r w:rsidRPr="00233EF8">
        <w:rPr>
          <w:rStyle w:val="EndnoteReference"/>
          <w:rFonts w:ascii="Proxima Nova" w:hAnsi="Proxima Nova" w:cstheme="minorHAnsi"/>
          <w:sz w:val="22"/>
          <w:szCs w:val="22"/>
          <w:lang w:val="en"/>
        </w:rPr>
        <w:endnoteReference w:id="259"/>
      </w:r>
      <w:r w:rsidRPr="00233EF8">
        <w:rPr>
          <w:rFonts w:ascii="Proxima Nova" w:hAnsi="Proxima Nova" w:cstheme="minorHAnsi"/>
          <w:sz w:val="22"/>
          <w:szCs w:val="22"/>
          <w:lang w:val="en"/>
        </w:rPr>
        <w:t xml:space="preserve"> Puar defines </w:t>
      </w:r>
      <w:r w:rsidRPr="00233EF8">
        <w:rPr>
          <w:rFonts w:ascii="Proxima Nova" w:hAnsi="Proxima Nova" w:cstheme="minorHAnsi"/>
          <w:sz w:val="22"/>
          <w:szCs w:val="22"/>
        </w:rPr>
        <w:t>‘debility’ as a process of positioning populations in an ongoing state of precarity through disability — of systemic deprivation and violence, ‘the slow wearing down of populations.’ Puar argues that debilitation does not occur by chance or because of some inherent characteristics of certain populations, but rather is a deliberate practice that causes populations to be positioned in precarious circumstances ‘and maintain[s] them as such.’</w:t>
      </w:r>
      <w:r w:rsidRPr="00233EF8">
        <w:rPr>
          <w:rStyle w:val="EndnoteReference"/>
          <w:rFonts w:ascii="Proxima Nova" w:hAnsi="Proxima Nova" w:cstheme="minorHAnsi"/>
          <w:sz w:val="22"/>
          <w:szCs w:val="22"/>
        </w:rPr>
        <w:endnoteReference w:id="260"/>
      </w:r>
      <w:r w:rsidRPr="00233EF8">
        <w:rPr>
          <w:rFonts w:ascii="Proxima Nova" w:hAnsi="Proxima Nova" w:cstheme="minorHAnsi"/>
          <w:sz w:val="22"/>
          <w:szCs w:val="22"/>
        </w:rPr>
        <w:t xml:space="preserve"> In a similar vein, </w:t>
      </w:r>
      <w:r w:rsidRPr="00233EF8">
        <w:rPr>
          <w:rFonts w:ascii="Proxima Nova" w:hAnsi="Proxima Nova" w:cstheme="minorHAnsi"/>
          <w:sz w:val="22"/>
          <w:szCs w:val="22"/>
          <w:lang w:val="en"/>
        </w:rPr>
        <w:t>Berlant defines ‘slow death’ as</w:t>
      </w:r>
      <w:r w:rsidRPr="00233EF8">
        <w:rPr>
          <w:rFonts w:ascii="Proxima Nova" w:hAnsi="Proxima Nova" w:cstheme="minorHAnsi"/>
          <w:sz w:val="22"/>
          <w:szCs w:val="22"/>
        </w:rPr>
        <w:t xml:space="preserve"> ‘the physical wearing out of a population and the deterioration of people in that population that is very nearly a defining condition of their experience and historical existence.’</w:t>
      </w:r>
      <w:r w:rsidRPr="00233EF8">
        <w:rPr>
          <w:rStyle w:val="EndnoteReference"/>
          <w:rFonts w:ascii="Proxima Nova" w:hAnsi="Proxima Nova" w:cstheme="minorHAnsi"/>
          <w:sz w:val="22"/>
          <w:szCs w:val="22"/>
        </w:rPr>
        <w:endnoteReference w:id="261"/>
      </w:r>
      <w:r w:rsidRPr="00233EF8">
        <w:rPr>
          <w:rFonts w:ascii="Proxima Nova" w:hAnsi="Proxima Nova" w:cstheme="minorHAnsi"/>
          <w:sz w:val="22"/>
          <w:szCs w:val="22"/>
        </w:rPr>
        <w:t xml:space="preserve"> Drawing on concepts of debility and slow death, we can consider how restrictive practices expose women and girls with disability to violence and control that can contribute to their precarity and premature death across their lives.</w:t>
      </w:r>
    </w:p>
    <w:p w14:paraId="2AD0CA7B" w14:textId="77777777" w:rsidR="0083460E" w:rsidRPr="00233EF8" w:rsidRDefault="0083460E" w:rsidP="00233EF8">
      <w:pPr>
        <w:pStyle w:val="ListParagraph"/>
        <w:spacing w:line="276" w:lineRule="auto"/>
        <w:ind w:hanging="720"/>
        <w:contextualSpacing w:val="0"/>
        <w:rPr>
          <w:rFonts w:ascii="Proxima Nova" w:hAnsi="Proxima Nova" w:cstheme="minorHAnsi"/>
          <w:sz w:val="22"/>
          <w:szCs w:val="22"/>
          <w:lang w:val="en"/>
        </w:rPr>
      </w:pPr>
    </w:p>
    <w:p w14:paraId="26F4880F" w14:textId="0F4AB115" w:rsidR="0083460E" w:rsidRPr="00233EF8" w:rsidRDefault="0083460E" w:rsidP="00233EF8">
      <w:pPr>
        <w:pStyle w:val="ListParagraph"/>
        <w:numPr>
          <w:ilvl w:val="1"/>
          <w:numId w:val="28"/>
        </w:numPr>
        <w:autoSpaceDE w:val="0"/>
        <w:autoSpaceDN w:val="0"/>
        <w:adjustRightInd w:val="0"/>
        <w:spacing w:line="276" w:lineRule="auto"/>
        <w:ind w:left="720" w:hanging="720"/>
        <w:contextualSpacing w:val="0"/>
        <w:rPr>
          <w:rFonts w:ascii="Proxima Nova" w:hAnsi="Proxima Nova" w:cstheme="minorHAnsi"/>
          <w:sz w:val="22"/>
          <w:szCs w:val="22"/>
          <w:lang w:val="en"/>
        </w:rPr>
      </w:pPr>
      <w:r w:rsidRPr="00233EF8">
        <w:rPr>
          <w:rFonts w:ascii="Proxima Nova" w:hAnsi="Proxima Nova" w:cstheme="minorHAnsi"/>
          <w:sz w:val="22"/>
          <w:szCs w:val="22"/>
        </w:rPr>
        <w:lastRenderedPageBreak/>
        <w:t>Attention to ‘slow violence’</w:t>
      </w:r>
      <w:r w:rsidR="008071DC" w:rsidRPr="00233EF8">
        <w:rPr>
          <w:rFonts w:ascii="Proxima Nova" w:hAnsi="Proxima Nova" w:cstheme="minorHAnsi"/>
          <w:sz w:val="22"/>
          <w:szCs w:val="22"/>
        </w:rPr>
        <w:t xml:space="preserve"> and debility’</w:t>
      </w:r>
      <w:r w:rsidRPr="00233EF8">
        <w:rPr>
          <w:rFonts w:ascii="Proxima Nova" w:hAnsi="Proxima Nova" w:cstheme="minorHAnsi"/>
          <w:sz w:val="22"/>
          <w:szCs w:val="22"/>
        </w:rPr>
        <w:t xml:space="preserve"> might have methodological implications for the Royal Commission’s ‘life course approach’</w:t>
      </w:r>
      <w:r w:rsidR="00251903" w:rsidRPr="00233EF8">
        <w:rPr>
          <w:rFonts w:ascii="Proxima Nova" w:hAnsi="Proxima Nova" w:cstheme="minorHAnsi"/>
          <w:sz w:val="22"/>
          <w:szCs w:val="22"/>
        </w:rPr>
        <w:t>. The Royal Commission might consider exploring</w:t>
      </w:r>
      <w:r w:rsidRPr="00233EF8">
        <w:rPr>
          <w:rFonts w:ascii="Proxima Nova" w:hAnsi="Proxima Nova" w:cstheme="minorHAnsi"/>
          <w:sz w:val="22"/>
          <w:szCs w:val="22"/>
        </w:rPr>
        <w:t xml:space="preserve">: </w:t>
      </w:r>
    </w:p>
    <w:p w14:paraId="0E1463D8" w14:textId="77777777" w:rsidR="0083460E" w:rsidRPr="00233EF8" w:rsidRDefault="0083460E" w:rsidP="00233EF8">
      <w:pPr>
        <w:pStyle w:val="ListParagraph"/>
        <w:numPr>
          <w:ilvl w:val="0"/>
          <w:numId w:val="31"/>
        </w:numPr>
        <w:autoSpaceDE w:val="0"/>
        <w:autoSpaceDN w:val="0"/>
        <w:adjustRightInd w:val="0"/>
        <w:spacing w:line="276" w:lineRule="auto"/>
        <w:ind w:left="1077" w:hanging="357"/>
        <w:rPr>
          <w:rFonts w:ascii="Proxima Nova" w:hAnsi="Proxima Nova" w:cstheme="minorHAnsi"/>
          <w:sz w:val="22"/>
          <w:szCs w:val="22"/>
          <w:lang w:val="en"/>
        </w:rPr>
      </w:pPr>
      <w:r w:rsidRPr="00233EF8">
        <w:rPr>
          <w:rFonts w:ascii="Proxima Nova" w:hAnsi="Proxima Nova" w:cstheme="minorHAnsi"/>
          <w:sz w:val="22"/>
          <w:szCs w:val="22"/>
        </w:rPr>
        <w:t xml:space="preserve">entire life courses of </w:t>
      </w:r>
      <w:proofErr w:type="gramStart"/>
      <w:r w:rsidRPr="00233EF8">
        <w:rPr>
          <w:rFonts w:ascii="Proxima Nova" w:hAnsi="Proxima Nova" w:cstheme="minorHAnsi"/>
          <w:sz w:val="22"/>
          <w:szCs w:val="22"/>
        </w:rPr>
        <w:t>particular embodied</w:t>
      </w:r>
      <w:proofErr w:type="gramEnd"/>
      <w:r w:rsidRPr="00233EF8">
        <w:rPr>
          <w:rFonts w:ascii="Proxima Nova" w:hAnsi="Proxima Nova" w:cstheme="minorHAnsi"/>
          <w:sz w:val="22"/>
          <w:szCs w:val="22"/>
        </w:rPr>
        <w:t xml:space="preserve"> individuals who have experienced restrictive practices at some stage in their life, in order to understand the cumulative and interrelatedness of circumstances across one’s life as shaping the overall possibilities for violence and flourishing; and </w:t>
      </w:r>
    </w:p>
    <w:p w14:paraId="3F471861" w14:textId="77777777" w:rsidR="0083460E" w:rsidRPr="00233EF8" w:rsidRDefault="0083460E" w:rsidP="00233EF8">
      <w:pPr>
        <w:pStyle w:val="ListParagraph"/>
        <w:numPr>
          <w:ilvl w:val="0"/>
          <w:numId w:val="31"/>
        </w:numPr>
        <w:autoSpaceDE w:val="0"/>
        <w:autoSpaceDN w:val="0"/>
        <w:adjustRightInd w:val="0"/>
        <w:spacing w:line="276" w:lineRule="auto"/>
        <w:ind w:left="1077" w:hanging="357"/>
        <w:rPr>
          <w:rFonts w:ascii="Proxima Nova" w:hAnsi="Proxima Nova" w:cstheme="minorHAnsi"/>
          <w:sz w:val="22"/>
          <w:szCs w:val="22"/>
          <w:lang w:val="en"/>
        </w:rPr>
      </w:pPr>
      <w:proofErr w:type="gramStart"/>
      <w:r w:rsidRPr="00233EF8">
        <w:rPr>
          <w:rFonts w:ascii="Proxima Nova" w:hAnsi="Proxima Nova" w:cstheme="minorHAnsi"/>
          <w:sz w:val="22"/>
          <w:szCs w:val="22"/>
        </w:rPr>
        <w:t>how</w:t>
      </w:r>
      <w:proofErr w:type="gramEnd"/>
      <w:r w:rsidRPr="00233EF8">
        <w:rPr>
          <w:rFonts w:ascii="Proxima Nova" w:hAnsi="Proxima Nova" w:cstheme="minorHAnsi"/>
          <w:sz w:val="22"/>
          <w:szCs w:val="22"/>
        </w:rPr>
        <w:t xml:space="preserve"> different systems’ logics, practices and legal frameworks interlock to hold certain disabled populations in a way of life where violence is natural, even after a particular period of restrictive practice has ceased</w:t>
      </w:r>
      <w:r w:rsidRPr="00233EF8">
        <w:rPr>
          <w:rFonts w:ascii="Proxima Nova" w:hAnsi="Proxima Nova" w:cstheme="minorHAnsi"/>
          <w:sz w:val="22"/>
          <w:szCs w:val="22"/>
          <w:lang w:val="en"/>
        </w:rPr>
        <w:t>.</w:t>
      </w:r>
    </w:p>
    <w:p w14:paraId="16347E18" w14:textId="77777777" w:rsidR="006A789A" w:rsidRPr="00233EF8" w:rsidRDefault="006A789A" w:rsidP="00233EF8">
      <w:pPr>
        <w:spacing w:line="276" w:lineRule="auto"/>
        <w:ind w:left="720" w:hanging="720"/>
        <w:rPr>
          <w:rFonts w:ascii="Proxima Nova" w:hAnsi="Proxima Nova"/>
          <w:sz w:val="22"/>
          <w:szCs w:val="22"/>
        </w:rPr>
      </w:pPr>
    </w:p>
    <w:p w14:paraId="6ECA3A66" w14:textId="758A955C" w:rsidR="006A789A" w:rsidRPr="00233EF8" w:rsidRDefault="006A789A" w:rsidP="00233EF8">
      <w:pPr>
        <w:pStyle w:val="ListParagraph"/>
        <w:numPr>
          <w:ilvl w:val="1"/>
          <w:numId w:val="28"/>
        </w:numPr>
        <w:spacing w:line="276" w:lineRule="auto"/>
        <w:ind w:left="720" w:hanging="720"/>
        <w:rPr>
          <w:rFonts w:ascii="Proxima Nova" w:hAnsi="Proxima Nova"/>
          <w:sz w:val="22"/>
          <w:szCs w:val="22"/>
        </w:rPr>
      </w:pPr>
      <w:r w:rsidRPr="00233EF8">
        <w:rPr>
          <w:rFonts w:ascii="Proxima Nova" w:hAnsi="Proxima Nova"/>
          <w:sz w:val="22"/>
          <w:szCs w:val="22"/>
        </w:rPr>
        <w:t>We now turn to discuss the violence associated with the legality of restrictive practices.</w:t>
      </w:r>
    </w:p>
    <w:p w14:paraId="22F2F9E0" w14:textId="77777777" w:rsidR="00583001" w:rsidRPr="00233EF8" w:rsidRDefault="00583001" w:rsidP="00233EF8">
      <w:pPr>
        <w:spacing w:line="276" w:lineRule="auto"/>
        <w:ind w:left="720" w:hanging="720"/>
        <w:rPr>
          <w:rFonts w:ascii="Proxima Nova" w:hAnsi="Proxima Nova"/>
          <w:sz w:val="22"/>
          <w:szCs w:val="22"/>
        </w:rPr>
      </w:pPr>
    </w:p>
    <w:p w14:paraId="2F621E03" w14:textId="77777777" w:rsidR="00583001" w:rsidRPr="00233EF8" w:rsidRDefault="00583001" w:rsidP="00233EF8">
      <w:pPr>
        <w:spacing w:line="276" w:lineRule="auto"/>
        <w:rPr>
          <w:rFonts w:ascii="Proxima Nova" w:hAnsi="Proxima Nova"/>
          <w:sz w:val="22"/>
          <w:szCs w:val="22"/>
        </w:rPr>
      </w:pPr>
    </w:p>
    <w:p w14:paraId="69F07A82" w14:textId="77777777" w:rsidR="00583001" w:rsidRPr="00583001" w:rsidRDefault="00583001" w:rsidP="00583001">
      <w:pPr>
        <w:rPr>
          <w:rFonts w:ascii="Proxima Nova" w:hAnsi="Proxima Nova"/>
          <w:sz w:val="20"/>
          <w:szCs w:val="20"/>
        </w:rPr>
      </w:pPr>
    </w:p>
    <w:p w14:paraId="76E3F713" w14:textId="6D62F444" w:rsidR="00733A33" w:rsidRDefault="00733A33" w:rsidP="00583001">
      <w:pPr>
        <w:rPr>
          <w:rFonts w:ascii="Proxima Nova" w:hAnsi="Proxima Nova"/>
          <w:sz w:val="22"/>
          <w:szCs w:val="22"/>
        </w:rPr>
      </w:pPr>
      <w:r w:rsidRPr="00583001">
        <w:rPr>
          <w:rFonts w:ascii="Proxima Nova" w:hAnsi="Proxima Nova"/>
          <w:sz w:val="22"/>
          <w:szCs w:val="22"/>
        </w:rPr>
        <w:br w:type="page"/>
      </w:r>
    </w:p>
    <w:p w14:paraId="0841C83F" w14:textId="7CDBC045" w:rsidR="00EE677E" w:rsidRPr="00EE677E" w:rsidRDefault="00EE677E" w:rsidP="00EE677E">
      <w:pPr>
        <w:ind w:left="720" w:hanging="720"/>
        <w:rPr>
          <w:rFonts w:ascii="Proxima Nova" w:hAnsi="Proxima Nova"/>
          <w:sz w:val="20"/>
          <w:szCs w:val="20"/>
        </w:rPr>
      </w:pPr>
      <w:r>
        <w:rPr>
          <w:rFonts w:ascii="League Spartan" w:hAnsi="League Spartan" w:cs="Calibri"/>
          <w:b/>
          <w:bCs/>
          <w:color w:val="004479"/>
          <w:sz w:val="28"/>
          <w:szCs w:val="28"/>
        </w:rPr>
        <w:lastRenderedPageBreak/>
        <w:t>6</w:t>
      </w:r>
      <w:r w:rsidRPr="0086467F">
        <w:rPr>
          <w:rFonts w:ascii="League Spartan" w:hAnsi="League Spartan" w:cs="Calibri"/>
          <w:b/>
          <w:bCs/>
          <w:color w:val="004479"/>
          <w:sz w:val="28"/>
          <w:szCs w:val="28"/>
        </w:rPr>
        <w:t>.</w:t>
      </w:r>
      <w:r w:rsidRPr="0086467F">
        <w:rPr>
          <w:rFonts w:ascii="League Spartan" w:hAnsi="League Spartan" w:cs="Calibri"/>
          <w:b/>
          <w:bCs/>
          <w:color w:val="004479"/>
          <w:sz w:val="28"/>
          <w:szCs w:val="28"/>
        </w:rPr>
        <w:tab/>
      </w:r>
      <w:r w:rsidRPr="00EE677E">
        <w:rPr>
          <w:rFonts w:ascii="League Spartan" w:hAnsi="League Spartan"/>
          <w:color w:val="004479"/>
          <w:sz w:val="28"/>
          <w:szCs w:val="28"/>
        </w:rPr>
        <w:t>LEGALITY OF RESTRICTIVE PRACTICES</w:t>
      </w:r>
    </w:p>
    <w:p w14:paraId="0055D741" w14:textId="3A1801B9" w:rsidR="00EE677E" w:rsidRPr="00704A4F" w:rsidRDefault="00EE677E" w:rsidP="00704A4F">
      <w:pPr>
        <w:spacing w:line="276" w:lineRule="auto"/>
        <w:rPr>
          <w:rFonts w:ascii="Proxima Nova" w:hAnsi="Proxima Nova"/>
          <w:sz w:val="22"/>
          <w:szCs w:val="22"/>
        </w:rPr>
      </w:pPr>
    </w:p>
    <w:p w14:paraId="4606E5C8" w14:textId="2822C73F" w:rsidR="00EE677E" w:rsidRPr="00704A4F" w:rsidRDefault="00EE677E" w:rsidP="00704A4F">
      <w:pPr>
        <w:spacing w:line="276" w:lineRule="auto"/>
        <w:ind w:left="720" w:hanging="720"/>
        <w:rPr>
          <w:rFonts w:ascii="Proxima Nova" w:hAnsi="Proxima Nova" w:cstheme="minorHAnsi"/>
          <w:sz w:val="22"/>
          <w:szCs w:val="22"/>
          <w:bdr w:val="none" w:sz="0" w:space="0" w:color="auto" w:frame="1"/>
        </w:rPr>
      </w:pPr>
      <w:r w:rsidRPr="00704A4F">
        <w:rPr>
          <w:rFonts w:ascii="Proxima Nova" w:hAnsi="Proxima Nova"/>
          <w:sz w:val="22"/>
          <w:szCs w:val="22"/>
        </w:rPr>
        <w:t>6.1.</w:t>
      </w:r>
      <w:r w:rsidRPr="00704A4F">
        <w:rPr>
          <w:rFonts w:ascii="Proxima Nova" w:hAnsi="Proxima Nova"/>
          <w:sz w:val="22"/>
          <w:szCs w:val="22"/>
        </w:rPr>
        <w:tab/>
      </w:r>
      <w:r w:rsidRPr="00704A4F">
        <w:rPr>
          <w:rFonts w:ascii="Proxima Nova" w:hAnsi="Proxima Nova" w:cstheme="minorHAnsi"/>
          <w:sz w:val="22"/>
          <w:szCs w:val="22"/>
          <w:bdr w:val="none" w:sz="0" w:space="0" w:color="auto" w:frame="1"/>
        </w:rPr>
        <w:t>This section explores the legality of restrictive practices</w:t>
      </w:r>
      <w:r w:rsidR="00386307" w:rsidRPr="00704A4F">
        <w:rPr>
          <w:rFonts w:ascii="Proxima Nova" w:hAnsi="Proxima Nova" w:cstheme="minorHAnsi"/>
          <w:sz w:val="22"/>
          <w:szCs w:val="22"/>
          <w:bdr w:val="none" w:sz="0" w:space="0" w:color="auto" w:frame="1"/>
        </w:rPr>
        <w:t xml:space="preserve">, arguing that, </w:t>
      </w:r>
      <w:r w:rsidRPr="00704A4F">
        <w:rPr>
          <w:rFonts w:ascii="Proxima Nova" w:hAnsi="Proxima Nova" w:cstheme="minorHAnsi"/>
          <w:sz w:val="22"/>
          <w:szCs w:val="22"/>
          <w:bdr w:val="none" w:sz="0" w:space="0" w:color="auto" w:frame="1"/>
        </w:rPr>
        <w:t>in the context of women and girls with disability</w:t>
      </w:r>
      <w:r w:rsidR="00386307" w:rsidRPr="00704A4F">
        <w:rPr>
          <w:rFonts w:ascii="Proxima Nova" w:hAnsi="Proxima Nova" w:cstheme="minorHAnsi"/>
          <w:sz w:val="22"/>
          <w:szCs w:val="22"/>
          <w:bdr w:val="none" w:sz="0" w:space="0" w:color="auto" w:frame="1"/>
        </w:rPr>
        <w:t>,</w:t>
      </w:r>
      <w:r w:rsidRPr="00704A4F">
        <w:rPr>
          <w:rFonts w:ascii="Proxima Nova" w:hAnsi="Proxima Nova" w:cstheme="minorHAnsi"/>
          <w:sz w:val="22"/>
          <w:szCs w:val="22"/>
          <w:bdr w:val="none" w:sz="0" w:space="0" w:color="auto" w:frame="1"/>
        </w:rPr>
        <w:t xml:space="preserve"> restrictive practices are a form of gendered ableist legal violence.</w:t>
      </w:r>
    </w:p>
    <w:p w14:paraId="44E3C4CD" w14:textId="7101CDCD" w:rsidR="00EE677E" w:rsidRPr="00704A4F" w:rsidRDefault="00EE677E" w:rsidP="00704A4F">
      <w:pPr>
        <w:spacing w:line="276" w:lineRule="auto"/>
        <w:ind w:left="720" w:hanging="720"/>
        <w:rPr>
          <w:rFonts w:ascii="Proxima Nova" w:hAnsi="Proxima Nova" w:cstheme="minorHAnsi"/>
          <w:sz w:val="22"/>
          <w:szCs w:val="22"/>
          <w:bdr w:val="none" w:sz="0" w:space="0" w:color="auto" w:frame="1"/>
        </w:rPr>
      </w:pPr>
    </w:p>
    <w:p w14:paraId="0D8CC4B6" w14:textId="36AB0847" w:rsidR="00621359" w:rsidRPr="00704A4F" w:rsidRDefault="00621359" w:rsidP="00704A4F">
      <w:pPr>
        <w:pStyle w:val="ListParagraph"/>
        <w:numPr>
          <w:ilvl w:val="1"/>
          <w:numId w:val="32"/>
        </w:numPr>
        <w:spacing w:line="276" w:lineRule="auto"/>
        <w:ind w:left="720" w:hanging="720"/>
        <w:rPr>
          <w:rFonts w:ascii="Proxima Nova" w:hAnsi="Proxima Nova" w:cstheme="minorHAnsi"/>
          <w:sz w:val="22"/>
          <w:szCs w:val="22"/>
        </w:rPr>
      </w:pPr>
      <w:r w:rsidRPr="00704A4F">
        <w:rPr>
          <w:rFonts w:ascii="Proxima Nova" w:hAnsi="Proxima Nova" w:cstheme="minorHAnsi"/>
          <w:sz w:val="22"/>
          <w:szCs w:val="22"/>
        </w:rPr>
        <w:t xml:space="preserve">Rather than simply looking at </w:t>
      </w:r>
      <w:r w:rsidR="003E24DB" w:rsidRPr="00704A4F">
        <w:rPr>
          <w:rFonts w:ascii="Proxima Nova" w:hAnsi="Proxima Nova" w:cstheme="minorHAnsi"/>
          <w:sz w:val="22"/>
          <w:szCs w:val="22"/>
        </w:rPr>
        <w:t xml:space="preserve">restrictive practices in relation to their </w:t>
      </w:r>
      <w:r w:rsidRPr="00704A4F">
        <w:rPr>
          <w:rFonts w:ascii="Proxima Nova" w:hAnsi="Proxima Nova" w:cstheme="minorHAnsi"/>
          <w:sz w:val="22"/>
          <w:szCs w:val="22"/>
        </w:rPr>
        <w:t>use on the ground</w:t>
      </w:r>
      <w:r w:rsidR="003E24DB" w:rsidRPr="00704A4F">
        <w:rPr>
          <w:rFonts w:ascii="Proxima Nova" w:hAnsi="Proxima Nova" w:cstheme="minorHAnsi"/>
          <w:sz w:val="22"/>
          <w:szCs w:val="22"/>
        </w:rPr>
        <w:t>,</w:t>
      </w:r>
      <w:r w:rsidRPr="00704A4F">
        <w:rPr>
          <w:rFonts w:ascii="Proxima Nova" w:hAnsi="Proxima Nova" w:cstheme="minorHAnsi"/>
          <w:sz w:val="22"/>
          <w:szCs w:val="22"/>
        </w:rPr>
        <w:t xml:space="preserve"> it is important the Royal Commission also explore the</w:t>
      </w:r>
      <w:r w:rsidR="003E24DB" w:rsidRPr="00704A4F">
        <w:rPr>
          <w:rFonts w:ascii="Proxima Nova" w:hAnsi="Proxima Nova" w:cstheme="minorHAnsi"/>
          <w:sz w:val="22"/>
          <w:szCs w:val="22"/>
        </w:rPr>
        <w:t xml:space="preserve"> legal authorisation and regulation of restrictive practices</w:t>
      </w:r>
      <w:r w:rsidRPr="00704A4F">
        <w:rPr>
          <w:rFonts w:ascii="Proxima Nova" w:hAnsi="Proxima Nova" w:cstheme="minorHAnsi"/>
          <w:sz w:val="22"/>
          <w:szCs w:val="22"/>
        </w:rPr>
        <w:t xml:space="preserve">. </w:t>
      </w:r>
      <w:r w:rsidR="003E24DB" w:rsidRPr="00704A4F">
        <w:rPr>
          <w:rFonts w:ascii="Proxima Nova" w:hAnsi="Proxima Nova" w:cstheme="minorHAnsi"/>
          <w:sz w:val="22"/>
          <w:szCs w:val="22"/>
        </w:rPr>
        <w:t xml:space="preserve">Laws on restrictive practices fall </w:t>
      </w:r>
      <w:r w:rsidRPr="00704A4F">
        <w:rPr>
          <w:rFonts w:ascii="Proxima Nova" w:hAnsi="Proxima Nova" w:cstheme="minorHAnsi"/>
          <w:sz w:val="22"/>
          <w:szCs w:val="22"/>
        </w:rPr>
        <w:t>into 3 categories:</w:t>
      </w:r>
    </w:p>
    <w:p w14:paraId="6C63213A" w14:textId="77777777" w:rsidR="00621359" w:rsidRPr="00704A4F" w:rsidRDefault="00621359" w:rsidP="00704A4F">
      <w:pPr>
        <w:spacing w:line="276" w:lineRule="auto"/>
        <w:rPr>
          <w:rFonts w:ascii="Proxima Nova" w:hAnsi="Proxima Nova" w:cstheme="minorHAnsi"/>
          <w:sz w:val="22"/>
          <w:szCs w:val="22"/>
        </w:rPr>
      </w:pPr>
    </w:p>
    <w:p w14:paraId="31FEA73B" w14:textId="42748326" w:rsidR="00621359" w:rsidRPr="00704A4F" w:rsidRDefault="00621359" w:rsidP="00704A4F">
      <w:pPr>
        <w:pStyle w:val="ListParagraph"/>
        <w:numPr>
          <w:ilvl w:val="0"/>
          <w:numId w:val="33"/>
        </w:numPr>
        <w:spacing w:line="276" w:lineRule="auto"/>
        <w:ind w:left="1077" w:hanging="357"/>
        <w:rPr>
          <w:rFonts w:ascii="Proxima Nova" w:hAnsi="Proxima Nova" w:cstheme="minorHAnsi"/>
          <w:sz w:val="22"/>
          <w:szCs w:val="22"/>
        </w:rPr>
      </w:pPr>
      <w:r w:rsidRPr="00704A4F">
        <w:rPr>
          <w:rFonts w:ascii="Proxima Nova" w:hAnsi="Proxima Nova" w:cstheme="minorHAnsi"/>
          <w:sz w:val="22"/>
          <w:szCs w:val="22"/>
        </w:rPr>
        <w:t>Firstly, laws authorising third parties to</w:t>
      </w:r>
      <w:r w:rsidR="003E24DB" w:rsidRPr="00704A4F">
        <w:rPr>
          <w:rFonts w:ascii="Proxima Nova" w:hAnsi="Proxima Nova" w:cstheme="minorHAnsi"/>
          <w:sz w:val="22"/>
          <w:szCs w:val="22"/>
        </w:rPr>
        <w:t xml:space="preserve"> either</w:t>
      </w:r>
      <w:r w:rsidRPr="00704A4F">
        <w:rPr>
          <w:rFonts w:ascii="Proxima Nova" w:hAnsi="Proxima Nova" w:cstheme="minorHAnsi"/>
          <w:sz w:val="22"/>
          <w:szCs w:val="22"/>
        </w:rPr>
        <w:t xml:space="preserve"> use restrictive practices or consent to others using restrictive practices. Examples include: </w:t>
      </w:r>
    </w:p>
    <w:p w14:paraId="11625156" w14:textId="7A2B57CE" w:rsidR="00621359" w:rsidRPr="00704A4F" w:rsidRDefault="003E24DB" w:rsidP="00704A4F">
      <w:pPr>
        <w:pStyle w:val="ListParagraph"/>
        <w:numPr>
          <w:ilvl w:val="1"/>
          <w:numId w:val="34"/>
        </w:numPr>
        <w:spacing w:line="276" w:lineRule="auto"/>
        <w:rPr>
          <w:rFonts w:ascii="Proxima Nova" w:hAnsi="Proxima Nova" w:cstheme="minorHAnsi"/>
          <w:sz w:val="22"/>
          <w:szCs w:val="22"/>
        </w:rPr>
      </w:pPr>
      <w:r w:rsidRPr="00704A4F">
        <w:rPr>
          <w:rFonts w:ascii="Proxima Nova" w:hAnsi="Proxima Nova" w:cstheme="minorHAnsi"/>
          <w:sz w:val="22"/>
          <w:szCs w:val="22"/>
        </w:rPr>
        <w:t>Common law p</w:t>
      </w:r>
      <w:r w:rsidR="00621359" w:rsidRPr="00704A4F">
        <w:rPr>
          <w:rFonts w:ascii="Proxima Nova" w:hAnsi="Proxima Nova" w:cstheme="minorHAnsi"/>
          <w:sz w:val="22"/>
          <w:szCs w:val="22"/>
        </w:rPr>
        <w:t xml:space="preserve">arens patriae </w:t>
      </w:r>
      <w:r w:rsidRPr="00704A4F">
        <w:rPr>
          <w:rFonts w:ascii="Proxima Nova" w:hAnsi="Proxima Nova" w:cstheme="minorHAnsi"/>
          <w:sz w:val="22"/>
          <w:szCs w:val="22"/>
        </w:rPr>
        <w:t xml:space="preserve">doctrine that grants to </w:t>
      </w:r>
      <w:r w:rsidR="00621359" w:rsidRPr="00704A4F">
        <w:rPr>
          <w:rFonts w:ascii="Proxima Nova" w:hAnsi="Proxima Nova" w:cstheme="minorHAnsi"/>
          <w:sz w:val="22"/>
          <w:szCs w:val="22"/>
        </w:rPr>
        <w:t xml:space="preserve">State and Territory Supreme Courts </w:t>
      </w:r>
      <w:r w:rsidRPr="00704A4F">
        <w:rPr>
          <w:rFonts w:ascii="Proxima Nova" w:hAnsi="Proxima Nova" w:cstheme="minorHAnsi"/>
          <w:sz w:val="22"/>
          <w:szCs w:val="22"/>
        </w:rPr>
        <w:t xml:space="preserve">jurisdiction to </w:t>
      </w:r>
      <w:r w:rsidR="00621359" w:rsidRPr="00704A4F">
        <w:rPr>
          <w:rFonts w:ascii="Proxima Nova" w:hAnsi="Proxima Nova" w:cstheme="minorHAnsi"/>
          <w:sz w:val="22"/>
          <w:szCs w:val="22"/>
        </w:rPr>
        <w:t xml:space="preserve">order use of restrictive practices and appointment of substitute decision-makers to authorise restrictive </w:t>
      </w:r>
      <w:proofErr w:type="gramStart"/>
      <w:r w:rsidR="00621359" w:rsidRPr="00704A4F">
        <w:rPr>
          <w:rFonts w:ascii="Proxima Nova" w:hAnsi="Proxima Nova" w:cstheme="minorHAnsi"/>
          <w:sz w:val="22"/>
          <w:szCs w:val="22"/>
        </w:rPr>
        <w:t>practices;</w:t>
      </w:r>
      <w:proofErr w:type="gramEnd"/>
    </w:p>
    <w:p w14:paraId="03D70DFD" w14:textId="77777777" w:rsidR="00621359" w:rsidRPr="00704A4F" w:rsidRDefault="00621359" w:rsidP="00704A4F">
      <w:pPr>
        <w:pStyle w:val="ListParagraph"/>
        <w:numPr>
          <w:ilvl w:val="1"/>
          <w:numId w:val="34"/>
        </w:numPr>
        <w:spacing w:line="276" w:lineRule="auto"/>
        <w:rPr>
          <w:rFonts w:ascii="Proxima Nova" w:hAnsi="Proxima Nova" w:cstheme="minorHAnsi"/>
          <w:sz w:val="22"/>
          <w:szCs w:val="22"/>
        </w:rPr>
      </w:pPr>
      <w:r w:rsidRPr="00704A4F">
        <w:rPr>
          <w:rFonts w:ascii="Proxima Nova" w:hAnsi="Proxima Nova" w:cstheme="minorHAnsi"/>
          <w:sz w:val="22"/>
          <w:szCs w:val="22"/>
        </w:rPr>
        <w:t>Guardianship laws that authorise specified tribunals to appoint substituted decision-makers to consent to restrictive practices;</w:t>
      </w:r>
      <w:r w:rsidRPr="00704A4F">
        <w:rPr>
          <w:rStyle w:val="EndnoteReference"/>
          <w:rFonts w:ascii="Proxima Nova" w:hAnsi="Proxima Nova" w:cstheme="minorHAnsi"/>
          <w:sz w:val="22"/>
          <w:szCs w:val="22"/>
        </w:rPr>
        <w:endnoteReference w:id="262"/>
      </w:r>
    </w:p>
    <w:p w14:paraId="6C4049CC" w14:textId="6BD47C0F" w:rsidR="00621359" w:rsidRPr="00704A4F" w:rsidRDefault="00621359" w:rsidP="00704A4F">
      <w:pPr>
        <w:pStyle w:val="ListParagraph"/>
        <w:numPr>
          <w:ilvl w:val="1"/>
          <w:numId w:val="34"/>
        </w:numPr>
        <w:spacing w:line="276" w:lineRule="auto"/>
        <w:rPr>
          <w:rFonts w:ascii="Proxima Nova" w:hAnsi="Proxima Nova" w:cstheme="minorHAnsi"/>
          <w:sz w:val="22"/>
          <w:szCs w:val="22"/>
        </w:rPr>
      </w:pPr>
      <w:r w:rsidRPr="00704A4F">
        <w:rPr>
          <w:rFonts w:ascii="Proxima Nova" w:hAnsi="Proxima Nova" w:cstheme="minorHAnsi"/>
          <w:sz w:val="22"/>
          <w:szCs w:val="22"/>
        </w:rPr>
        <w:t>Mental health laws that authorise involuntary detention in mental health facilities, involuntary mental health treatment in mental health facilities and community treatment orders;</w:t>
      </w:r>
      <w:r w:rsidRPr="00704A4F">
        <w:rPr>
          <w:rStyle w:val="EndnoteReference"/>
          <w:rFonts w:ascii="Proxima Nova" w:hAnsi="Proxima Nova" w:cstheme="minorHAnsi"/>
          <w:sz w:val="22"/>
          <w:szCs w:val="22"/>
        </w:rPr>
        <w:endnoteReference w:id="263"/>
      </w:r>
    </w:p>
    <w:p w14:paraId="795BFB5C" w14:textId="77777777" w:rsidR="00621359" w:rsidRPr="00704A4F" w:rsidRDefault="00621359" w:rsidP="00704A4F">
      <w:pPr>
        <w:pStyle w:val="ListParagraph"/>
        <w:numPr>
          <w:ilvl w:val="1"/>
          <w:numId w:val="34"/>
        </w:numPr>
        <w:spacing w:line="276" w:lineRule="auto"/>
        <w:rPr>
          <w:rFonts w:ascii="Proxima Nova" w:hAnsi="Proxima Nova" w:cstheme="minorHAnsi"/>
          <w:sz w:val="22"/>
          <w:szCs w:val="22"/>
        </w:rPr>
      </w:pPr>
      <w:r w:rsidRPr="00704A4F">
        <w:rPr>
          <w:rFonts w:ascii="Proxima Nova" w:hAnsi="Proxima Nova" w:cstheme="minorHAnsi"/>
          <w:sz w:val="22"/>
          <w:szCs w:val="22"/>
        </w:rPr>
        <w:t>Family Court’s welfare jurisdiction which authorises parents to consent to sterilisation of their disabled children;</w:t>
      </w:r>
      <w:r w:rsidRPr="00704A4F">
        <w:rPr>
          <w:rStyle w:val="EndnoteReference"/>
          <w:rFonts w:ascii="Proxima Nova" w:hAnsi="Proxima Nova" w:cstheme="minorHAnsi"/>
          <w:sz w:val="22"/>
          <w:szCs w:val="22"/>
        </w:rPr>
        <w:endnoteReference w:id="264"/>
      </w:r>
      <w:r w:rsidRPr="00704A4F">
        <w:rPr>
          <w:rFonts w:ascii="Proxima Nova" w:hAnsi="Proxima Nova" w:cstheme="minorHAnsi"/>
          <w:sz w:val="22"/>
          <w:szCs w:val="22"/>
        </w:rPr>
        <w:t xml:space="preserve"> and</w:t>
      </w:r>
    </w:p>
    <w:p w14:paraId="58C6FA1F" w14:textId="77777777" w:rsidR="00621359" w:rsidRPr="00704A4F" w:rsidRDefault="00621359" w:rsidP="00704A4F">
      <w:pPr>
        <w:pStyle w:val="ListParagraph"/>
        <w:numPr>
          <w:ilvl w:val="1"/>
          <w:numId w:val="34"/>
        </w:numPr>
        <w:spacing w:line="276" w:lineRule="auto"/>
        <w:rPr>
          <w:rFonts w:ascii="Proxima Nova" w:hAnsi="Proxima Nova" w:cstheme="minorHAnsi"/>
          <w:sz w:val="22"/>
          <w:szCs w:val="22"/>
        </w:rPr>
      </w:pPr>
      <w:r w:rsidRPr="00704A4F">
        <w:rPr>
          <w:rFonts w:ascii="Proxima Nova" w:hAnsi="Proxima Nova" w:cstheme="minorHAnsi"/>
          <w:sz w:val="22"/>
          <w:szCs w:val="22"/>
        </w:rPr>
        <w:t>Child protection legislation which authorises medical practitioners to carry out emergency medical treatment on children without the consent of parents and guardians.</w:t>
      </w:r>
      <w:r w:rsidRPr="00704A4F">
        <w:rPr>
          <w:rStyle w:val="EndnoteReference"/>
          <w:rFonts w:ascii="Proxima Nova" w:hAnsi="Proxima Nova" w:cstheme="minorHAnsi"/>
          <w:sz w:val="22"/>
          <w:szCs w:val="22"/>
        </w:rPr>
        <w:endnoteReference w:id="265"/>
      </w:r>
    </w:p>
    <w:p w14:paraId="64766149" w14:textId="77777777" w:rsidR="00621359" w:rsidRPr="00704A4F" w:rsidRDefault="00621359" w:rsidP="00704A4F">
      <w:pPr>
        <w:spacing w:line="276" w:lineRule="auto"/>
        <w:rPr>
          <w:rFonts w:ascii="Proxima Nova" w:hAnsi="Proxima Nova" w:cstheme="minorHAnsi"/>
          <w:sz w:val="22"/>
          <w:szCs w:val="22"/>
        </w:rPr>
      </w:pPr>
    </w:p>
    <w:p w14:paraId="2C7F082F" w14:textId="0C496E57" w:rsidR="00621359" w:rsidRPr="00704A4F" w:rsidRDefault="00621359" w:rsidP="00704A4F">
      <w:pPr>
        <w:pStyle w:val="ListParagraph"/>
        <w:numPr>
          <w:ilvl w:val="0"/>
          <w:numId w:val="5"/>
        </w:numPr>
        <w:spacing w:line="276" w:lineRule="auto"/>
        <w:ind w:left="1077" w:hanging="357"/>
        <w:rPr>
          <w:rFonts w:ascii="Proxima Nova" w:hAnsi="Proxima Nova" w:cstheme="minorHAnsi"/>
          <w:sz w:val="22"/>
          <w:szCs w:val="22"/>
        </w:rPr>
      </w:pPr>
      <w:r w:rsidRPr="00704A4F">
        <w:rPr>
          <w:rFonts w:ascii="Proxima Nova" w:hAnsi="Proxima Nova" w:cstheme="minorHAnsi"/>
          <w:sz w:val="22"/>
          <w:szCs w:val="22"/>
        </w:rPr>
        <w:t>Secondly, laws excluding some individuals who use restrictive practices from criminal responsibility and civil liability</w:t>
      </w:r>
      <w:r w:rsidR="000621DC" w:rsidRPr="00704A4F">
        <w:rPr>
          <w:rFonts w:ascii="Proxima Nova" w:hAnsi="Proxima Nova" w:cstheme="minorHAnsi"/>
          <w:sz w:val="22"/>
          <w:szCs w:val="22"/>
        </w:rPr>
        <w:t>:</w:t>
      </w:r>
      <w:r w:rsidRPr="00704A4F">
        <w:rPr>
          <w:rStyle w:val="EndnoteReference"/>
          <w:rFonts w:ascii="Proxima Nova" w:hAnsi="Proxima Nova" w:cstheme="minorHAnsi"/>
          <w:sz w:val="22"/>
          <w:szCs w:val="22"/>
        </w:rPr>
        <w:endnoteReference w:id="266"/>
      </w:r>
    </w:p>
    <w:p w14:paraId="2069C4AC" w14:textId="77777777" w:rsidR="00621359" w:rsidRPr="00704A4F" w:rsidRDefault="00621359" w:rsidP="00704A4F">
      <w:pPr>
        <w:pStyle w:val="ListParagraph"/>
        <w:numPr>
          <w:ilvl w:val="1"/>
          <w:numId w:val="7"/>
        </w:numPr>
        <w:spacing w:line="276" w:lineRule="auto"/>
        <w:ind w:left="1434" w:hanging="357"/>
        <w:rPr>
          <w:rFonts w:ascii="Proxima Nova" w:hAnsi="Proxima Nova" w:cstheme="minorHAnsi"/>
          <w:sz w:val="22"/>
          <w:szCs w:val="22"/>
        </w:rPr>
      </w:pPr>
      <w:r w:rsidRPr="00704A4F">
        <w:rPr>
          <w:rFonts w:ascii="Proxima Nova" w:hAnsi="Proxima Nova" w:cstheme="minorHAnsi"/>
          <w:sz w:val="22"/>
          <w:szCs w:val="22"/>
        </w:rPr>
        <w:t>Common law doctrine of lawful authority, where restrictive practices used pursuant to statutory or judicial authority (as in the first category of examples);</w:t>
      </w:r>
      <w:r w:rsidRPr="00704A4F">
        <w:rPr>
          <w:rStyle w:val="EndnoteReference"/>
          <w:rFonts w:ascii="Proxima Nova" w:hAnsi="Proxima Nova" w:cstheme="minorHAnsi"/>
          <w:sz w:val="22"/>
          <w:szCs w:val="22"/>
        </w:rPr>
        <w:endnoteReference w:id="267"/>
      </w:r>
      <w:r w:rsidRPr="00704A4F">
        <w:rPr>
          <w:rFonts w:ascii="Proxima Nova" w:hAnsi="Proxima Nova" w:cstheme="minorHAnsi"/>
          <w:sz w:val="22"/>
          <w:szCs w:val="22"/>
        </w:rPr>
        <w:t xml:space="preserve"> and</w:t>
      </w:r>
    </w:p>
    <w:p w14:paraId="14AACCE9" w14:textId="77777777" w:rsidR="00621359" w:rsidRPr="00704A4F" w:rsidRDefault="00621359" w:rsidP="00704A4F">
      <w:pPr>
        <w:pStyle w:val="ListParagraph"/>
        <w:numPr>
          <w:ilvl w:val="1"/>
          <w:numId w:val="7"/>
        </w:numPr>
        <w:spacing w:line="276" w:lineRule="auto"/>
        <w:ind w:left="1434" w:hanging="357"/>
        <w:rPr>
          <w:rFonts w:ascii="Proxima Nova" w:hAnsi="Proxima Nova" w:cstheme="minorHAnsi"/>
          <w:sz w:val="22"/>
          <w:szCs w:val="22"/>
        </w:rPr>
      </w:pPr>
      <w:r w:rsidRPr="00704A4F">
        <w:rPr>
          <w:rFonts w:ascii="Proxima Nova" w:hAnsi="Proxima Nova" w:cstheme="minorHAnsi"/>
          <w:sz w:val="22"/>
          <w:szCs w:val="22"/>
        </w:rPr>
        <w:t>Common law doctrine of necessity, where restrictive practices used in situations of imminent danger.</w:t>
      </w:r>
      <w:r w:rsidRPr="00704A4F">
        <w:rPr>
          <w:rStyle w:val="EndnoteReference"/>
          <w:rFonts w:ascii="Proxima Nova" w:hAnsi="Proxima Nova" w:cstheme="minorHAnsi"/>
          <w:sz w:val="22"/>
          <w:szCs w:val="22"/>
        </w:rPr>
        <w:endnoteReference w:id="268"/>
      </w:r>
      <w:r w:rsidRPr="00704A4F">
        <w:rPr>
          <w:rFonts w:ascii="Proxima Nova" w:hAnsi="Proxima Nova" w:cstheme="minorHAnsi"/>
          <w:sz w:val="22"/>
          <w:szCs w:val="22"/>
        </w:rPr>
        <w:t xml:space="preserve"> </w:t>
      </w:r>
    </w:p>
    <w:p w14:paraId="7783B2A0" w14:textId="77777777" w:rsidR="00621359" w:rsidRPr="00704A4F" w:rsidRDefault="00621359" w:rsidP="00704A4F">
      <w:pPr>
        <w:spacing w:line="276" w:lineRule="auto"/>
        <w:rPr>
          <w:rFonts w:ascii="Proxima Nova" w:hAnsi="Proxima Nova" w:cstheme="minorHAnsi"/>
          <w:sz w:val="22"/>
          <w:szCs w:val="22"/>
        </w:rPr>
      </w:pPr>
    </w:p>
    <w:p w14:paraId="126895DF" w14:textId="5064CC43" w:rsidR="00621359" w:rsidRPr="00704A4F" w:rsidRDefault="00621359" w:rsidP="00704A4F">
      <w:pPr>
        <w:pStyle w:val="ListParagraph"/>
        <w:numPr>
          <w:ilvl w:val="0"/>
          <w:numId w:val="5"/>
        </w:numPr>
        <w:spacing w:line="276" w:lineRule="auto"/>
        <w:ind w:left="1077" w:hanging="357"/>
        <w:rPr>
          <w:rFonts w:ascii="Proxima Nova" w:hAnsi="Proxima Nova" w:cstheme="minorHAnsi"/>
          <w:sz w:val="22"/>
          <w:szCs w:val="22"/>
        </w:rPr>
      </w:pPr>
      <w:r w:rsidRPr="00704A4F">
        <w:rPr>
          <w:rFonts w:ascii="Proxima Nova" w:hAnsi="Proxima Nova" w:cstheme="minorHAnsi"/>
          <w:sz w:val="22"/>
          <w:szCs w:val="22"/>
        </w:rPr>
        <w:t xml:space="preserve">Thirdly, laws guiding </w:t>
      </w:r>
      <w:r w:rsidR="003E24DB" w:rsidRPr="00704A4F">
        <w:rPr>
          <w:rFonts w:ascii="Proxima Nova" w:hAnsi="Proxima Nova" w:cstheme="minorHAnsi"/>
          <w:sz w:val="22"/>
          <w:szCs w:val="22"/>
        </w:rPr>
        <w:t>use o</w:t>
      </w:r>
      <w:r w:rsidRPr="00704A4F">
        <w:rPr>
          <w:rFonts w:ascii="Proxima Nova" w:hAnsi="Proxima Nova" w:cstheme="minorHAnsi"/>
          <w:sz w:val="22"/>
          <w:szCs w:val="22"/>
        </w:rPr>
        <w:t>f restrictive practices in specific service sectors, where failure of a service to comply can result in penalties against the service including loss of accreditation and funding.</w:t>
      </w:r>
      <w:r w:rsidRPr="00704A4F">
        <w:rPr>
          <w:rStyle w:val="EndnoteReference"/>
          <w:rFonts w:ascii="Proxima Nova" w:eastAsia="Calibri" w:hAnsi="Proxima Nova" w:cstheme="minorHAnsi"/>
          <w:sz w:val="22"/>
          <w:szCs w:val="22"/>
        </w:rPr>
        <w:endnoteReference w:id="269"/>
      </w:r>
      <w:r w:rsidRPr="00704A4F">
        <w:rPr>
          <w:rFonts w:ascii="Proxima Nova" w:hAnsi="Proxima Nova" w:cstheme="minorHAnsi"/>
          <w:sz w:val="22"/>
          <w:szCs w:val="22"/>
        </w:rPr>
        <w:t xml:space="preserve"> Examples include: </w:t>
      </w:r>
    </w:p>
    <w:p w14:paraId="514A354C" w14:textId="77777777" w:rsidR="00621359" w:rsidRPr="00704A4F" w:rsidRDefault="00621359" w:rsidP="00704A4F">
      <w:pPr>
        <w:pStyle w:val="ListParagraph"/>
        <w:numPr>
          <w:ilvl w:val="1"/>
          <w:numId w:val="7"/>
        </w:numPr>
        <w:spacing w:line="276" w:lineRule="auto"/>
        <w:ind w:left="1434" w:hanging="357"/>
        <w:rPr>
          <w:rFonts w:ascii="Proxima Nova" w:hAnsi="Proxima Nova"/>
          <w:sz w:val="22"/>
          <w:szCs w:val="22"/>
        </w:rPr>
      </w:pPr>
      <w:r w:rsidRPr="00704A4F">
        <w:rPr>
          <w:rFonts w:ascii="Proxima Nova" w:hAnsi="Proxima Nova" w:cstheme="minorHAnsi"/>
          <w:sz w:val="22"/>
          <w:szCs w:val="22"/>
        </w:rPr>
        <w:t>Regulation of use of restrictive practices in NDIS funded services;</w:t>
      </w:r>
      <w:r w:rsidRPr="00704A4F">
        <w:rPr>
          <w:rStyle w:val="EndnoteReference"/>
          <w:rFonts w:ascii="Proxima Nova" w:hAnsi="Proxima Nova" w:cstheme="minorHAnsi"/>
          <w:sz w:val="22"/>
          <w:szCs w:val="22"/>
        </w:rPr>
        <w:endnoteReference w:id="270"/>
      </w:r>
      <w:r w:rsidRPr="00704A4F">
        <w:rPr>
          <w:rFonts w:ascii="Proxima Nova" w:hAnsi="Proxima Nova" w:cstheme="minorHAnsi"/>
          <w:sz w:val="22"/>
          <w:szCs w:val="22"/>
        </w:rPr>
        <w:t xml:space="preserve"> and </w:t>
      </w:r>
    </w:p>
    <w:p w14:paraId="26EB81AC" w14:textId="5453D3F1" w:rsidR="00621359" w:rsidRPr="00704A4F" w:rsidRDefault="00621359" w:rsidP="00704A4F">
      <w:pPr>
        <w:pStyle w:val="ListParagraph"/>
        <w:numPr>
          <w:ilvl w:val="1"/>
          <w:numId w:val="7"/>
        </w:numPr>
        <w:spacing w:line="276" w:lineRule="auto"/>
        <w:ind w:left="1434" w:hanging="357"/>
        <w:rPr>
          <w:rFonts w:ascii="Proxima Nova" w:hAnsi="Proxima Nova" w:cstheme="minorHAnsi"/>
          <w:sz w:val="22"/>
          <w:szCs w:val="22"/>
        </w:rPr>
      </w:pPr>
      <w:r w:rsidRPr="00704A4F">
        <w:rPr>
          <w:rFonts w:ascii="Proxima Nova" w:hAnsi="Proxima Nova" w:cstheme="minorHAnsi"/>
          <w:sz w:val="22"/>
          <w:szCs w:val="22"/>
        </w:rPr>
        <w:t>Regulation of use of restrictive practices in Commonwealth funded RACFs.</w:t>
      </w:r>
      <w:r w:rsidRPr="00704A4F">
        <w:rPr>
          <w:rStyle w:val="EndnoteReference"/>
          <w:rFonts w:ascii="Proxima Nova" w:hAnsi="Proxima Nova" w:cstheme="minorHAnsi"/>
          <w:sz w:val="22"/>
          <w:szCs w:val="22"/>
        </w:rPr>
        <w:endnoteReference w:id="271"/>
      </w:r>
    </w:p>
    <w:p w14:paraId="01757F2E" w14:textId="77777777" w:rsidR="00BF6DE4" w:rsidRPr="00704A4F" w:rsidRDefault="00BF6DE4" w:rsidP="00704A4F">
      <w:pPr>
        <w:spacing w:line="276" w:lineRule="auto"/>
        <w:ind w:left="720" w:hanging="720"/>
        <w:rPr>
          <w:rFonts w:ascii="Proxima Nova" w:hAnsi="Proxima Nova" w:cstheme="minorHAnsi"/>
          <w:sz w:val="22"/>
          <w:szCs w:val="22"/>
        </w:rPr>
      </w:pPr>
    </w:p>
    <w:p w14:paraId="139CA755" w14:textId="45FCFD2F" w:rsidR="00BF6DE4" w:rsidRPr="00704A4F" w:rsidRDefault="00BF6DE4" w:rsidP="0013295C">
      <w:pPr>
        <w:pStyle w:val="ListParagraph"/>
        <w:numPr>
          <w:ilvl w:val="1"/>
          <w:numId w:val="32"/>
        </w:numPr>
        <w:spacing w:line="276" w:lineRule="auto"/>
        <w:ind w:left="720" w:hanging="720"/>
        <w:rPr>
          <w:rFonts w:ascii="Proxima Nova" w:hAnsi="Proxima Nova" w:cstheme="minorHAnsi"/>
          <w:sz w:val="22"/>
          <w:szCs w:val="22"/>
        </w:rPr>
      </w:pPr>
      <w:r w:rsidRPr="00704A4F">
        <w:rPr>
          <w:rFonts w:ascii="Proxima Nova" w:hAnsi="Proxima Nova"/>
          <w:sz w:val="22"/>
          <w:szCs w:val="22"/>
        </w:rPr>
        <w:t>T</w:t>
      </w:r>
      <w:r w:rsidRPr="00704A4F">
        <w:rPr>
          <w:rFonts w:ascii="Proxima Nova" w:hAnsi="Proxima Nova" w:cstheme="minorHAnsi"/>
          <w:sz w:val="22"/>
          <w:szCs w:val="22"/>
        </w:rPr>
        <w:t>he Royal Commission has commissioned a very detailed research report by Australian Government Solicitors on laws affecting people with disability which extends to laws relating to restrictive practices.</w:t>
      </w:r>
      <w:r w:rsidRPr="00704A4F">
        <w:rPr>
          <w:rStyle w:val="EndnoteReference"/>
          <w:rFonts w:ascii="Proxima Nova" w:hAnsi="Proxima Nova" w:cstheme="minorHAnsi"/>
          <w:sz w:val="22"/>
          <w:szCs w:val="22"/>
        </w:rPr>
        <w:endnoteReference w:id="272"/>
      </w:r>
      <w:r w:rsidRPr="00704A4F">
        <w:rPr>
          <w:rFonts w:ascii="Proxima Nova" w:hAnsi="Proxima Nova" w:cstheme="minorHAnsi"/>
          <w:sz w:val="22"/>
          <w:szCs w:val="22"/>
        </w:rPr>
        <w:t xml:space="preserve"> However, to date the Royal Commission has not explored legal dynamics of restrictive practices (including some of the laws identified in the </w:t>
      </w:r>
      <w:r w:rsidR="007C1F56" w:rsidRPr="00704A4F">
        <w:rPr>
          <w:rFonts w:ascii="Proxima Nova" w:hAnsi="Proxima Nova" w:cstheme="minorHAnsi"/>
          <w:sz w:val="22"/>
          <w:szCs w:val="22"/>
        </w:rPr>
        <w:t>Australian</w:t>
      </w:r>
      <w:r w:rsidRPr="00704A4F">
        <w:rPr>
          <w:rFonts w:ascii="Proxima Nova" w:hAnsi="Proxima Nova" w:cstheme="minorHAnsi"/>
          <w:sz w:val="22"/>
          <w:szCs w:val="22"/>
        </w:rPr>
        <w:t xml:space="preserve"> Government Solicitors research report) and the role of justice systems in both enabling perpetration of violence through restrictive practices and situating this violence beyond redress.</w:t>
      </w:r>
    </w:p>
    <w:p w14:paraId="2C46A8D4" w14:textId="77777777" w:rsidR="00BF6DE4" w:rsidRPr="00704A4F" w:rsidRDefault="00BF6DE4" w:rsidP="0013295C">
      <w:pPr>
        <w:spacing w:line="276" w:lineRule="auto"/>
        <w:ind w:left="720" w:hanging="720"/>
        <w:rPr>
          <w:rFonts w:ascii="Proxima Nova" w:hAnsi="Proxima Nova"/>
          <w:sz w:val="22"/>
          <w:szCs w:val="22"/>
        </w:rPr>
      </w:pPr>
    </w:p>
    <w:p w14:paraId="7431A0F4" w14:textId="2E77B099" w:rsidR="00BF6DE4" w:rsidRPr="00704A4F" w:rsidRDefault="00C3266B" w:rsidP="0013295C">
      <w:pPr>
        <w:pStyle w:val="ListParagraph"/>
        <w:numPr>
          <w:ilvl w:val="1"/>
          <w:numId w:val="32"/>
        </w:numPr>
        <w:spacing w:line="276" w:lineRule="auto"/>
        <w:ind w:left="720" w:hanging="720"/>
        <w:rPr>
          <w:rFonts w:ascii="Proxima Nova" w:hAnsi="Proxima Nova"/>
          <w:sz w:val="22"/>
          <w:szCs w:val="22"/>
        </w:rPr>
      </w:pPr>
      <w:r w:rsidRPr="00704A4F">
        <w:rPr>
          <w:rFonts w:ascii="Proxima Nova" w:hAnsi="Proxima Nova" w:cstheme="minorHAnsi"/>
          <w:sz w:val="22"/>
          <w:szCs w:val="22"/>
        </w:rPr>
        <w:t>By reason of their lawfulness,</w:t>
      </w:r>
      <w:r w:rsidR="00BF6DE4" w:rsidRPr="00704A4F">
        <w:rPr>
          <w:rFonts w:ascii="Proxima Nova" w:hAnsi="Proxima Nova" w:cstheme="minorHAnsi"/>
          <w:sz w:val="22"/>
          <w:szCs w:val="22"/>
        </w:rPr>
        <w:t xml:space="preserve"> restrictive practices are distinct to many other forms of violence that the Royal Commission is considering, and distinct to conventional understandings of violence that are informed by criminal law notions of consent and intention to harm. In order to fully explore restrictive practices as violence, abuse, neglect and exploitation of women and girls with </w:t>
      </w:r>
      <w:r w:rsidR="007C1F56" w:rsidRPr="00704A4F">
        <w:rPr>
          <w:rFonts w:ascii="Proxima Nova" w:hAnsi="Proxima Nova" w:cstheme="minorHAnsi"/>
          <w:sz w:val="22"/>
          <w:szCs w:val="22"/>
        </w:rPr>
        <w:t>disability</w:t>
      </w:r>
      <w:r w:rsidR="00BF6DE4" w:rsidRPr="00704A4F">
        <w:rPr>
          <w:rFonts w:ascii="Proxima Nova" w:hAnsi="Proxima Nova" w:cstheme="minorHAnsi"/>
          <w:sz w:val="22"/>
          <w:szCs w:val="22"/>
        </w:rPr>
        <w:t>, it is vital the Royal Commission consider key legal/justice and regulatory contexts of restrictive practices.</w:t>
      </w:r>
    </w:p>
    <w:p w14:paraId="2EF8B7F6" w14:textId="77777777" w:rsidR="00BF6DE4" w:rsidRPr="00704A4F" w:rsidRDefault="00BF6DE4" w:rsidP="0013295C">
      <w:pPr>
        <w:snapToGrid w:val="0"/>
        <w:spacing w:line="276" w:lineRule="auto"/>
        <w:ind w:left="720" w:hanging="720"/>
        <w:rPr>
          <w:rFonts w:ascii="Proxima Nova" w:hAnsi="Proxima Nova" w:cstheme="minorHAnsi"/>
          <w:sz w:val="22"/>
          <w:szCs w:val="22"/>
          <w:bdr w:val="none" w:sz="0" w:space="0" w:color="auto" w:frame="1"/>
        </w:rPr>
      </w:pPr>
    </w:p>
    <w:p w14:paraId="16B63402" w14:textId="2F2425B4" w:rsidR="00BF6DE4" w:rsidRPr="00704A4F" w:rsidRDefault="00BF6DE4" w:rsidP="0013295C">
      <w:pPr>
        <w:pStyle w:val="ListParagraph"/>
        <w:numPr>
          <w:ilvl w:val="1"/>
          <w:numId w:val="32"/>
        </w:numPr>
        <w:snapToGrid w:val="0"/>
        <w:spacing w:line="276" w:lineRule="auto"/>
        <w:ind w:left="720" w:hanging="720"/>
        <w:rPr>
          <w:rFonts w:ascii="Proxima Nova" w:hAnsi="Proxima Nova" w:cstheme="minorHAnsi"/>
          <w:sz w:val="22"/>
          <w:szCs w:val="22"/>
          <w:bdr w:val="none" w:sz="0" w:space="0" w:color="auto" w:frame="1"/>
        </w:rPr>
      </w:pPr>
      <w:r w:rsidRPr="00704A4F">
        <w:rPr>
          <w:rFonts w:ascii="Proxima Nova" w:hAnsi="Proxima Nova" w:cstheme="minorHAnsi"/>
          <w:sz w:val="22"/>
          <w:szCs w:val="22"/>
        </w:rPr>
        <w:lastRenderedPageBreak/>
        <w:t>Restrictive practices constitute non-consensual and coercive interventions on the basis of disability that are permitted by law (</w:t>
      </w:r>
      <w:proofErr w:type="gramStart"/>
      <w:r w:rsidRPr="00704A4F">
        <w:rPr>
          <w:rFonts w:ascii="Proxima Nova" w:hAnsi="Proxima Nova" w:cstheme="minorHAnsi"/>
          <w:sz w:val="22"/>
          <w:szCs w:val="22"/>
        </w:rPr>
        <w:t>i.e.</w:t>
      </w:r>
      <w:proofErr w:type="gramEnd"/>
      <w:r w:rsidRPr="00704A4F">
        <w:rPr>
          <w:rFonts w:ascii="Proxima Nova" w:hAnsi="Proxima Nova" w:cstheme="minorHAnsi"/>
          <w:sz w:val="22"/>
          <w:szCs w:val="22"/>
        </w:rPr>
        <w:t xml:space="preserve"> legal doctrine, legal institutions and legal process) and supported by state funded legal professions, justice systems, Government departments and disability, mental health and welfare services. </w:t>
      </w:r>
      <w:r w:rsidRPr="00704A4F">
        <w:rPr>
          <w:rFonts w:ascii="Proxima Nova" w:hAnsi="Proxima Nova" w:cstheme="minorHAnsi"/>
          <w:sz w:val="22"/>
          <w:szCs w:val="22"/>
          <w:bdr w:val="none" w:sz="0" w:space="0" w:color="auto" w:frame="1"/>
        </w:rPr>
        <w:t>Through law restrictive practices are state-sanctioned and just and thus become framed as non-violent. In being lawful, perpetrators are not held accountable and those subjected to restrictive practices are not entitled to redress. Ultimately, the legality of restrictive practices sustains the violability</w:t>
      </w:r>
      <w:r w:rsidR="00DE38DB" w:rsidRPr="00704A4F">
        <w:rPr>
          <w:rFonts w:ascii="Proxima Nova" w:hAnsi="Proxima Nova" w:cstheme="minorHAnsi"/>
          <w:sz w:val="22"/>
          <w:szCs w:val="22"/>
          <w:bdr w:val="none" w:sz="0" w:space="0" w:color="auto" w:frame="1"/>
        </w:rPr>
        <w:t>,</w:t>
      </w:r>
      <w:r w:rsidRPr="00704A4F">
        <w:rPr>
          <w:rFonts w:ascii="Proxima Nova" w:hAnsi="Proxima Nova" w:cstheme="minorHAnsi"/>
          <w:sz w:val="22"/>
          <w:szCs w:val="22"/>
          <w:bdr w:val="none" w:sz="0" w:space="0" w:color="auto" w:frame="1"/>
        </w:rPr>
        <w:t xml:space="preserve"> ungrievability </w:t>
      </w:r>
      <w:r w:rsidR="00DE38DB" w:rsidRPr="00704A4F">
        <w:rPr>
          <w:rFonts w:ascii="Proxima Nova" w:hAnsi="Proxima Nova" w:cstheme="minorHAnsi"/>
          <w:sz w:val="22"/>
          <w:szCs w:val="22"/>
          <w:bdr w:val="none" w:sz="0" w:space="0" w:color="auto" w:frame="1"/>
        </w:rPr>
        <w:t>and need to control</w:t>
      </w:r>
      <w:r w:rsidRPr="00704A4F">
        <w:rPr>
          <w:rFonts w:ascii="Proxima Nova" w:hAnsi="Proxima Nova" w:cstheme="minorHAnsi"/>
          <w:sz w:val="22"/>
          <w:szCs w:val="22"/>
          <w:bdr w:val="none" w:sz="0" w:space="0" w:color="auto" w:frame="1"/>
        </w:rPr>
        <w:t xml:space="preserve"> women and girls with disability.</w:t>
      </w:r>
    </w:p>
    <w:p w14:paraId="66F5E9D2" w14:textId="77777777" w:rsidR="00BF6DE4" w:rsidRPr="00704A4F" w:rsidRDefault="00BF6DE4" w:rsidP="0013295C">
      <w:pPr>
        <w:snapToGrid w:val="0"/>
        <w:spacing w:line="276" w:lineRule="auto"/>
        <w:ind w:left="720" w:hanging="720"/>
        <w:rPr>
          <w:rFonts w:ascii="Proxima Nova" w:hAnsi="Proxima Nova" w:cstheme="minorHAnsi"/>
          <w:sz w:val="22"/>
          <w:szCs w:val="22"/>
          <w:bdr w:val="none" w:sz="0" w:space="0" w:color="auto" w:frame="1"/>
        </w:rPr>
      </w:pPr>
    </w:p>
    <w:p w14:paraId="031806DE" w14:textId="161CD912" w:rsidR="00BF6DE4" w:rsidRPr="00704A4F" w:rsidRDefault="00BF6DE4" w:rsidP="0013295C">
      <w:pPr>
        <w:numPr>
          <w:ilvl w:val="1"/>
          <w:numId w:val="32"/>
        </w:numPr>
        <w:spacing w:line="276" w:lineRule="auto"/>
        <w:ind w:left="720" w:hanging="720"/>
        <w:rPr>
          <w:rFonts w:ascii="Proxima Nova" w:eastAsia="Calibri" w:hAnsi="Proxima Nova" w:cstheme="minorHAnsi"/>
          <w:sz w:val="22"/>
          <w:szCs w:val="22"/>
          <w:lang w:val="en-GB"/>
        </w:rPr>
      </w:pPr>
      <w:r w:rsidRPr="00704A4F">
        <w:rPr>
          <w:rFonts w:ascii="Proxima Nova" w:eastAsia="Calibri" w:hAnsi="Proxima Nova" w:cstheme="minorHAnsi"/>
          <w:sz w:val="22"/>
          <w:szCs w:val="22"/>
          <w:lang w:val="en-GB"/>
        </w:rPr>
        <w:t xml:space="preserve">To date, the Royal Commission has focused on restrictive practices as they are used ‘on the ground’, for example, in schools and group homes. While this is important, it is only part of the picture. </w:t>
      </w:r>
      <w:r w:rsidR="00C3266B" w:rsidRPr="00704A4F">
        <w:rPr>
          <w:rFonts w:ascii="Proxima Nova" w:eastAsia="Calibri" w:hAnsi="Proxima Nova" w:cstheme="minorHAnsi"/>
          <w:sz w:val="22"/>
          <w:szCs w:val="22"/>
          <w:lang w:val="en-GB"/>
        </w:rPr>
        <w:t>B</w:t>
      </w:r>
      <w:r w:rsidR="00C3266B" w:rsidRPr="00704A4F">
        <w:rPr>
          <w:rFonts w:ascii="Proxima Nova" w:hAnsi="Proxima Nova" w:cstheme="minorHAnsi"/>
          <w:sz w:val="22"/>
          <w:szCs w:val="22"/>
        </w:rPr>
        <w:t xml:space="preserve">ehind much of this violence are legal frameworks and court and tribunal orders that authorise the enacting of this violence, protect perpetrators from accountability and deny redress to victims/survivors. Overlooking in-depth exploration of legal and justice systems risks the absence of recommendations addressing these systems, and thus any changes to ‘on the ground’ systems focused on changing practice and cultures that give rise to instances of violence will not remove the legal </w:t>
      </w:r>
      <w:r w:rsidR="00335AD1" w:rsidRPr="00704A4F">
        <w:rPr>
          <w:rFonts w:ascii="Proxima Nova" w:hAnsi="Proxima Nova" w:cstheme="minorHAnsi"/>
          <w:sz w:val="22"/>
          <w:szCs w:val="22"/>
        </w:rPr>
        <w:t>possibility</w:t>
      </w:r>
      <w:r w:rsidR="00C3266B" w:rsidRPr="00704A4F">
        <w:rPr>
          <w:rFonts w:ascii="Proxima Nova" w:hAnsi="Proxima Nova" w:cstheme="minorHAnsi"/>
          <w:sz w:val="22"/>
          <w:szCs w:val="22"/>
        </w:rPr>
        <w:t xml:space="preserve"> and permissibility for this violence</w:t>
      </w:r>
      <w:r w:rsidRPr="00704A4F">
        <w:rPr>
          <w:rFonts w:ascii="Proxima Nova" w:eastAsia="Calibri" w:hAnsi="Proxima Nova" w:cstheme="minorHAnsi"/>
          <w:sz w:val="22"/>
          <w:szCs w:val="22"/>
          <w:lang w:val="en-GB"/>
        </w:rPr>
        <w:t xml:space="preserve">. </w:t>
      </w:r>
      <w:r w:rsidR="00237D1D" w:rsidRPr="00704A4F">
        <w:rPr>
          <w:rFonts w:ascii="Proxima Nova" w:eastAsia="Calibri" w:hAnsi="Proxima Nova" w:cstheme="minorHAnsi"/>
          <w:sz w:val="22"/>
          <w:szCs w:val="22"/>
          <w:lang w:val="en-GB"/>
        </w:rPr>
        <w:t>Therefore</w:t>
      </w:r>
      <w:r w:rsidRPr="00704A4F">
        <w:rPr>
          <w:rFonts w:ascii="Proxima Nova" w:eastAsia="Calibri" w:hAnsi="Proxima Nova" w:cstheme="minorHAnsi"/>
          <w:sz w:val="22"/>
          <w:szCs w:val="22"/>
          <w:lang w:val="en-GB"/>
        </w:rPr>
        <w:t xml:space="preserve">, in order to fully explore restrictive practices, the Royal Commission must expand its focus to legal sites – courts, tribunals, legislative drafting offices and law firms. </w:t>
      </w:r>
    </w:p>
    <w:p w14:paraId="4BCC2380" w14:textId="77777777" w:rsidR="00BF6DE4" w:rsidRPr="00704A4F" w:rsidRDefault="00BF6DE4" w:rsidP="0013295C">
      <w:pPr>
        <w:pStyle w:val="ListParagraph"/>
        <w:spacing w:line="276" w:lineRule="auto"/>
        <w:ind w:hanging="720"/>
        <w:rPr>
          <w:rFonts w:ascii="Proxima Nova" w:hAnsi="Proxima Nova" w:cstheme="minorHAnsi"/>
          <w:sz w:val="22"/>
          <w:szCs w:val="22"/>
        </w:rPr>
      </w:pPr>
    </w:p>
    <w:p w14:paraId="4B567B80" w14:textId="53B30970" w:rsidR="00BF6DE4" w:rsidRPr="00704A4F" w:rsidRDefault="00BF6DE4" w:rsidP="00C3266B">
      <w:pPr>
        <w:pStyle w:val="ListParagraph"/>
        <w:widowControl w:val="0"/>
        <w:numPr>
          <w:ilvl w:val="1"/>
          <w:numId w:val="32"/>
        </w:numPr>
        <w:autoSpaceDE w:val="0"/>
        <w:autoSpaceDN w:val="0"/>
        <w:adjustRightInd w:val="0"/>
        <w:spacing w:line="276" w:lineRule="auto"/>
        <w:ind w:left="720" w:hanging="720"/>
        <w:rPr>
          <w:rFonts w:ascii="Proxima Nova" w:hAnsi="Proxima Nova" w:cstheme="minorHAnsi"/>
          <w:sz w:val="22"/>
          <w:szCs w:val="22"/>
        </w:rPr>
      </w:pPr>
      <w:r w:rsidRPr="00704A4F">
        <w:rPr>
          <w:rFonts w:ascii="Proxima Nova" w:hAnsi="Proxima Nova" w:cstheme="minorHAnsi"/>
          <w:sz w:val="22"/>
          <w:szCs w:val="22"/>
        </w:rPr>
        <w:t xml:space="preserve">It is vital the Royal Commission recommend the complete </w:t>
      </w:r>
      <w:r w:rsidR="00C3266B" w:rsidRPr="00704A4F">
        <w:rPr>
          <w:rFonts w:ascii="Proxima Nova" w:hAnsi="Proxima Nova" w:cstheme="minorHAnsi"/>
          <w:sz w:val="22"/>
          <w:szCs w:val="22"/>
        </w:rPr>
        <w:t xml:space="preserve">prohibition of </w:t>
      </w:r>
      <w:r w:rsidRPr="00704A4F">
        <w:rPr>
          <w:rFonts w:ascii="Proxima Nova" w:hAnsi="Proxima Nova" w:cstheme="minorHAnsi"/>
          <w:sz w:val="22"/>
          <w:szCs w:val="22"/>
        </w:rPr>
        <w:t>restrictive practices. An alternative focus only on ending use (and not ending legality) leaves intact the legal frameworks that render restrictive practices possible and permissible and unrealistically depends on a complete behaviour change by individuals and organisations currently using restrictive practices (in a context where there are profit/financial incentives in the disability and aged care systems to continue using restrictive practices). An alternative focus on ‘reducing’, ‘eliminating’, or ‘minimising’ restrictive practices still enables continued use of restrictive practices on some individuals. Even if there is a reduction in the total number of individuals this does not diminish their impact at an individual level</w:t>
      </w:r>
      <w:r w:rsidR="00C3266B" w:rsidRPr="00704A4F">
        <w:rPr>
          <w:rFonts w:ascii="Proxima Nova" w:hAnsi="Proxima Nova" w:cstheme="minorHAnsi"/>
          <w:sz w:val="22"/>
          <w:szCs w:val="22"/>
        </w:rPr>
        <w:t xml:space="preserve"> on those who are still subjected to them</w:t>
      </w:r>
      <w:r w:rsidRPr="00704A4F">
        <w:rPr>
          <w:rFonts w:ascii="Proxima Nova" w:hAnsi="Proxima Nova" w:cstheme="minorHAnsi"/>
          <w:sz w:val="22"/>
          <w:szCs w:val="22"/>
        </w:rPr>
        <w:t>.</w:t>
      </w:r>
      <w:r w:rsidR="00C3266B" w:rsidRPr="00704A4F">
        <w:rPr>
          <w:rFonts w:ascii="Proxima Nova" w:hAnsi="Proxima Nova" w:cstheme="minorHAnsi"/>
          <w:sz w:val="22"/>
          <w:szCs w:val="22"/>
        </w:rPr>
        <w:t xml:space="preserve"> Prohibition</w:t>
      </w:r>
      <w:r w:rsidRPr="00704A4F">
        <w:rPr>
          <w:rFonts w:ascii="Proxima Nova" w:hAnsi="Proxima Nova" w:cstheme="minorHAnsi"/>
          <w:sz w:val="22"/>
          <w:szCs w:val="22"/>
        </w:rPr>
        <w:t xml:space="preserve"> is</w:t>
      </w:r>
      <w:r w:rsidRPr="00704A4F">
        <w:rPr>
          <w:rFonts w:ascii="Proxima Nova" w:eastAsia="Calibri" w:hAnsi="Proxima Nova" w:cstheme="minorHAnsi"/>
          <w:sz w:val="22"/>
          <w:szCs w:val="22"/>
        </w:rPr>
        <w:t xml:space="preserve"> consistent with recommendations to Australia from the UN CRPD Committee.</w:t>
      </w:r>
      <w:r w:rsidRPr="00704A4F">
        <w:rPr>
          <w:rStyle w:val="EndnoteReference"/>
          <w:rFonts w:ascii="Proxima Nova" w:eastAsia="Calibri" w:hAnsi="Proxima Nova" w:cstheme="minorHAnsi"/>
          <w:sz w:val="22"/>
          <w:szCs w:val="22"/>
        </w:rPr>
        <w:endnoteReference w:id="273"/>
      </w:r>
      <w:r w:rsidRPr="00704A4F">
        <w:rPr>
          <w:rFonts w:ascii="Proxima Nova" w:eastAsia="Calibri" w:hAnsi="Proxima Nova" w:cstheme="minorHAnsi"/>
          <w:sz w:val="22"/>
          <w:szCs w:val="22"/>
        </w:rPr>
        <w:t xml:space="preserve"> In particular, </w:t>
      </w:r>
      <w:r w:rsidRPr="00704A4F">
        <w:rPr>
          <w:rFonts w:ascii="Proxima Nova" w:hAnsi="Proxima Nova" w:cstheme="minorHAnsi"/>
          <w:sz w:val="22"/>
          <w:szCs w:val="22"/>
        </w:rPr>
        <w:t>substitute decision-making, compulsory treatment and ‘best interest’ approaches have been thoroughly criticised as fundamentally contravening the CRPD and as intrinsically value laden.</w:t>
      </w:r>
      <w:r w:rsidRPr="00704A4F">
        <w:rPr>
          <w:rStyle w:val="EndnoteReference"/>
          <w:rFonts w:ascii="Proxima Nova" w:hAnsi="Proxima Nova" w:cstheme="minorHAnsi"/>
          <w:sz w:val="22"/>
          <w:szCs w:val="22"/>
        </w:rPr>
        <w:endnoteReference w:id="274"/>
      </w:r>
      <w:r w:rsidRPr="00704A4F">
        <w:rPr>
          <w:rFonts w:ascii="Proxima Nova" w:hAnsi="Proxima Nova" w:cstheme="minorHAnsi"/>
          <w:sz w:val="22"/>
          <w:szCs w:val="22"/>
        </w:rPr>
        <w:t xml:space="preserve"> A supported decision-making approach recognises that legal capacity underpins personhood and is indispensable for the exercise of civil, political, economic, social and cultural rights. </w:t>
      </w:r>
    </w:p>
    <w:p w14:paraId="4FCCB936" w14:textId="77777777" w:rsidR="00BF6DE4" w:rsidRPr="00704A4F" w:rsidRDefault="00BF6DE4" w:rsidP="0013295C">
      <w:pPr>
        <w:pStyle w:val="ListParagraph"/>
        <w:spacing w:line="276" w:lineRule="auto"/>
        <w:ind w:hanging="720"/>
        <w:rPr>
          <w:rFonts w:ascii="Proxima Nova" w:hAnsi="Proxima Nova" w:cstheme="minorHAnsi"/>
          <w:sz w:val="22"/>
          <w:szCs w:val="22"/>
        </w:rPr>
      </w:pPr>
    </w:p>
    <w:p w14:paraId="7BEA330A" w14:textId="77777777" w:rsidR="00BF6DE4" w:rsidRPr="00704A4F" w:rsidRDefault="00BF6DE4" w:rsidP="0013295C">
      <w:pPr>
        <w:pStyle w:val="ListParagraph"/>
        <w:numPr>
          <w:ilvl w:val="1"/>
          <w:numId w:val="32"/>
        </w:numPr>
        <w:spacing w:line="276" w:lineRule="auto"/>
        <w:ind w:left="720" w:hanging="720"/>
        <w:rPr>
          <w:rFonts w:ascii="Proxima Nova" w:hAnsi="Proxima Nova" w:cstheme="minorHAnsi"/>
          <w:sz w:val="22"/>
          <w:szCs w:val="22"/>
        </w:rPr>
      </w:pPr>
      <w:r w:rsidRPr="00704A4F">
        <w:rPr>
          <w:rFonts w:ascii="Proxima Nova" w:hAnsi="Proxima Nova" w:cstheme="minorHAnsi"/>
          <w:sz w:val="22"/>
          <w:szCs w:val="22"/>
        </w:rPr>
        <w:t>Moreover, the Royal Commission must explore access to justice issues in relation to restrictive practices:</w:t>
      </w:r>
    </w:p>
    <w:p w14:paraId="62B51272" w14:textId="77777777" w:rsidR="00BF6DE4" w:rsidRPr="00704A4F" w:rsidRDefault="00BF6DE4" w:rsidP="0013295C">
      <w:pPr>
        <w:pStyle w:val="ListParagraph"/>
        <w:spacing w:line="276" w:lineRule="auto"/>
        <w:ind w:hanging="720"/>
        <w:rPr>
          <w:rFonts w:ascii="Proxima Nova" w:hAnsi="Proxima Nova" w:cstheme="minorHAnsi"/>
          <w:sz w:val="22"/>
          <w:szCs w:val="22"/>
        </w:rPr>
      </w:pPr>
    </w:p>
    <w:p w14:paraId="57919D84" w14:textId="77777777" w:rsidR="00BF6DE4" w:rsidRPr="00704A4F" w:rsidRDefault="00BF6DE4" w:rsidP="0013295C">
      <w:pPr>
        <w:pStyle w:val="ListParagraph"/>
        <w:numPr>
          <w:ilvl w:val="0"/>
          <w:numId w:val="35"/>
        </w:numPr>
        <w:spacing w:line="276" w:lineRule="auto"/>
        <w:ind w:left="1077" w:hanging="357"/>
        <w:rPr>
          <w:rFonts w:ascii="Proxima Nova" w:hAnsi="Proxima Nova" w:cstheme="minorHAnsi"/>
          <w:sz w:val="22"/>
          <w:szCs w:val="22"/>
        </w:rPr>
      </w:pPr>
      <w:r w:rsidRPr="00704A4F">
        <w:rPr>
          <w:rFonts w:ascii="Proxima Nova" w:hAnsi="Proxima Nova" w:cstheme="minorHAnsi"/>
          <w:sz w:val="22"/>
          <w:szCs w:val="22"/>
        </w:rPr>
        <w:t xml:space="preserve">availability and accessibility of legal information about victims’ compensation and redress under civil and criminal law – particularly in the context of disability, mental health and aged care services, and in segregated and closed </w:t>
      </w:r>
      <w:proofErr w:type="gramStart"/>
      <w:r w:rsidRPr="00704A4F">
        <w:rPr>
          <w:rFonts w:ascii="Proxima Nova" w:hAnsi="Proxima Nova" w:cstheme="minorHAnsi"/>
          <w:sz w:val="22"/>
          <w:szCs w:val="22"/>
        </w:rPr>
        <w:t>settings;</w:t>
      </w:r>
      <w:proofErr w:type="gramEnd"/>
    </w:p>
    <w:p w14:paraId="0854C5B2" w14:textId="74BF96E4" w:rsidR="00BF6DE4" w:rsidRPr="00704A4F" w:rsidRDefault="00BF6DE4" w:rsidP="0013295C">
      <w:pPr>
        <w:pStyle w:val="ListParagraph"/>
        <w:numPr>
          <w:ilvl w:val="0"/>
          <w:numId w:val="35"/>
        </w:numPr>
        <w:spacing w:line="276" w:lineRule="auto"/>
        <w:ind w:left="1077" w:hanging="357"/>
        <w:rPr>
          <w:rFonts w:ascii="Proxima Nova" w:hAnsi="Proxima Nova" w:cstheme="minorHAnsi"/>
          <w:sz w:val="22"/>
          <w:szCs w:val="22"/>
        </w:rPr>
      </w:pPr>
      <w:r w:rsidRPr="00704A4F">
        <w:rPr>
          <w:rFonts w:ascii="Proxima Nova" w:hAnsi="Proxima Nova" w:cstheme="minorHAnsi"/>
          <w:sz w:val="22"/>
          <w:szCs w:val="22"/>
        </w:rPr>
        <w:t>availability and accessibility of disability inclusive legal services that can provide legal advice and legal representation for victims of violence related to restrictive practices, including removing substituted decision-making and compulsory treatment orders and obtain</w:t>
      </w:r>
      <w:r w:rsidR="0013295C" w:rsidRPr="00704A4F">
        <w:rPr>
          <w:rFonts w:ascii="Proxima Nova" w:hAnsi="Proxima Nova" w:cstheme="minorHAnsi"/>
          <w:sz w:val="22"/>
          <w:szCs w:val="22"/>
        </w:rPr>
        <w:t>in</w:t>
      </w:r>
      <w:r w:rsidRPr="00704A4F">
        <w:rPr>
          <w:rFonts w:ascii="Proxima Nova" w:hAnsi="Proxima Nova" w:cstheme="minorHAnsi"/>
          <w:sz w:val="22"/>
          <w:szCs w:val="22"/>
        </w:rPr>
        <w:t xml:space="preserve">g </w:t>
      </w:r>
      <w:proofErr w:type="gramStart"/>
      <w:r w:rsidRPr="00704A4F">
        <w:rPr>
          <w:rFonts w:ascii="Proxima Nova" w:hAnsi="Proxima Nova" w:cstheme="minorHAnsi"/>
          <w:sz w:val="22"/>
          <w:szCs w:val="22"/>
        </w:rPr>
        <w:t>redress;</w:t>
      </w:r>
      <w:proofErr w:type="gramEnd"/>
    </w:p>
    <w:p w14:paraId="3730F0FE" w14:textId="77777777" w:rsidR="00BF6DE4" w:rsidRPr="00704A4F" w:rsidRDefault="00BF6DE4" w:rsidP="0013295C">
      <w:pPr>
        <w:pStyle w:val="ListParagraph"/>
        <w:numPr>
          <w:ilvl w:val="0"/>
          <w:numId w:val="35"/>
        </w:numPr>
        <w:spacing w:line="276" w:lineRule="auto"/>
        <w:ind w:left="1077" w:hanging="357"/>
        <w:rPr>
          <w:rFonts w:ascii="Proxima Nova" w:hAnsi="Proxima Nova" w:cstheme="minorHAnsi"/>
          <w:sz w:val="22"/>
          <w:szCs w:val="22"/>
        </w:rPr>
      </w:pPr>
      <w:r w:rsidRPr="00704A4F">
        <w:rPr>
          <w:rFonts w:ascii="Proxima Nova" w:hAnsi="Proxima Nova" w:cstheme="minorHAnsi"/>
          <w:sz w:val="22"/>
          <w:szCs w:val="22"/>
        </w:rPr>
        <w:t xml:space="preserve">impact of </w:t>
      </w:r>
      <w:r w:rsidRPr="00704A4F">
        <w:rPr>
          <w:rFonts w:ascii="Proxima Nova" w:eastAsia="Calibri" w:hAnsi="Proxima Nova" w:cstheme="minorHAnsi"/>
          <w:sz w:val="22"/>
          <w:szCs w:val="22"/>
        </w:rPr>
        <w:t>Australian Government</w:t>
      </w:r>
      <w:r w:rsidRPr="00704A4F">
        <w:rPr>
          <w:rFonts w:ascii="Proxima Nova" w:hAnsi="Proxima Nova" w:cstheme="minorHAnsi"/>
          <w:sz w:val="22"/>
          <w:szCs w:val="22"/>
        </w:rPr>
        <w:t xml:space="preserve"> and State and Territory Government funding on the capacity for legal and advocacy services to engage in fully independent and impartial individual and systemic advocacy in relation to restrictive practices; and</w:t>
      </w:r>
    </w:p>
    <w:p w14:paraId="6B9A0402" w14:textId="667D4006" w:rsidR="00BF6DE4" w:rsidRPr="00704A4F" w:rsidRDefault="00BF6DE4" w:rsidP="0013295C">
      <w:pPr>
        <w:pStyle w:val="ListParagraph"/>
        <w:numPr>
          <w:ilvl w:val="0"/>
          <w:numId w:val="35"/>
        </w:numPr>
        <w:spacing w:line="276" w:lineRule="auto"/>
        <w:ind w:left="1077" w:hanging="357"/>
        <w:rPr>
          <w:rFonts w:ascii="Proxima Nova" w:hAnsi="Proxima Nova" w:cstheme="minorHAnsi"/>
          <w:sz w:val="22"/>
          <w:szCs w:val="22"/>
        </w:rPr>
      </w:pPr>
      <w:r w:rsidRPr="00704A4F">
        <w:rPr>
          <w:rFonts w:ascii="Proxima Nova" w:hAnsi="Proxima Nova" w:cstheme="minorHAnsi"/>
          <w:sz w:val="22"/>
          <w:szCs w:val="22"/>
        </w:rPr>
        <w:t>accessibility of court and tribunal processes for removing substituted decision-making and compulsory treatment orders, challenging the legality of restr</w:t>
      </w:r>
      <w:r w:rsidR="0013295C" w:rsidRPr="00704A4F">
        <w:rPr>
          <w:rFonts w:ascii="Proxima Nova" w:hAnsi="Proxima Nova" w:cstheme="minorHAnsi"/>
          <w:sz w:val="22"/>
          <w:szCs w:val="22"/>
        </w:rPr>
        <w:t>i</w:t>
      </w:r>
      <w:r w:rsidRPr="00704A4F">
        <w:rPr>
          <w:rFonts w:ascii="Proxima Nova" w:hAnsi="Proxima Nova" w:cstheme="minorHAnsi"/>
          <w:sz w:val="22"/>
          <w:szCs w:val="22"/>
        </w:rPr>
        <w:t>ctive practices, holding substitute decision-makers accountable for harm associated with their decision-making (e.g. sexual assault, neglect and malnutrition in a group home that the individual is detained within due to a guardianship decision that they be detained there, failure to access medical and dental care where they have medical decision-making authority), and obtain</w:t>
      </w:r>
      <w:r w:rsidR="0013295C" w:rsidRPr="00704A4F">
        <w:rPr>
          <w:rFonts w:ascii="Proxima Nova" w:hAnsi="Proxima Nova" w:cstheme="minorHAnsi"/>
          <w:sz w:val="22"/>
          <w:szCs w:val="22"/>
        </w:rPr>
        <w:t>in</w:t>
      </w:r>
      <w:r w:rsidRPr="00704A4F">
        <w:rPr>
          <w:rFonts w:ascii="Proxima Nova" w:hAnsi="Proxima Nova" w:cstheme="minorHAnsi"/>
          <w:sz w:val="22"/>
          <w:szCs w:val="22"/>
        </w:rPr>
        <w:t>g redress.</w:t>
      </w:r>
    </w:p>
    <w:p w14:paraId="6E0E009E" w14:textId="2FB5C8B5" w:rsidR="000B2D33" w:rsidRPr="00704A4F" w:rsidRDefault="000B2D33" w:rsidP="000B2D33">
      <w:pPr>
        <w:spacing w:line="276" w:lineRule="auto"/>
        <w:rPr>
          <w:rFonts w:ascii="Proxima Nova" w:hAnsi="Proxima Nova" w:cstheme="minorHAnsi"/>
          <w:sz w:val="22"/>
          <w:szCs w:val="22"/>
        </w:rPr>
      </w:pPr>
    </w:p>
    <w:p w14:paraId="6BE1A603" w14:textId="6B37C0AE" w:rsidR="000B2D33" w:rsidRPr="00704A4F" w:rsidRDefault="000B2D33" w:rsidP="007707F4">
      <w:pPr>
        <w:pStyle w:val="ListParagraph"/>
        <w:numPr>
          <w:ilvl w:val="1"/>
          <w:numId w:val="32"/>
        </w:numPr>
        <w:spacing w:line="276" w:lineRule="auto"/>
        <w:ind w:left="720" w:hanging="720"/>
        <w:rPr>
          <w:rFonts w:ascii="Proxima Nova" w:hAnsi="Proxima Nova" w:cstheme="minorHAnsi"/>
          <w:sz w:val="22"/>
          <w:szCs w:val="22"/>
        </w:rPr>
      </w:pPr>
      <w:r w:rsidRPr="00704A4F">
        <w:rPr>
          <w:rFonts w:ascii="Proxima Nova" w:hAnsi="Proxima Nova" w:cstheme="minorHAnsi"/>
          <w:sz w:val="22"/>
          <w:szCs w:val="22"/>
        </w:rPr>
        <w:t>WWDA’s separate submission in relation to sexual and reproductive violence will provide further information about the nature, impacts and legal frameworks of sexual and reproductive-related restrictive practices on women and girls with disability. The remainder of this section focuses on conceptualising law’s role in the violence of restrictive practices.</w:t>
      </w:r>
    </w:p>
    <w:p w14:paraId="16EF7F5B" w14:textId="77777777" w:rsidR="001E1051" w:rsidRPr="00704A4F" w:rsidRDefault="001E1051" w:rsidP="001E1051">
      <w:pPr>
        <w:pStyle w:val="ListParagraph"/>
        <w:spacing w:line="276" w:lineRule="auto"/>
        <w:ind w:hanging="720"/>
        <w:rPr>
          <w:rFonts w:ascii="Proxima Nova" w:hAnsi="Proxima Nova" w:cstheme="minorHAnsi"/>
          <w:sz w:val="22"/>
          <w:szCs w:val="22"/>
          <w:lang w:val="en"/>
        </w:rPr>
      </w:pPr>
    </w:p>
    <w:p w14:paraId="7CF58931" w14:textId="26E7B3DA" w:rsidR="001E1051" w:rsidRPr="00336FB5" w:rsidRDefault="001E1051" w:rsidP="001E1051">
      <w:pPr>
        <w:spacing w:line="276" w:lineRule="auto"/>
        <w:rPr>
          <w:rFonts w:ascii="Proxima Nova" w:hAnsi="Proxima Nova" w:cstheme="minorHAnsi"/>
        </w:rPr>
      </w:pPr>
      <w:r w:rsidRPr="00336FB5">
        <w:rPr>
          <w:rFonts w:ascii="Proxima Nova" w:hAnsi="Proxima Nova"/>
          <w:b/>
          <w:color w:val="AC1F79"/>
        </w:rPr>
        <w:t>Legal Violence</w:t>
      </w:r>
    </w:p>
    <w:p w14:paraId="729D1369" w14:textId="77777777" w:rsidR="001E1051" w:rsidRPr="00704A4F" w:rsidRDefault="001E1051" w:rsidP="00704A4F">
      <w:pPr>
        <w:pStyle w:val="ListParagraph"/>
        <w:spacing w:line="276" w:lineRule="auto"/>
        <w:ind w:hanging="720"/>
        <w:rPr>
          <w:rFonts w:ascii="Proxima Nova" w:hAnsi="Proxima Nova" w:cstheme="minorHAnsi"/>
          <w:sz w:val="22"/>
          <w:szCs w:val="22"/>
          <w:lang w:val="en"/>
        </w:rPr>
      </w:pPr>
    </w:p>
    <w:p w14:paraId="022C970F" w14:textId="715B9896" w:rsidR="00F13363" w:rsidRPr="00704A4F" w:rsidRDefault="00F13363" w:rsidP="00704A4F">
      <w:pPr>
        <w:numPr>
          <w:ilvl w:val="1"/>
          <w:numId w:val="32"/>
        </w:numPr>
        <w:spacing w:line="276" w:lineRule="auto"/>
        <w:ind w:left="720" w:hanging="720"/>
        <w:rPr>
          <w:rFonts w:ascii="Proxima Nova" w:eastAsia="Calibri" w:hAnsi="Proxima Nova" w:cstheme="minorHAnsi"/>
          <w:sz w:val="22"/>
          <w:szCs w:val="22"/>
          <w:lang w:val="en-GB"/>
        </w:rPr>
      </w:pPr>
      <w:r w:rsidRPr="00704A4F">
        <w:rPr>
          <w:rFonts w:ascii="Proxima Nova" w:eastAsia="Calibri" w:hAnsi="Proxima Nova" w:cstheme="minorHAnsi"/>
          <w:sz w:val="22"/>
          <w:szCs w:val="22"/>
          <w:lang w:val="en-GB"/>
        </w:rPr>
        <w:t>Restrictive practices are a form of legal violence by reason of their legality.</w:t>
      </w:r>
    </w:p>
    <w:p w14:paraId="651A80BA" w14:textId="77777777" w:rsidR="00F13363" w:rsidRPr="00704A4F" w:rsidRDefault="00F13363" w:rsidP="00704A4F">
      <w:pPr>
        <w:spacing w:line="276" w:lineRule="auto"/>
        <w:ind w:left="720" w:hanging="720"/>
        <w:rPr>
          <w:rFonts w:ascii="Proxima Nova" w:eastAsia="Calibri" w:hAnsi="Proxima Nova" w:cstheme="minorHAnsi"/>
          <w:sz w:val="22"/>
          <w:szCs w:val="22"/>
          <w:lang w:val="en-GB"/>
        </w:rPr>
      </w:pPr>
    </w:p>
    <w:p w14:paraId="7EF3E48D" w14:textId="222AF58A" w:rsidR="009D2852" w:rsidRPr="00704A4F" w:rsidRDefault="009D2852" w:rsidP="00704A4F">
      <w:pPr>
        <w:numPr>
          <w:ilvl w:val="1"/>
          <w:numId w:val="32"/>
        </w:numPr>
        <w:spacing w:line="276" w:lineRule="auto"/>
        <w:ind w:left="720" w:hanging="720"/>
        <w:rPr>
          <w:rFonts w:ascii="Proxima Nova" w:eastAsia="Calibri" w:hAnsi="Proxima Nova" w:cstheme="minorHAnsi"/>
          <w:sz w:val="22"/>
          <w:szCs w:val="22"/>
          <w:lang w:val="en-GB"/>
        </w:rPr>
      </w:pPr>
      <w:r w:rsidRPr="00704A4F">
        <w:rPr>
          <w:rFonts w:ascii="Proxima Nova" w:eastAsia="Calibri" w:hAnsi="Proxima Nova" w:cstheme="minorHAnsi"/>
          <w:sz w:val="22"/>
          <w:szCs w:val="22"/>
          <w:lang w:val="en"/>
        </w:rPr>
        <w:t>As Steele has discussed elsewhere, ‘legal violence’ is the regulation or permitting (</w:t>
      </w:r>
      <w:r w:rsidRPr="00704A4F">
        <w:rPr>
          <w:rFonts w:ascii="Proxima Nova" w:eastAsia="Calibri" w:hAnsi="Proxima Nova" w:cstheme="minorHAnsi"/>
          <w:sz w:val="22"/>
          <w:szCs w:val="22"/>
          <w:lang w:val="en-GB"/>
        </w:rPr>
        <w:t>rather than total prohibition) by legal doctrine and legal decision-makers of interventions in individuals’ bodies and lives.</w:t>
      </w:r>
      <w:r w:rsidRPr="00704A4F">
        <w:rPr>
          <w:rStyle w:val="EndnoteReference"/>
          <w:rFonts w:ascii="Proxima Nova" w:eastAsia="Calibri" w:hAnsi="Proxima Nova" w:cstheme="minorHAnsi"/>
          <w:sz w:val="22"/>
          <w:szCs w:val="22"/>
          <w:lang w:val="en-GB"/>
        </w:rPr>
        <w:endnoteReference w:id="275"/>
      </w:r>
      <w:r w:rsidRPr="00704A4F">
        <w:rPr>
          <w:rFonts w:ascii="Proxima Nova" w:eastAsia="Calibri" w:hAnsi="Proxima Nova" w:cstheme="minorHAnsi"/>
          <w:sz w:val="22"/>
          <w:szCs w:val="22"/>
          <w:lang w:val="en-GB"/>
        </w:rPr>
        <w:t xml:space="preserve"> </w:t>
      </w:r>
      <w:r w:rsidRPr="00704A4F">
        <w:rPr>
          <w:rFonts w:ascii="Proxima Nova" w:eastAsia="Calibri" w:hAnsi="Proxima Nova" w:cstheme="minorHAnsi"/>
          <w:color w:val="000000"/>
          <w:sz w:val="22"/>
          <w:szCs w:val="22"/>
          <w:lang w:val="en-GB"/>
        </w:rPr>
        <w:t>The idea of legal violence has its basis in the notion that all law is inherently violent</w:t>
      </w:r>
      <w:r w:rsidRPr="00704A4F">
        <w:rPr>
          <w:rStyle w:val="EndnoteReference"/>
          <w:rFonts w:ascii="Proxima Nova" w:eastAsia="Calibri" w:hAnsi="Proxima Nova" w:cstheme="minorHAnsi"/>
          <w:color w:val="000000"/>
          <w:sz w:val="22"/>
          <w:szCs w:val="22"/>
          <w:lang w:val="en-GB"/>
        </w:rPr>
        <w:endnoteReference w:id="276"/>
      </w:r>
      <w:r w:rsidRPr="00704A4F">
        <w:rPr>
          <w:rFonts w:ascii="Proxima Nova" w:eastAsia="Calibri" w:hAnsi="Proxima Nova" w:cstheme="minorHAnsi"/>
          <w:color w:val="000085"/>
          <w:sz w:val="22"/>
          <w:szCs w:val="22"/>
          <w:lang w:val="en-GB"/>
        </w:rPr>
        <w:t xml:space="preserve"> </w:t>
      </w:r>
      <w:r w:rsidRPr="00704A4F">
        <w:rPr>
          <w:rFonts w:ascii="Proxima Nova" w:eastAsia="Calibri" w:hAnsi="Proxima Nova" w:cstheme="minorHAnsi"/>
          <w:color w:val="000000"/>
          <w:sz w:val="22"/>
          <w:szCs w:val="22"/>
          <w:lang w:val="en-GB"/>
        </w:rPr>
        <w:t>and that physical force is implicated in (rather than external to and in absolute opposition to) law. At the core of the concept of ‘legal violence’ is a relationship between the ‘word’ of law (that is, the legal interpretation and the resulting judgment and court order)</w:t>
      </w:r>
      <w:r w:rsidRPr="00704A4F">
        <w:rPr>
          <w:rFonts w:ascii="Proxima Nova" w:eastAsia="Calibri" w:hAnsi="Proxima Nova" w:cstheme="minorHAnsi"/>
          <w:color w:val="000085"/>
          <w:sz w:val="22"/>
          <w:szCs w:val="22"/>
          <w:lang w:val="en-GB"/>
        </w:rPr>
        <w:t xml:space="preserve"> </w:t>
      </w:r>
      <w:r w:rsidRPr="00704A4F">
        <w:rPr>
          <w:rFonts w:ascii="Proxima Nova" w:eastAsia="Calibri" w:hAnsi="Proxima Nova" w:cstheme="minorHAnsi"/>
          <w:color w:val="000000"/>
          <w:sz w:val="22"/>
          <w:szCs w:val="22"/>
          <w:lang w:val="en-GB"/>
        </w:rPr>
        <w:t>– and a ‘deed’ of violence itself (that is, the act of non-legal/judicial actors administering the order)</w:t>
      </w:r>
      <w:r w:rsidRPr="00704A4F">
        <w:rPr>
          <w:rFonts w:ascii="Proxima Nova" w:eastAsia="Calibri" w:hAnsi="Proxima Nova" w:cstheme="minorHAnsi"/>
          <w:sz w:val="22"/>
          <w:szCs w:val="22"/>
          <w:lang w:val="en-GB"/>
        </w:rPr>
        <w:t>.</w:t>
      </w:r>
      <w:r w:rsidRPr="00704A4F">
        <w:rPr>
          <w:rStyle w:val="EndnoteReference"/>
          <w:rFonts w:ascii="Proxima Nova" w:eastAsia="Calibri" w:hAnsi="Proxima Nova" w:cstheme="minorHAnsi"/>
          <w:sz w:val="22"/>
          <w:szCs w:val="22"/>
          <w:lang w:val="en-GB"/>
        </w:rPr>
        <w:endnoteReference w:id="277"/>
      </w:r>
      <w:r w:rsidRPr="00704A4F">
        <w:rPr>
          <w:rFonts w:ascii="Proxima Nova" w:eastAsia="Calibri" w:hAnsi="Proxima Nova" w:cstheme="minorHAnsi"/>
          <w:sz w:val="22"/>
          <w:szCs w:val="22"/>
          <w:lang w:val="en-GB"/>
        </w:rPr>
        <w:t xml:space="preserve"> An example offered by US legal scholar Robert Cover is criminal punishment. Criminal punishment in the form of incarceration and loss of liberty can be analysed as legal violence because the punishment meted out by prison officers is done pursuant to the terms of the words of the judge’s sentence, and it is because the act of punishment is constrained by the words of this legal order that it is a legitimate use of violence in being fair, humane, just and non-arbitrary.</w:t>
      </w:r>
      <w:r w:rsidRPr="00704A4F">
        <w:rPr>
          <w:rStyle w:val="EndnoteReference"/>
          <w:rFonts w:ascii="Proxima Nova" w:eastAsia="Calibri" w:hAnsi="Proxima Nova" w:cstheme="minorHAnsi"/>
          <w:sz w:val="22"/>
          <w:szCs w:val="22"/>
          <w:lang w:val="en-GB"/>
        </w:rPr>
        <w:endnoteReference w:id="278"/>
      </w:r>
    </w:p>
    <w:p w14:paraId="6D93E90F" w14:textId="77777777" w:rsidR="009D2852" w:rsidRPr="00704A4F" w:rsidRDefault="009D2852" w:rsidP="00704A4F">
      <w:pPr>
        <w:spacing w:line="276" w:lineRule="auto"/>
        <w:ind w:left="720" w:hanging="720"/>
        <w:rPr>
          <w:rFonts w:ascii="Proxima Nova" w:eastAsia="Calibri" w:hAnsi="Proxima Nova" w:cstheme="minorHAnsi"/>
          <w:sz w:val="22"/>
          <w:szCs w:val="22"/>
          <w:lang w:val="en-GB"/>
        </w:rPr>
      </w:pPr>
    </w:p>
    <w:p w14:paraId="5DB68577" w14:textId="3AC13A66" w:rsidR="00621359" w:rsidRPr="00704A4F" w:rsidRDefault="00621359" w:rsidP="00704A4F">
      <w:pPr>
        <w:pStyle w:val="ListParagraph"/>
        <w:numPr>
          <w:ilvl w:val="1"/>
          <w:numId w:val="32"/>
        </w:numPr>
        <w:spacing w:line="276" w:lineRule="auto"/>
        <w:ind w:left="720" w:hanging="720"/>
        <w:contextualSpacing w:val="0"/>
        <w:rPr>
          <w:rFonts w:ascii="Proxima Nova" w:hAnsi="Proxima Nova" w:cstheme="minorHAnsi"/>
          <w:sz w:val="22"/>
          <w:szCs w:val="22"/>
        </w:rPr>
      </w:pPr>
      <w:r w:rsidRPr="00704A4F">
        <w:rPr>
          <w:rFonts w:ascii="Proxima Nova" w:hAnsi="Proxima Nova"/>
          <w:sz w:val="22"/>
          <w:szCs w:val="22"/>
        </w:rPr>
        <w:t>T</w:t>
      </w:r>
      <w:r w:rsidR="009D2852" w:rsidRPr="00704A4F">
        <w:rPr>
          <w:rFonts w:ascii="Proxima Nova" w:hAnsi="Proxima Nova"/>
          <w:sz w:val="22"/>
          <w:szCs w:val="22"/>
        </w:rPr>
        <w:t>he</w:t>
      </w:r>
      <w:r w:rsidRPr="00704A4F">
        <w:rPr>
          <w:rFonts w:ascii="Proxima Nova" w:hAnsi="Proxima Nova"/>
          <w:sz w:val="22"/>
          <w:szCs w:val="22"/>
        </w:rPr>
        <w:t xml:space="preserve"> 3 categories of </w:t>
      </w:r>
      <w:r w:rsidR="00F13363" w:rsidRPr="00704A4F">
        <w:rPr>
          <w:rFonts w:ascii="Proxima Nova" w:hAnsi="Proxima Nova"/>
          <w:sz w:val="22"/>
          <w:szCs w:val="22"/>
        </w:rPr>
        <w:t xml:space="preserve">restrictive practice </w:t>
      </w:r>
      <w:r w:rsidRPr="00704A4F">
        <w:rPr>
          <w:rFonts w:ascii="Proxima Nova" w:hAnsi="Proxima Nova"/>
          <w:sz w:val="22"/>
          <w:szCs w:val="22"/>
        </w:rPr>
        <w:t>laws</w:t>
      </w:r>
      <w:r w:rsidR="009D2852" w:rsidRPr="00704A4F">
        <w:rPr>
          <w:rFonts w:ascii="Proxima Nova" w:hAnsi="Proxima Nova"/>
          <w:sz w:val="22"/>
          <w:szCs w:val="22"/>
        </w:rPr>
        <w:t xml:space="preserve"> mentioned above</w:t>
      </w:r>
      <w:r w:rsidRPr="00704A4F">
        <w:rPr>
          <w:rFonts w:ascii="Proxima Nova" w:hAnsi="Proxima Nova"/>
          <w:sz w:val="22"/>
          <w:szCs w:val="22"/>
        </w:rPr>
        <w:t xml:space="preserve"> </w:t>
      </w:r>
      <w:r w:rsidR="009D2852" w:rsidRPr="00704A4F">
        <w:rPr>
          <w:rFonts w:ascii="Proxima Nova" w:hAnsi="Proxima Nova"/>
          <w:sz w:val="22"/>
          <w:szCs w:val="22"/>
        </w:rPr>
        <w:t>give rise to</w:t>
      </w:r>
      <w:r w:rsidRPr="00704A4F">
        <w:rPr>
          <w:rFonts w:ascii="Proxima Nova" w:hAnsi="Proxima Nova"/>
          <w:sz w:val="22"/>
          <w:szCs w:val="22"/>
        </w:rPr>
        <w:t xml:space="preserve"> </w:t>
      </w:r>
      <w:r w:rsidR="009D2852" w:rsidRPr="00704A4F">
        <w:rPr>
          <w:rFonts w:ascii="Proxima Nova" w:hAnsi="Proxima Nova"/>
          <w:sz w:val="22"/>
          <w:szCs w:val="22"/>
        </w:rPr>
        <w:t>legal</w:t>
      </w:r>
      <w:r w:rsidRPr="00704A4F">
        <w:rPr>
          <w:rFonts w:ascii="Proxima Nova" w:hAnsi="Proxima Nova"/>
          <w:sz w:val="22"/>
          <w:szCs w:val="22"/>
        </w:rPr>
        <w:t xml:space="preserve"> violenc</w:t>
      </w:r>
      <w:r w:rsidR="009D2852" w:rsidRPr="00704A4F">
        <w:rPr>
          <w:rFonts w:ascii="Proxima Nova" w:hAnsi="Proxima Nova"/>
          <w:sz w:val="22"/>
          <w:szCs w:val="22"/>
        </w:rPr>
        <w:t>e</w:t>
      </w:r>
      <w:r w:rsidR="000621DC" w:rsidRPr="00704A4F">
        <w:rPr>
          <w:rFonts w:ascii="Proxima Nova" w:hAnsi="Proxima Nova"/>
          <w:sz w:val="22"/>
          <w:szCs w:val="22"/>
        </w:rPr>
        <w:t xml:space="preserve"> in two </w:t>
      </w:r>
      <w:proofErr w:type="gramStart"/>
      <w:r w:rsidR="000621DC" w:rsidRPr="00704A4F">
        <w:rPr>
          <w:rFonts w:ascii="Proxima Nova" w:hAnsi="Proxima Nova"/>
          <w:sz w:val="22"/>
          <w:szCs w:val="22"/>
        </w:rPr>
        <w:t>key ways</w:t>
      </w:r>
      <w:proofErr w:type="gramEnd"/>
      <w:r w:rsidR="001741A2" w:rsidRPr="00704A4F">
        <w:rPr>
          <w:rFonts w:ascii="Proxima Nova" w:hAnsi="Proxima Nova"/>
          <w:sz w:val="22"/>
          <w:szCs w:val="22"/>
        </w:rPr>
        <w:t>.</w:t>
      </w:r>
    </w:p>
    <w:p w14:paraId="3E2B0491" w14:textId="77777777" w:rsidR="00621359" w:rsidRPr="00704A4F" w:rsidRDefault="00621359" w:rsidP="00704A4F">
      <w:pPr>
        <w:spacing w:line="276" w:lineRule="auto"/>
        <w:ind w:left="720" w:hanging="720"/>
        <w:rPr>
          <w:rFonts w:ascii="Proxima Nova" w:hAnsi="Proxima Nova" w:cstheme="minorHAnsi"/>
          <w:sz w:val="22"/>
          <w:szCs w:val="22"/>
        </w:rPr>
      </w:pPr>
    </w:p>
    <w:p w14:paraId="135AFC74" w14:textId="483A7EE9" w:rsidR="00621359" w:rsidRPr="00704A4F" w:rsidRDefault="00621359" w:rsidP="00704A4F">
      <w:pPr>
        <w:pStyle w:val="ListParagraph"/>
        <w:numPr>
          <w:ilvl w:val="1"/>
          <w:numId w:val="32"/>
        </w:numPr>
        <w:spacing w:line="276" w:lineRule="auto"/>
        <w:ind w:left="720" w:hanging="720"/>
        <w:contextualSpacing w:val="0"/>
        <w:rPr>
          <w:rFonts w:ascii="Proxima Nova" w:hAnsi="Proxima Nova" w:cstheme="minorHAnsi"/>
          <w:sz w:val="22"/>
          <w:szCs w:val="22"/>
        </w:rPr>
      </w:pPr>
      <w:r w:rsidRPr="00704A4F">
        <w:rPr>
          <w:rFonts w:ascii="Proxima Nova" w:hAnsi="Proxima Nova" w:cstheme="minorHAnsi"/>
          <w:sz w:val="22"/>
          <w:szCs w:val="22"/>
          <w:lang w:val="en"/>
        </w:rPr>
        <w:t xml:space="preserve">First, restrictive practices are non-consensual in the sense that an individual with disability is subjected to these interventions irrespective of their consent. Ordinarily, this would amount to criminal or civil assault or false imprisonment – which turn on the absence of consent – and a victim-survivor would be entitled to seek assistance of the criminal justice system and civil remedies for compensation and other forms of redress. However, in the context of restrictive practices criminal offences or civil causes of action will not be made out where a third party is empowered to consent to the restrictive practices or use restrictive practices, or where restrictive practices are used in a context of imminent danger. Even where the restrictive practices are not lawful (e.g., there is no </w:t>
      </w:r>
      <w:proofErr w:type="gramStart"/>
      <w:r w:rsidRPr="00704A4F">
        <w:rPr>
          <w:rFonts w:ascii="Proxima Nova" w:hAnsi="Proxima Nova" w:cstheme="minorHAnsi"/>
          <w:sz w:val="22"/>
          <w:szCs w:val="22"/>
          <w:lang w:val="en"/>
        </w:rPr>
        <w:t>emergency situation</w:t>
      </w:r>
      <w:proofErr w:type="gramEnd"/>
      <w:r w:rsidRPr="00704A4F">
        <w:rPr>
          <w:rFonts w:ascii="Proxima Nova" w:hAnsi="Proxima Nova" w:cstheme="minorHAnsi"/>
          <w:sz w:val="22"/>
          <w:szCs w:val="22"/>
          <w:lang w:val="en"/>
        </w:rPr>
        <w:t xml:space="preserve"> or there is no substituted </w:t>
      </w:r>
      <w:r w:rsidR="00335AD1" w:rsidRPr="00704A4F">
        <w:rPr>
          <w:rFonts w:ascii="Proxima Nova" w:hAnsi="Proxima Nova" w:cstheme="minorHAnsi"/>
          <w:sz w:val="22"/>
          <w:szCs w:val="22"/>
          <w:lang w:val="en"/>
        </w:rPr>
        <w:t>decision-making</w:t>
      </w:r>
      <w:r w:rsidRPr="00704A4F">
        <w:rPr>
          <w:rFonts w:ascii="Proxima Nova" w:hAnsi="Proxima Nova" w:cstheme="minorHAnsi"/>
          <w:sz w:val="22"/>
          <w:szCs w:val="22"/>
          <w:lang w:val="en"/>
        </w:rPr>
        <w:t xml:space="preserve"> order in place) such that accountability and redress is technically possible, </w:t>
      </w:r>
      <w:r w:rsidR="006E5803" w:rsidRPr="00704A4F">
        <w:rPr>
          <w:rFonts w:ascii="Proxima Nova" w:hAnsi="Proxima Nova" w:cstheme="minorHAnsi"/>
          <w:sz w:val="22"/>
          <w:szCs w:val="22"/>
          <w:lang w:val="en"/>
        </w:rPr>
        <w:t>there might be</w:t>
      </w:r>
      <w:r w:rsidRPr="00704A4F">
        <w:rPr>
          <w:rFonts w:ascii="Proxima Nova" w:hAnsi="Proxima Nova" w:cstheme="minorHAnsi"/>
          <w:sz w:val="22"/>
          <w:szCs w:val="22"/>
          <w:lang w:val="en"/>
        </w:rPr>
        <w:t xml:space="preserve"> structural barriers to access</w:t>
      </w:r>
      <w:r w:rsidR="006E5803" w:rsidRPr="00704A4F">
        <w:rPr>
          <w:rFonts w:ascii="Proxima Nova" w:hAnsi="Proxima Nova" w:cstheme="minorHAnsi"/>
          <w:sz w:val="22"/>
          <w:szCs w:val="22"/>
          <w:lang w:val="en"/>
        </w:rPr>
        <w:t>ing</w:t>
      </w:r>
      <w:r w:rsidRPr="00704A4F">
        <w:rPr>
          <w:rFonts w:ascii="Proxima Nova" w:hAnsi="Proxima Nova" w:cstheme="minorHAnsi"/>
          <w:sz w:val="22"/>
          <w:szCs w:val="22"/>
          <w:lang w:val="en"/>
        </w:rPr>
        <w:t xml:space="preserve"> justice systems</w:t>
      </w:r>
      <w:r w:rsidR="006E5803" w:rsidRPr="00704A4F">
        <w:rPr>
          <w:rFonts w:ascii="Proxima Nova" w:hAnsi="Proxima Nova" w:cstheme="minorHAnsi"/>
          <w:sz w:val="22"/>
          <w:szCs w:val="22"/>
          <w:lang w:val="en"/>
        </w:rPr>
        <w:t xml:space="preserve"> which prevent individuals achieving accountability and redress</w:t>
      </w:r>
      <w:r w:rsidRPr="00704A4F">
        <w:rPr>
          <w:rFonts w:ascii="Proxima Nova" w:hAnsi="Proxima Nova" w:cstheme="minorHAnsi"/>
          <w:sz w:val="22"/>
          <w:szCs w:val="22"/>
          <w:lang w:val="en"/>
        </w:rPr>
        <w:t xml:space="preserve">. </w:t>
      </w:r>
    </w:p>
    <w:p w14:paraId="2493B673" w14:textId="77777777" w:rsidR="00621359" w:rsidRPr="00704A4F" w:rsidRDefault="00621359" w:rsidP="00704A4F">
      <w:pPr>
        <w:pStyle w:val="ListParagraph"/>
        <w:spacing w:line="276" w:lineRule="auto"/>
        <w:ind w:hanging="720"/>
        <w:rPr>
          <w:rFonts w:ascii="Proxima Nova" w:hAnsi="Proxima Nova" w:cstheme="minorHAnsi"/>
          <w:sz w:val="22"/>
          <w:szCs w:val="22"/>
        </w:rPr>
      </w:pPr>
    </w:p>
    <w:p w14:paraId="327C747E" w14:textId="7950CB0B" w:rsidR="007C1F56" w:rsidRPr="00704A4F" w:rsidRDefault="00621359" w:rsidP="00704A4F">
      <w:pPr>
        <w:pStyle w:val="ListParagraph"/>
        <w:numPr>
          <w:ilvl w:val="1"/>
          <w:numId w:val="32"/>
        </w:numPr>
        <w:spacing w:line="276" w:lineRule="auto"/>
        <w:ind w:left="720" w:hanging="720"/>
        <w:rPr>
          <w:rFonts w:ascii="Proxima Nova" w:hAnsi="Proxima Nova"/>
          <w:sz w:val="22"/>
          <w:szCs w:val="22"/>
        </w:rPr>
      </w:pPr>
      <w:r w:rsidRPr="00704A4F">
        <w:rPr>
          <w:rFonts w:ascii="Proxima Nova" w:hAnsi="Proxima Nova" w:cstheme="minorHAnsi"/>
          <w:sz w:val="22"/>
          <w:szCs w:val="22"/>
        </w:rPr>
        <w:t>Second, use of restrictive practices in specific service sectors is enabled within particular settings (</w:t>
      </w:r>
      <w:proofErr w:type="gramStart"/>
      <w:r w:rsidRPr="00704A4F">
        <w:rPr>
          <w:rFonts w:ascii="Proxima Nova" w:hAnsi="Proxima Nova" w:cstheme="minorHAnsi"/>
          <w:sz w:val="22"/>
          <w:szCs w:val="22"/>
        </w:rPr>
        <w:t>e.g.</w:t>
      </w:r>
      <w:proofErr w:type="gramEnd"/>
      <w:r w:rsidRPr="00704A4F">
        <w:rPr>
          <w:rFonts w:ascii="Proxima Nova" w:hAnsi="Proxima Nova" w:cstheme="minorHAnsi"/>
          <w:sz w:val="22"/>
          <w:szCs w:val="22"/>
        </w:rPr>
        <w:t xml:space="preserve"> disability group homes, </w:t>
      </w:r>
      <w:r w:rsidR="00427738" w:rsidRPr="00704A4F">
        <w:rPr>
          <w:rFonts w:ascii="Proxima Nova" w:hAnsi="Proxima Nova" w:cstheme="minorHAnsi"/>
          <w:sz w:val="22"/>
          <w:szCs w:val="22"/>
        </w:rPr>
        <w:t>RACFs</w:t>
      </w:r>
      <w:r w:rsidRPr="00704A4F">
        <w:rPr>
          <w:rFonts w:ascii="Proxima Nova" w:hAnsi="Proxima Nova" w:cstheme="minorHAnsi"/>
          <w:sz w:val="22"/>
          <w:szCs w:val="22"/>
        </w:rPr>
        <w:t xml:space="preserve">). Governments have the power to specify the kinds of conduct allowed and prohibited in these settings as a condition of funding or accreditation, even if this conduct is otherwise lawful in the community. Therefore, governments could legislate to prohibit restrictive practices specifically in disability and aged care settings. Instead, disability service and aged care laws on funding and accreditation explicitly permit restrictive practices where these have been authorised pursuant </w:t>
      </w:r>
      <w:r w:rsidR="00335AD1" w:rsidRPr="00704A4F">
        <w:rPr>
          <w:rFonts w:ascii="Proxima Nova" w:hAnsi="Proxima Nova" w:cstheme="minorHAnsi"/>
          <w:sz w:val="22"/>
          <w:szCs w:val="22"/>
        </w:rPr>
        <w:t>to substitute</w:t>
      </w:r>
      <w:r w:rsidRPr="00704A4F">
        <w:rPr>
          <w:rFonts w:ascii="Proxima Nova" w:hAnsi="Proxima Nova" w:cstheme="minorHAnsi"/>
          <w:sz w:val="22"/>
          <w:szCs w:val="22"/>
        </w:rPr>
        <w:t xml:space="preserve"> decision-making laws. </w:t>
      </w:r>
      <w:r w:rsidR="000F1C20" w:rsidRPr="00704A4F">
        <w:rPr>
          <w:rFonts w:ascii="Proxima Nova" w:hAnsi="Proxima Nova"/>
          <w:sz w:val="22"/>
          <w:szCs w:val="22"/>
        </w:rPr>
        <w:t xml:space="preserve">The NDIS regulatory framework creates two categories of restrictive practices: authorised restrictive practices; and unauthorised restrictive practices. While this might seem positive because restrictive practices need to be authorised, unauthorised restrictive practices are in effect a second (de facto) category of permitted restrictive practices by reason of: </w:t>
      </w:r>
    </w:p>
    <w:p w14:paraId="6B8DD21F" w14:textId="77777777" w:rsidR="007C1F56" w:rsidRPr="00704A4F" w:rsidRDefault="007C1F56" w:rsidP="00704A4F">
      <w:pPr>
        <w:pStyle w:val="ListParagraph"/>
        <w:spacing w:line="276" w:lineRule="auto"/>
        <w:rPr>
          <w:rFonts w:ascii="Proxima Nova" w:hAnsi="Proxima Nova"/>
          <w:sz w:val="22"/>
          <w:szCs w:val="22"/>
        </w:rPr>
      </w:pPr>
    </w:p>
    <w:p w14:paraId="31DBE7F1" w14:textId="0EC4FAB5" w:rsidR="007C1F56" w:rsidRPr="00704A4F" w:rsidRDefault="000F1C20" w:rsidP="00704A4F">
      <w:pPr>
        <w:pStyle w:val="ListParagraph"/>
        <w:spacing w:line="276" w:lineRule="auto"/>
        <w:rPr>
          <w:rFonts w:ascii="Proxima Nova" w:hAnsi="Proxima Nova"/>
          <w:sz w:val="22"/>
          <w:szCs w:val="22"/>
        </w:rPr>
      </w:pPr>
      <w:r w:rsidRPr="00704A4F">
        <w:rPr>
          <w:rFonts w:ascii="Proxima Nova" w:hAnsi="Proxima Nova"/>
          <w:sz w:val="22"/>
          <w:szCs w:val="22"/>
        </w:rPr>
        <w:t>(a)</w:t>
      </w:r>
      <w:r w:rsidR="007C1F56" w:rsidRPr="00704A4F">
        <w:rPr>
          <w:rFonts w:ascii="Proxima Nova" w:hAnsi="Proxima Nova"/>
          <w:sz w:val="22"/>
          <w:szCs w:val="22"/>
        </w:rPr>
        <w:tab/>
      </w:r>
      <w:r w:rsidRPr="00704A4F">
        <w:rPr>
          <w:rFonts w:ascii="Proxima Nova" w:hAnsi="Proxima Nova"/>
          <w:sz w:val="22"/>
          <w:szCs w:val="22"/>
        </w:rPr>
        <w:t xml:space="preserve">the sheer number of unauthorised restrictive </w:t>
      </w:r>
      <w:proofErr w:type="gramStart"/>
      <w:r w:rsidRPr="00704A4F">
        <w:rPr>
          <w:rFonts w:ascii="Proxima Nova" w:hAnsi="Proxima Nova"/>
          <w:sz w:val="22"/>
          <w:szCs w:val="22"/>
        </w:rPr>
        <w:t>practices;</w:t>
      </w:r>
      <w:proofErr w:type="gramEnd"/>
      <w:r w:rsidRPr="00704A4F">
        <w:rPr>
          <w:rFonts w:ascii="Proxima Nova" w:hAnsi="Proxima Nova"/>
          <w:sz w:val="22"/>
          <w:szCs w:val="22"/>
        </w:rPr>
        <w:t xml:space="preserve"> </w:t>
      </w:r>
    </w:p>
    <w:p w14:paraId="153C509C" w14:textId="35D2B0FF" w:rsidR="007C1F56" w:rsidRPr="00704A4F" w:rsidRDefault="000F1C20" w:rsidP="00704A4F">
      <w:pPr>
        <w:pStyle w:val="ListParagraph"/>
        <w:spacing w:line="276" w:lineRule="auto"/>
        <w:rPr>
          <w:rFonts w:ascii="Proxima Nova" w:hAnsi="Proxima Nova"/>
          <w:sz w:val="22"/>
          <w:szCs w:val="22"/>
        </w:rPr>
      </w:pPr>
      <w:r w:rsidRPr="00704A4F">
        <w:rPr>
          <w:rFonts w:ascii="Proxima Nova" w:hAnsi="Proxima Nova"/>
          <w:sz w:val="22"/>
          <w:szCs w:val="22"/>
        </w:rPr>
        <w:t>(b)</w:t>
      </w:r>
      <w:r w:rsidR="007C1F56" w:rsidRPr="00704A4F">
        <w:rPr>
          <w:rFonts w:ascii="Proxima Nova" w:hAnsi="Proxima Nova"/>
          <w:sz w:val="22"/>
          <w:szCs w:val="22"/>
        </w:rPr>
        <w:tab/>
      </w:r>
      <w:r w:rsidRPr="00704A4F">
        <w:rPr>
          <w:rFonts w:ascii="Proxima Nova" w:hAnsi="Proxima Nova"/>
          <w:sz w:val="22"/>
          <w:szCs w:val="22"/>
        </w:rPr>
        <w:t xml:space="preserve">the lack of actions taken in relation to unauthorised restrictive practices; and </w:t>
      </w:r>
    </w:p>
    <w:p w14:paraId="39B267E3" w14:textId="6EDCE5CC" w:rsidR="007C1F56" w:rsidRPr="00704A4F" w:rsidRDefault="000F1C20" w:rsidP="00704A4F">
      <w:pPr>
        <w:pStyle w:val="ListParagraph"/>
        <w:spacing w:line="276" w:lineRule="auto"/>
        <w:ind w:left="1440" w:hanging="720"/>
        <w:rPr>
          <w:rFonts w:ascii="Proxima Nova" w:hAnsi="Proxima Nova"/>
          <w:sz w:val="22"/>
          <w:szCs w:val="22"/>
        </w:rPr>
      </w:pPr>
      <w:r w:rsidRPr="00704A4F">
        <w:rPr>
          <w:rFonts w:ascii="Proxima Nova" w:hAnsi="Proxima Nova"/>
          <w:sz w:val="22"/>
          <w:szCs w:val="22"/>
        </w:rPr>
        <w:t>(c)</w:t>
      </w:r>
      <w:r w:rsidR="007C1F56" w:rsidRPr="00704A4F">
        <w:rPr>
          <w:rFonts w:ascii="Proxima Nova" w:hAnsi="Proxima Nova"/>
          <w:sz w:val="22"/>
          <w:szCs w:val="22"/>
        </w:rPr>
        <w:tab/>
      </w:r>
      <w:r w:rsidRPr="00704A4F">
        <w:rPr>
          <w:rFonts w:ascii="Proxima Nova" w:hAnsi="Proxima Nova"/>
          <w:sz w:val="22"/>
          <w:szCs w:val="22"/>
        </w:rPr>
        <w:t xml:space="preserve">actions (if they do occur) are largely pedagogical/developmental, rarely impact on funding/accreditation of services and do not provide redress to victims. </w:t>
      </w:r>
    </w:p>
    <w:p w14:paraId="4911EAF6" w14:textId="77777777" w:rsidR="007C1F56" w:rsidRPr="00704A4F" w:rsidRDefault="007C1F56" w:rsidP="00704A4F">
      <w:pPr>
        <w:pStyle w:val="ListParagraph"/>
        <w:spacing w:line="276" w:lineRule="auto"/>
        <w:rPr>
          <w:rFonts w:ascii="Proxima Nova" w:hAnsi="Proxima Nova"/>
          <w:sz w:val="22"/>
          <w:szCs w:val="22"/>
        </w:rPr>
      </w:pPr>
    </w:p>
    <w:p w14:paraId="0A1BE5FA" w14:textId="230F6182" w:rsidR="000F1C20" w:rsidRPr="00704A4F" w:rsidRDefault="000F1C20" w:rsidP="00704A4F">
      <w:pPr>
        <w:pStyle w:val="ListParagraph"/>
        <w:spacing w:line="276" w:lineRule="auto"/>
        <w:rPr>
          <w:rFonts w:ascii="Proxima Nova" w:hAnsi="Proxima Nova"/>
          <w:sz w:val="22"/>
          <w:szCs w:val="22"/>
        </w:rPr>
      </w:pPr>
      <w:r w:rsidRPr="00704A4F">
        <w:rPr>
          <w:rFonts w:ascii="Proxima Nova" w:hAnsi="Proxima Nova"/>
          <w:sz w:val="22"/>
          <w:szCs w:val="22"/>
        </w:rPr>
        <w:t xml:space="preserve">The RACF framework has a similar problem because legislative reforms directed to addressing the systemic use of restrictive practices (notably chemical and physical restraint) have not prohibited restrictive practices. Instead, they have introduced greater regulation of restrictive practices which simply gives greater legitimacy to this violence. At the same time, the use of restrictive practices is so pervasive in aged care that it is unclear if regulation is even limiting these practices, let alone providing access to redress </w:t>
      </w:r>
      <w:r w:rsidR="006E5803" w:rsidRPr="00704A4F">
        <w:rPr>
          <w:rFonts w:ascii="Proxima Nova" w:hAnsi="Proxima Nova"/>
          <w:sz w:val="22"/>
          <w:szCs w:val="22"/>
        </w:rPr>
        <w:t>for</w:t>
      </w:r>
      <w:r w:rsidRPr="00704A4F">
        <w:rPr>
          <w:rFonts w:ascii="Proxima Nova" w:hAnsi="Proxima Nova"/>
          <w:sz w:val="22"/>
          <w:szCs w:val="22"/>
        </w:rPr>
        <w:t xml:space="preserve"> victims. </w:t>
      </w:r>
    </w:p>
    <w:p w14:paraId="5A21EF94" w14:textId="77777777" w:rsidR="000F1C20" w:rsidRPr="00704A4F" w:rsidRDefault="000F1C20" w:rsidP="00704A4F">
      <w:pPr>
        <w:pStyle w:val="ListParagraph"/>
        <w:spacing w:line="276" w:lineRule="auto"/>
        <w:ind w:hanging="720"/>
        <w:rPr>
          <w:rFonts w:ascii="Proxima Nova" w:hAnsi="Proxima Nova" w:cstheme="minorHAnsi"/>
          <w:sz w:val="22"/>
          <w:szCs w:val="22"/>
        </w:rPr>
      </w:pPr>
    </w:p>
    <w:p w14:paraId="51CB181E" w14:textId="77AE8E4C" w:rsidR="00621359" w:rsidRPr="00704A4F" w:rsidRDefault="00621359" w:rsidP="00704A4F">
      <w:pPr>
        <w:pStyle w:val="ListParagraph"/>
        <w:numPr>
          <w:ilvl w:val="1"/>
          <w:numId w:val="32"/>
        </w:numPr>
        <w:spacing w:line="276" w:lineRule="auto"/>
        <w:ind w:left="720" w:hanging="720"/>
        <w:contextualSpacing w:val="0"/>
        <w:rPr>
          <w:rFonts w:ascii="Proxima Nova" w:hAnsi="Proxima Nova" w:cstheme="minorHAnsi"/>
          <w:sz w:val="22"/>
          <w:szCs w:val="22"/>
        </w:rPr>
      </w:pPr>
      <w:r w:rsidRPr="00704A4F">
        <w:rPr>
          <w:rFonts w:ascii="Proxima Nova" w:hAnsi="Proxima Nova" w:cstheme="minorHAnsi"/>
          <w:sz w:val="22"/>
          <w:szCs w:val="22"/>
        </w:rPr>
        <w:t xml:space="preserve">Moreover, </w:t>
      </w:r>
      <w:r w:rsidR="00FB2E26" w:rsidRPr="00704A4F">
        <w:rPr>
          <w:rFonts w:ascii="Proxima Nova" w:hAnsi="Proxima Nova" w:cstheme="minorHAnsi"/>
          <w:sz w:val="22"/>
          <w:szCs w:val="22"/>
        </w:rPr>
        <w:t>even</w:t>
      </w:r>
      <w:r w:rsidR="00FB2E26" w:rsidRPr="00704A4F">
        <w:rPr>
          <w:rFonts w:ascii="Proxima Nova" w:hAnsi="Proxima Nova" w:cstheme="minorHAnsi"/>
          <w:sz w:val="22"/>
          <w:szCs w:val="22"/>
          <w:lang w:val="en"/>
        </w:rPr>
        <w:t xml:space="preserve"> </w:t>
      </w:r>
      <w:r w:rsidRPr="00704A4F">
        <w:rPr>
          <w:rFonts w:ascii="Proxima Nova" w:hAnsi="Proxima Nova" w:cstheme="minorHAnsi"/>
          <w:sz w:val="22"/>
          <w:szCs w:val="22"/>
          <w:lang w:val="en"/>
        </w:rPr>
        <w:t xml:space="preserve">where restrictive practices are not lawful (e.g., there is no substituted decision making order in place or there is no emergency situation to otherwise excuse the intervention pursuant to the doctrine of necessity), there might not be any legal ramifications for the service providers because of </w:t>
      </w:r>
      <w:r w:rsidRPr="00704A4F">
        <w:rPr>
          <w:rFonts w:ascii="Proxima Nova" w:hAnsi="Proxima Nova" w:cstheme="minorHAnsi"/>
          <w:sz w:val="22"/>
          <w:szCs w:val="22"/>
        </w:rPr>
        <w:t xml:space="preserve">access to justice barriers mentioned above which prevent complaints being made, inactive regulatory bodies and systemic cultures of using </w:t>
      </w:r>
      <w:r w:rsidRPr="00704A4F">
        <w:rPr>
          <w:rFonts w:ascii="Proxima Nova" w:hAnsi="Proxima Nova" w:cstheme="minorHAnsi"/>
          <w:sz w:val="22"/>
          <w:szCs w:val="22"/>
          <w:lang w:val="en"/>
        </w:rPr>
        <w:t>restrictive practices in everyday (profitable/efficient) service provision. Moreover, the</w:t>
      </w:r>
      <w:r w:rsidR="00BF05D8" w:rsidRPr="00704A4F">
        <w:rPr>
          <w:rFonts w:ascii="Proxima Nova" w:hAnsi="Proxima Nova" w:cstheme="minorHAnsi"/>
          <w:sz w:val="22"/>
          <w:szCs w:val="22"/>
          <w:lang w:val="en"/>
        </w:rPr>
        <w:t xml:space="preserve"> NDIS and RACF</w:t>
      </w:r>
      <w:r w:rsidRPr="00704A4F">
        <w:rPr>
          <w:rFonts w:ascii="Proxima Nova" w:hAnsi="Proxima Nova" w:cstheme="minorHAnsi"/>
          <w:sz w:val="22"/>
          <w:szCs w:val="22"/>
          <w:lang w:val="en"/>
        </w:rPr>
        <w:t xml:space="preserve"> regulatory frameworks are focused on penalising service providers </w:t>
      </w:r>
      <w:r w:rsidR="00BF05D8" w:rsidRPr="00704A4F">
        <w:rPr>
          <w:rFonts w:ascii="Proxima Nova" w:hAnsi="Proxima Nova" w:cstheme="minorHAnsi"/>
          <w:sz w:val="22"/>
          <w:szCs w:val="22"/>
          <w:lang w:val="en"/>
        </w:rPr>
        <w:t xml:space="preserve">(which in practice rarely occurs) </w:t>
      </w:r>
      <w:r w:rsidRPr="00704A4F">
        <w:rPr>
          <w:rFonts w:ascii="Proxima Nova" w:hAnsi="Proxima Nova" w:cstheme="minorHAnsi"/>
          <w:sz w:val="22"/>
          <w:szCs w:val="22"/>
          <w:lang w:val="en"/>
        </w:rPr>
        <w:t>and there is no option for redress for victims of restrictive practices.</w:t>
      </w:r>
    </w:p>
    <w:p w14:paraId="3C5607DA" w14:textId="77777777" w:rsidR="00D06A25" w:rsidRPr="00704A4F" w:rsidRDefault="00D06A25" w:rsidP="00704A4F">
      <w:pPr>
        <w:pStyle w:val="ListParagraph"/>
        <w:spacing w:line="276" w:lineRule="auto"/>
        <w:ind w:hanging="720"/>
        <w:rPr>
          <w:rFonts w:ascii="Proxima Nova" w:hAnsi="Proxima Nova" w:cstheme="minorHAnsi"/>
          <w:sz w:val="22"/>
          <w:szCs w:val="22"/>
        </w:rPr>
      </w:pPr>
    </w:p>
    <w:p w14:paraId="588F8127" w14:textId="46A429CB" w:rsidR="00D06A25" w:rsidRPr="00704A4F" w:rsidRDefault="00D06A25" w:rsidP="00704A4F">
      <w:pPr>
        <w:pStyle w:val="ListParagraph"/>
        <w:numPr>
          <w:ilvl w:val="1"/>
          <w:numId w:val="32"/>
        </w:numPr>
        <w:snapToGrid w:val="0"/>
        <w:spacing w:line="276" w:lineRule="auto"/>
        <w:ind w:left="720" w:hanging="720"/>
        <w:contextualSpacing w:val="0"/>
        <w:rPr>
          <w:rFonts w:ascii="Proxima Nova" w:hAnsi="Proxima Nova" w:cstheme="minorHAnsi"/>
          <w:sz w:val="22"/>
          <w:szCs w:val="22"/>
          <w:bdr w:val="none" w:sz="0" w:space="0" w:color="auto" w:frame="1"/>
        </w:rPr>
      </w:pPr>
      <w:r w:rsidRPr="00704A4F">
        <w:rPr>
          <w:rFonts w:ascii="Proxima Nova" w:hAnsi="Proxima Nova"/>
          <w:sz w:val="22"/>
          <w:szCs w:val="22"/>
        </w:rPr>
        <w:t>Hinging legality of restrictive practices on ‘capacity’ reinforces discriminatory ideals of mental capacity that disadvantage individuals with cognitive and psychosocial disabilities. Beyond this, it reinforces broader liberal constructions of legal capacity that have historically disadvantaged numerous marginalised populations (e.g. First Nations people, poor people, women) and narrowed access to property, resources and political participation to a minority of privileged people.</w:t>
      </w:r>
      <w:r w:rsidRPr="00704A4F">
        <w:rPr>
          <w:rStyle w:val="EndnoteReference"/>
          <w:rFonts w:ascii="Proxima Nova" w:hAnsi="Proxima Nova"/>
          <w:sz w:val="22"/>
          <w:szCs w:val="22"/>
        </w:rPr>
        <w:endnoteReference w:id="279"/>
      </w:r>
      <w:r w:rsidRPr="00704A4F">
        <w:rPr>
          <w:rFonts w:ascii="Proxima Nova" w:hAnsi="Proxima Nova"/>
          <w:sz w:val="22"/>
          <w:szCs w:val="22"/>
        </w:rPr>
        <w:t xml:space="preserve"> Legality contributes to the normalisation of violence and control in service contexts, making it more difficult for individuals to understand when harmful behaviour is wrong and unjust (including unauthorised restrictive practices). Legality </w:t>
      </w:r>
      <w:r w:rsidRPr="00704A4F">
        <w:rPr>
          <w:rFonts w:ascii="Proxima Nova" w:hAnsi="Proxima Nova" w:cstheme="minorHAnsi"/>
          <w:sz w:val="22"/>
          <w:szCs w:val="22"/>
          <w:bdr w:val="none" w:sz="0" w:space="0" w:color="auto" w:frame="1"/>
        </w:rPr>
        <w:t xml:space="preserve">of restrictive practices situates restrictive practices outside of criminal and civil legal understandings of violence and thus positions </w:t>
      </w:r>
      <w:proofErr w:type="gramStart"/>
      <w:r w:rsidRPr="00704A4F">
        <w:rPr>
          <w:rFonts w:ascii="Proxima Nova" w:hAnsi="Proxima Nova" w:cstheme="minorHAnsi"/>
          <w:sz w:val="22"/>
          <w:szCs w:val="22"/>
          <w:bdr w:val="none" w:sz="0" w:space="0" w:color="auto" w:frame="1"/>
        </w:rPr>
        <w:t>those subject</w:t>
      </w:r>
      <w:proofErr w:type="gramEnd"/>
      <w:r w:rsidRPr="00704A4F">
        <w:rPr>
          <w:rFonts w:ascii="Proxima Nova" w:hAnsi="Proxima Nova" w:cstheme="minorHAnsi"/>
          <w:sz w:val="22"/>
          <w:szCs w:val="22"/>
          <w:bdr w:val="none" w:sz="0" w:space="0" w:color="auto" w:frame="1"/>
        </w:rPr>
        <w:t xml:space="preserve"> to them as incomprehensible as victims and not legally entitled to redress (we return to this below when we discuss legal violence). At the same time, in being framed as benevolent, protective and therapeutic</w:t>
      </w:r>
      <w:r w:rsidR="00BF05D8" w:rsidRPr="00704A4F">
        <w:rPr>
          <w:rFonts w:ascii="Proxima Nova" w:hAnsi="Proxima Nova" w:cstheme="minorHAnsi"/>
          <w:sz w:val="22"/>
          <w:szCs w:val="22"/>
          <w:bdr w:val="none" w:sz="0" w:space="0" w:color="auto" w:frame="1"/>
        </w:rPr>
        <w:t xml:space="preserve"> (indeed, the very name of the common law doctrine authorising restrictive practices ‘parens patriae’ means ‘parent of the state’ or ‘parent of the nation’)</w:t>
      </w:r>
      <w:r w:rsidRPr="00704A4F">
        <w:rPr>
          <w:rFonts w:ascii="Proxima Nova" w:hAnsi="Proxima Nova" w:cstheme="minorHAnsi"/>
          <w:sz w:val="22"/>
          <w:szCs w:val="22"/>
          <w:bdr w:val="none" w:sz="0" w:space="0" w:color="auto" w:frame="1"/>
        </w:rPr>
        <w:t>, legality of restrictive practices positions the justice system and the state as rescuer. This dynamic is particularly problematic in relation to First Nations people. If disability is subject to restrictive practices, it:</w:t>
      </w:r>
    </w:p>
    <w:p w14:paraId="145A9FDE" w14:textId="77777777" w:rsidR="00D06A25" w:rsidRPr="00704A4F" w:rsidRDefault="00D06A25" w:rsidP="00704A4F">
      <w:pPr>
        <w:pStyle w:val="ListParagraph"/>
        <w:spacing w:line="276" w:lineRule="auto"/>
        <w:ind w:hanging="720"/>
        <w:rPr>
          <w:rFonts w:ascii="Proxima Nova" w:hAnsi="Proxima Nova" w:cstheme="minorHAnsi"/>
          <w:sz w:val="22"/>
          <w:szCs w:val="22"/>
          <w:bdr w:val="none" w:sz="0" w:space="0" w:color="auto" w:frame="1"/>
        </w:rPr>
      </w:pPr>
    </w:p>
    <w:p w14:paraId="73B3D44C" w14:textId="77777777" w:rsidR="00D06A25" w:rsidRPr="00704A4F" w:rsidRDefault="00D06A25" w:rsidP="00704A4F">
      <w:pPr>
        <w:autoSpaceDE w:val="0"/>
        <w:autoSpaceDN w:val="0"/>
        <w:adjustRightInd w:val="0"/>
        <w:spacing w:line="276" w:lineRule="auto"/>
        <w:ind w:left="1134"/>
        <w:rPr>
          <w:rFonts w:ascii="Proxima Nova" w:eastAsiaTheme="minorHAnsi" w:hAnsi="Proxima Nova" w:cstheme="minorHAnsi"/>
          <w:sz w:val="22"/>
          <w:szCs w:val="22"/>
        </w:rPr>
      </w:pPr>
      <w:r w:rsidRPr="00704A4F">
        <w:rPr>
          <w:rFonts w:ascii="Proxima Nova" w:eastAsiaTheme="minorHAnsi" w:hAnsi="Proxima Nova" w:cstheme="minorHAnsi"/>
          <w:i/>
          <w:iCs/>
          <w:sz w:val="22"/>
          <w:szCs w:val="22"/>
        </w:rPr>
        <w:t>… vindicates the settler colonial project insofar as it masks the fact that across many Anglo jurisdictions Indigenous sovereignty has never been ceded by pathologising Indigenous and First Nations criminalised disabled people as a problem to be fixed and positioning settler colonial society and criminal justice systems as rescuer, while eliding the ways in which they are complicit in constructing them as ‘abnormal.’</w:t>
      </w:r>
      <w:r w:rsidRPr="00704A4F">
        <w:rPr>
          <w:rStyle w:val="EndnoteReference"/>
          <w:rFonts w:ascii="Proxima Nova" w:eastAsiaTheme="minorHAnsi" w:hAnsi="Proxima Nova" w:cstheme="minorHAnsi"/>
          <w:sz w:val="22"/>
          <w:szCs w:val="22"/>
        </w:rPr>
        <w:endnoteReference w:id="280"/>
      </w:r>
    </w:p>
    <w:p w14:paraId="4D3B38C7" w14:textId="77777777" w:rsidR="00DB3E81" w:rsidRPr="00704A4F" w:rsidRDefault="00DB3E81" w:rsidP="00704A4F">
      <w:pPr>
        <w:spacing w:line="276" w:lineRule="auto"/>
        <w:ind w:left="720" w:hanging="720"/>
        <w:rPr>
          <w:rFonts w:ascii="Proxima Nova" w:hAnsi="Proxima Nova" w:cstheme="minorHAnsi"/>
          <w:sz w:val="22"/>
          <w:szCs w:val="22"/>
        </w:rPr>
      </w:pPr>
    </w:p>
    <w:p w14:paraId="4F08972E" w14:textId="2F51C58A" w:rsidR="00950BAD" w:rsidRPr="00704A4F" w:rsidRDefault="00950BAD" w:rsidP="00704A4F">
      <w:pPr>
        <w:pStyle w:val="ListParagraph"/>
        <w:numPr>
          <w:ilvl w:val="1"/>
          <w:numId w:val="32"/>
        </w:numPr>
        <w:spacing w:line="276" w:lineRule="auto"/>
        <w:ind w:left="720" w:hanging="720"/>
        <w:contextualSpacing w:val="0"/>
        <w:rPr>
          <w:rFonts w:ascii="Proxima Nova" w:hAnsi="Proxima Nova" w:cstheme="minorHAnsi"/>
          <w:sz w:val="22"/>
          <w:szCs w:val="22"/>
        </w:rPr>
      </w:pPr>
      <w:r w:rsidRPr="00704A4F">
        <w:rPr>
          <w:rFonts w:ascii="Proxima Nova" w:hAnsi="Proxima Nova" w:cstheme="minorHAnsi"/>
          <w:sz w:val="22"/>
          <w:szCs w:val="22"/>
          <w:lang w:val="en"/>
        </w:rPr>
        <w:t>Understanding restrictive practices as a form of legal violence has one key implication. Unlike</w:t>
      </w:r>
      <w:r w:rsidR="00DB3E81" w:rsidRPr="00704A4F">
        <w:rPr>
          <w:rFonts w:ascii="Proxima Nova" w:hAnsi="Proxima Nova" w:cstheme="minorHAnsi"/>
          <w:sz w:val="22"/>
          <w:szCs w:val="22"/>
          <w:lang w:val="en"/>
        </w:rPr>
        <w:t xml:space="preserve"> other forms of violence</w:t>
      </w:r>
      <w:r w:rsidR="009C4FB9" w:rsidRPr="00704A4F">
        <w:rPr>
          <w:rFonts w:ascii="Proxima Nova" w:hAnsi="Proxima Nova" w:cstheme="minorHAnsi"/>
          <w:sz w:val="22"/>
          <w:szCs w:val="22"/>
          <w:lang w:val="en"/>
        </w:rPr>
        <w:t xml:space="preserve"> that are unlawful</w:t>
      </w:r>
      <w:r w:rsidR="00DB3E81" w:rsidRPr="00704A4F">
        <w:rPr>
          <w:rFonts w:ascii="Proxima Nova" w:hAnsi="Proxima Nova" w:cstheme="minorHAnsi"/>
          <w:sz w:val="22"/>
          <w:szCs w:val="22"/>
          <w:lang w:val="en"/>
        </w:rPr>
        <w:t xml:space="preserve">, such as sexual assault or domestic violence, restrictive practices </w:t>
      </w:r>
      <w:r w:rsidR="009C4FB9" w:rsidRPr="00704A4F">
        <w:rPr>
          <w:rFonts w:ascii="Proxima Nova" w:hAnsi="Proxima Nova" w:cstheme="minorHAnsi"/>
          <w:sz w:val="22"/>
          <w:szCs w:val="22"/>
          <w:lang w:val="en"/>
        </w:rPr>
        <w:t>are a form of legal violence</w:t>
      </w:r>
      <w:r w:rsidR="00DB3E81" w:rsidRPr="00704A4F">
        <w:rPr>
          <w:rFonts w:ascii="Proxima Nova" w:hAnsi="Proxima Nova" w:cstheme="minorHAnsi"/>
          <w:sz w:val="22"/>
          <w:szCs w:val="22"/>
          <w:lang w:val="en"/>
        </w:rPr>
        <w:t>.</w:t>
      </w:r>
      <w:r w:rsidRPr="00704A4F">
        <w:rPr>
          <w:rFonts w:ascii="Proxima Nova" w:hAnsi="Proxima Nova" w:cstheme="minorHAnsi"/>
          <w:sz w:val="22"/>
          <w:szCs w:val="22"/>
          <w:lang w:val="en"/>
        </w:rPr>
        <w:t xml:space="preserve"> </w:t>
      </w:r>
      <w:r w:rsidRPr="00704A4F">
        <w:rPr>
          <w:rFonts w:ascii="Proxima Nova" w:eastAsia="Calibri" w:hAnsi="Proxima Nova" w:cstheme="minorHAnsi"/>
          <w:sz w:val="22"/>
          <w:szCs w:val="22"/>
        </w:rPr>
        <w:t>While it might be impossible to completely obliterate all violence, the perverse logic in regulating restrictive practices is that their use is enabled by law and within the control of lawmakers to prohibit. Legal and justice systems work to protect perpetrators from accountability and exclude victim-survivors from redress.</w:t>
      </w:r>
    </w:p>
    <w:p w14:paraId="37BDA113" w14:textId="77777777" w:rsidR="004D5646" w:rsidRPr="00704A4F" w:rsidRDefault="004D5646" w:rsidP="00704A4F">
      <w:pPr>
        <w:pStyle w:val="ListParagraph"/>
        <w:spacing w:line="276" w:lineRule="auto"/>
        <w:ind w:hanging="720"/>
        <w:rPr>
          <w:rFonts w:ascii="Proxima Nova" w:hAnsi="Proxima Nova" w:cstheme="minorHAnsi"/>
          <w:sz w:val="22"/>
          <w:szCs w:val="22"/>
          <w:lang w:val="en"/>
        </w:rPr>
      </w:pPr>
    </w:p>
    <w:p w14:paraId="00D92F4C" w14:textId="3C96B5F4" w:rsidR="004D5646" w:rsidRPr="000F6F11" w:rsidRDefault="004D5646" w:rsidP="004D5646">
      <w:pPr>
        <w:spacing w:line="276" w:lineRule="auto"/>
        <w:rPr>
          <w:rFonts w:ascii="Proxima Nova" w:hAnsi="Proxima Nova" w:cstheme="minorHAnsi"/>
        </w:rPr>
      </w:pPr>
      <w:r w:rsidRPr="000F6F11">
        <w:rPr>
          <w:rFonts w:ascii="Proxima Nova" w:hAnsi="Proxima Nova"/>
          <w:b/>
          <w:color w:val="AC1F79"/>
        </w:rPr>
        <w:t>Ableist Legal Violence</w:t>
      </w:r>
    </w:p>
    <w:p w14:paraId="4B700ABB" w14:textId="77777777" w:rsidR="00BF6DE4" w:rsidRPr="00704A4F" w:rsidRDefault="00BF6DE4" w:rsidP="004D5646">
      <w:pPr>
        <w:spacing w:line="276" w:lineRule="auto"/>
        <w:ind w:left="720" w:hanging="720"/>
        <w:rPr>
          <w:rFonts w:ascii="Proxima Nova" w:hAnsi="Proxima Nova"/>
          <w:sz w:val="22"/>
          <w:szCs w:val="22"/>
        </w:rPr>
      </w:pPr>
    </w:p>
    <w:p w14:paraId="21718369" w14:textId="7700750E" w:rsidR="00F13363" w:rsidRPr="00704A4F" w:rsidRDefault="00F13363" w:rsidP="004D5646">
      <w:pPr>
        <w:pStyle w:val="ListParagraph"/>
        <w:numPr>
          <w:ilvl w:val="1"/>
          <w:numId w:val="32"/>
        </w:numPr>
        <w:spacing w:line="276" w:lineRule="auto"/>
        <w:ind w:left="720" w:hanging="720"/>
        <w:rPr>
          <w:rFonts w:ascii="Proxima Nova" w:hAnsi="Proxima Nova" w:cstheme="minorHAnsi"/>
          <w:sz w:val="22"/>
          <w:szCs w:val="22"/>
        </w:rPr>
      </w:pPr>
      <w:r w:rsidRPr="00704A4F">
        <w:rPr>
          <w:rFonts w:ascii="Proxima Nova" w:hAnsi="Proxima Nova" w:cstheme="minorHAnsi"/>
          <w:sz w:val="22"/>
          <w:szCs w:val="22"/>
        </w:rPr>
        <w:t xml:space="preserve">Restrictive practices can be </w:t>
      </w:r>
      <w:r w:rsidR="009C4FB9" w:rsidRPr="00704A4F">
        <w:rPr>
          <w:rFonts w:ascii="Proxima Nova" w:hAnsi="Proxima Nova" w:cstheme="minorHAnsi"/>
          <w:sz w:val="22"/>
          <w:szCs w:val="22"/>
        </w:rPr>
        <w:t xml:space="preserve">more specifically </w:t>
      </w:r>
      <w:r w:rsidRPr="00704A4F">
        <w:rPr>
          <w:rFonts w:ascii="Proxima Nova" w:hAnsi="Proxima Nova" w:cstheme="minorHAnsi"/>
          <w:sz w:val="22"/>
          <w:szCs w:val="22"/>
        </w:rPr>
        <w:t>understood as an ableist form of legal violence.</w:t>
      </w:r>
    </w:p>
    <w:p w14:paraId="3AE8673F" w14:textId="77777777" w:rsidR="00F13363" w:rsidRPr="00704A4F" w:rsidRDefault="00F13363" w:rsidP="004D5646">
      <w:pPr>
        <w:spacing w:line="276" w:lineRule="auto"/>
        <w:ind w:left="720" w:hanging="720"/>
        <w:rPr>
          <w:rFonts w:ascii="Proxima Nova" w:hAnsi="Proxima Nova" w:cstheme="minorHAnsi"/>
          <w:sz w:val="22"/>
          <w:szCs w:val="22"/>
        </w:rPr>
      </w:pPr>
    </w:p>
    <w:p w14:paraId="00F4DA75" w14:textId="77777777" w:rsidR="004E78B3" w:rsidRPr="00704A4F" w:rsidRDefault="0015447D" w:rsidP="004D5646">
      <w:pPr>
        <w:numPr>
          <w:ilvl w:val="1"/>
          <w:numId w:val="32"/>
        </w:numPr>
        <w:spacing w:line="276" w:lineRule="auto"/>
        <w:ind w:left="720" w:hanging="720"/>
        <w:rPr>
          <w:rFonts w:ascii="Proxima Nova" w:eastAsia="Calibri" w:hAnsi="Proxima Nova" w:cstheme="minorHAnsi"/>
          <w:sz w:val="22"/>
          <w:szCs w:val="22"/>
          <w:lang w:val="en"/>
        </w:rPr>
      </w:pPr>
      <w:r w:rsidRPr="00704A4F">
        <w:rPr>
          <w:rFonts w:ascii="Proxima Nova" w:eastAsia="Calibri" w:hAnsi="Proxima Nova" w:cstheme="minorHAnsi"/>
          <w:sz w:val="22"/>
          <w:szCs w:val="22"/>
        </w:rPr>
        <w:t xml:space="preserve">Steele </w:t>
      </w:r>
      <w:r w:rsidR="002713BF" w:rsidRPr="00704A4F">
        <w:rPr>
          <w:rFonts w:ascii="Proxima Nova" w:eastAsia="Calibri" w:hAnsi="Proxima Nova" w:cstheme="minorHAnsi"/>
          <w:sz w:val="22"/>
          <w:szCs w:val="22"/>
        </w:rPr>
        <w:t xml:space="preserve">offers the concept of </w:t>
      </w:r>
      <w:r w:rsidR="0083460E" w:rsidRPr="00704A4F">
        <w:rPr>
          <w:rFonts w:ascii="Proxima Nova" w:eastAsia="Calibri" w:hAnsi="Proxima Nova" w:cstheme="minorHAnsi"/>
          <w:sz w:val="22"/>
          <w:szCs w:val="22"/>
        </w:rPr>
        <w:t>‘</w:t>
      </w:r>
      <w:r w:rsidR="002713BF" w:rsidRPr="00704A4F">
        <w:rPr>
          <w:rFonts w:ascii="Proxima Nova" w:eastAsia="Calibri" w:hAnsi="Proxima Nova" w:cstheme="minorHAnsi"/>
          <w:sz w:val="22"/>
          <w:szCs w:val="22"/>
        </w:rPr>
        <w:t>d</w:t>
      </w:r>
      <w:r w:rsidR="0083460E" w:rsidRPr="00704A4F">
        <w:rPr>
          <w:rFonts w:ascii="Proxima Nova" w:eastAsia="Calibri" w:hAnsi="Proxima Nova" w:cstheme="minorHAnsi"/>
          <w:sz w:val="22"/>
          <w:szCs w:val="22"/>
        </w:rPr>
        <w:t xml:space="preserve">isability-specific lawful violence’ </w:t>
      </w:r>
      <w:r w:rsidR="002713BF" w:rsidRPr="00704A4F">
        <w:rPr>
          <w:rFonts w:ascii="Proxima Nova" w:eastAsia="Calibri" w:hAnsi="Proxima Nova" w:cstheme="minorHAnsi"/>
          <w:sz w:val="22"/>
          <w:szCs w:val="22"/>
        </w:rPr>
        <w:t>to refer to</w:t>
      </w:r>
      <w:r w:rsidR="0083460E" w:rsidRPr="00704A4F">
        <w:rPr>
          <w:rFonts w:ascii="Proxima Nova" w:eastAsia="Calibri" w:hAnsi="Proxima Nova" w:cstheme="minorHAnsi"/>
          <w:sz w:val="22"/>
          <w:szCs w:val="22"/>
        </w:rPr>
        <w:t xml:space="preserve"> non-consensual interventions in the bodies and lives of people with disability that are permitted by law specifically </w:t>
      </w:r>
      <w:proofErr w:type="gramStart"/>
      <w:r w:rsidR="0083460E" w:rsidRPr="00704A4F">
        <w:rPr>
          <w:rFonts w:ascii="Proxima Nova" w:eastAsia="Calibri" w:hAnsi="Proxima Nova" w:cstheme="minorHAnsi"/>
          <w:sz w:val="22"/>
          <w:szCs w:val="22"/>
        </w:rPr>
        <w:t>on the basis of</w:t>
      </w:r>
      <w:proofErr w:type="gramEnd"/>
      <w:r w:rsidR="0083460E" w:rsidRPr="00704A4F">
        <w:rPr>
          <w:rFonts w:ascii="Proxima Nova" w:eastAsia="Calibri" w:hAnsi="Proxima Nova" w:cstheme="minorHAnsi"/>
          <w:sz w:val="22"/>
          <w:szCs w:val="22"/>
        </w:rPr>
        <w:t xml:space="preserve"> disability (or characteristics associated with disability, such as riskiness or mental incapacity).</w:t>
      </w:r>
      <w:r w:rsidR="0083460E" w:rsidRPr="00704A4F">
        <w:rPr>
          <w:rStyle w:val="EndnoteReference"/>
          <w:rFonts w:ascii="Proxima Nova" w:eastAsia="Calibri" w:hAnsi="Proxima Nova" w:cstheme="minorHAnsi"/>
          <w:sz w:val="22"/>
          <w:szCs w:val="22"/>
          <w:lang w:val="en-GB"/>
        </w:rPr>
        <w:endnoteReference w:id="281"/>
      </w:r>
      <w:r w:rsidR="0083460E" w:rsidRPr="00704A4F">
        <w:rPr>
          <w:rFonts w:ascii="Proxima Nova" w:eastAsia="Calibri" w:hAnsi="Proxima Nova" w:cstheme="minorHAnsi"/>
          <w:sz w:val="22"/>
          <w:szCs w:val="22"/>
        </w:rPr>
        <w:t xml:space="preserve"> </w:t>
      </w:r>
    </w:p>
    <w:p w14:paraId="24C4B6F3" w14:textId="77777777" w:rsidR="004E78B3" w:rsidRPr="00704A4F" w:rsidRDefault="004E78B3" w:rsidP="004D5646">
      <w:pPr>
        <w:pStyle w:val="ListParagraph"/>
        <w:spacing w:line="276" w:lineRule="auto"/>
        <w:ind w:hanging="720"/>
        <w:rPr>
          <w:rFonts w:ascii="Proxima Nova" w:eastAsia="Calibri" w:hAnsi="Proxima Nova" w:cstheme="minorHAnsi"/>
          <w:sz w:val="22"/>
          <w:szCs w:val="22"/>
        </w:rPr>
      </w:pPr>
    </w:p>
    <w:p w14:paraId="00E28D12" w14:textId="77777777" w:rsidR="00CD5DCE" w:rsidRPr="00704A4F" w:rsidRDefault="0083460E" w:rsidP="004D5646">
      <w:pPr>
        <w:numPr>
          <w:ilvl w:val="1"/>
          <w:numId w:val="32"/>
        </w:numPr>
        <w:spacing w:line="276" w:lineRule="auto"/>
        <w:ind w:left="720" w:hanging="720"/>
        <w:rPr>
          <w:rFonts w:ascii="Proxima Nova" w:eastAsia="Calibri" w:hAnsi="Proxima Nova" w:cstheme="minorHAnsi"/>
          <w:sz w:val="22"/>
          <w:szCs w:val="22"/>
          <w:lang w:val="en"/>
        </w:rPr>
      </w:pPr>
      <w:r w:rsidRPr="00704A4F">
        <w:rPr>
          <w:rFonts w:ascii="Proxima Nova" w:eastAsia="Calibri" w:hAnsi="Proxima Nova" w:cstheme="minorHAnsi"/>
          <w:sz w:val="22"/>
          <w:szCs w:val="22"/>
        </w:rPr>
        <w:lastRenderedPageBreak/>
        <w:t>Restrictive practices are an example of disability-specific lawful violence</w:t>
      </w:r>
      <w:r w:rsidRPr="00704A4F">
        <w:rPr>
          <w:rFonts w:ascii="Proxima Nova" w:eastAsia="Calibri" w:hAnsi="Proxima Nova" w:cstheme="minorHAnsi"/>
          <w:sz w:val="22"/>
          <w:szCs w:val="22"/>
          <w:lang w:val="en"/>
        </w:rPr>
        <w:t xml:space="preserve">. </w:t>
      </w:r>
    </w:p>
    <w:p w14:paraId="560C4747" w14:textId="77777777" w:rsidR="00CD5DCE" w:rsidRPr="00704A4F" w:rsidRDefault="00CD5DCE" w:rsidP="004D5646">
      <w:pPr>
        <w:pStyle w:val="ListParagraph"/>
        <w:spacing w:line="276" w:lineRule="auto"/>
        <w:ind w:hanging="720"/>
        <w:rPr>
          <w:rFonts w:ascii="Proxima Nova" w:eastAsia="Calibri" w:hAnsi="Proxima Nova" w:cstheme="minorHAnsi"/>
          <w:sz w:val="22"/>
          <w:szCs w:val="22"/>
          <w:lang w:val="en"/>
        </w:rPr>
      </w:pPr>
    </w:p>
    <w:p w14:paraId="629EFED5" w14:textId="1AC3A1AF" w:rsidR="009C4FB9" w:rsidRPr="00704A4F" w:rsidRDefault="004E78B3" w:rsidP="004D5646">
      <w:pPr>
        <w:numPr>
          <w:ilvl w:val="1"/>
          <w:numId w:val="32"/>
        </w:numPr>
        <w:spacing w:line="276" w:lineRule="auto"/>
        <w:ind w:left="720" w:hanging="720"/>
        <w:rPr>
          <w:rFonts w:ascii="Proxima Nova" w:eastAsia="Calibri" w:hAnsi="Proxima Nova" w:cstheme="minorHAnsi"/>
          <w:sz w:val="22"/>
          <w:szCs w:val="22"/>
          <w:lang w:val="en"/>
        </w:rPr>
      </w:pPr>
      <w:r w:rsidRPr="00704A4F">
        <w:rPr>
          <w:rFonts w:ascii="Proxima Nova" w:eastAsia="Calibri" w:hAnsi="Proxima Nova" w:cstheme="minorHAnsi"/>
          <w:sz w:val="22"/>
          <w:szCs w:val="22"/>
          <w:lang w:val="en"/>
        </w:rPr>
        <w:t xml:space="preserve">First, </w:t>
      </w:r>
      <w:r w:rsidR="002667B7" w:rsidRPr="00704A4F">
        <w:rPr>
          <w:rFonts w:ascii="Proxima Nova" w:eastAsia="Calibri" w:hAnsi="Proxima Nova" w:cstheme="minorHAnsi"/>
          <w:sz w:val="22"/>
          <w:szCs w:val="22"/>
          <w:lang w:val="en"/>
        </w:rPr>
        <w:t xml:space="preserve">laws authorising third party consent to restrictive practices </w:t>
      </w:r>
      <w:r w:rsidRPr="00704A4F">
        <w:rPr>
          <w:rFonts w:ascii="Proxima Nova" w:eastAsia="Calibri" w:hAnsi="Proxima Nova" w:cstheme="minorHAnsi"/>
          <w:sz w:val="22"/>
          <w:szCs w:val="22"/>
          <w:lang w:val="en"/>
        </w:rPr>
        <w:t xml:space="preserve">and </w:t>
      </w:r>
      <w:r w:rsidR="002667B7" w:rsidRPr="00704A4F">
        <w:rPr>
          <w:rFonts w:ascii="Proxima Nova" w:eastAsia="Calibri" w:hAnsi="Proxima Nova" w:cstheme="minorHAnsi"/>
          <w:sz w:val="22"/>
          <w:szCs w:val="22"/>
          <w:lang w:val="en"/>
        </w:rPr>
        <w:t xml:space="preserve">laws </w:t>
      </w:r>
      <w:r w:rsidR="002667B7" w:rsidRPr="00704A4F">
        <w:rPr>
          <w:rFonts w:ascii="Proxima Nova" w:hAnsi="Proxima Nova" w:cstheme="minorHAnsi"/>
          <w:sz w:val="22"/>
          <w:szCs w:val="22"/>
        </w:rPr>
        <w:t>excluding some individuals who use restrictive practices from criminal responsibility and civil liability</w:t>
      </w:r>
      <w:r w:rsidR="002667B7" w:rsidRPr="00704A4F">
        <w:rPr>
          <w:rFonts w:ascii="Proxima Nova" w:eastAsia="Calibri" w:hAnsi="Proxima Nova" w:cstheme="minorHAnsi"/>
          <w:sz w:val="22"/>
          <w:szCs w:val="22"/>
          <w:lang w:val="en"/>
        </w:rPr>
        <w:t xml:space="preserve"> are premised on assumptions of mental incapacity linked to disability and the need for people with disability to be subject to protection and control by reason of their disability. For example, the</w:t>
      </w:r>
      <w:r w:rsidR="003B40BB" w:rsidRPr="00704A4F">
        <w:rPr>
          <w:rFonts w:ascii="Proxima Nova" w:eastAsia="Calibri" w:hAnsi="Proxima Nova" w:cstheme="minorHAnsi"/>
          <w:sz w:val="22"/>
          <w:szCs w:val="22"/>
          <w:lang w:val="en"/>
        </w:rPr>
        <w:t xml:space="preserve"> common law</w:t>
      </w:r>
      <w:r w:rsidR="002667B7" w:rsidRPr="00704A4F">
        <w:rPr>
          <w:rFonts w:ascii="Proxima Nova" w:eastAsia="Calibri" w:hAnsi="Proxima Nova" w:cstheme="minorHAnsi"/>
          <w:sz w:val="22"/>
          <w:szCs w:val="22"/>
          <w:lang w:val="en"/>
        </w:rPr>
        <w:t xml:space="preserve"> parens </w:t>
      </w:r>
      <w:r w:rsidR="003B40BB" w:rsidRPr="00704A4F">
        <w:rPr>
          <w:rFonts w:ascii="Proxima Nova" w:eastAsia="Calibri" w:hAnsi="Proxima Nova" w:cstheme="minorHAnsi"/>
          <w:sz w:val="22"/>
          <w:szCs w:val="22"/>
          <w:lang w:val="en"/>
        </w:rPr>
        <w:t>doctrine</w:t>
      </w:r>
      <w:r w:rsidR="002667B7" w:rsidRPr="00704A4F">
        <w:rPr>
          <w:rFonts w:ascii="Proxima Nova" w:eastAsia="Calibri" w:hAnsi="Proxima Nova" w:cstheme="minorHAnsi"/>
          <w:sz w:val="22"/>
          <w:szCs w:val="22"/>
          <w:lang w:val="en"/>
        </w:rPr>
        <w:t xml:space="preserve"> is premised on the assumption that people with cognitive and psychosocial disability lack the capacity to make their own decisions and by rea</w:t>
      </w:r>
      <w:r w:rsidR="00B363D7" w:rsidRPr="00704A4F">
        <w:rPr>
          <w:rFonts w:ascii="Proxima Nova" w:eastAsia="Calibri" w:hAnsi="Proxima Nova" w:cstheme="minorHAnsi"/>
          <w:sz w:val="22"/>
          <w:szCs w:val="22"/>
          <w:lang w:val="en"/>
        </w:rPr>
        <w:t xml:space="preserve">son of this are vulnerable and </w:t>
      </w:r>
      <w:r w:rsidR="002667B7" w:rsidRPr="00704A4F">
        <w:rPr>
          <w:rFonts w:ascii="Proxima Nova" w:eastAsia="Calibri" w:hAnsi="Proxima Nova" w:cstheme="minorHAnsi"/>
          <w:sz w:val="22"/>
          <w:szCs w:val="22"/>
          <w:lang w:val="en"/>
        </w:rPr>
        <w:t>thus need others to protect them by making decisions on their behalf.</w:t>
      </w:r>
      <w:r w:rsidR="00471BDD" w:rsidRPr="00704A4F">
        <w:rPr>
          <w:rStyle w:val="EndnoteReference"/>
          <w:rFonts w:ascii="Proxima Nova" w:eastAsia="Calibri" w:hAnsi="Proxima Nova" w:cstheme="minorHAnsi"/>
          <w:sz w:val="22"/>
          <w:szCs w:val="22"/>
          <w:lang w:val="en"/>
        </w:rPr>
        <w:endnoteReference w:id="282"/>
      </w:r>
      <w:r w:rsidR="002667B7" w:rsidRPr="00704A4F">
        <w:rPr>
          <w:rFonts w:ascii="Proxima Nova" w:eastAsia="Calibri" w:hAnsi="Proxima Nova" w:cstheme="minorHAnsi"/>
          <w:sz w:val="22"/>
          <w:szCs w:val="22"/>
          <w:lang w:val="en"/>
        </w:rPr>
        <w:t xml:space="preserve"> As a further example, </w:t>
      </w:r>
      <w:r w:rsidR="00B363D7" w:rsidRPr="00704A4F">
        <w:rPr>
          <w:rFonts w:ascii="Proxima Nova" w:eastAsia="Calibri" w:hAnsi="Proxima Nova" w:cstheme="minorHAnsi"/>
          <w:sz w:val="22"/>
          <w:szCs w:val="22"/>
          <w:lang w:val="en"/>
        </w:rPr>
        <w:t>the doctrine of necessity in relation to people with disability is premised on the assumption that their incapacity to look after their own welfare and health gives rise to an ongoing emergency that requires intervention by third parties for their own protection and wellbeing.</w:t>
      </w:r>
      <w:r w:rsidR="00B363D7" w:rsidRPr="00704A4F">
        <w:rPr>
          <w:rStyle w:val="EndnoteReference"/>
          <w:rFonts w:ascii="Proxima Nova" w:eastAsia="Calibri" w:hAnsi="Proxima Nova" w:cstheme="minorHAnsi"/>
          <w:sz w:val="22"/>
          <w:szCs w:val="22"/>
          <w:lang w:val="en"/>
        </w:rPr>
        <w:endnoteReference w:id="283"/>
      </w:r>
      <w:r w:rsidR="00DB3E81" w:rsidRPr="00704A4F">
        <w:rPr>
          <w:rFonts w:ascii="Proxima Nova" w:eastAsia="Calibri" w:hAnsi="Proxima Nova" w:cstheme="minorHAnsi"/>
          <w:sz w:val="22"/>
          <w:szCs w:val="22"/>
          <w:lang w:val="en"/>
        </w:rPr>
        <w:t xml:space="preserve"> </w:t>
      </w:r>
      <w:r w:rsidR="002667B7" w:rsidRPr="00704A4F">
        <w:rPr>
          <w:rFonts w:ascii="Proxima Nova" w:eastAsia="Calibri" w:hAnsi="Proxima Nova" w:cstheme="minorHAnsi"/>
          <w:sz w:val="22"/>
          <w:szCs w:val="22"/>
          <w:lang w:val="en"/>
        </w:rPr>
        <w:t xml:space="preserve">Second, </w:t>
      </w:r>
      <w:r w:rsidR="00355FEA" w:rsidRPr="00704A4F">
        <w:rPr>
          <w:rFonts w:ascii="Proxima Nova" w:eastAsia="Calibri" w:hAnsi="Proxima Nova" w:cstheme="minorHAnsi"/>
          <w:sz w:val="22"/>
          <w:szCs w:val="22"/>
          <w:lang w:val="en"/>
        </w:rPr>
        <w:t>laws</w:t>
      </w:r>
      <w:r w:rsidR="00355FEA" w:rsidRPr="00704A4F">
        <w:rPr>
          <w:rFonts w:ascii="Proxima Nova" w:hAnsi="Proxima Nova" w:cstheme="minorHAnsi"/>
          <w:sz w:val="22"/>
          <w:szCs w:val="22"/>
        </w:rPr>
        <w:t xml:space="preserve"> </w:t>
      </w:r>
      <w:r w:rsidR="00DB3E81" w:rsidRPr="00704A4F">
        <w:rPr>
          <w:rFonts w:ascii="Proxima Nova" w:hAnsi="Proxima Nova" w:cstheme="minorHAnsi"/>
          <w:sz w:val="22"/>
          <w:szCs w:val="22"/>
        </w:rPr>
        <w:t xml:space="preserve">regulating use of restrictive practices at the level of service systems are discriminatory because the service systems to which they apply are themselves specific to </w:t>
      </w:r>
      <w:r w:rsidRPr="00704A4F">
        <w:rPr>
          <w:rFonts w:ascii="Proxima Nova" w:hAnsi="Proxima Nova" w:cstheme="minorHAnsi"/>
          <w:sz w:val="22"/>
          <w:szCs w:val="22"/>
        </w:rPr>
        <w:t xml:space="preserve">people with disability </w:t>
      </w:r>
      <w:r w:rsidR="00DB3E81" w:rsidRPr="00704A4F">
        <w:rPr>
          <w:rFonts w:ascii="Proxima Nova" w:hAnsi="Proxima Nova" w:cstheme="minorHAnsi"/>
          <w:sz w:val="22"/>
          <w:szCs w:val="22"/>
        </w:rPr>
        <w:t xml:space="preserve">(NDIS) or </w:t>
      </w:r>
      <w:r w:rsidRPr="00704A4F">
        <w:rPr>
          <w:rFonts w:ascii="Proxima Nova" w:hAnsi="Proxima Nova" w:cstheme="minorHAnsi"/>
          <w:sz w:val="22"/>
          <w:szCs w:val="22"/>
        </w:rPr>
        <w:t>overwhelmingly apply to people</w:t>
      </w:r>
      <w:r w:rsidR="00CD5DCE" w:rsidRPr="00704A4F">
        <w:rPr>
          <w:rFonts w:ascii="Proxima Nova" w:hAnsi="Proxima Nova" w:cstheme="minorHAnsi"/>
          <w:sz w:val="22"/>
          <w:szCs w:val="22"/>
        </w:rPr>
        <w:t xml:space="preserve"> with di</w:t>
      </w:r>
      <w:r w:rsidRPr="00704A4F">
        <w:rPr>
          <w:rFonts w:ascii="Proxima Nova" w:hAnsi="Proxima Nova" w:cstheme="minorHAnsi"/>
          <w:sz w:val="22"/>
          <w:szCs w:val="22"/>
        </w:rPr>
        <w:t>sability</w:t>
      </w:r>
      <w:r w:rsidR="00DB3E81" w:rsidRPr="00704A4F">
        <w:rPr>
          <w:rFonts w:ascii="Proxima Nova" w:hAnsi="Proxima Nova" w:cstheme="minorHAnsi"/>
          <w:sz w:val="22"/>
          <w:szCs w:val="22"/>
        </w:rPr>
        <w:t xml:space="preserve"> (RACF</w:t>
      </w:r>
      <w:r w:rsidRPr="00704A4F">
        <w:rPr>
          <w:rFonts w:ascii="Proxima Nova" w:hAnsi="Proxima Nova" w:cstheme="minorHAnsi"/>
          <w:sz w:val="22"/>
          <w:szCs w:val="22"/>
        </w:rPr>
        <w:t>s</w:t>
      </w:r>
      <w:r w:rsidR="00074750" w:rsidRPr="00704A4F">
        <w:rPr>
          <w:rFonts w:ascii="Proxima Nova" w:hAnsi="Proxima Nova" w:cstheme="minorHAnsi"/>
          <w:sz w:val="22"/>
          <w:szCs w:val="22"/>
        </w:rPr>
        <w:t>).</w:t>
      </w:r>
    </w:p>
    <w:p w14:paraId="7C069EAE" w14:textId="77777777" w:rsidR="00074750" w:rsidRPr="00704A4F" w:rsidRDefault="00074750" w:rsidP="004D5646">
      <w:pPr>
        <w:spacing w:line="276" w:lineRule="auto"/>
        <w:ind w:left="720" w:hanging="720"/>
        <w:rPr>
          <w:rFonts w:ascii="Proxima Nova" w:eastAsia="Calibri" w:hAnsi="Proxima Nova" w:cstheme="minorHAnsi"/>
          <w:sz w:val="22"/>
          <w:szCs w:val="22"/>
          <w:lang w:val="en"/>
        </w:rPr>
      </w:pPr>
    </w:p>
    <w:p w14:paraId="21038057" w14:textId="1E26B3DE" w:rsidR="00074750" w:rsidRPr="00704A4F" w:rsidRDefault="00074750" w:rsidP="004D5646">
      <w:pPr>
        <w:numPr>
          <w:ilvl w:val="1"/>
          <w:numId w:val="32"/>
        </w:numPr>
        <w:spacing w:line="276" w:lineRule="auto"/>
        <w:ind w:left="720" w:hanging="720"/>
        <w:rPr>
          <w:rFonts w:ascii="Proxima Nova" w:eastAsia="Calibri" w:hAnsi="Proxima Nova" w:cstheme="minorHAnsi"/>
          <w:sz w:val="22"/>
          <w:szCs w:val="22"/>
          <w:lang w:val="en"/>
        </w:rPr>
      </w:pPr>
      <w:r w:rsidRPr="00704A4F">
        <w:rPr>
          <w:rFonts w:ascii="Proxima Nova" w:eastAsia="Calibri" w:hAnsi="Proxima Nova" w:cstheme="minorHAnsi"/>
          <w:sz w:val="22"/>
          <w:szCs w:val="22"/>
          <w:lang w:val="en"/>
        </w:rPr>
        <w:t xml:space="preserve">In being disability-specific, the legal violence of restrictive practices can only ever be perpetrated against people with disability, thus exposing people with disability to additional </w:t>
      </w:r>
      <w:r w:rsidR="0084717E" w:rsidRPr="00704A4F">
        <w:rPr>
          <w:rFonts w:ascii="Proxima Nova" w:eastAsia="Calibri" w:hAnsi="Proxima Nova" w:cstheme="minorHAnsi"/>
          <w:sz w:val="22"/>
          <w:szCs w:val="22"/>
          <w:lang w:val="en"/>
        </w:rPr>
        <w:t xml:space="preserve">legal avenues for </w:t>
      </w:r>
      <w:r w:rsidRPr="00704A4F">
        <w:rPr>
          <w:rFonts w:ascii="Proxima Nova" w:eastAsia="Calibri" w:hAnsi="Proxima Nova" w:cstheme="minorHAnsi"/>
          <w:sz w:val="22"/>
          <w:szCs w:val="22"/>
          <w:lang w:val="en"/>
        </w:rPr>
        <w:t xml:space="preserve">violence as compared to people without disability. </w:t>
      </w:r>
    </w:p>
    <w:p w14:paraId="1E5F3C2F" w14:textId="77777777" w:rsidR="00074750" w:rsidRPr="00704A4F" w:rsidRDefault="00074750" w:rsidP="004D5646">
      <w:pPr>
        <w:pStyle w:val="ListParagraph"/>
        <w:spacing w:line="276" w:lineRule="auto"/>
        <w:ind w:hanging="720"/>
        <w:rPr>
          <w:rFonts w:ascii="Proxima Nova" w:eastAsia="Calibri" w:hAnsi="Proxima Nova" w:cstheme="minorHAnsi"/>
          <w:sz w:val="22"/>
          <w:szCs w:val="22"/>
          <w:lang w:val="en"/>
        </w:rPr>
      </w:pPr>
    </w:p>
    <w:p w14:paraId="4694A1DA" w14:textId="046AB0E7" w:rsidR="00074750" w:rsidRPr="00704A4F" w:rsidRDefault="00074750" w:rsidP="004D5646">
      <w:pPr>
        <w:numPr>
          <w:ilvl w:val="1"/>
          <w:numId w:val="32"/>
        </w:numPr>
        <w:spacing w:line="276" w:lineRule="auto"/>
        <w:ind w:left="720" w:hanging="720"/>
        <w:rPr>
          <w:rFonts w:ascii="Proxima Nova" w:eastAsia="Calibri" w:hAnsi="Proxima Nova" w:cstheme="minorHAnsi"/>
          <w:sz w:val="22"/>
          <w:szCs w:val="22"/>
          <w:lang w:val="en"/>
        </w:rPr>
      </w:pPr>
      <w:r w:rsidRPr="00704A4F">
        <w:rPr>
          <w:rFonts w:ascii="Proxima Nova" w:eastAsia="Calibri" w:hAnsi="Proxima Nova" w:cstheme="minorHAnsi"/>
          <w:sz w:val="22"/>
          <w:szCs w:val="22"/>
          <w:lang w:val="en"/>
        </w:rPr>
        <w:t>Moreover, the disability-specific legal violence of restrictive practices highlights how ableism is built into the doctrine (rather than merely the application) of law. There are</w:t>
      </w:r>
      <w:r w:rsidR="0084717E" w:rsidRPr="00704A4F">
        <w:rPr>
          <w:rFonts w:ascii="Proxima Nova" w:eastAsia="Calibri" w:hAnsi="Proxima Nova" w:cstheme="minorHAnsi"/>
          <w:sz w:val="22"/>
          <w:szCs w:val="22"/>
          <w:lang w:val="en"/>
        </w:rPr>
        <w:t xml:space="preserve"> </w:t>
      </w:r>
      <w:r w:rsidRPr="00704A4F">
        <w:rPr>
          <w:rFonts w:ascii="Proxima Nova" w:eastAsia="Calibri" w:hAnsi="Proxima Nova" w:cstheme="minorHAnsi"/>
          <w:sz w:val="22"/>
          <w:szCs w:val="22"/>
          <w:lang w:val="en"/>
        </w:rPr>
        <w:t xml:space="preserve">entire pieces of legislation and associated tribunals (mental health, guardianship) that regulate violence against people with disability. Yet, even deeper than legal doctrine, this ableism is also built into foundational legal concepts that </w:t>
      </w:r>
      <w:r w:rsidR="00355FEA" w:rsidRPr="00704A4F">
        <w:rPr>
          <w:rFonts w:ascii="Proxima Nova" w:eastAsia="Calibri" w:hAnsi="Proxima Nova" w:cstheme="minorHAnsi"/>
          <w:sz w:val="22"/>
          <w:szCs w:val="22"/>
          <w:lang w:val="en"/>
        </w:rPr>
        <w:t>structure</w:t>
      </w:r>
      <w:r w:rsidRPr="00704A4F">
        <w:rPr>
          <w:rFonts w:ascii="Proxima Nova" w:eastAsia="Calibri" w:hAnsi="Proxima Nova" w:cstheme="minorHAnsi"/>
          <w:sz w:val="22"/>
          <w:szCs w:val="22"/>
          <w:lang w:val="en"/>
        </w:rPr>
        <w:t xml:space="preserve"> legal rights and legal relations, such as ‘capacity’ and ‘consent’.  Therefore, analysing restrictive practices as ableist legal violence can illuminate the complicity of law, justice systems and the State at individual and structural levels in violence against people with disability. This has three key implications.</w:t>
      </w:r>
    </w:p>
    <w:p w14:paraId="4F120CAC" w14:textId="77777777" w:rsidR="00074750" w:rsidRPr="00704A4F" w:rsidRDefault="00074750" w:rsidP="004D5646">
      <w:pPr>
        <w:pStyle w:val="ListParagraph"/>
        <w:spacing w:line="276" w:lineRule="auto"/>
        <w:ind w:hanging="720"/>
        <w:rPr>
          <w:rFonts w:ascii="Proxima Nova" w:eastAsia="Calibri" w:hAnsi="Proxima Nova" w:cstheme="minorHAnsi"/>
          <w:sz w:val="22"/>
          <w:szCs w:val="22"/>
          <w:lang w:val="en"/>
        </w:rPr>
      </w:pPr>
    </w:p>
    <w:p w14:paraId="027D1295" w14:textId="4D5D03BC" w:rsidR="00074750" w:rsidRPr="00704A4F" w:rsidRDefault="00074750" w:rsidP="004D5646">
      <w:pPr>
        <w:pStyle w:val="ListParagraph"/>
        <w:numPr>
          <w:ilvl w:val="1"/>
          <w:numId w:val="32"/>
        </w:numPr>
        <w:spacing w:line="276" w:lineRule="auto"/>
        <w:ind w:left="720" w:hanging="720"/>
        <w:rPr>
          <w:rFonts w:ascii="Proxima Nova" w:hAnsi="Proxima Nova"/>
          <w:sz w:val="22"/>
          <w:szCs w:val="22"/>
        </w:rPr>
      </w:pPr>
      <w:r w:rsidRPr="00704A4F">
        <w:rPr>
          <w:rFonts w:ascii="Proxima Nova" w:eastAsia="Calibri" w:hAnsi="Proxima Nova" w:cstheme="minorHAnsi"/>
          <w:sz w:val="22"/>
          <w:szCs w:val="22"/>
          <w:lang w:val="en"/>
        </w:rPr>
        <w:t>First, legal and justice systems contribute to structural discrimination, segregation and violence that is also apparent throughout a variety of systems including in education (</w:t>
      </w:r>
      <w:r w:rsidRPr="00704A4F">
        <w:rPr>
          <w:rFonts w:ascii="Proxima Nova" w:hAnsi="Proxima Nova" w:cstheme="minorHAnsi"/>
          <w:color w:val="000000" w:themeColor="text1"/>
          <w:spacing w:val="-4"/>
          <w:sz w:val="22"/>
          <w:szCs w:val="22"/>
          <w:shd w:val="clear" w:color="auto" w:fill="FFFFFF"/>
        </w:rPr>
        <w:t xml:space="preserve">segregated schools), </w:t>
      </w:r>
      <w:r w:rsidR="004D5646" w:rsidRPr="00704A4F">
        <w:rPr>
          <w:rFonts w:ascii="Proxima Nova" w:hAnsi="Proxima Nova" w:cstheme="minorHAnsi"/>
          <w:color w:val="000000" w:themeColor="text1"/>
          <w:spacing w:val="-4"/>
          <w:sz w:val="22"/>
          <w:szCs w:val="22"/>
          <w:shd w:val="clear" w:color="auto" w:fill="FFFFFF"/>
        </w:rPr>
        <w:t>housing</w:t>
      </w:r>
      <w:r w:rsidRPr="00704A4F">
        <w:rPr>
          <w:rFonts w:ascii="Proxima Nova" w:hAnsi="Proxima Nova" w:cstheme="minorHAnsi"/>
          <w:color w:val="000000" w:themeColor="text1"/>
          <w:spacing w:val="-4"/>
          <w:sz w:val="22"/>
          <w:szCs w:val="22"/>
          <w:shd w:val="clear" w:color="auto" w:fill="FFFFFF"/>
        </w:rPr>
        <w:t xml:space="preserve"> (segregated accommodation arrangements), employment (segregated employment) and transport (segregated transport) systems</w:t>
      </w:r>
      <w:r w:rsidRPr="00704A4F">
        <w:rPr>
          <w:rFonts w:ascii="Proxima Nova" w:hAnsi="Proxima Nova"/>
          <w:sz w:val="22"/>
          <w:szCs w:val="22"/>
        </w:rPr>
        <w:t xml:space="preserve">. </w:t>
      </w:r>
      <w:r w:rsidRPr="00704A4F">
        <w:rPr>
          <w:rFonts w:ascii="Proxima Nova" w:eastAsia="Calibri" w:hAnsi="Proxima Nova" w:cstheme="minorHAnsi"/>
          <w:sz w:val="22"/>
          <w:szCs w:val="22"/>
          <w:lang w:eastAsia="en-GB"/>
        </w:rPr>
        <w:t>This legal segregation gives r</w:t>
      </w:r>
      <w:r w:rsidRPr="00704A4F">
        <w:rPr>
          <w:rFonts w:ascii="Proxima Nova" w:eastAsia="Calibri" w:hAnsi="Proxima Nova" w:cstheme="minorHAnsi"/>
          <w:sz w:val="22"/>
          <w:szCs w:val="22"/>
        </w:rPr>
        <w:t>ise to dehumanisation, as explained by Roper et al in the specific context of mental health laws:</w:t>
      </w:r>
    </w:p>
    <w:p w14:paraId="133E876B" w14:textId="77777777" w:rsidR="00074750" w:rsidRPr="00704A4F" w:rsidRDefault="00074750" w:rsidP="004D5646">
      <w:pPr>
        <w:spacing w:line="276" w:lineRule="auto"/>
        <w:ind w:left="720" w:hanging="720"/>
        <w:contextualSpacing/>
        <w:rPr>
          <w:rFonts w:ascii="Proxima Nova" w:eastAsia="Calibri" w:hAnsi="Proxima Nova" w:cstheme="minorHAnsi"/>
          <w:sz w:val="22"/>
          <w:szCs w:val="22"/>
          <w:lang w:val="en-GB"/>
        </w:rPr>
      </w:pPr>
    </w:p>
    <w:p w14:paraId="60DDCA92" w14:textId="77777777" w:rsidR="00074750" w:rsidRPr="00704A4F" w:rsidRDefault="00074750" w:rsidP="004D5646">
      <w:pPr>
        <w:spacing w:line="276" w:lineRule="auto"/>
        <w:ind w:left="1134"/>
        <w:rPr>
          <w:rFonts w:ascii="Proxima Nova" w:eastAsia="Calibri" w:hAnsi="Proxima Nova" w:cstheme="minorHAnsi"/>
          <w:i/>
          <w:iCs/>
          <w:sz w:val="22"/>
          <w:szCs w:val="22"/>
          <w:lang w:val="en-GB"/>
        </w:rPr>
      </w:pPr>
      <w:r w:rsidRPr="00704A4F">
        <w:rPr>
          <w:rFonts w:ascii="Proxima Nova" w:eastAsia="Calibri" w:hAnsi="Proxima Nova" w:cstheme="minorHAnsi"/>
          <w:i/>
          <w:iCs/>
          <w:sz w:val="22"/>
          <w:szCs w:val="22"/>
          <w:lang w:val="en-GB"/>
        </w:rPr>
        <w:t>Dehumanisation involves viewing individuals through a particular lens, labelling them, othering and systematic exclusion …</w:t>
      </w:r>
    </w:p>
    <w:p w14:paraId="37B12472" w14:textId="77777777" w:rsidR="00074750" w:rsidRPr="00704A4F" w:rsidRDefault="00074750" w:rsidP="004D5646">
      <w:pPr>
        <w:spacing w:line="276" w:lineRule="auto"/>
        <w:ind w:left="1134"/>
        <w:rPr>
          <w:rFonts w:ascii="Proxima Nova" w:eastAsia="Calibri" w:hAnsi="Proxima Nova" w:cstheme="minorHAnsi"/>
          <w:i/>
          <w:iCs/>
          <w:sz w:val="22"/>
          <w:szCs w:val="22"/>
          <w:lang w:val="en-GB"/>
        </w:rPr>
      </w:pPr>
    </w:p>
    <w:p w14:paraId="21D0085A" w14:textId="77777777" w:rsidR="00074750" w:rsidRPr="00704A4F" w:rsidRDefault="00074750" w:rsidP="004D5646">
      <w:pPr>
        <w:spacing w:line="276" w:lineRule="auto"/>
        <w:ind w:left="1134"/>
        <w:rPr>
          <w:rFonts w:ascii="Proxima Nova" w:eastAsia="Calibri" w:hAnsi="Proxima Nova" w:cstheme="minorHAnsi"/>
          <w:sz w:val="22"/>
          <w:szCs w:val="22"/>
          <w:lang w:val="en-GB"/>
        </w:rPr>
      </w:pPr>
      <w:r w:rsidRPr="00704A4F">
        <w:rPr>
          <w:rFonts w:ascii="Proxima Nova" w:eastAsia="Calibri" w:hAnsi="Proxima Nova" w:cstheme="minorHAnsi"/>
          <w:i/>
          <w:iCs/>
          <w:sz w:val="22"/>
          <w:szCs w:val="22"/>
          <w:lang w:val="en-GB"/>
        </w:rPr>
        <w:t xml:space="preserve">Mental health laws are symbolic of dehumanisation because they create a legal space that is outside the scope of justice, where operations of human rights and ethics afforded to other human beings are suspended. … These laws symbolically declare individuals governed by them to be ‘morally irresponsible’, and in the process, the laws are positioned as enabling the provision of benevolent and protective care. In the application of mental health laws, decisions about who gets to keep their human rights and who does not happen through someone else declaring </w:t>
      </w:r>
      <w:proofErr w:type="gramStart"/>
      <w:r w:rsidRPr="00704A4F">
        <w:rPr>
          <w:rFonts w:ascii="Proxima Nova" w:eastAsia="Calibri" w:hAnsi="Proxima Nova" w:cstheme="minorHAnsi"/>
          <w:i/>
          <w:iCs/>
          <w:sz w:val="22"/>
          <w:szCs w:val="22"/>
          <w:lang w:val="en-GB"/>
        </w:rPr>
        <w:t>whether or not</w:t>
      </w:r>
      <w:proofErr w:type="gramEnd"/>
      <w:r w:rsidRPr="00704A4F">
        <w:rPr>
          <w:rFonts w:ascii="Proxima Nova" w:eastAsia="Calibri" w:hAnsi="Proxima Nova" w:cstheme="minorHAnsi"/>
          <w:i/>
          <w:iCs/>
          <w:sz w:val="22"/>
          <w:szCs w:val="22"/>
          <w:lang w:val="en-GB"/>
        </w:rPr>
        <w:t xml:space="preserve"> we are capable of consenting to treatment. If deemed to lack capacity to consent, under mental health laws we are governed by this ‘other’ legal space, we are no longer part of the moral community, we are not moral, thinking persons, we have been legally defined as non-thinking, non-feeling.</w:t>
      </w:r>
      <w:r w:rsidRPr="00704A4F">
        <w:rPr>
          <w:rStyle w:val="EndnoteReference"/>
          <w:rFonts w:ascii="Proxima Nova" w:eastAsia="Calibri" w:hAnsi="Proxima Nova" w:cstheme="minorHAnsi"/>
          <w:sz w:val="22"/>
          <w:szCs w:val="22"/>
          <w:lang w:val="en-GB"/>
        </w:rPr>
        <w:endnoteReference w:id="284"/>
      </w:r>
    </w:p>
    <w:p w14:paraId="44DD1D7E" w14:textId="77777777" w:rsidR="00074750" w:rsidRPr="00704A4F" w:rsidRDefault="00074750" w:rsidP="00314A22">
      <w:pPr>
        <w:pStyle w:val="ListParagraph"/>
        <w:spacing w:line="276" w:lineRule="auto"/>
        <w:ind w:hanging="720"/>
        <w:rPr>
          <w:rFonts w:ascii="Proxima Nova" w:eastAsia="Calibri" w:hAnsi="Proxima Nova" w:cstheme="minorHAnsi"/>
          <w:sz w:val="22"/>
          <w:szCs w:val="22"/>
          <w:lang w:val="en"/>
        </w:rPr>
      </w:pPr>
    </w:p>
    <w:p w14:paraId="71C13879" w14:textId="14EF5EB1" w:rsidR="00074750" w:rsidRPr="00704A4F" w:rsidRDefault="00074750" w:rsidP="00314A22">
      <w:pPr>
        <w:numPr>
          <w:ilvl w:val="1"/>
          <w:numId w:val="32"/>
        </w:numPr>
        <w:spacing w:line="276" w:lineRule="auto"/>
        <w:ind w:left="720" w:hanging="720"/>
        <w:rPr>
          <w:rFonts w:ascii="Proxima Nova" w:eastAsia="Calibri" w:hAnsi="Proxima Nova" w:cstheme="minorHAnsi"/>
          <w:sz w:val="22"/>
          <w:szCs w:val="22"/>
          <w:lang w:val="en-GB"/>
        </w:rPr>
      </w:pPr>
      <w:r w:rsidRPr="00704A4F">
        <w:rPr>
          <w:rFonts w:ascii="Proxima Nova" w:eastAsia="Calibri" w:hAnsi="Proxima Nova" w:cstheme="minorHAnsi"/>
          <w:sz w:val="22"/>
          <w:szCs w:val="22"/>
          <w:lang w:val="en"/>
        </w:rPr>
        <w:t>Second,</w:t>
      </w:r>
      <w:r w:rsidRPr="00704A4F">
        <w:rPr>
          <w:rFonts w:ascii="Proxima Nova" w:eastAsia="Calibri" w:hAnsi="Proxima Nova" w:cstheme="minorHAnsi"/>
          <w:sz w:val="22"/>
          <w:szCs w:val="22"/>
          <w:lang w:val="en-GB"/>
        </w:rPr>
        <w:t xml:space="preserve"> law </w:t>
      </w:r>
      <w:r w:rsidRPr="00704A4F">
        <w:rPr>
          <w:rFonts w:ascii="Proxima Nova" w:eastAsia="Calibri" w:hAnsi="Proxima Nova" w:cstheme="minorHAnsi"/>
          <w:sz w:val="22"/>
          <w:szCs w:val="22"/>
          <w:lang w:val="en"/>
        </w:rPr>
        <w:t xml:space="preserve">contributes to epistemic violence against people with disability. </w:t>
      </w:r>
      <w:r w:rsidR="0084717E" w:rsidRPr="00704A4F">
        <w:rPr>
          <w:rFonts w:ascii="Proxima Nova" w:eastAsia="Calibri" w:hAnsi="Proxima Nova" w:cstheme="minorHAnsi"/>
          <w:sz w:val="22"/>
          <w:szCs w:val="22"/>
          <w:lang w:val="en"/>
        </w:rPr>
        <w:t>L</w:t>
      </w:r>
      <w:r w:rsidRPr="00704A4F">
        <w:rPr>
          <w:rFonts w:ascii="Proxima Nova" w:eastAsia="Calibri" w:hAnsi="Proxima Nova" w:cstheme="minorHAnsi"/>
          <w:sz w:val="22"/>
          <w:szCs w:val="22"/>
          <w:lang w:val="en"/>
        </w:rPr>
        <w:t xml:space="preserve">aws on restrictive practices contribute to hermeneutical epistemic injustice (discussed in Section 5 in the context of epistemic </w:t>
      </w:r>
      <w:r w:rsidR="00E2259F" w:rsidRPr="00704A4F">
        <w:rPr>
          <w:rFonts w:ascii="Proxima Nova" w:eastAsia="Calibri" w:hAnsi="Proxima Nova" w:cstheme="minorHAnsi"/>
          <w:sz w:val="22"/>
          <w:szCs w:val="22"/>
          <w:lang w:val="en"/>
        </w:rPr>
        <w:t>violence</w:t>
      </w:r>
      <w:r w:rsidRPr="00704A4F">
        <w:rPr>
          <w:rFonts w:ascii="Proxima Nova" w:eastAsia="Calibri" w:hAnsi="Proxima Nova" w:cstheme="minorHAnsi"/>
          <w:sz w:val="22"/>
          <w:szCs w:val="22"/>
          <w:lang w:val="en"/>
        </w:rPr>
        <w:t>) against people with disability. This is because law fails to provide the interpretive tools to see restrictive practices as violence. Further,</w:t>
      </w:r>
      <w:r w:rsidRPr="00704A4F">
        <w:rPr>
          <w:rFonts w:ascii="Proxima Nova" w:eastAsia="Calibri" w:hAnsi="Proxima Nova" w:cstheme="minorHAnsi"/>
          <w:sz w:val="22"/>
          <w:szCs w:val="22"/>
          <w:lang w:val="en-GB"/>
        </w:rPr>
        <w:t xml:space="preserve"> law compounds the epistemic injustice associated with the use of restrictive practices, because </w:t>
      </w:r>
      <w:r w:rsidRPr="00704A4F">
        <w:rPr>
          <w:rFonts w:ascii="Proxima Nova" w:eastAsia="Calibri" w:hAnsi="Proxima Nova" w:cstheme="minorHAnsi"/>
          <w:sz w:val="22"/>
          <w:szCs w:val="22"/>
          <w:lang w:val="en"/>
        </w:rPr>
        <w:lastRenderedPageBreak/>
        <w:t xml:space="preserve">laws authorising third party consent to restrictive practices </w:t>
      </w:r>
      <w:r w:rsidRPr="00704A4F">
        <w:rPr>
          <w:rFonts w:ascii="Proxima Nova" w:eastAsia="Calibri" w:hAnsi="Proxima Nova" w:cstheme="minorHAnsi"/>
          <w:sz w:val="22"/>
          <w:szCs w:val="22"/>
          <w:lang w:val="en-GB"/>
        </w:rPr>
        <w:t xml:space="preserve">explicitly remove from people with disability both the opportunity to express their </w:t>
      </w:r>
      <w:r w:rsidR="0084717E" w:rsidRPr="00704A4F">
        <w:rPr>
          <w:rFonts w:ascii="Proxima Nova" w:eastAsia="Calibri" w:hAnsi="Proxima Nova" w:cstheme="minorHAnsi"/>
          <w:sz w:val="22"/>
          <w:szCs w:val="22"/>
          <w:lang w:val="en-GB"/>
        </w:rPr>
        <w:t>choices about</w:t>
      </w:r>
      <w:r w:rsidRPr="00704A4F">
        <w:rPr>
          <w:rFonts w:ascii="Proxima Nova" w:eastAsia="Calibri" w:hAnsi="Proxima Nova" w:cstheme="minorHAnsi"/>
          <w:sz w:val="22"/>
          <w:szCs w:val="22"/>
          <w:lang w:val="en-GB"/>
        </w:rPr>
        <w:t xml:space="preserve"> their bodies and lives and the opportunity to have th</w:t>
      </w:r>
      <w:r w:rsidR="0084717E" w:rsidRPr="00704A4F">
        <w:rPr>
          <w:rFonts w:ascii="Proxima Nova" w:eastAsia="Calibri" w:hAnsi="Proxima Nova" w:cstheme="minorHAnsi"/>
          <w:sz w:val="22"/>
          <w:szCs w:val="22"/>
          <w:lang w:val="en-GB"/>
        </w:rPr>
        <w:t>eir choices</w:t>
      </w:r>
      <w:r w:rsidRPr="00704A4F">
        <w:rPr>
          <w:rFonts w:ascii="Proxima Nova" w:eastAsia="Calibri" w:hAnsi="Proxima Nova" w:cstheme="minorHAnsi"/>
          <w:sz w:val="22"/>
          <w:szCs w:val="22"/>
          <w:lang w:val="en-GB"/>
        </w:rPr>
        <w:t xml:space="preserve"> recognised by others. Moreover, l</w:t>
      </w:r>
      <w:r w:rsidRPr="00704A4F">
        <w:rPr>
          <w:rFonts w:ascii="Proxima Nova" w:eastAsia="Calibri" w:hAnsi="Proxima Nova" w:cstheme="minorHAnsi"/>
          <w:sz w:val="22"/>
          <w:szCs w:val="22"/>
          <w:lang w:val="en"/>
        </w:rPr>
        <w:t xml:space="preserve">aws </w:t>
      </w:r>
      <w:r w:rsidRPr="00704A4F">
        <w:rPr>
          <w:rFonts w:ascii="Proxima Nova" w:hAnsi="Proxima Nova" w:cstheme="minorHAnsi"/>
          <w:sz w:val="22"/>
          <w:szCs w:val="22"/>
        </w:rPr>
        <w:t xml:space="preserve">excluding some individuals who use restrictive practices from criminal responsibility and civil liability categorically deny people subject to </w:t>
      </w:r>
      <w:r w:rsidRPr="00704A4F">
        <w:rPr>
          <w:rFonts w:ascii="Proxima Nova" w:eastAsia="Calibri" w:hAnsi="Proxima Nova" w:cstheme="minorHAnsi"/>
          <w:sz w:val="22"/>
          <w:szCs w:val="22"/>
          <w:lang w:val="en"/>
        </w:rPr>
        <w:t>third party consent</w:t>
      </w:r>
      <w:r w:rsidRPr="00704A4F">
        <w:rPr>
          <w:rFonts w:ascii="Proxima Nova" w:hAnsi="Proxima Nova" w:cstheme="minorHAnsi"/>
          <w:sz w:val="22"/>
          <w:szCs w:val="22"/>
        </w:rPr>
        <w:t xml:space="preserve"> the opportunity to voice their violation in criminal and civil justice systems.</w:t>
      </w:r>
    </w:p>
    <w:p w14:paraId="1CA061A9" w14:textId="77777777" w:rsidR="00074750" w:rsidRPr="00704A4F" w:rsidRDefault="00074750" w:rsidP="00314A22">
      <w:pPr>
        <w:spacing w:line="276" w:lineRule="auto"/>
        <w:ind w:left="720" w:hanging="720"/>
        <w:rPr>
          <w:rFonts w:ascii="Proxima Nova" w:hAnsi="Proxima Nova" w:cstheme="minorHAnsi"/>
          <w:sz w:val="22"/>
          <w:szCs w:val="22"/>
          <w:lang w:val="en-GB"/>
        </w:rPr>
      </w:pPr>
      <w:bookmarkStart w:id="54" w:name="_Toc61349474"/>
      <w:bookmarkStart w:id="55" w:name="_Toc61349469"/>
    </w:p>
    <w:p w14:paraId="4FCF52DB" w14:textId="3986FF09" w:rsidR="00074750" w:rsidRPr="00704A4F" w:rsidRDefault="00074750" w:rsidP="00314A22">
      <w:pPr>
        <w:numPr>
          <w:ilvl w:val="1"/>
          <w:numId w:val="32"/>
        </w:numPr>
        <w:spacing w:line="276" w:lineRule="auto"/>
        <w:ind w:left="720" w:hanging="720"/>
        <w:rPr>
          <w:rFonts w:ascii="Proxima Nova" w:eastAsia="Calibri" w:hAnsi="Proxima Nova" w:cstheme="minorHAnsi"/>
          <w:sz w:val="22"/>
          <w:szCs w:val="22"/>
          <w:lang w:val="en"/>
        </w:rPr>
      </w:pPr>
      <w:r w:rsidRPr="00704A4F">
        <w:rPr>
          <w:rFonts w:ascii="Proxima Nova" w:eastAsia="Calibri" w:hAnsi="Proxima Nova" w:cstheme="minorHAnsi"/>
          <w:sz w:val="22"/>
          <w:szCs w:val="22"/>
          <w:lang w:val="en"/>
        </w:rPr>
        <w:t xml:space="preserve">Third, ableism is deeply entrenched in our systems of law and justice which we might intuitively turn to for protection against violence. Thus, we cannot assume that we can rely on legal and justice systems to prevent and redress violence and unseat cultural attitudes towards people with disability. Transformative change of legal and justice systems is required (including at the deeper levels of jurisdictions and foundational legal concepts). Moreover, </w:t>
      </w:r>
      <w:r w:rsidRPr="00704A4F">
        <w:rPr>
          <w:rFonts w:ascii="Proxima Nova" w:eastAsia="Calibri" w:hAnsi="Proxima Nova" w:cstheme="minorHAnsi"/>
          <w:sz w:val="22"/>
          <w:szCs w:val="22"/>
          <w:lang w:val="en-GB"/>
        </w:rPr>
        <w:t xml:space="preserve">redress schemes will need to be introduced because existing civil laws for redress will be ineffective. This has been the case with redress of historical eugenics sterilisation in the US, </w:t>
      </w:r>
      <w:r w:rsidR="00355FEA" w:rsidRPr="00704A4F">
        <w:rPr>
          <w:rFonts w:ascii="Proxima Nova" w:eastAsia="Calibri" w:hAnsi="Proxima Nova" w:cstheme="minorHAnsi"/>
          <w:sz w:val="22"/>
          <w:szCs w:val="22"/>
          <w:lang w:val="en-GB"/>
        </w:rPr>
        <w:t>Scandinavia</w:t>
      </w:r>
      <w:r w:rsidRPr="00704A4F">
        <w:rPr>
          <w:rFonts w:ascii="Proxima Nova" w:eastAsia="Calibri" w:hAnsi="Proxima Nova" w:cstheme="minorHAnsi"/>
          <w:sz w:val="22"/>
          <w:szCs w:val="22"/>
          <w:lang w:val="en-GB"/>
        </w:rPr>
        <w:t xml:space="preserve"> and Canada.</w:t>
      </w:r>
      <w:r w:rsidRPr="00704A4F">
        <w:rPr>
          <w:rFonts w:ascii="Proxima Nova" w:eastAsia="Calibri" w:hAnsi="Proxima Nova" w:cstheme="minorHAnsi"/>
          <w:sz w:val="22"/>
          <w:szCs w:val="22"/>
          <w:vertAlign w:val="superscript"/>
          <w:lang w:val="en-GB"/>
        </w:rPr>
        <w:endnoteReference w:id="285"/>
      </w:r>
      <w:r w:rsidRPr="00704A4F">
        <w:rPr>
          <w:rFonts w:ascii="Proxima Nova" w:eastAsia="Calibri" w:hAnsi="Proxima Nova" w:cstheme="minorHAnsi"/>
          <w:sz w:val="22"/>
          <w:szCs w:val="22"/>
          <w:lang w:val="en-GB"/>
        </w:rPr>
        <w:t xml:space="preserve"> Further, </w:t>
      </w:r>
      <w:r w:rsidRPr="00704A4F">
        <w:rPr>
          <w:rFonts w:ascii="Proxima Nova" w:eastAsia="Calibri" w:hAnsi="Proxima Nova" w:cstheme="minorHAnsi"/>
          <w:sz w:val="22"/>
          <w:szCs w:val="22"/>
          <w:lang w:val="en"/>
        </w:rPr>
        <w:t>we should also consider non-legal</w:t>
      </w:r>
      <w:r w:rsidR="0084717E" w:rsidRPr="00704A4F">
        <w:rPr>
          <w:rFonts w:ascii="Proxima Nova" w:eastAsia="Calibri" w:hAnsi="Proxima Nova" w:cstheme="minorHAnsi"/>
          <w:sz w:val="22"/>
          <w:szCs w:val="22"/>
          <w:lang w:val="en"/>
        </w:rPr>
        <w:t xml:space="preserve"> and</w:t>
      </w:r>
      <w:r w:rsidRPr="00704A4F">
        <w:rPr>
          <w:rFonts w:ascii="Proxima Nova" w:eastAsia="Calibri" w:hAnsi="Proxima Nova" w:cstheme="minorHAnsi"/>
          <w:sz w:val="22"/>
          <w:szCs w:val="22"/>
          <w:lang w:val="en"/>
        </w:rPr>
        <w:t xml:space="preserve"> community</w:t>
      </w:r>
      <w:r w:rsidR="0084717E" w:rsidRPr="00704A4F">
        <w:rPr>
          <w:rFonts w:ascii="Proxima Nova" w:eastAsia="Calibri" w:hAnsi="Proxima Nova" w:cstheme="minorHAnsi"/>
          <w:sz w:val="22"/>
          <w:szCs w:val="22"/>
          <w:lang w:val="en"/>
        </w:rPr>
        <w:t>-based</w:t>
      </w:r>
      <w:r w:rsidRPr="00704A4F">
        <w:rPr>
          <w:rFonts w:ascii="Proxima Nova" w:eastAsia="Calibri" w:hAnsi="Proxima Nova" w:cstheme="minorHAnsi"/>
          <w:sz w:val="22"/>
          <w:szCs w:val="22"/>
          <w:lang w:val="en"/>
        </w:rPr>
        <w:t xml:space="preserve"> approaches to redress and moral repair.</w:t>
      </w:r>
      <w:r w:rsidRPr="00704A4F">
        <w:rPr>
          <w:rFonts w:ascii="Proxima Nova" w:eastAsia="Calibri" w:hAnsi="Proxima Nova" w:cstheme="minorHAnsi"/>
          <w:sz w:val="22"/>
          <w:szCs w:val="22"/>
          <w:lang w:val="en-GB"/>
        </w:rPr>
        <w:t xml:space="preserve"> In particular, the role of the State in restrictive practices means redress must go beyond an individualised/privatised process between individual victims, and instead engage collective and transformative processes that engage the broader community and Government. This might draw on transitional justice frameworks that have been utilised in post-conflict contexts, and on memorialisation, apologies, public education and sites of conscience that engage the community in an ongoing way.</w:t>
      </w:r>
      <w:r w:rsidRPr="00704A4F">
        <w:rPr>
          <w:rFonts w:ascii="Proxima Nova" w:eastAsia="Calibri" w:hAnsi="Proxima Nova" w:cstheme="minorHAnsi"/>
          <w:sz w:val="22"/>
          <w:szCs w:val="22"/>
          <w:vertAlign w:val="superscript"/>
          <w:lang w:val="en-GB"/>
        </w:rPr>
        <w:endnoteReference w:id="286"/>
      </w:r>
      <w:r w:rsidRPr="00704A4F">
        <w:rPr>
          <w:rFonts w:ascii="Proxima Nova" w:eastAsia="Calibri" w:hAnsi="Proxima Nova" w:cstheme="minorHAnsi"/>
          <w:sz w:val="22"/>
          <w:szCs w:val="22"/>
          <w:lang w:val="en-GB"/>
        </w:rPr>
        <w:t xml:space="preserve"> The complicity of the legal profession requires further exploration and reflection by professional organisations and universities</w:t>
      </w:r>
      <w:r w:rsidRPr="00704A4F">
        <w:rPr>
          <w:rFonts w:ascii="Proxima Nova" w:eastAsia="Calibri" w:hAnsi="Proxima Nova" w:cstheme="minorHAnsi"/>
          <w:sz w:val="22"/>
          <w:szCs w:val="22"/>
          <w:lang w:val="en"/>
        </w:rPr>
        <w:t xml:space="preserve"> and consideration of how legal pedagogy can become a form of redress</w:t>
      </w:r>
      <w:r w:rsidRPr="00704A4F">
        <w:rPr>
          <w:rFonts w:ascii="Proxima Nova" w:eastAsia="Calibri" w:hAnsi="Proxima Nova" w:cstheme="minorHAnsi"/>
          <w:sz w:val="22"/>
          <w:szCs w:val="22"/>
          <w:lang w:val="en-GB"/>
        </w:rPr>
        <w:t>.</w:t>
      </w:r>
      <w:r w:rsidRPr="00704A4F">
        <w:rPr>
          <w:rStyle w:val="EndnoteReference"/>
          <w:rFonts w:ascii="Proxima Nova" w:eastAsia="Calibri" w:hAnsi="Proxima Nova" w:cstheme="minorHAnsi"/>
          <w:sz w:val="22"/>
          <w:szCs w:val="22"/>
          <w:lang w:val="en-GB"/>
        </w:rPr>
        <w:endnoteReference w:id="287"/>
      </w:r>
    </w:p>
    <w:p w14:paraId="5FAA79D1" w14:textId="77777777" w:rsidR="00074750" w:rsidRPr="00704A4F" w:rsidRDefault="00074750" w:rsidP="00314A22">
      <w:pPr>
        <w:pStyle w:val="ListParagraph"/>
        <w:spacing w:line="276" w:lineRule="auto"/>
        <w:ind w:hanging="720"/>
        <w:rPr>
          <w:rFonts w:ascii="Proxima Nova" w:eastAsia="Calibri" w:hAnsi="Proxima Nova" w:cstheme="minorHAnsi"/>
          <w:sz w:val="22"/>
          <w:szCs w:val="22"/>
          <w:lang w:val="en"/>
        </w:rPr>
      </w:pPr>
    </w:p>
    <w:p w14:paraId="4AAB6F82" w14:textId="7D08FA8F" w:rsidR="00074750" w:rsidRPr="00704A4F" w:rsidRDefault="00074750" w:rsidP="00CC7AED">
      <w:pPr>
        <w:numPr>
          <w:ilvl w:val="1"/>
          <w:numId w:val="32"/>
        </w:numPr>
        <w:spacing w:line="276" w:lineRule="auto"/>
        <w:ind w:left="720" w:hanging="720"/>
        <w:contextualSpacing/>
        <w:rPr>
          <w:rFonts w:ascii="Proxima Nova" w:eastAsia="Calibri" w:hAnsi="Proxima Nova" w:cstheme="minorHAnsi"/>
          <w:sz w:val="22"/>
          <w:szCs w:val="22"/>
          <w:lang w:val="en"/>
        </w:rPr>
      </w:pPr>
      <w:r w:rsidRPr="00704A4F">
        <w:rPr>
          <w:rFonts w:ascii="Proxima Nova" w:eastAsia="Calibri" w:hAnsi="Proxima Nova" w:cstheme="minorHAnsi"/>
          <w:sz w:val="22"/>
          <w:szCs w:val="22"/>
          <w:lang w:val="en"/>
        </w:rPr>
        <w:t>Fourth, there must be recognition of State and legal system/profession complicity in ableism. This will be quite provocative because</w:t>
      </w:r>
      <w:r w:rsidR="0084717E" w:rsidRPr="00704A4F">
        <w:rPr>
          <w:rFonts w:ascii="Proxima Nova" w:eastAsia="Calibri" w:hAnsi="Proxima Nova" w:cstheme="minorHAnsi"/>
          <w:sz w:val="22"/>
          <w:szCs w:val="22"/>
          <w:lang w:val="en"/>
        </w:rPr>
        <w:t xml:space="preserve"> of</w:t>
      </w:r>
      <w:r w:rsidRPr="00704A4F">
        <w:rPr>
          <w:rFonts w:ascii="Proxima Nova" w:eastAsia="Calibri" w:hAnsi="Proxima Nova" w:cstheme="minorHAnsi"/>
          <w:sz w:val="22"/>
          <w:szCs w:val="22"/>
          <w:lang w:val="en"/>
        </w:rPr>
        <w:t xml:space="preserve"> the conventional framing of guardianship law, mental health law, and </w:t>
      </w:r>
      <w:r w:rsidR="0084717E" w:rsidRPr="00704A4F">
        <w:rPr>
          <w:rFonts w:ascii="Proxima Nova" w:eastAsia="Calibri" w:hAnsi="Proxima Nova" w:cstheme="minorHAnsi"/>
          <w:sz w:val="22"/>
          <w:szCs w:val="22"/>
          <w:lang w:val="en"/>
        </w:rPr>
        <w:t xml:space="preserve">the common law doctrine of </w:t>
      </w:r>
      <w:r w:rsidRPr="00704A4F">
        <w:rPr>
          <w:rFonts w:ascii="Proxima Nova" w:eastAsia="Calibri" w:hAnsi="Proxima Nova" w:cstheme="minorHAnsi"/>
          <w:sz w:val="22"/>
          <w:szCs w:val="22"/>
          <w:lang w:val="en"/>
        </w:rPr>
        <w:t xml:space="preserve">parens patriae as protective. </w:t>
      </w:r>
    </w:p>
    <w:p w14:paraId="66CBBB39" w14:textId="77777777" w:rsidR="0084717E" w:rsidRPr="00704A4F" w:rsidRDefault="0084717E" w:rsidP="0084717E">
      <w:pPr>
        <w:pStyle w:val="ListParagraph"/>
        <w:rPr>
          <w:rFonts w:ascii="Proxima Nova" w:eastAsia="Calibri" w:hAnsi="Proxima Nova" w:cstheme="minorHAnsi"/>
          <w:sz w:val="22"/>
          <w:szCs w:val="22"/>
          <w:lang w:val="en"/>
        </w:rPr>
      </w:pPr>
    </w:p>
    <w:p w14:paraId="2DE1B28F" w14:textId="186259D1" w:rsidR="00074750" w:rsidRPr="00704A4F" w:rsidRDefault="00074750" w:rsidP="00314A22">
      <w:pPr>
        <w:numPr>
          <w:ilvl w:val="1"/>
          <w:numId w:val="32"/>
        </w:numPr>
        <w:spacing w:line="276" w:lineRule="auto"/>
        <w:ind w:left="720" w:hanging="720"/>
        <w:rPr>
          <w:rFonts w:ascii="Proxima Nova" w:eastAsia="Calibri" w:hAnsi="Proxima Nova" w:cstheme="minorHAnsi"/>
          <w:sz w:val="22"/>
          <w:szCs w:val="22"/>
          <w:lang w:val="en-GB"/>
        </w:rPr>
      </w:pPr>
      <w:r w:rsidRPr="00704A4F">
        <w:rPr>
          <w:rFonts w:ascii="Proxima Nova" w:eastAsia="Calibri" w:hAnsi="Proxima Nova" w:cstheme="minorHAnsi"/>
          <w:sz w:val="22"/>
          <w:szCs w:val="22"/>
          <w:lang w:val="en"/>
        </w:rPr>
        <w:t>Fifth, it is important to note that many ableist legal concepts (</w:t>
      </w:r>
      <w:proofErr w:type="gramStart"/>
      <w:r w:rsidRPr="00704A4F">
        <w:rPr>
          <w:rFonts w:ascii="Proxima Nova" w:eastAsia="Calibri" w:hAnsi="Proxima Nova" w:cstheme="minorHAnsi"/>
          <w:sz w:val="22"/>
          <w:szCs w:val="22"/>
          <w:lang w:val="en"/>
        </w:rPr>
        <w:t>e.g.</w:t>
      </w:r>
      <w:proofErr w:type="gramEnd"/>
      <w:r w:rsidRPr="00704A4F">
        <w:rPr>
          <w:rFonts w:ascii="Proxima Nova" w:eastAsia="Calibri" w:hAnsi="Proxima Nova" w:cstheme="minorHAnsi"/>
          <w:sz w:val="22"/>
          <w:szCs w:val="22"/>
          <w:lang w:val="en"/>
        </w:rPr>
        <w:t xml:space="preserve"> ‘capacity’) and jurisdictions (e.g. mental health, </w:t>
      </w:r>
      <w:r w:rsidR="0084717E" w:rsidRPr="00704A4F">
        <w:rPr>
          <w:rFonts w:ascii="Proxima Nova" w:eastAsia="Calibri" w:hAnsi="Proxima Nova" w:cstheme="minorHAnsi"/>
          <w:sz w:val="22"/>
          <w:szCs w:val="22"/>
          <w:lang w:val="en"/>
        </w:rPr>
        <w:t>guardianship</w:t>
      </w:r>
      <w:r w:rsidRPr="00704A4F">
        <w:rPr>
          <w:rFonts w:ascii="Proxima Nova" w:eastAsia="Calibri" w:hAnsi="Proxima Nova" w:cstheme="minorHAnsi"/>
          <w:sz w:val="22"/>
          <w:szCs w:val="22"/>
          <w:lang w:val="en"/>
        </w:rPr>
        <w:t>) that provide the legal framing of gendered ableist legal violence are deeply embedded within the structure of the Australian legal system and our understandings of the rule of law (notably in terms of defining the limits of the legal system in relation to the non-disabled). Consequently, abolishing ableist legal violence will require transformative change of the entire legal system.</w:t>
      </w:r>
      <w:r w:rsidRPr="00704A4F">
        <w:rPr>
          <w:rStyle w:val="EndnoteReference"/>
          <w:rFonts w:ascii="Proxima Nova" w:eastAsia="Calibri" w:hAnsi="Proxima Nova" w:cstheme="minorHAnsi"/>
          <w:sz w:val="22"/>
          <w:szCs w:val="22"/>
          <w:lang w:val="en"/>
        </w:rPr>
        <w:endnoteReference w:id="288"/>
      </w:r>
      <w:r w:rsidRPr="00704A4F">
        <w:rPr>
          <w:rFonts w:ascii="Proxima Nova" w:eastAsia="Calibri" w:hAnsi="Proxima Nova" w:cstheme="minorHAnsi"/>
          <w:sz w:val="22"/>
          <w:szCs w:val="22"/>
          <w:lang w:val="en"/>
        </w:rPr>
        <w:t xml:space="preserve"> </w:t>
      </w:r>
    </w:p>
    <w:p w14:paraId="468BD3BE" w14:textId="77777777" w:rsidR="00074750" w:rsidRPr="00704A4F" w:rsidRDefault="00074750" w:rsidP="00314A22">
      <w:pPr>
        <w:pStyle w:val="ListParagraph"/>
        <w:spacing w:line="276" w:lineRule="auto"/>
        <w:ind w:hanging="720"/>
        <w:rPr>
          <w:rFonts w:ascii="Proxima Nova" w:eastAsia="Calibri" w:hAnsi="Proxima Nova" w:cstheme="minorHAnsi"/>
          <w:sz w:val="22"/>
          <w:szCs w:val="22"/>
        </w:rPr>
      </w:pPr>
    </w:p>
    <w:p w14:paraId="7D46F7E9" w14:textId="46A4455D" w:rsidR="00074750" w:rsidRPr="00704A4F" w:rsidRDefault="00074750" w:rsidP="00314A22">
      <w:pPr>
        <w:numPr>
          <w:ilvl w:val="1"/>
          <w:numId w:val="32"/>
        </w:numPr>
        <w:spacing w:line="276" w:lineRule="auto"/>
        <w:ind w:left="720" w:hanging="720"/>
        <w:rPr>
          <w:rFonts w:ascii="Proxima Nova" w:eastAsia="Calibri" w:hAnsi="Proxima Nova" w:cstheme="minorHAnsi"/>
          <w:sz w:val="22"/>
          <w:szCs w:val="22"/>
          <w:lang w:val="en-GB"/>
        </w:rPr>
      </w:pPr>
      <w:r w:rsidRPr="00704A4F">
        <w:rPr>
          <w:rFonts w:ascii="Proxima Nova" w:eastAsia="Calibri" w:hAnsi="Proxima Nova" w:cstheme="minorHAnsi"/>
          <w:sz w:val="22"/>
          <w:szCs w:val="22"/>
          <w:lang w:val="en"/>
        </w:rPr>
        <w:t>Yet, t</w:t>
      </w:r>
      <w:r w:rsidRPr="00704A4F">
        <w:rPr>
          <w:rFonts w:ascii="Proxima Nova" w:eastAsia="Calibri" w:hAnsi="Proxima Nova" w:cstheme="minorHAnsi"/>
          <w:sz w:val="22"/>
          <w:szCs w:val="22"/>
          <w:lang w:val="en-GB"/>
        </w:rPr>
        <w:t xml:space="preserve">o date, the Royal Commission has not confronted ableism in law, including in the context of restrictive practices. It has </w:t>
      </w:r>
      <w:r w:rsidR="006568F2" w:rsidRPr="00704A4F">
        <w:rPr>
          <w:rFonts w:ascii="Proxima Nova" w:eastAsia="Calibri" w:hAnsi="Proxima Nova" w:cstheme="minorHAnsi"/>
          <w:sz w:val="22"/>
          <w:szCs w:val="22"/>
          <w:lang w:val="en-GB"/>
        </w:rPr>
        <w:t>not considered</w:t>
      </w:r>
      <w:r w:rsidRPr="00704A4F">
        <w:rPr>
          <w:rFonts w:ascii="Proxima Nova" w:eastAsia="Calibri" w:hAnsi="Proxima Nova" w:cstheme="minorHAnsi"/>
          <w:sz w:val="22"/>
          <w:szCs w:val="22"/>
          <w:lang w:val="en-GB"/>
        </w:rPr>
        <w:t xml:space="preserve"> prohibiting restrictive practices and abolishing legal frameworks that enable restrictive practices. Rather, taking an ‘on the ground’ focus on use which overlooks the prior legal authorisation of use, the Royal Commission refers to preventing and avoiding the use of restrictive practices:</w:t>
      </w:r>
    </w:p>
    <w:p w14:paraId="26A1A852" w14:textId="77777777" w:rsidR="00074750" w:rsidRPr="00704A4F" w:rsidRDefault="00074750" w:rsidP="00314A22">
      <w:pPr>
        <w:spacing w:line="276" w:lineRule="auto"/>
        <w:ind w:left="720" w:hanging="720"/>
        <w:rPr>
          <w:rFonts w:ascii="Proxima Nova" w:eastAsia="Calibri" w:hAnsi="Proxima Nova" w:cstheme="minorHAnsi"/>
          <w:sz w:val="22"/>
          <w:szCs w:val="22"/>
          <w:lang w:val="en-GB"/>
        </w:rPr>
      </w:pPr>
    </w:p>
    <w:p w14:paraId="22C3233D" w14:textId="77777777" w:rsidR="00074750" w:rsidRPr="00704A4F" w:rsidRDefault="00074750" w:rsidP="004D5646">
      <w:pPr>
        <w:spacing w:line="276" w:lineRule="auto"/>
        <w:ind w:left="1134"/>
        <w:rPr>
          <w:rFonts w:ascii="Proxima Nova" w:hAnsi="Proxima Nova" w:cstheme="minorHAnsi"/>
          <w:sz w:val="22"/>
          <w:szCs w:val="22"/>
        </w:rPr>
      </w:pPr>
      <w:r w:rsidRPr="00704A4F">
        <w:rPr>
          <w:rFonts w:ascii="Proxima Nova" w:hAnsi="Proxima Nova" w:cstheme="minorHAnsi"/>
          <w:i/>
          <w:iCs/>
          <w:sz w:val="22"/>
          <w:szCs w:val="22"/>
        </w:rPr>
        <w:t>We would like to hear more about how the use of restrictive practices can be avoided. This includes hearing about alternative measures and strategies to restrictive practices to ensure people are safe and protected from harm.</w:t>
      </w:r>
      <w:r w:rsidRPr="00704A4F">
        <w:rPr>
          <w:rStyle w:val="EndnoteReference"/>
          <w:rFonts w:ascii="Proxima Nova" w:hAnsi="Proxima Nova" w:cstheme="minorHAnsi"/>
          <w:sz w:val="22"/>
          <w:szCs w:val="22"/>
        </w:rPr>
        <w:endnoteReference w:id="289"/>
      </w:r>
    </w:p>
    <w:p w14:paraId="332B9FA5" w14:textId="77777777" w:rsidR="00074750" w:rsidRPr="00704A4F" w:rsidRDefault="00074750" w:rsidP="004D5646">
      <w:pPr>
        <w:spacing w:line="276" w:lineRule="auto"/>
        <w:rPr>
          <w:rFonts w:ascii="Proxima Nova" w:hAnsi="Proxima Nova" w:cstheme="minorHAnsi"/>
          <w:sz w:val="22"/>
          <w:szCs w:val="22"/>
        </w:rPr>
      </w:pPr>
    </w:p>
    <w:p w14:paraId="2B985788" w14:textId="6FF857D6" w:rsidR="00074750" w:rsidRPr="00704A4F" w:rsidRDefault="00074750" w:rsidP="00314A22">
      <w:pPr>
        <w:numPr>
          <w:ilvl w:val="1"/>
          <w:numId w:val="32"/>
        </w:numPr>
        <w:spacing w:line="276" w:lineRule="auto"/>
        <w:ind w:left="720" w:hanging="720"/>
        <w:rPr>
          <w:rFonts w:ascii="Proxima Nova" w:eastAsia="Calibri" w:hAnsi="Proxima Nova" w:cstheme="minorHAnsi"/>
          <w:sz w:val="22"/>
          <w:szCs w:val="22"/>
          <w:lang w:val="en-GB"/>
        </w:rPr>
      </w:pPr>
      <w:r w:rsidRPr="00704A4F">
        <w:rPr>
          <w:rFonts w:ascii="Proxima Nova" w:eastAsia="Calibri" w:hAnsi="Proxima Nova" w:cstheme="minorHAnsi"/>
          <w:sz w:val="22"/>
          <w:szCs w:val="22"/>
          <w:lang w:val="en-GB"/>
        </w:rPr>
        <w:t>To ‘avoid’ is to keep clear of something that exists. Thus, the Royal Commission’s framing of the issue in terms of avoidance (rather than probation and abolition) implicitly assumes the continued existence and use of restrictive practices, albeit potentially reduced. In a similar vein, the Royal Commission also states in the</w:t>
      </w:r>
      <w:r w:rsidR="003509C3" w:rsidRPr="00704A4F">
        <w:rPr>
          <w:rFonts w:ascii="Proxima Nova" w:eastAsia="Calibri" w:hAnsi="Proxima Nova" w:cstheme="minorHAnsi"/>
          <w:sz w:val="22"/>
          <w:szCs w:val="22"/>
          <w:lang w:val="en-GB"/>
        </w:rPr>
        <w:t xml:space="preserve"> </w:t>
      </w:r>
      <w:r w:rsidR="003509C3" w:rsidRPr="00704A4F">
        <w:rPr>
          <w:rFonts w:ascii="Proxima Nova" w:hAnsi="Proxima Nova" w:cs="Calibri"/>
          <w:sz w:val="22"/>
          <w:szCs w:val="22"/>
        </w:rPr>
        <w:t>Restrictive Practices</w:t>
      </w:r>
      <w:r w:rsidRPr="00704A4F">
        <w:rPr>
          <w:rFonts w:ascii="Proxima Nova" w:eastAsia="Calibri" w:hAnsi="Proxima Nova" w:cstheme="minorHAnsi"/>
          <w:sz w:val="22"/>
          <w:szCs w:val="22"/>
          <w:lang w:val="en-GB"/>
        </w:rPr>
        <w:t xml:space="preserve"> Issues Paper:</w:t>
      </w:r>
    </w:p>
    <w:p w14:paraId="0E62C70A" w14:textId="77777777" w:rsidR="00074750" w:rsidRPr="00704A4F" w:rsidRDefault="00074750" w:rsidP="004D5646">
      <w:pPr>
        <w:spacing w:line="276" w:lineRule="auto"/>
        <w:ind w:left="720"/>
        <w:rPr>
          <w:rFonts w:ascii="Proxima Nova" w:eastAsia="Calibri" w:hAnsi="Proxima Nova" w:cstheme="minorHAnsi"/>
          <w:sz w:val="22"/>
          <w:szCs w:val="22"/>
          <w:lang w:val="en-GB"/>
        </w:rPr>
      </w:pPr>
    </w:p>
    <w:p w14:paraId="7E7A7ACF" w14:textId="77777777" w:rsidR="00074750" w:rsidRPr="00704A4F" w:rsidRDefault="00074750" w:rsidP="004D5646">
      <w:pPr>
        <w:spacing w:line="276" w:lineRule="auto"/>
        <w:ind w:left="1134"/>
        <w:rPr>
          <w:rFonts w:ascii="Proxima Nova" w:hAnsi="Proxima Nova" w:cstheme="minorHAnsi"/>
          <w:sz w:val="22"/>
          <w:szCs w:val="22"/>
        </w:rPr>
      </w:pPr>
      <w:r w:rsidRPr="00704A4F">
        <w:rPr>
          <w:rFonts w:ascii="Proxima Nova" w:hAnsi="Proxima Nova" w:cstheme="minorHAnsi"/>
          <w:i/>
          <w:iCs/>
          <w:sz w:val="22"/>
          <w:szCs w:val="22"/>
        </w:rPr>
        <w:t>We are interested in understanding how laws, policies and practices that apply to restrictive practices can better support and enable people with disability across their lives.</w:t>
      </w:r>
      <w:r w:rsidRPr="00704A4F">
        <w:rPr>
          <w:rStyle w:val="EndnoteReference"/>
          <w:rFonts w:ascii="Proxima Nova" w:hAnsi="Proxima Nova" w:cstheme="minorHAnsi"/>
          <w:sz w:val="22"/>
          <w:szCs w:val="22"/>
        </w:rPr>
        <w:endnoteReference w:id="290"/>
      </w:r>
      <w:r w:rsidRPr="00704A4F">
        <w:rPr>
          <w:rFonts w:ascii="Proxima Nova" w:hAnsi="Proxima Nova" w:cstheme="minorHAnsi"/>
          <w:sz w:val="22"/>
          <w:szCs w:val="22"/>
        </w:rPr>
        <w:t xml:space="preserve"> </w:t>
      </w:r>
    </w:p>
    <w:p w14:paraId="3BC64F89" w14:textId="77777777" w:rsidR="00074750" w:rsidRPr="00704A4F" w:rsidRDefault="00074750" w:rsidP="004D5646">
      <w:pPr>
        <w:spacing w:line="276" w:lineRule="auto"/>
        <w:ind w:left="720"/>
        <w:contextualSpacing/>
        <w:rPr>
          <w:rFonts w:ascii="Proxima Nova" w:eastAsia="Calibri" w:hAnsi="Proxima Nova" w:cstheme="minorHAnsi"/>
          <w:sz w:val="22"/>
          <w:szCs w:val="22"/>
          <w:lang w:val="en"/>
        </w:rPr>
      </w:pPr>
    </w:p>
    <w:p w14:paraId="41E609D2" w14:textId="7139D11E" w:rsidR="00074750" w:rsidRPr="00704A4F" w:rsidRDefault="00074750" w:rsidP="00314A22">
      <w:pPr>
        <w:spacing w:line="276" w:lineRule="auto"/>
        <w:ind w:left="720"/>
        <w:contextualSpacing/>
        <w:rPr>
          <w:rFonts w:ascii="Proxima Nova" w:eastAsia="Calibri" w:hAnsi="Proxima Nova" w:cstheme="minorHAnsi"/>
          <w:sz w:val="22"/>
          <w:szCs w:val="22"/>
          <w:lang w:val="en"/>
        </w:rPr>
      </w:pPr>
      <w:r w:rsidRPr="00704A4F">
        <w:rPr>
          <w:rFonts w:ascii="Proxima Nova" w:eastAsia="Calibri" w:hAnsi="Proxima Nova" w:cstheme="minorHAnsi"/>
          <w:sz w:val="22"/>
          <w:szCs w:val="22"/>
          <w:lang w:val="en"/>
        </w:rPr>
        <w:t xml:space="preserve">This </w:t>
      </w:r>
      <w:r w:rsidR="006568F2" w:rsidRPr="00704A4F">
        <w:rPr>
          <w:rFonts w:ascii="Proxima Nova" w:eastAsia="Calibri" w:hAnsi="Proxima Nova" w:cstheme="minorHAnsi"/>
          <w:sz w:val="22"/>
          <w:szCs w:val="22"/>
          <w:lang w:val="en"/>
        </w:rPr>
        <w:t>statement is</w:t>
      </w:r>
      <w:r w:rsidRPr="00704A4F">
        <w:rPr>
          <w:rFonts w:ascii="Proxima Nova" w:eastAsia="Calibri" w:hAnsi="Proxima Nova" w:cstheme="minorHAnsi"/>
          <w:sz w:val="22"/>
          <w:szCs w:val="22"/>
          <w:lang w:val="en"/>
        </w:rPr>
        <w:t xml:space="preserve"> concerning because it </w:t>
      </w:r>
      <w:r w:rsidR="006568F2" w:rsidRPr="00704A4F">
        <w:rPr>
          <w:rFonts w:ascii="Proxima Nova" w:eastAsia="Calibri" w:hAnsi="Proxima Nova" w:cstheme="minorHAnsi"/>
          <w:sz w:val="22"/>
          <w:szCs w:val="22"/>
          <w:lang w:val="en"/>
        </w:rPr>
        <w:t xml:space="preserve">gives rise to a perverse logic of achieving empowerment and support for people with disability through violence. </w:t>
      </w:r>
    </w:p>
    <w:bookmarkEnd w:id="54"/>
    <w:bookmarkEnd w:id="55"/>
    <w:p w14:paraId="6E50C75F" w14:textId="77777777" w:rsidR="000E51CB" w:rsidRPr="00704A4F" w:rsidRDefault="000E51CB" w:rsidP="000E51CB">
      <w:pPr>
        <w:autoSpaceDE w:val="0"/>
        <w:autoSpaceDN w:val="0"/>
        <w:adjustRightInd w:val="0"/>
        <w:spacing w:line="276" w:lineRule="auto"/>
        <w:rPr>
          <w:rFonts w:ascii="Proxima Nova" w:hAnsi="Proxima Nova" w:cstheme="minorHAnsi"/>
          <w:sz w:val="22"/>
          <w:szCs w:val="22"/>
          <w:lang w:val="en"/>
        </w:rPr>
      </w:pPr>
    </w:p>
    <w:p w14:paraId="2BFD865E" w14:textId="3DE5C70A" w:rsidR="000E51CB" w:rsidRPr="00B901C0" w:rsidRDefault="000E51CB" w:rsidP="000E51CB">
      <w:pPr>
        <w:spacing w:line="276" w:lineRule="auto"/>
        <w:rPr>
          <w:rFonts w:ascii="Proxima Nova" w:hAnsi="Proxima Nova" w:cstheme="minorHAnsi"/>
        </w:rPr>
      </w:pPr>
      <w:r w:rsidRPr="00B901C0">
        <w:rPr>
          <w:rFonts w:ascii="Proxima Nova" w:hAnsi="Proxima Nova"/>
          <w:b/>
          <w:color w:val="AC1F79"/>
        </w:rPr>
        <w:t>NDIS and Legal Violence</w:t>
      </w:r>
    </w:p>
    <w:p w14:paraId="67992ED0" w14:textId="77777777" w:rsidR="009C4FB9" w:rsidRPr="00704A4F" w:rsidRDefault="009C4FB9" w:rsidP="00704A4F">
      <w:pPr>
        <w:spacing w:line="276" w:lineRule="auto"/>
        <w:rPr>
          <w:rFonts w:ascii="Proxima Nova" w:eastAsia="Calibri" w:hAnsi="Proxima Nova" w:cstheme="minorHAnsi"/>
          <w:sz w:val="22"/>
          <w:szCs w:val="22"/>
          <w:lang w:val="en"/>
        </w:rPr>
      </w:pPr>
    </w:p>
    <w:p w14:paraId="1C0ECBE5" w14:textId="5218704C" w:rsidR="00074750" w:rsidRPr="00704A4F" w:rsidRDefault="00CD5DCE" w:rsidP="00704A4F">
      <w:pPr>
        <w:pStyle w:val="ListParagraph"/>
        <w:widowControl w:val="0"/>
        <w:numPr>
          <w:ilvl w:val="1"/>
          <w:numId w:val="32"/>
        </w:numPr>
        <w:autoSpaceDE w:val="0"/>
        <w:autoSpaceDN w:val="0"/>
        <w:adjustRightInd w:val="0"/>
        <w:spacing w:line="276" w:lineRule="auto"/>
        <w:ind w:left="720" w:hanging="720"/>
        <w:rPr>
          <w:rFonts w:ascii="Proxima Nova" w:eastAsia="Calibri" w:hAnsi="Proxima Nova" w:cstheme="minorHAnsi"/>
          <w:color w:val="000000"/>
          <w:sz w:val="22"/>
          <w:szCs w:val="22"/>
        </w:rPr>
      </w:pPr>
      <w:r w:rsidRPr="00704A4F">
        <w:rPr>
          <w:rFonts w:ascii="Proxima Nova" w:eastAsia="Calibri" w:hAnsi="Proxima Nova" w:cstheme="minorHAnsi"/>
          <w:sz w:val="22"/>
          <w:szCs w:val="22"/>
        </w:rPr>
        <w:t xml:space="preserve">The NDIS </w:t>
      </w:r>
      <w:r w:rsidRPr="00704A4F">
        <w:rPr>
          <w:rFonts w:ascii="Proxima Nova" w:eastAsia="Calibri" w:hAnsi="Proxima Nova" w:cstheme="minorHAnsi"/>
          <w:color w:val="000000"/>
          <w:sz w:val="22"/>
          <w:szCs w:val="22"/>
        </w:rPr>
        <w:t>is a universal scheme that funds ‘reasonable and necessary’ supports for Australians with permanent and significant disability, and which is currently being rolled out across Australia.</w:t>
      </w:r>
      <w:r w:rsidRPr="00704A4F">
        <w:rPr>
          <w:rFonts w:ascii="Proxima Nova" w:hAnsi="Proxima Nova"/>
          <w:sz w:val="22"/>
          <w:szCs w:val="22"/>
          <w:vertAlign w:val="superscript"/>
        </w:rPr>
        <w:endnoteReference w:id="291"/>
      </w:r>
      <w:r w:rsidRPr="00704A4F">
        <w:rPr>
          <w:rFonts w:ascii="Proxima Nova" w:eastAsia="Calibri" w:hAnsi="Proxima Nova" w:cstheme="minorHAnsi"/>
          <w:color w:val="000000"/>
          <w:sz w:val="22"/>
          <w:szCs w:val="22"/>
        </w:rPr>
        <w:t xml:space="preserve"> </w:t>
      </w:r>
      <w:r w:rsidR="00074750" w:rsidRPr="00704A4F">
        <w:rPr>
          <w:rFonts w:ascii="Proxima Nova" w:eastAsia="Calibri" w:hAnsi="Proxima Nova" w:cstheme="minorHAnsi"/>
          <w:sz w:val="22"/>
          <w:szCs w:val="22"/>
        </w:rPr>
        <w:t>T</w:t>
      </w:r>
      <w:r w:rsidRPr="00704A4F">
        <w:rPr>
          <w:rFonts w:ascii="Proxima Nova" w:eastAsia="Calibri" w:hAnsi="Proxima Nova" w:cstheme="minorHAnsi"/>
          <w:sz w:val="22"/>
          <w:szCs w:val="22"/>
        </w:rPr>
        <w:t>he NDIS Act (2013) clearly articulates that one of the objects of the NDIS is to ‘give effect to Australia’s obligations under the Convention on the Rights of Persons with Disabilities’</w:t>
      </w:r>
      <w:r w:rsidR="00074750" w:rsidRPr="00704A4F">
        <w:rPr>
          <w:rFonts w:ascii="Proxima Nova" w:eastAsia="Calibri" w:hAnsi="Proxima Nova" w:cstheme="minorHAnsi"/>
          <w:sz w:val="22"/>
          <w:szCs w:val="22"/>
        </w:rPr>
        <w:t>.</w:t>
      </w:r>
      <w:r w:rsidRPr="00704A4F">
        <w:rPr>
          <w:rStyle w:val="EndnoteReference"/>
          <w:rFonts w:ascii="Proxima Nova" w:eastAsia="Calibri" w:hAnsi="Proxima Nova" w:cstheme="minorHAnsi"/>
          <w:sz w:val="22"/>
          <w:szCs w:val="22"/>
        </w:rPr>
        <w:endnoteReference w:id="292"/>
      </w:r>
      <w:r w:rsidR="00074750" w:rsidRPr="00704A4F">
        <w:rPr>
          <w:rFonts w:ascii="Proxima Nova" w:eastAsia="Calibri" w:hAnsi="Proxima Nova" w:cstheme="minorHAnsi"/>
          <w:sz w:val="22"/>
          <w:szCs w:val="22"/>
        </w:rPr>
        <w:t xml:space="preserve"> Moreover, it has been framed as enhancing autonomy and inclusion of people with disability; the objects of the NDIS Act (2013) include:</w:t>
      </w:r>
    </w:p>
    <w:p w14:paraId="61369E70" w14:textId="77777777" w:rsidR="00074750" w:rsidRPr="00704A4F" w:rsidRDefault="00074750" w:rsidP="00704A4F">
      <w:pPr>
        <w:widowControl w:val="0"/>
        <w:autoSpaceDE w:val="0"/>
        <w:autoSpaceDN w:val="0"/>
        <w:adjustRightInd w:val="0"/>
        <w:spacing w:line="276" w:lineRule="auto"/>
        <w:rPr>
          <w:rFonts w:ascii="Proxima Nova" w:eastAsia="Calibri" w:hAnsi="Proxima Nova" w:cstheme="minorHAnsi"/>
          <w:sz w:val="22"/>
          <w:szCs w:val="22"/>
        </w:rPr>
      </w:pPr>
    </w:p>
    <w:p w14:paraId="59CC5571" w14:textId="602CE724" w:rsidR="00074750" w:rsidRPr="00704A4F" w:rsidRDefault="00074750" w:rsidP="00704A4F">
      <w:pPr>
        <w:spacing w:line="276" w:lineRule="auto"/>
        <w:ind w:left="1134"/>
        <w:rPr>
          <w:rFonts w:ascii="Proxima Nova" w:hAnsi="Proxima Nova" w:cstheme="minorHAnsi"/>
          <w:i/>
          <w:iCs/>
          <w:sz w:val="22"/>
          <w:szCs w:val="22"/>
          <w:lang w:eastAsia="en-AU"/>
        </w:rPr>
      </w:pPr>
      <w:r w:rsidRPr="00704A4F">
        <w:rPr>
          <w:rFonts w:ascii="Proxima Nova" w:hAnsi="Proxima Nova" w:cstheme="minorHAnsi"/>
          <w:i/>
          <w:iCs/>
          <w:sz w:val="22"/>
          <w:szCs w:val="22"/>
          <w:lang w:eastAsia="en-AU"/>
        </w:rPr>
        <w:t>support the independence and social and economic participation of people with disability; …</w:t>
      </w:r>
    </w:p>
    <w:p w14:paraId="2B0AFD08" w14:textId="7F3D3E9B" w:rsidR="00074750" w:rsidRPr="00704A4F" w:rsidRDefault="00074750" w:rsidP="00704A4F">
      <w:pPr>
        <w:spacing w:line="276" w:lineRule="auto"/>
        <w:ind w:left="1134"/>
        <w:rPr>
          <w:rFonts w:ascii="Proxima Nova" w:hAnsi="Proxima Nova" w:cstheme="minorHAnsi"/>
          <w:sz w:val="22"/>
          <w:szCs w:val="22"/>
          <w:lang w:eastAsia="en-AU"/>
        </w:rPr>
      </w:pPr>
      <w:r w:rsidRPr="00704A4F">
        <w:rPr>
          <w:rFonts w:ascii="Proxima Nova" w:hAnsi="Proxima Nova" w:cstheme="minorHAnsi"/>
          <w:i/>
          <w:iCs/>
          <w:sz w:val="22"/>
          <w:szCs w:val="22"/>
          <w:lang w:eastAsia="en-AU"/>
        </w:rPr>
        <w:t>enable people with disability to exercise choice and control in the pursuit of their goals and the planning and delivery of their supports;</w:t>
      </w:r>
      <w:r w:rsidRPr="00704A4F">
        <w:rPr>
          <w:rStyle w:val="EndnoteReference"/>
          <w:rFonts w:ascii="Proxima Nova" w:hAnsi="Proxima Nova" w:cstheme="minorHAnsi"/>
          <w:sz w:val="22"/>
          <w:szCs w:val="22"/>
          <w:lang w:eastAsia="en-AU"/>
        </w:rPr>
        <w:endnoteReference w:id="293"/>
      </w:r>
    </w:p>
    <w:p w14:paraId="272C9D92" w14:textId="77777777" w:rsidR="00074750" w:rsidRPr="00704A4F" w:rsidRDefault="00074750" w:rsidP="00704A4F">
      <w:pPr>
        <w:widowControl w:val="0"/>
        <w:autoSpaceDE w:val="0"/>
        <w:autoSpaceDN w:val="0"/>
        <w:adjustRightInd w:val="0"/>
        <w:spacing w:line="276" w:lineRule="auto"/>
        <w:ind w:left="720" w:hanging="720"/>
        <w:rPr>
          <w:rFonts w:ascii="Proxima Nova" w:eastAsia="Calibri" w:hAnsi="Proxima Nova" w:cstheme="minorHAnsi"/>
          <w:color w:val="000000"/>
          <w:sz w:val="22"/>
          <w:szCs w:val="22"/>
        </w:rPr>
      </w:pPr>
    </w:p>
    <w:p w14:paraId="46F0B7CA" w14:textId="27461901" w:rsidR="00CD5DCE" w:rsidRPr="00704A4F" w:rsidRDefault="00074750" w:rsidP="00704A4F">
      <w:pPr>
        <w:pStyle w:val="ListParagraph"/>
        <w:widowControl w:val="0"/>
        <w:numPr>
          <w:ilvl w:val="1"/>
          <w:numId w:val="32"/>
        </w:numPr>
        <w:autoSpaceDE w:val="0"/>
        <w:autoSpaceDN w:val="0"/>
        <w:adjustRightInd w:val="0"/>
        <w:spacing w:line="276" w:lineRule="auto"/>
        <w:ind w:left="720" w:hanging="720"/>
        <w:rPr>
          <w:rFonts w:ascii="Proxima Nova" w:eastAsia="Calibri" w:hAnsi="Proxima Nova" w:cstheme="minorHAnsi"/>
          <w:color w:val="000000"/>
          <w:sz w:val="22"/>
          <w:szCs w:val="22"/>
        </w:rPr>
      </w:pPr>
      <w:r w:rsidRPr="00704A4F">
        <w:rPr>
          <w:rFonts w:ascii="Proxima Nova" w:eastAsia="Calibri" w:hAnsi="Proxima Nova" w:cstheme="minorHAnsi"/>
          <w:sz w:val="22"/>
          <w:szCs w:val="22"/>
        </w:rPr>
        <w:t xml:space="preserve">Despite its ideals, </w:t>
      </w:r>
      <w:r w:rsidR="00CD5DCE" w:rsidRPr="00704A4F">
        <w:rPr>
          <w:rFonts w:ascii="Proxima Nova" w:eastAsia="Calibri" w:hAnsi="Proxima Nova" w:cstheme="minorHAnsi"/>
          <w:sz w:val="22"/>
          <w:szCs w:val="22"/>
        </w:rPr>
        <w:t xml:space="preserve">the NDIS regulates, rather than prohibits, restrictive practices through the National Disability Insurance Scheme (Restrictive Practices and Behaviour Support) Rules 2018, in concert with State/Territory substitute decision-making laws. In order to use restrictive practices, </w:t>
      </w:r>
      <w:r w:rsidR="00CD5DCE" w:rsidRPr="00704A4F">
        <w:rPr>
          <w:rFonts w:ascii="Proxima Nova" w:eastAsia="Calibri" w:hAnsi="Proxima Nova" w:cstheme="minorHAnsi"/>
          <w:sz w:val="22"/>
          <w:szCs w:val="22"/>
          <w:shd w:val="clear" w:color="auto" w:fill="FFFFFF"/>
        </w:rPr>
        <w:t>NDIS providers must provide the NDISQSC with a behaviour support plan</w:t>
      </w:r>
      <w:r w:rsidR="00CD5DCE" w:rsidRPr="00704A4F">
        <w:rPr>
          <w:rStyle w:val="EndnoteReference"/>
          <w:rFonts w:ascii="Proxima Nova" w:eastAsia="Calibri" w:hAnsi="Proxima Nova" w:cstheme="minorHAnsi"/>
          <w:sz w:val="22"/>
          <w:szCs w:val="22"/>
          <w:shd w:val="clear" w:color="auto" w:fill="FFFFFF"/>
        </w:rPr>
        <w:endnoteReference w:id="294"/>
      </w:r>
      <w:r w:rsidR="00CD5DCE" w:rsidRPr="00704A4F">
        <w:rPr>
          <w:rFonts w:ascii="Proxima Nova" w:eastAsia="Calibri" w:hAnsi="Proxima Nova" w:cstheme="minorHAnsi"/>
          <w:sz w:val="22"/>
          <w:szCs w:val="22"/>
          <w:shd w:val="clear" w:color="auto" w:fill="FFFFFF"/>
        </w:rPr>
        <w:t xml:space="preserve"> which meets certain requirements.</w:t>
      </w:r>
      <w:r w:rsidR="00CD5DCE" w:rsidRPr="00704A4F">
        <w:rPr>
          <w:rStyle w:val="EndnoteReference"/>
          <w:rFonts w:ascii="Proxima Nova" w:eastAsia="Calibri" w:hAnsi="Proxima Nova" w:cstheme="minorHAnsi"/>
          <w:sz w:val="22"/>
          <w:szCs w:val="22"/>
          <w:shd w:val="clear" w:color="auto" w:fill="FFFFFF"/>
        </w:rPr>
        <w:endnoteReference w:id="295"/>
      </w:r>
      <w:r w:rsidR="00CD5DCE" w:rsidRPr="00704A4F">
        <w:rPr>
          <w:rFonts w:ascii="Proxima Nova" w:eastAsia="Calibri" w:hAnsi="Proxima Nova" w:cstheme="minorHAnsi"/>
          <w:sz w:val="22"/>
          <w:szCs w:val="22"/>
          <w:shd w:val="clear" w:color="auto" w:fill="FFFFFF"/>
        </w:rPr>
        <w:t xml:space="preserve"> </w:t>
      </w:r>
    </w:p>
    <w:p w14:paraId="1BC7A709" w14:textId="77777777" w:rsidR="00CD5DCE" w:rsidRPr="00704A4F" w:rsidRDefault="00CD5DCE" w:rsidP="00704A4F">
      <w:pPr>
        <w:pStyle w:val="ListParagraph"/>
        <w:spacing w:line="276" w:lineRule="auto"/>
        <w:ind w:hanging="720"/>
        <w:rPr>
          <w:rFonts w:ascii="Proxima Nova" w:eastAsia="Calibri" w:hAnsi="Proxima Nova" w:cstheme="minorHAnsi"/>
          <w:color w:val="000000"/>
          <w:sz w:val="22"/>
          <w:szCs w:val="22"/>
        </w:rPr>
      </w:pPr>
    </w:p>
    <w:p w14:paraId="555FD843" w14:textId="77777777" w:rsidR="00CD5DCE" w:rsidRPr="00704A4F" w:rsidRDefault="00CD5DCE" w:rsidP="00704A4F">
      <w:pPr>
        <w:widowControl w:val="0"/>
        <w:numPr>
          <w:ilvl w:val="1"/>
          <w:numId w:val="32"/>
        </w:numPr>
        <w:autoSpaceDE w:val="0"/>
        <w:autoSpaceDN w:val="0"/>
        <w:adjustRightInd w:val="0"/>
        <w:spacing w:line="276" w:lineRule="auto"/>
        <w:ind w:left="720" w:hanging="720"/>
        <w:rPr>
          <w:rFonts w:ascii="Proxima Nova" w:eastAsia="Calibri" w:hAnsi="Proxima Nova" w:cstheme="minorHAnsi"/>
          <w:color w:val="000000"/>
          <w:sz w:val="22"/>
          <w:szCs w:val="22"/>
          <w:lang w:val="en-GB"/>
        </w:rPr>
      </w:pPr>
      <w:r w:rsidRPr="00704A4F">
        <w:rPr>
          <w:rFonts w:ascii="Proxima Nova" w:eastAsia="Calibri" w:hAnsi="Proxima Nova" w:cstheme="minorHAnsi"/>
          <w:sz w:val="22"/>
          <w:szCs w:val="22"/>
          <w:lang w:val="en-GB"/>
        </w:rPr>
        <w:t>The NDISQSC was established by s 181A of the National Disability Insurance Scheme Act 2013 (Cth) and assists the National Disability Insurance Scheme Quality and Safeguarding Commissioner in their functions.</w:t>
      </w:r>
      <w:r w:rsidRPr="00704A4F">
        <w:rPr>
          <w:rStyle w:val="EndnoteReference"/>
          <w:rFonts w:ascii="Proxima Nova" w:eastAsia="Calibri" w:hAnsi="Proxima Nova" w:cstheme="minorHAnsi"/>
          <w:sz w:val="22"/>
          <w:szCs w:val="22"/>
          <w:lang w:val="en-GB"/>
        </w:rPr>
        <w:endnoteReference w:id="296"/>
      </w:r>
      <w:r w:rsidRPr="00704A4F">
        <w:rPr>
          <w:rFonts w:ascii="Proxima Nova" w:eastAsia="Calibri" w:hAnsi="Proxima Nova" w:cstheme="minorHAnsi"/>
          <w:sz w:val="22"/>
          <w:szCs w:val="22"/>
          <w:lang w:val="en-GB"/>
        </w:rPr>
        <w:t xml:space="preserve"> The Commissioner’s core functions include: ‘uphold[ing] the rights of, and promote the health, safety and wellbeing of, people with disability receiving supports or services, including those received under the National Disability Insurance Scheme’; ‘develop[ing] a nationally consistent approach to managing quality and safeguards for people with disability receiving supports or services, including those received under the National Disability Insurance Scheme’; ‘secur[ing] compliance with this Act through effective compliance and enforcement arrangements’; and ‘promot[ing] continuous improvement amongst NDIS providers and the delivery of progressively higher standards of supports and services to people with disability.’</w:t>
      </w:r>
      <w:r w:rsidRPr="00704A4F">
        <w:rPr>
          <w:rStyle w:val="EndnoteReference"/>
          <w:rFonts w:ascii="Proxima Nova" w:eastAsia="Calibri" w:hAnsi="Proxima Nova" w:cstheme="minorHAnsi"/>
          <w:sz w:val="22"/>
          <w:szCs w:val="22"/>
          <w:lang w:val="en-GB"/>
        </w:rPr>
        <w:endnoteReference w:id="297"/>
      </w:r>
      <w:r w:rsidRPr="00704A4F">
        <w:rPr>
          <w:rFonts w:ascii="Proxima Nova" w:eastAsia="Calibri" w:hAnsi="Proxima Nova" w:cstheme="minorHAnsi"/>
          <w:sz w:val="22"/>
          <w:szCs w:val="22"/>
          <w:lang w:val="en-GB"/>
        </w:rPr>
        <w:t xml:space="preserve"> The Commissioner’s functions also include: ‘provid[ing] leadership in relation to behaviour support, and in the reduction and elimination of the use of restrictive practices, by NDIS providers’ (‘behaviour support function’);</w:t>
      </w:r>
      <w:r w:rsidRPr="00704A4F">
        <w:rPr>
          <w:rStyle w:val="EndnoteReference"/>
          <w:rFonts w:ascii="Proxima Nova" w:eastAsia="Calibri" w:hAnsi="Proxima Nova" w:cstheme="minorHAnsi"/>
          <w:sz w:val="22"/>
          <w:szCs w:val="22"/>
          <w:lang w:val="en-GB"/>
        </w:rPr>
        <w:endnoteReference w:id="298"/>
      </w:r>
      <w:r w:rsidRPr="00704A4F">
        <w:rPr>
          <w:rFonts w:ascii="Proxima Nova" w:eastAsia="Calibri" w:hAnsi="Proxima Nova" w:cstheme="minorHAnsi"/>
          <w:sz w:val="22"/>
          <w:szCs w:val="22"/>
          <w:lang w:val="en-GB"/>
        </w:rPr>
        <w:t xml:space="preserve"> investigate and resolve complaints (‘complaints function’);</w:t>
      </w:r>
      <w:r w:rsidRPr="00704A4F">
        <w:rPr>
          <w:rStyle w:val="EndnoteReference"/>
          <w:rFonts w:ascii="Proxima Nova" w:eastAsia="Calibri" w:hAnsi="Proxima Nova" w:cstheme="minorHAnsi"/>
          <w:sz w:val="22"/>
          <w:szCs w:val="22"/>
          <w:lang w:val="en-GB"/>
        </w:rPr>
        <w:endnoteReference w:id="299"/>
      </w:r>
      <w:r w:rsidRPr="00704A4F">
        <w:rPr>
          <w:rFonts w:ascii="Proxima Nova" w:eastAsia="Calibri" w:hAnsi="Proxima Nova" w:cstheme="minorHAnsi"/>
          <w:sz w:val="22"/>
          <w:szCs w:val="22"/>
          <w:lang w:val="en-GB"/>
        </w:rPr>
        <w:t xml:space="preserve"> and monitor compliance with conditions of registration (‘registration and reportable incidents function’).</w:t>
      </w:r>
      <w:r w:rsidRPr="00704A4F">
        <w:rPr>
          <w:rStyle w:val="EndnoteReference"/>
          <w:rFonts w:ascii="Proxima Nova" w:eastAsia="Calibri" w:hAnsi="Proxima Nova" w:cstheme="minorHAnsi"/>
          <w:sz w:val="22"/>
          <w:szCs w:val="22"/>
          <w:lang w:val="en-GB"/>
        </w:rPr>
        <w:endnoteReference w:id="300"/>
      </w:r>
      <w:r w:rsidRPr="00704A4F">
        <w:rPr>
          <w:rFonts w:ascii="Proxima Nova" w:eastAsia="Calibri" w:hAnsi="Proxima Nova" w:cstheme="minorHAnsi"/>
          <w:sz w:val="22"/>
          <w:szCs w:val="22"/>
          <w:lang w:val="en-GB"/>
        </w:rPr>
        <w:t xml:space="preserve"> </w:t>
      </w:r>
    </w:p>
    <w:p w14:paraId="58F873EE" w14:textId="77777777" w:rsidR="00CD5DCE" w:rsidRPr="00704A4F" w:rsidRDefault="00CD5DCE" w:rsidP="00704A4F">
      <w:pPr>
        <w:widowControl w:val="0"/>
        <w:autoSpaceDE w:val="0"/>
        <w:autoSpaceDN w:val="0"/>
        <w:adjustRightInd w:val="0"/>
        <w:spacing w:line="276" w:lineRule="auto"/>
        <w:ind w:left="720" w:hanging="720"/>
        <w:rPr>
          <w:rFonts w:ascii="Proxima Nova" w:eastAsia="Calibri" w:hAnsi="Proxima Nova" w:cstheme="minorHAnsi"/>
          <w:color w:val="000000"/>
          <w:sz w:val="22"/>
          <w:szCs w:val="22"/>
          <w:lang w:val="en-GB"/>
        </w:rPr>
      </w:pPr>
    </w:p>
    <w:p w14:paraId="4E845963" w14:textId="228B0304" w:rsidR="00CD5DCE" w:rsidRPr="00704A4F" w:rsidRDefault="00CD5DCE" w:rsidP="00704A4F">
      <w:pPr>
        <w:widowControl w:val="0"/>
        <w:numPr>
          <w:ilvl w:val="1"/>
          <w:numId w:val="32"/>
        </w:numPr>
        <w:autoSpaceDE w:val="0"/>
        <w:autoSpaceDN w:val="0"/>
        <w:adjustRightInd w:val="0"/>
        <w:spacing w:line="276" w:lineRule="auto"/>
        <w:ind w:left="720" w:hanging="720"/>
        <w:rPr>
          <w:rFonts w:ascii="Proxima Nova" w:eastAsia="Calibri" w:hAnsi="Proxima Nova" w:cstheme="minorHAnsi"/>
          <w:color w:val="000000"/>
          <w:sz w:val="22"/>
          <w:szCs w:val="22"/>
          <w:lang w:val="en-GB"/>
        </w:rPr>
      </w:pPr>
      <w:r w:rsidRPr="00704A4F">
        <w:rPr>
          <w:rFonts w:ascii="Proxima Nova" w:eastAsia="Calibri" w:hAnsi="Proxima Nova" w:cstheme="minorHAnsi"/>
          <w:sz w:val="22"/>
          <w:szCs w:val="22"/>
          <w:lang w:val="en-GB"/>
        </w:rPr>
        <w:t>The NDISQSC is framed as the core solution to addressing</w:t>
      </w:r>
      <w:r w:rsidR="0080707D" w:rsidRPr="00704A4F">
        <w:rPr>
          <w:rFonts w:ascii="Proxima Nova" w:eastAsia="Calibri" w:hAnsi="Proxima Nova" w:cstheme="minorHAnsi"/>
          <w:sz w:val="22"/>
          <w:szCs w:val="22"/>
          <w:lang w:val="en-GB"/>
        </w:rPr>
        <w:t xml:space="preserve"> the use of</w:t>
      </w:r>
      <w:r w:rsidRPr="00704A4F">
        <w:rPr>
          <w:rFonts w:ascii="Proxima Nova" w:eastAsia="Calibri" w:hAnsi="Proxima Nova" w:cstheme="minorHAnsi"/>
          <w:sz w:val="22"/>
          <w:szCs w:val="22"/>
          <w:lang w:val="en-GB"/>
        </w:rPr>
        <w:t xml:space="preserve"> restrictive practices in disability services. Yet, its functions are clearly contradictory in terms of protecting people with disability from the violence of restrictive practices – upholding rights of people with disability at the same time as enabling restrictive practices, enabling restrictive practices at the same time as resolving complaints about their use – and this shows that one of the </w:t>
      </w:r>
      <w:proofErr w:type="gramStart"/>
      <w:r w:rsidRPr="00704A4F">
        <w:rPr>
          <w:rFonts w:ascii="Proxima Nova" w:eastAsia="Calibri" w:hAnsi="Proxima Nova" w:cstheme="minorHAnsi"/>
          <w:sz w:val="22"/>
          <w:szCs w:val="22"/>
          <w:lang w:val="en-GB"/>
        </w:rPr>
        <w:t>core</w:t>
      </w:r>
      <w:proofErr w:type="gramEnd"/>
      <w:r w:rsidRPr="00704A4F">
        <w:rPr>
          <w:rFonts w:ascii="Proxima Nova" w:eastAsia="Calibri" w:hAnsi="Proxima Nova" w:cstheme="minorHAnsi"/>
          <w:sz w:val="22"/>
          <w:szCs w:val="22"/>
          <w:lang w:val="en-GB"/>
        </w:rPr>
        <w:t xml:space="preserve"> (albeit unwritten) functions of NDISQSC is to regulate violence against people with disability through restrictive practices. Moreover, the</w:t>
      </w:r>
      <w:r w:rsidR="0080707D" w:rsidRPr="00704A4F">
        <w:rPr>
          <w:rFonts w:ascii="Proxima Nova" w:eastAsia="Calibri" w:hAnsi="Proxima Nova" w:cstheme="minorHAnsi"/>
          <w:sz w:val="22"/>
          <w:szCs w:val="22"/>
          <w:lang w:val="en-GB"/>
        </w:rPr>
        <w:t xml:space="preserve"> NDISQSC’s</w:t>
      </w:r>
      <w:r w:rsidRPr="00704A4F">
        <w:rPr>
          <w:rFonts w:ascii="Proxima Nova" w:eastAsia="Calibri" w:hAnsi="Proxima Nova" w:cstheme="minorHAnsi"/>
          <w:sz w:val="22"/>
          <w:szCs w:val="22"/>
          <w:lang w:val="en-GB"/>
        </w:rPr>
        <w:t xml:space="preserve"> ‘behaviour support function’ gives rise to an individualised and beneficial understanding of restrictive practices as being to help specific individuals in response to their behaviour within a macro context of reducing the overall use of restrictive practices. </w:t>
      </w:r>
    </w:p>
    <w:p w14:paraId="46660255" w14:textId="77777777" w:rsidR="00CD5DCE" w:rsidRPr="00704A4F" w:rsidRDefault="00CD5DCE" w:rsidP="00704A4F">
      <w:pPr>
        <w:pStyle w:val="ListParagraph"/>
        <w:spacing w:line="276" w:lineRule="auto"/>
        <w:ind w:hanging="720"/>
        <w:rPr>
          <w:rFonts w:ascii="Proxima Nova" w:eastAsia="Calibri" w:hAnsi="Proxima Nova" w:cstheme="minorHAnsi"/>
          <w:sz w:val="22"/>
          <w:szCs w:val="22"/>
        </w:rPr>
      </w:pPr>
    </w:p>
    <w:p w14:paraId="527448C6" w14:textId="77777777" w:rsidR="00CD5DCE" w:rsidRPr="00704A4F" w:rsidRDefault="00CD5DCE" w:rsidP="00704A4F">
      <w:pPr>
        <w:widowControl w:val="0"/>
        <w:numPr>
          <w:ilvl w:val="1"/>
          <w:numId w:val="32"/>
        </w:numPr>
        <w:autoSpaceDE w:val="0"/>
        <w:autoSpaceDN w:val="0"/>
        <w:adjustRightInd w:val="0"/>
        <w:spacing w:line="276" w:lineRule="auto"/>
        <w:ind w:left="720" w:hanging="720"/>
        <w:rPr>
          <w:rFonts w:ascii="Proxima Nova" w:eastAsia="Calibri" w:hAnsi="Proxima Nova" w:cstheme="minorHAnsi"/>
          <w:color w:val="000000"/>
          <w:sz w:val="22"/>
          <w:szCs w:val="22"/>
          <w:lang w:val="en-GB"/>
        </w:rPr>
      </w:pPr>
      <w:r w:rsidRPr="00704A4F">
        <w:rPr>
          <w:rFonts w:ascii="Proxima Nova" w:eastAsia="Calibri" w:hAnsi="Proxima Nova" w:cstheme="minorHAnsi"/>
          <w:sz w:val="22"/>
          <w:szCs w:val="22"/>
          <w:lang w:val="en-GB"/>
        </w:rPr>
        <w:t xml:space="preserve">The role of NDISQSC in enabling violence through restrictive practices is also supported by its management of reportable incidents under its registration and reportable </w:t>
      </w:r>
      <w:proofErr w:type="gramStart"/>
      <w:r w:rsidRPr="00704A4F">
        <w:rPr>
          <w:rFonts w:ascii="Proxima Nova" w:eastAsia="Calibri" w:hAnsi="Proxima Nova" w:cstheme="minorHAnsi"/>
          <w:sz w:val="22"/>
          <w:szCs w:val="22"/>
          <w:lang w:val="en-GB"/>
        </w:rPr>
        <w:t>incidents</w:t>
      </w:r>
      <w:proofErr w:type="gramEnd"/>
      <w:r w:rsidRPr="00704A4F">
        <w:rPr>
          <w:rFonts w:ascii="Proxima Nova" w:eastAsia="Calibri" w:hAnsi="Proxima Nova" w:cstheme="minorHAnsi"/>
          <w:sz w:val="22"/>
          <w:szCs w:val="22"/>
          <w:lang w:val="en-GB"/>
        </w:rPr>
        <w:t xml:space="preserve"> function. ‘Reportable incident’ is defined as: ‘the death of a person with disability’; ‘serious injury of a person with disability’; ‘abuse or neglect of a person with disability’; ‘unlawful sexual or physical contact with, or assault of, a person with disability’; ‘sexual misconduct committed against, or in the presence of, a person with disability, including grooming of the person for sexual activity’; and ‘use of a restrictive practice in relation to a person with disability, other than where the use is in accordance with an authorisation (however described) of a State or Territory in relation to the person.’</w:t>
      </w:r>
      <w:r w:rsidRPr="00704A4F">
        <w:rPr>
          <w:rStyle w:val="EndnoteReference"/>
          <w:rFonts w:ascii="Proxima Nova" w:eastAsia="Calibri" w:hAnsi="Proxima Nova" w:cstheme="minorHAnsi"/>
          <w:sz w:val="22"/>
          <w:szCs w:val="22"/>
          <w:lang w:val="en-GB"/>
        </w:rPr>
        <w:endnoteReference w:id="301"/>
      </w:r>
      <w:r w:rsidRPr="00704A4F">
        <w:rPr>
          <w:rFonts w:ascii="Proxima Nova" w:eastAsia="Calibri" w:hAnsi="Proxima Nova" w:cstheme="minorHAnsi"/>
          <w:sz w:val="22"/>
          <w:szCs w:val="22"/>
          <w:lang w:val="en-GB"/>
        </w:rPr>
        <w:t xml:space="preserve"> It is striking that each form of </w:t>
      </w:r>
      <w:r w:rsidRPr="00704A4F">
        <w:rPr>
          <w:rFonts w:ascii="Proxima Nova" w:eastAsia="Calibri" w:hAnsi="Proxima Nova" w:cstheme="minorHAnsi"/>
          <w:sz w:val="22"/>
          <w:szCs w:val="22"/>
          <w:lang w:val="en-GB"/>
        </w:rPr>
        <w:lastRenderedPageBreak/>
        <w:t>reportable incident is not qualified by the authorisation of its perpetration with the exception of restrictive practices. This gives rise to a division between authorised and unauthorised restrictive practices.</w:t>
      </w:r>
    </w:p>
    <w:p w14:paraId="5218C239" w14:textId="77777777" w:rsidR="00CD5DCE" w:rsidRPr="00704A4F" w:rsidRDefault="00CD5DCE" w:rsidP="00704A4F">
      <w:pPr>
        <w:pStyle w:val="ListParagraph"/>
        <w:spacing w:line="276" w:lineRule="auto"/>
        <w:ind w:hanging="720"/>
        <w:rPr>
          <w:rFonts w:ascii="Proxima Nova" w:eastAsia="Calibri" w:hAnsi="Proxima Nova" w:cstheme="minorHAnsi"/>
          <w:color w:val="000000"/>
          <w:sz w:val="22"/>
          <w:szCs w:val="22"/>
        </w:rPr>
      </w:pPr>
    </w:p>
    <w:p w14:paraId="1ADFECEF" w14:textId="77777777" w:rsidR="00CD5DCE" w:rsidRPr="00704A4F" w:rsidRDefault="00CD5DCE" w:rsidP="00704A4F">
      <w:pPr>
        <w:widowControl w:val="0"/>
        <w:numPr>
          <w:ilvl w:val="1"/>
          <w:numId w:val="32"/>
        </w:numPr>
        <w:autoSpaceDE w:val="0"/>
        <w:autoSpaceDN w:val="0"/>
        <w:adjustRightInd w:val="0"/>
        <w:spacing w:line="276" w:lineRule="auto"/>
        <w:ind w:left="720" w:hanging="720"/>
        <w:rPr>
          <w:rFonts w:ascii="Proxima Nova" w:eastAsia="Calibri" w:hAnsi="Proxima Nova" w:cstheme="minorHAnsi"/>
          <w:color w:val="000000"/>
          <w:sz w:val="22"/>
          <w:szCs w:val="22"/>
          <w:lang w:val="en-GB"/>
        </w:rPr>
      </w:pPr>
      <w:r w:rsidRPr="00704A4F">
        <w:rPr>
          <w:rFonts w:ascii="Proxima Nova" w:eastAsia="Calibri" w:hAnsi="Proxima Nova" w:cstheme="minorHAnsi"/>
          <w:color w:val="000000"/>
          <w:sz w:val="22"/>
          <w:szCs w:val="22"/>
          <w:lang w:val="en-GB"/>
        </w:rPr>
        <w:t xml:space="preserve">In its most recent Activity Report, the NDISQSC notes in general that: </w:t>
      </w:r>
    </w:p>
    <w:p w14:paraId="1B9159B4" w14:textId="77777777" w:rsidR="00CD5DCE" w:rsidRPr="00704A4F" w:rsidRDefault="00CD5DCE" w:rsidP="00704A4F">
      <w:pPr>
        <w:pStyle w:val="ListParagraph"/>
        <w:spacing w:line="276" w:lineRule="auto"/>
        <w:ind w:hanging="720"/>
        <w:rPr>
          <w:rFonts w:ascii="Proxima Nova" w:hAnsi="Proxima Nova" w:cstheme="minorHAnsi"/>
          <w:sz w:val="22"/>
          <w:szCs w:val="22"/>
        </w:rPr>
      </w:pPr>
    </w:p>
    <w:p w14:paraId="322B0FCE" w14:textId="77777777" w:rsidR="00CD5DCE" w:rsidRPr="00704A4F" w:rsidRDefault="00CD5DCE" w:rsidP="00704A4F">
      <w:pPr>
        <w:widowControl w:val="0"/>
        <w:autoSpaceDE w:val="0"/>
        <w:autoSpaceDN w:val="0"/>
        <w:adjustRightInd w:val="0"/>
        <w:spacing w:line="276" w:lineRule="auto"/>
        <w:ind w:left="1134"/>
        <w:rPr>
          <w:rFonts w:ascii="Proxima Nova" w:hAnsi="Proxima Nova" w:cstheme="minorHAnsi"/>
          <w:sz w:val="22"/>
          <w:szCs w:val="22"/>
        </w:rPr>
      </w:pPr>
      <w:r w:rsidRPr="00704A4F">
        <w:rPr>
          <w:rFonts w:ascii="Proxima Nova" w:hAnsi="Proxima Nova" w:cstheme="minorHAnsi"/>
          <w:i/>
          <w:iCs/>
          <w:sz w:val="22"/>
          <w:szCs w:val="22"/>
        </w:rPr>
        <w:t xml:space="preserve">The overwhelming majority of incidents that are reported to the NDIS Commission involve the use of </w:t>
      </w:r>
      <w:r w:rsidRPr="00704A4F">
        <w:rPr>
          <w:rStyle w:val="highlight"/>
          <w:rFonts w:ascii="Proxima Nova" w:hAnsi="Proxima Nova" w:cstheme="minorHAnsi"/>
          <w:i/>
          <w:iCs/>
          <w:sz w:val="22"/>
          <w:szCs w:val="22"/>
        </w:rPr>
        <w:t>restrictive pr</w:t>
      </w:r>
      <w:r w:rsidRPr="00704A4F">
        <w:rPr>
          <w:rFonts w:ascii="Proxima Nova" w:hAnsi="Proxima Nova" w:cstheme="minorHAnsi"/>
          <w:i/>
          <w:iCs/>
          <w:sz w:val="22"/>
          <w:szCs w:val="22"/>
        </w:rPr>
        <w:t>actices on people with disability that have not been authorised by state and territory authorities, or where plans to promote positive behaviour supports are not in place for that person.</w:t>
      </w:r>
      <w:r w:rsidRPr="00704A4F">
        <w:rPr>
          <w:rStyle w:val="EndnoteReference"/>
          <w:rFonts w:ascii="Proxima Nova" w:hAnsi="Proxima Nova" w:cstheme="minorHAnsi"/>
          <w:sz w:val="22"/>
          <w:szCs w:val="22"/>
        </w:rPr>
        <w:endnoteReference w:id="302"/>
      </w:r>
    </w:p>
    <w:p w14:paraId="390A1B44" w14:textId="77777777" w:rsidR="00CD5DCE" w:rsidRPr="00704A4F" w:rsidRDefault="00CD5DCE" w:rsidP="00704A4F">
      <w:pPr>
        <w:widowControl w:val="0"/>
        <w:autoSpaceDE w:val="0"/>
        <w:autoSpaceDN w:val="0"/>
        <w:adjustRightInd w:val="0"/>
        <w:spacing w:line="276" w:lineRule="auto"/>
        <w:ind w:left="720" w:hanging="720"/>
        <w:rPr>
          <w:rFonts w:ascii="Proxima Nova" w:eastAsia="Calibri" w:hAnsi="Proxima Nova" w:cstheme="minorHAnsi"/>
          <w:color w:val="000000"/>
          <w:sz w:val="22"/>
          <w:szCs w:val="22"/>
          <w:lang w:val="en-GB"/>
        </w:rPr>
      </w:pPr>
    </w:p>
    <w:p w14:paraId="53C4D9D7" w14:textId="77777777" w:rsidR="00CD5DCE" w:rsidRPr="00704A4F" w:rsidRDefault="00CD5DCE" w:rsidP="00704A4F">
      <w:pPr>
        <w:widowControl w:val="0"/>
        <w:numPr>
          <w:ilvl w:val="1"/>
          <w:numId w:val="32"/>
        </w:numPr>
        <w:autoSpaceDE w:val="0"/>
        <w:autoSpaceDN w:val="0"/>
        <w:adjustRightInd w:val="0"/>
        <w:spacing w:line="276" w:lineRule="auto"/>
        <w:ind w:left="720" w:hanging="720"/>
        <w:rPr>
          <w:rFonts w:ascii="Proxima Nova" w:eastAsia="Calibri" w:hAnsi="Proxima Nova" w:cstheme="minorHAnsi"/>
          <w:color w:val="000000"/>
          <w:sz w:val="22"/>
          <w:szCs w:val="22"/>
          <w:lang w:val="en-GB"/>
        </w:rPr>
      </w:pPr>
      <w:proofErr w:type="gramStart"/>
      <w:r w:rsidRPr="00704A4F">
        <w:rPr>
          <w:rFonts w:ascii="Proxima Nova" w:eastAsia="Calibri" w:hAnsi="Proxima Nova" w:cstheme="minorHAnsi"/>
          <w:color w:val="000000"/>
          <w:sz w:val="22"/>
          <w:szCs w:val="22"/>
          <w:lang w:val="en-GB"/>
        </w:rPr>
        <w:t>In particular, it</w:t>
      </w:r>
      <w:proofErr w:type="gramEnd"/>
      <w:r w:rsidRPr="00704A4F">
        <w:rPr>
          <w:rFonts w:ascii="Proxima Nova" w:eastAsia="Calibri" w:hAnsi="Proxima Nova" w:cstheme="minorHAnsi"/>
          <w:color w:val="000000"/>
          <w:sz w:val="22"/>
          <w:szCs w:val="22"/>
          <w:lang w:val="en-GB"/>
        </w:rPr>
        <w:t xml:space="preserve"> notes that: ‘</w:t>
      </w:r>
      <w:r w:rsidRPr="00704A4F">
        <w:rPr>
          <w:rFonts w:ascii="Proxima Nova" w:hAnsi="Proxima Nova" w:cstheme="minorHAnsi"/>
          <w:sz w:val="22"/>
          <w:szCs w:val="22"/>
        </w:rPr>
        <w:t>Reporting of Unauthorised use of Restrictive Practices (URP) represents 98.6% of all reportable incidents reported to the NDIS Commission.’</w:t>
      </w:r>
      <w:r w:rsidRPr="00704A4F">
        <w:rPr>
          <w:rStyle w:val="EndnoteReference"/>
          <w:rFonts w:ascii="Proxima Nova" w:hAnsi="Proxima Nova" w:cstheme="minorHAnsi"/>
          <w:sz w:val="22"/>
          <w:szCs w:val="22"/>
        </w:rPr>
        <w:endnoteReference w:id="303"/>
      </w:r>
    </w:p>
    <w:p w14:paraId="41E5FAA7" w14:textId="77777777" w:rsidR="00CD5DCE" w:rsidRPr="00704A4F" w:rsidRDefault="00CD5DCE" w:rsidP="00704A4F">
      <w:pPr>
        <w:pStyle w:val="ListParagraph"/>
        <w:spacing w:line="276" w:lineRule="auto"/>
        <w:ind w:hanging="720"/>
        <w:rPr>
          <w:rFonts w:ascii="Proxima Nova" w:eastAsia="Calibri" w:hAnsi="Proxima Nova" w:cstheme="minorHAnsi"/>
          <w:sz w:val="22"/>
          <w:szCs w:val="22"/>
        </w:rPr>
      </w:pPr>
    </w:p>
    <w:p w14:paraId="6DB087D5" w14:textId="16F38C69" w:rsidR="00074750" w:rsidRPr="00704A4F" w:rsidRDefault="00CD5DCE" w:rsidP="00704A4F">
      <w:pPr>
        <w:widowControl w:val="0"/>
        <w:numPr>
          <w:ilvl w:val="1"/>
          <w:numId w:val="32"/>
        </w:numPr>
        <w:autoSpaceDE w:val="0"/>
        <w:autoSpaceDN w:val="0"/>
        <w:adjustRightInd w:val="0"/>
        <w:spacing w:line="276" w:lineRule="auto"/>
        <w:ind w:left="720" w:hanging="720"/>
        <w:rPr>
          <w:rFonts w:ascii="Proxima Nova" w:eastAsia="Calibri" w:hAnsi="Proxima Nova" w:cstheme="minorHAnsi"/>
          <w:color w:val="000000"/>
          <w:sz w:val="22"/>
          <w:szCs w:val="22"/>
          <w:lang w:val="en-GB"/>
        </w:rPr>
      </w:pPr>
      <w:r w:rsidRPr="00704A4F">
        <w:rPr>
          <w:rFonts w:ascii="Proxima Nova" w:eastAsia="Calibri" w:hAnsi="Proxima Nova" w:cstheme="minorHAnsi"/>
          <w:sz w:val="22"/>
          <w:szCs w:val="22"/>
          <w:lang w:val="en-GB"/>
        </w:rPr>
        <w:t xml:space="preserve">There are </w:t>
      </w:r>
      <w:r w:rsidR="000A126A" w:rsidRPr="00704A4F">
        <w:rPr>
          <w:rFonts w:ascii="Proxima Nova" w:eastAsia="Calibri" w:hAnsi="Proxima Nova" w:cstheme="minorHAnsi"/>
          <w:sz w:val="22"/>
          <w:szCs w:val="22"/>
          <w:lang w:val="en-GB"/>
        </w:rPr>
        <w:t>four</w:t>
      </w:r>
      <w:r w:rsidRPr="00704A4F">
        <w:rPr>
          <w:rFonts w:ascii="Proxima Nova" w:eastAsia="Calibri" w:hAnsi="Proxima Nova" w:cstheme="minorHAnsi"/>
          <w:sz w:val="22"/>
          <w:szCs w:val="22"/>
          <w:lang w:val="en-GB"/>
        </w:rPr>
        <w:t xml:space="preserve"> implications from the NDIS regulatory framework for restrictive practices. One is that the NDISQSC </w:t>
      </w:r>
      <w:r w:rsidR="0080707D" w:rsidRPr="00704A4F">
        <w:rPr>
          <w:rFonts w:ascii="Proxima Nova" w:eastAsia="Calibri" w:hAnsi="Proxima Nova" w:cstheme="minorHAnsi"/>
          <w:sz w:val="22"/>
          <w:szCs w:val="22"/>
          <w:lang w:val="en-GB"/>
        </w:rPr>
        <w:t xml:space="preserve">does not </w:t>
      </w:r>
      <w:proofErr w:type="gramStart"/>
      <w:r w:rsidR="0080707D" w:rsidRPr="00704A4F">
        <w:rPr>
          <w:rFonts w:ascii="Proxima Nova" w:eastAsia="Calibri" w:hAnsi="Proxima Nova" w:cstheme="minorHAnsi"/>
          <w:sz w:val="22"/>
          <w:szCs w:val="22"/>
          <w:lang w:val="en-GB"/>
        </w:rPr>
        <w:t>take</w:t>
      </w:r>
      <w:r w:rsidRPr="00704A4F">
        <w:rPr>
          <w:rFonts w:ascii="Proxima Nova" w:eastAsia="Calibri" w:hAnsi="Proxima Nova" w:cstheme="minorHAnsi"/>
          <w:sz w:val="22"/>
          <w:szCs w:val="22"/>
          <w:lang w:val="en-GB"/>
        </w:rPr>
        <w:t xml:space="preserve"> action</w:t>
      </w:r>
      <w:proofErr w:type="gramEnd"/>
      <w:r w:rsidRPr="00704A4F">
        <w:rPr>
          <w:rFonts w:ascii="Proxima Nova" w:eastAsia="Calibri" w:hAnsi="Proxima Nova" w:cstheme="minorHAnsi"/>
          <w:sz w:val="22"/>
          <w:szCs w:val="22"/>
          <w:lang w:val="en-GB"/>
        </w:rPr>
        <w:t xml:space="preserve"> against NDIS-registered providers of support who use </w:t>
      </w:r>
      <w:r w:rsidR="0080707D" w:rsidRPr="00704A4F">
        <w:rPr>
          <w:rFonts w:ascii="Proxima Nova" w:eastAsia="Calibri" w:hAnsi="Proxima Nova" w:cstheme="minorHAnsi"/>
          <w:sz w:val="22"/>
          <w:szCs w:val="22"/>
          <w:lang w:val="en-GB"/>
        </w:rPr>
        <w:t xml:space="preserve">authorised </w:t>
      </w:r>
      <w:r w:rsidRPr="00704A4F">
        <w:rPr>
          <w:rFonts w:ascii="Proxima Nova" w:eastAsia="Calibri" w:hAnsi="Proxima Nova" w:cstheme="minorHAnsi"/>
          <w:sz w:val="22"/>
          <w:szCs w:val="22"/>
          <w:lang w:val="en-GB"/>
        </w:rPr>
        <w:t xml:space="preserve">restrictive practices, such that restrictive practices (when authorised) are explicitly permitted by the NDISQSC. </w:t>
      </w:r>
    </w:p>
    <w:p w14:paraId="0429CF5E" w14:textId="77777777" w:rsidR="00074750" w:rsidRPr="00704A4F" w:rsidRDefault="00074750" w:rsidP="00704A4F">
      <w:pPr>
        <w:pStyle w:val="ListParagraph"/>
        <w:spacing w:line="276" w:lineRule="auto"/>
        <w:ind w:hanging="720"/>
        <w:rPr>
          <w:rFonts w:ascii="Proxima Nova" w:eastAsia="Calibri" w:hAnsi="Proxima Nova" w:cstheme="minorHAnsi"/>
          <w:sz w:val="22"/>
          <w:szCs w:val="22"/>
        </w:rPr>
      </w:pPr>
    </w:p>
    <w:p w14:paraId="379A2C01" w14:textId="77777777" w:rsidR="00074750" w:rsidRPr="00704A4F" w:rsidRDefault="00CD5DCE" w:rsidP="00704A4F">
      <w:pPr>
        <w:widowControl w:val="0"/>
        <w:numPr>
          <w:ilvl w:val="1"/>
          <w:numId w:val="32"/>
        </w:numPr>
        <w:autoSpaceDE w:val="0"/>
        <w:autoSpaceDN w:val="0"/>
        <w:adjustRightInd w:val="0"/>
        <w:spacing w:line="276" w:lineRule="auto"/>
        <w:ind w:left="720" w:hanging="720"/>
        <w:rPr>
          <w:rFonts w:ascii="Proxima Nova" w:eastAsia="Calibri" w:hAnsi="Proxima Nova" w:cstheme="minorHAnsi"/>
          <w:color w:val="000000"/>
          <w:sz w:val="22"/>
          <w:szCs w:val="22"/>
          <w:lang w:val="en-GB"/>
        </w:rPr>
      </w:pPr>
      <w:r w:rsidRPr="00704A4F">
        <w:rPr>
          <w:rFonts w:ascii="Proxima Nova" w:eastAsia="Calibri" w:hAnsi="Proxima Nova" w:cstheme="minorHAnsi"/>
          <w:sz w:val="22"/>
          <w:szCs w:val="22"/>
          <w:lang w:val="en-GB"/>
        </w:rPr>
        <w:t xml:space="preserve">Second, while unauthorised restrictive practices are technically not allowed, in practice they are implicitly permissible because there is a high number of unauthorised restrictive practices that are reported, yet NDISQSC is not taking regulatory action against these. </w:t>
      </w:r>
    </w:p>
    <w:p w14:paraId="0031F999" w14:textId="77777777" w:rsidR="00074750" w:rsidRPr="00704A4F" w:rsidRDefault="00074750" w:rsidP="00704A4F">
      <w:pPr>
        <w:pStyle w:val="ListParagraph"/>
        <w:spacing w:line="276" w:lineRule="auto"/>
        <w:ind w:hanging="720"/>
        <w:rPr>
          <w:rFonts w:ascii="Proxima Nova" w:eastAsia="Calibri" w:hAnsi="Proxima Nova" w:cstheme="minorHAnsi"/>
          <w:sz w:val="22"/>
          <w:szCs w:val="22"/>
        </w:rPr>
      </w:pPr>
    </w:p>
    <w:p w14:paraId="2ECDA193" w14:textId="185E487A" w:rsidR="00CD5DCE" w:rsidRPr="00704A4F" w:rsidRDefault="00CD5DCE" w:rsidP="00704A4F">
      <w:pPr>
        <w:widowControl w:val="0"/>
        <w:numPr>
          <w:ilvl w:val="1"/>
          <w:numId w:val="32"/>
        </w:numPr>
        <w:autoSpaceDE w:val="0"/>
        <w:autoSpaceDN w:val="0"/>
        <w:adjustRightInd w:val="0"/>
        <w:spacing w:line="276" w:lineRule="auto"/>
        <w:ind w:left="720" w:hanging="720"/>
        <w:rPr>
          <w:rFonts w:ascii="Proxima Nova" w:eastAsia="Calibri" w:hAnsi="Proxima Nova" w:cstheme="minorHAnsi"/>
          <w:color w:val="000000"/>
          <w:sz w:val="22"/>
          <w:szCs w:val="22"/>
          <w:lang w:val="en-GB"/>
        </w:rPr>
      </w:pPr>
      <w:r w:rsidRPr="00704A4F">
        <w:rPr>
          <w:rFonts w:ascii="Proxima Nova" w:eastAsia="Calibri" w:hAnsi="Proxima Nova" w:cstheme="minorHAnsi"/>
          <w:sz w:val="22"/>
          <w:szCs w:val="22"/>
          <w:lang w:val="en-GB"/>
        </w:rPr>
        <w:t>Third, there is an absence in the National Disability Insurance Scheme Act 2013 (Cth) of options for redress for victims subject to unauthorised restrictive practices. Instead, the focus is on sanctions against providers which, as per the second point, are not being enforced anyway. NDIA ‘Performance Reports’</w:t>
      </w:r>
      <w:r w:rsidRPr="00704A4F">
        <w:rPr>
          <w:rStyle w:val="EndnoteReference"/>
          <w:rFonts w:ascii="Proxima Nova" w:eastAsia="Calibri" w:hAnsi="Proxima Nova" w:cstheme="minorHAnsi"/>
          <w:sz w:val="22"/>
          <w:szCs w:val="22"/>
          <w:lang w:val="en-GB"/>
        </w:rPr>
        <w:endnoteReference w:id="304"/>
      </w:r>
      <w:r w:rsidRPr="00704A4F">
        <w:rPr>
          <w:rFonts w:ascii="Proxima Nova" w:eastAsia="Calibri" w:hAnsi="Proxima Nova" w:cstheme="minorHAnsi"/>
          <w:sz w:val="22"/>
          <w:szCs w:val="22"/>
          <w:lang w:val="en-GB"/>
        </w:rPr>
        <w:t xml:space="preserve"> provide only minimal gender-disaggregated data, making it difficult to know the extent of reportable incidents and unauthorised restrictive practices in relation to women. Thus, arguably ‘unauthorised’ restrictive practices become a separate category of ‘legitimate’ restrictive practices because the effect of being unauthorised is not to attract criminal or civil legal penalty. Instead, a regulatory response is prompted. However, the data shows the overwhelming response in such cases is not to recognise this as unlawful and unjust (let alone violence). </w:t>
      </w:r>
      <w:r w:rsidR="00074750" w:rsidRPr="00704A4F">
        <w:rPr>
          <w:rFonts w:ascii="Proxima Nova" w:eastAsia="Calibri" w:hAnsi="Proxima Nova" w:cstheme="minorHAnsi"/>
          <w:sz w:val="22"/>
          <w:szCs w:val="22"/>
          <w:lang w:val="en-GB"/>
        </w:rPr>
        <w:t>In the NDIS legislative framework, r</w:t>
      </w:r>
      <w:r w:rsidRPr="00704A4F">
        <w:rPr>
          <w:rFonts w:ascii="Proxima Nova" w:eastAsia="Calibri" w:hAnsi="Proxima Nova" w:cstheme="minorHAnsi"/>
          <w:sz w:val="22"/>
          <w:szCs w:val="22"/>
          <w:lang w:val="en-GB"/>
        </w:rPr>
        <w:t>estrictive practices are either permitted de jure or de facto.</w:t>
      </w:r>
    </w:p>
    <w:p w14:paraId="04C5F04F" w14:textId="77777777" w:rsidR="000A126A" w:rsidRPr="00704A4F" w:rsidRDefault="000A126A" w:rsidP="00704A4F">
      <w:pPr>
        <w:pStyle w:val="ListParagraph"/>
        <w:spacing w:line="276" w:lineRule="auto"/>
        <w:rPr>
          <w:rFonts w:ascii="Proxima Nova" w:eastAsia="Calibri" w:hAnsi="Proxima Nova" w:cstheme="minorHAnsi"/>
          <w:color w:val="000000"/>
          <w:sz w:val="22"/>
          <w:szCs w:val="22"/>
        </w:rPr>
      </w:pPr>
    </w:p>
    <w:p w14:paraId="3B5F72AC" w14:textId="51D16677" w:rsidR="0080707D" w:rsidRPr="00704A4F" w:rsidRDefault="000A126A" w:rsidP="00704A4F">
      <w:pPr>
        <w:widowControl w:val="0"/>
        <w:numPr>
          <w:ilvl w:val="1"/>
          <w:numId w:val="32"/>
        </w:numPr>
        <w:autoSpaceDE w:val="0"/>
        <w:autoSpaceDN w:val="0"/>
        <w:adjustRightInd w:val="0"/>
        <w:spacing w:line="276" w:lineRule="auto"/>
        <w:ind w:left="720" w:hanging="720"/>
        <w:rPr>
          <w:rFonts w:ascii="Proxima Nova" w:eastAsia="Calibri" w:hAnsi="Proxima Nova" w:cstheme="minorHAnsi"/>
          <w:color w:val="000000"/>
          <w:sz w:val="22"/>
          <w:szCs w:val="22"/>
          <w:lang w:val="en-GB"/>
        </w:rPr>
      </w:pPr>
      <w:r w:rsidRPr="00704A4F">
        <w:rPr>
          <w:rFonts w:ascii="Proxima Nova" w:eastAsia="Calibri" w:hAnsi="Proxima Nova" w:cstheme="minorHAnsi"/>
          <w:color w:val="000000"/>
          <w:sz w:val="22"/>
          <w:szCs w:val="22"/>
          <w:lang w:val="en-GB"/>
        </w:rPr>
        <w:t xml:space="preserve">Fourth, as discussed in Section 4, the regulation of restrictive practices by NDISQSC is premised on a </w:t>
      </w:r>
      <w:r w:rsidRPr="00704A4F">
        <w:rPr>
          <w:rFonts w:ascii="Proxima Nova" w:hAnsi="Proxima Nova" w:cstheme="minorHAnsi"/>
          <w:sz w:val="22"/>
          <w:szCs w:val="22"/>
        </w:rPr>
        <w:t>division between interventions for medical conditions and behaviours of concern where only interventions for the latter will fit within the NDIS definition of restrictive practices. This division is not scientifically objective – it is socially and economically contingent and gendered – and there is significant scope for coercive interventions to be framed as required for medical conditions and thus completely outside of the NDISQSC regulatory framework.</w:t>
      </w:r>
      <w:r w:rsidR="008954D0" w:rsidRPr="00704A4F">
        <w:rPr>
          <w:rFonts w:ascii="Proxima Nova" w:hAnsi="Proxima Nova" w:cstheme="minorHAnsi"/>
          <w:sz w:val="22"/>
          <w:szCs w:val="22"/>
        </w:rPr>
        <w:t xml:space="preserve"> </w:t>
      </w:r>
      <w:r w:rsidRPr="00704A4F">
        <w:rPr>
          <w:rFonts w:ascii="Proxima Nova" w:eastAsia="Calibri" w:hAnsi="Proxima Nova" w:cstheme="minorHAnsi"/>
          <w:color w:val="000000"/>
          <w:sz w:val="22"/>
          <w:szCs w:val="22"/>
          <w:lang w:val="en-GB"/>
        </w:rPr>
        <w:t>We will provide further discussion of the NDIS and restrictive practices in our forthcoming submission on sexual and reproductive rights.</w:t>
      </w:r>
    </w:p>
    <w:p w14:paraId="39CCFF75" w14:textId="77777777" w:rsidR="007F6826" w:rsidRPr="00704A4F" w:rsidRDefault="007F6826" w:rsidP="00704A4F">
      <w:pPr>
        <w:spacing w:line="276" w:lineRule="auto"/>
        <w:ind w:left="720" w:hanging="720"/>
        <w:rPr>
          <w:rFonts w:ascii="Proxima Nova" w:hAnsi="Proxima Nova" w:cstheme="minorHAnsi"/>
          <w:sz w:val="22"/>
          <w:szCs w:val="22"/>
        </w:rPr>
      </w:pPr>
    </w:p>
    <w:p w14:paraId="4365854C" w14:textId="61E8EC5A" w:rsidR="004F17C7" w:rsidRPr="00B901C0" w:rsidRDefault="004F17C7" w:rsidP="004F17C7">
      <w:pPr>
        <w:spacing w:line="276" w:lineRule="auto"/>
        <w:rPr>
          <w:rFonts w:ascii="Proxima Nova" w:hAnsi="Proxima Nova" w:cstheme="minorHAnsi"/>
        </w:rPr>
      </w:pPr>
      <w:r w:rsidRPr="00B901C0">
        <w:rPr>
          <w:rFonts w:ascii="Proxima Nova" w:hAnsi="Proxima Nova"/>
          <w:b/>
          <w:color w:val="AC1F79"/>
        </w:rPr>
        <w:t>Gendered Ableist Legal Violence</w:t>
      </w:r>
    </w:p>
    <w:p w14:paraId="439D8707" w14:textId="0D51E925" w:rsidR="004F17C7" w:rsidRPr="00704A4F" w:rsidRDefault="004F17C7" w:rsidP="00704A4F">
      <w:pPr>
        <w:autoSpaceDE w:val="0"/>
        <w:autoSpaceDN w:val="0"/>
        <w:adjustRightInd w:val="0"/>
        <w:spacing w:line="276" w:lineRule="auto"/>
        <w:ind w:left="720" w:hanging="720"/>
        <w:rPr>
          <w:rFonts w:ascii="Proxima Nova" w:hAnsi="Proxima Nova" w:cstheme="minorHAnsi"/>
          <w:sz w:val="22"/>
          <w:szCs w:val="22"/>
          <w:lang w:val="en"/>
        </w:rPr>
      </w:pPr>
    </w:p>
    <w:p w14:paraId="4B790BB2" w14:textId="178F0FCE" w:rsidR="0042650A" w:rsidRPr="00704A4F" w:rsidRDefault="0042650A" w:rsidP="00704A4F">
      <w:pPr>
        <w:pStyle w:val="ListParagraph"/>
        <w:numPr>
          <w:ilvl w:val="1"/>
          <w:numId w:val="32"/>
        </w:numPr>
        <w:spacing w:line="276" w:lineRule="auto"/>
        <w:ind w:left="720" w:hanging="720"/>
        <w:rPr>
          <w:rFonts w:ascii="Proxima Nova" w:hAnsi="Proxima Nova" w:cstheme="minorHAnsi"/>
          <w:sz w:val="22"/>
          <w:szCs w:val="22"/>
        </w:rPr>
      </w:pPr>
      <w:r w:rsidRPr="00704A4F">
        <w:rPr>
          <w:rFonts w:ascii="Proxima Nova" w:hAnsi="Proxima Nova" w:cstheme="minorHAnsi"/>
          <w:sz w:val="22"/>
          <w:szCs w:val="22"/>
        </w:rPr>
        <w:t>Restrictive practices can be even more specifically understood as a gendered ableist form of legal violence.</w:t>
      </w:r>
    </w:p>
    <w:p w14:paraId="6BC85FB8" w14:textId="77777777" w:rsidR="0042650A" w:rsidRPr="00704A4F" w:rsidRDefault="0042650A" w:rsidP="00704A4F">
      <w:pPr>
        <w:spacing w:line="276" w:lineRule="auto"/>
        <w:ind w:left="720" w:hanging="720"/>
        <w:rPr>
          <w:rFonts w:ascii="Proxima Nova" w:eastAsia="Calibri" w:hAnsi="Proxima Nova" w:cstheme="minorHAnsi"/>
          <w:sz w:val="22"/>
          <w:szCs w:val="22"/>
          <w:lang w:val="en-GB"/>
        </w:rPr>
      </w:pPr>
    </w:p>
    <w:p w14:paraId="4880139F" w14:textId="2A887DA7" w:rsidR="001A4D06" w:rsidRPr="00704A4F" w:rsidRDefault="0042650A" w:rsidP="00704A4F">
      <w:pPr>
        <w:numPr>
          <w:ilvl w:val="1"/>
          <w:numId w:val="32"/>
        </w:numPr>
        <w:spacing w:line="276" w:lineRule="auto"/>
        <w:ind w:left="720" w:hanging="720"/>
        <w:rPr>
          <w:rFonts w:ascii="Proxima Nova" w:hAnsi="Proxima Nova" w:cstheme="minorHAnsi"/>
          <w:sz w:val="22"/>
          <w:szCs w:val="22"/>
        </w:rPr>
      </w:pPr>
      <w:r w:rsidRPr="00704A4F">
        <w:rPr>
          <w:rFonts w:ascii="Proxima Nova" w:hAnsi="Proxima Nova" w:cstheme="minorHAnsi"/>
          <w:sz w:val="22"/>
          <w:szCs w:val="22"/>
          <w:bdr w:val="none" w:sz="0" w:space="0" w:color="auto" w:frame="1"/>
        </w:rPr>
        <w:t>First, t</w:t>
      </w:r>
      <w:r w:rsidR="006F3F43" w:rsidRPr="00704A4F">
        <w:rPr>
          <w:rFonts w:ascii="Proxima Nova" w:hAnsi="Proxima Nova" w:cstheme="minorHAnsi"/>
          <w:sz w:val="22"/>
          <w:szCs w:val="22"/>
          <w:bdr w:val="none" w:sz="0" w:space="0" w:color="auto" w:frame="1"/>
        </w:rPr>
        <w:t xml:space="preserve">he </w:t>
      </w:r>
      <w:r w:rsidR="006D40C2" w:rsidRPr="00704A4F">
        <w:rPr>
          <w:rFonts w:ascii="Proxima Nova" w:hAnsi="Proxima Nova" w:cstheme="minorHAnsi"/>
          <w:sz w:val="22"/>
          <w:szCs w:val="22"/>
          <w:bdr w:val="none" w:sz="0" w:space="0" w:color="auto" w:frame="1"/>
        </w:rPr>
        <w:t xml:space="preserve">common law doctrine of </w:t>
      </w:r>
      <w:r w:rsidR="006F3F43" w:rsidRPr="00704A4F">
        <w:rPr>
          <w:rFonts w:ascii="Proxima Nova" w:hAnsi="Proxima Nova" w:cstheme="minorHAnsi"/>
          <w:sz w:val="22"/>
          <w:szCs w:val="22"/>
          <w:bdr w:val="none" w:sz="0" w:space="0" w:color="auto" w:frame="1"/>
        </w:rPr>
        <w:t>parens patriae which is the source of judicial and tribunal authority to decide on restrictive practices</w:t>
      </w:r>
      <w:r w:rsidR="001A4D06" w:rsidRPr="00704A4F">
        <w:rPr>
          <w:rFonts w:ascii="Proxima Nova" w:hAnsi="Proxima Nova" w:cstheme="minorHAnsi"/>
          <w:sz w:val="22"/>
          <w:szCs w:val="22"/>
          <w:bdr w:val="none" w:sz="0" w:space="0" w:color="auto" w:frame="1"/>
        </w:rPr>
        <w:t xml:space="preserve"> (guardianship legislation</w:t>
      </w:r>
      <w:r w:rsidR="006D40C2" w:rsidRPr="00704A4F">
        <w:rPr>
          <w:rFonts w:ascii="Proxima Nova" w:hAnsi="Proxima Nova" w:cstheme="minorHAnsi"/>
          <w:sz w:val="22"/>
          <w:szCs w:val="22"/>
          <w:bdr w:val="none" w:sz="0" w:space="0" w:color="auto" w:frame="1"/>
        </w:rPr>
        <w:t xml:space="preserve"> is a modern legislative rendition of a jurisdiction that was earlier exercised by supreme courts</w:t>
      </w:r>
      <w:r w:rsidR="000F1C20" w:rsidRPr="00704A4F">
        <w:rPr>
          <w:rStyle w:val="EndnoteReference"/>
          <w:rFonts w:ascii="Proxima Nova" w:hAnsi="Proxima Nova" w:cstheme="minorHAnsi"/>
          <w:sz w:val="22"/>
          <w:szCs w:val="22"/>
          <w:lang w:val="en"/>
        </w:rPr>
        <w:endnoteReference w:id="305"/>
      </w:r>
      <w:r w:rsidR="001A4D06" w:rsidRPr="00704A4F">
        <w:rPr>
          <w:rFonts w:ascii="Proxima Nova" w:hAnsi="Proxima Nova" w:cstheme="minorHAnsi"/>
          <w:sz w:val="22"/>
          <w:szCs w:val="22"/>
          <w:bdr w:val="none" w:sz="0" w:space="0" w:color="auto" w:frame="1"/>
        </w:rPr>
        <w:t>)</w:t>
      </w:r>
      <w:r w:rsidR="006D40C2" w:rsidRPr="00704A4F">
        <w:rPr>
          <w:rFonts w:ascii="Proxima Nova" w:hAnsi="Proxima Nova" w:cstheme="minorHAnsi"/>
          <w:sz w:val="22"/>
          <w:szCs w:val="22"/>
          <w:bdr w:val="none" w:sz="0" w:space="0" w:color="auto" w:frame="1"/>
        </w:rPr>
        <w:t xml:space="preserve"> means ‘parent of the state’ or ‘parent of the nation’. It</w:t>
      </w:r>
      <w:r w:rsidR="006F3F43" w:rsidRPr="00704A4F">
        <w:rPr>
          <w:rFonts w:ascii="Proxima Nova" w:hAnsi="Proxima Nova" w:cstheme="minorHAnsi"/>
          <w:sz w:val="22"/>
          <w:szCs w:val="22"/>
          <w:bdr w:val="none" w:sz="0" w:space="0" w:color="auto" w:frame="1"/>
        </w:rPr>
        <w:t xml:space="preserve"> is </w:t>
      </w:r>
      <w:r w:rsidR="001A4D06" w:rsidRPr="00704A4F">
        <w:rPr>
          <w:rFonts w:ascii="Proxima Nova" w:hAnsi="Proxima Nova" w:cstheme="minorHAnsi"/>
          <w:sz w:val="22"/>
          <w:szCs w:val="22"/>
          <w:bdr w:val="none" w:sz="0" w:space="0" w:color="auto" w:frame="1"/>
        </w:rPr>
        <w:t xml:space="preserve">understood in highly gendered terms as modelled on the familial authority of the father over the vulnerable child in the private sphere of the home. This is apparent in the judicial discussion of the exclusion of </w:t>
      </w:r>
      <w:r w:rsidR="006D40C2" w:rsidRPr="00704A4F">
        <w:rPr>
          <w:rFonts w:ascii="Proxima Nova" w:hAnsi="Proxima Nova" w:cstheme="minorHAnsi"/>
          <w:sz w:val="22"/>
          <w:szCs w:val="22"/>
          <w:bdr w:val="none" w:sz="0" w:space="0" w:color="auto" w:frame="1"/>
        </w:rPr>
        <w:t xml:space="preserve">the </w:t>
      </w:r>
      <w:r w:rsidR="0095487D" w:rsidRPr="00704A4F">
        <w:rPr>
          <w:rFonts w:ascii="Proxima Nova" w:hAnsi="Proxima Nova" w:cstheme="minorHAnsi"/>
          <w:sz w:val="22"/>
          <w:szCs w:val="22"/>
          <w:bdr w:val="none" w:sz="0" w:space="0" w:color="auto" w:frame="1"/>
        </w:rPr>
        <w:t xml:space="preserve">principle of open justice from courts where they are applying the common law doctrine of </w:t>
      </w:r>
      <w:r w:rsidR="006D40C2" w:rsidRPr="00704A4F">
        <w:rPr>
          <w:rFonts w:ascii="Proxima Nova" w:hAnsi="Proxima Nova" w:cstheme="minorHAnsi"/>
          <w:sz w:val="22"/>
          <w:szCs w:val="22"/>
          <w:bdr w:val="none" w:sz="0" w:space="0" w:color="auto" w:frame="1"/>
        </w:rPr>
        <w:t>parens</w:t>
      </w:r>
      <w:r w:rsidR="0095487D" w:rsidRPr="00704A4F">
        <w:rPr>
          <w:rFonts w:ascii="Proxima Nova" w:hAnsi="Proxima Nova" w:cstheme="minorHAnsi"/>
          <w:sz w:val="22"/>
          <w:szCs w:val="22"/>
          <w:bdr w:val="none" w:sz="0" w:space="0" w:color="auto" w:frame="1"/>
        </w:rPr>
        <w:t xml:space="preserve"> patriae</w:t>
      </w:r>
      <w:r w:rsidR="001A4D06" w:rsidRPr="00704A4F">
        <w:rPr>
          <w:rFonts w:ascii="Proxima Nova" w:hAnsi="Proxima Nova" w:cstheme="minorHAnsi"/>
          <w:sz w:val="22"/>
          <w:szCs w:val="22"/>
          <w:bdr w:val="none" w:sz="0" w:space="0" w:color="auto" w:frame="1"/>
        </w:rPr>
        <w:t xml:space="preserve">. </w:t>
      </w:r>
      <w:r w:rsidR="001A4D06" w:rsidRPr="00704A4F">
        <w:rPr>
          <w:rFonts w:ascii="Proxima Nova" w:hAnsi="Proxima Nova" w:cstheme="minorHAnsi"/>
          <w:sz w:val="22"/>
          <w:szCs w:val="22"/>
        </w:rPr>
        <w:t>French CJ in Hogan v Hinch stated:</w:t>
      </w:r>
    </w:p>
    <w:p w14:paraId="531A9427" w14:textId="77777777" w:rsidR="001A4D06" w:rsidRPr="00704A4F" w:rsidRDefault="001A4D06" w:rsidP="00704A4F">
      <w:pPr>
        <w:spacing w:line="276" w:lineRule="auto"/>
        <w:ind w:left="720" w:hanging="720"/>
        <w:rPr>
          <w:rFonts w:ascii="Proxima Nova" w:hAnsi="Proxima Nova" w:cstheme="minorHAnsi"/>
          <w:sz w:val="22"/>
          <w:szCs w:val="22"/>
        </w:rPr>
      </w:pPr>
    </w:p>
    <w:p w14:paraId="747D94AC" w14:textId="4A4D5315" w:rsidR="001A4D06" w:rsidRPr="00704A4F" w:rsidRDefault="001A4D06" w:rsidP="00704A4F">
      <w:pPr>
        <w:pStyle w:val="ListParagraph"/>
        <w:spacing w:line="276" w:lineRule="auto"/>
        <w:ind w:left="1134"/>
        <w:contextualSpacing w:val="0"/>
        <w:rPr>
          <w:rFonts w:ascii="Proxima Nova" w:hAnsi="Proxima Nova" w:cstheme="minorHAnsi"/>
          <w:sz w:val="22"/>
          <w:szCs w:val="22"/>
        </w:rPr>
      </w:pPr>
      <w:r w:rsidRPr="00704A4F">
        <w:rPr>
          <w:rFonts w:ascii="Proxima Nova" w:hAnsi="Proxima Nova" w:cstheme="minorHAnsi"/>
          <w:i/>
          <w:iCs/>
          <w:sz w:val="22"/>
          <w:szCs w:val="22"/>
        </w:rPr>
        <w:t>The jurisdiction of courts in relation to wards of the State and mentally ill people was historically an exception to the general rule that proceedings should be held in public because the jurisdiction exercised in such cases was “parental and administrative, and the disposal of controverted questions … an incident only in the jurisdiction”.</w:t>
      </w:r>
      <w:r w:rsidRPr="00704A4F">
        <w:rPr>
          <w:rStyle w:val="EndnoteReference"/>
          <w:rFonts w:ascii="Proxima Nova" w:hAnsi="Proxima Nova" w:cstheme="minorHAnsi"/>
          <w:sz w:val="22"/>
          <w:szCs w:val="22"/>
        </w:rPr>
        <w:endnoteReference w:id="306"/>
      </w:r>
    </w:p>
    <w:p w14:paraId="0CCE630C" w14:textId="77777777" w:rsidR="001A4D06" w:rsidRPr="00704A4F" w:rsidRDefault="001A4D06" w:rsidP="00704A4F">
      <w:pPr>
        <w:pStyle w:val="ListParagraph"/>
        <w:spacing w:line="276" w:lineRule="auto"/>
        <w:ind w:hanging="720"/>
        <w:contextualSpacing w:val="0"/>
        <w:rPr>
          <w:rFonts w:ascii="Proxima Nova" w:hAnsi="Proxima Nova" w:cstheme="minorHAnsi"/>
          <w:sz w:val="22"/>
          <w:szCs w:val="22"/>
        </w:rPr>
      </w:pPr>
    </w:p>
    <w:p w14:paraId="24DEB3F6" w14:textId="48E64207" w:rsidR="001A4D06" w:rsidRPr="00704A4F" w:rsidRDefault="001A4D06" w:rsidP="00704A4F">
      <w:pPr>
        <w:pStyle w:val="ListParagraph"/>
        <w:numPr>
          <w:ilvl w:val="1"/>
          <w:numId w:val="32"/>
        </w:numPr>
        <w:spacing w:line="276" w:lineRule="auto"/>
        <w:ind w:left="720" w:hanging="720"/>
        <w:contextualSpacing w:val="0"/>
        <w:rPr>
          <w:rFonts w:ascii="Proxima Nova" w:hAnsi="Proxima Nova" w:cstheme="minorHAnsi"/>
          <w:sz w:val="22"/>
          <w:szCs w:val="22"/>
        </w:rPr>
      </w:pPr>
      <w:r w:rsidRPr="00704A4F">
        <w:rPr>
          <w:rFonts w:ascii="Proxima Nova" w:hAnsi="Proxima Nova" w:cstheme="minorHAnsi"/>
          <w:sz w:val="22"/>
          <w:szCs w:val="22"/>
        </w:rPr>
        <w:t>Chief Justice French cited the decision of Scott v Scott. In Scott v Scott, Viscount Haldane LC explained why the</w:t>
      </w:r>
      <w:r w:rsidR="0095487D" w:rsidRPr="00704A4F">
        <w:rPr>
          <w:rFonts w:ascii="Proxima Nova" w:hAnsi="Proxima Nova" w:cstheme="minorHAnsi"/>
          <w:sz w:val="22"/>
          <w:szCs w:val="22"/>
        </w:rPr>
        <w:t xml:space="preserve"> court’s work in relation to the common law doctrine of</w:t>
      </w:r>
      <w:r w:rsidRPr="00704A4F">
        <w:rPr>
          <w:rFonts w:ascii="Proxima Nova" w:hAnsi="Proxima Nova" w:cstheme="minorHAnsi"/>
          <w:sz w:val="22"/>
          <w:szCs w:val="22"/>
        </w:rPr>
        <w:t xml:space="preserve"> parens patriae is distinct to the general practice of open courts:</w:t>
      </w:r>
    </w:p>
    <w:p w14:paraId="402407BE" w14:textId="77777777" w:rsidR="001A4D06" w:rsidRPr="00704A4F" w:rsidRDefault="001A4D06" w:rsidP="00704A4F">
      <w:pPr>
        <w:pStyle w:val="ListParagraph"/>
        <w:spacing w:line="276" w:lineRule="auto"/>
        <w:ind w:hanging="720"/>
        <w:contextualSpacing w:val="0"/>
        <w:rPr>
          <w:rFonts w:ascii="Proxima Nova" w:hAnsi="Proxima Nova" w:cstheme="minorHAnsi"/>
          <w:sz w:val="22"/>
          <w:szCs w:val="22"/>
        </w:rPr>
      </w:pPr>
    </w:p>
    <w:p w14:paraId="525055C1" w14:textId="638CC890" w:rsidR="001A4D06" w:rsidRPr="00704A4F" w:rsidRDefault="001A4D06" w:rsidP="00704A4F">
      <w:pPr>
        <w:spacing w:line="276" w:lineRule="auto"/>
        <w:ind w:left="1134"/>
        <w:rPr>
          <w:rFonts w:ascii="Proxima Nova" w:hAnsi="Proxima Nova" w:cstheme="minorHAnsi"/>
          <w:i/>
          <w:iCs/>
          <w:sz w:val="22"/>
          <w:szCs w:val="22"/>
          <w:lang w:eastAsia="en-AU"/>
        </w:rPr>
      </w:pPr>
      <w:r w:rsidRPr="00704A4F">
        <w:rPr>
          <w:rFonts w:ascii="Proxima Nova" w:hAnsi="Proxima Nova" w:cstheme="minorHAnsi"/>
          <w:i/>
          <w:iCs/>
          <w:sz w:val="22"/>
          <w:szCs w:val="22"/>
          <w:lang w:eastAsia="en-AU"/>
        </w:rPr>
        <w:t xml:space="preserve">The case of wards of Court and lunatics stands on a different footing. </w:t>
      </w:r>
      <w:proofErr w:type="gramStart"/>
      <w:r w:rsidRPr="00704A4F">
        <w:rPr>
          <w:rFonts w:ascii="Proxima Nova" w:hAnsi="Proxima Nova" w:cstheme="minorHAnsi"/>
          <w:i/>
          <w:iCs/>
          <w:sz w:val="22"/>
          <w:szCs w:val="22"/>
          <w:lang w:eastAsia="en-AU"/>
        </w:rPr>
        <w:t>There</w:t>
      </w:r>
      <w:proofErr w:type="gramEnd"/>
      <w:r w:rsidRPr="00704A4F">
        <w:rPr>
          <w:rFonts w:ascii="Proxima Nova" w:hAnsi="Proxima Nova" w:cstheme="minorHAnsi"/>
          <w:i/>
          <w:iCs/>
          <w:sz w:val="22"/>
          <w:szCs w:val="22"/>
          <w:lang w:eastAsia="en-AU"/>
        </w:rPr>
        <w:t xml:space="preserve"> the judge who is administering their affairs, in the exercise of what has been called a paternal jurisdiction delegated to him from the Crown through the Lord Chancellor, is not sitting merely to decide a contested question. His position as an administrator as well as judge may require the application of another and overriding principle to regulate his procedure in the interest of those whose affairs are in his charge.</w:t>
      </w:r>
    </w:p>
    <w:p w14:paraId="2AF72849" w14:textId="77777777" w:rsidR="005C559E" w:rsidRPr="00704A4F" w:rsidRDefault="005C559E" w:rsidP="00704A4F">
      <w:pPr>
        <w:spacing w:line="276" w:lineRule="auto"/>
        <w:ind w:left="1134"/>
        <w:rPr>
          <w:rFonts w:ascii="Proxima Nova" w:hAnsi="Proxima Nova" w:cstheme="minorHAnsi"/>
          <w:sz w:val="22"/>
          <w:szCs w:val="22"/>
        </w:rPr>
      </w:pPr>
    </w:p>
    <w:p w14:paraId="6EF6A2AE" w14:textId="5EF1AEE2" w:rsidR="001A4D06" w:rsidRPr="00704A4F" w:rsidRDefault="001A4D06" w:rsidP="00704A4F">
      <w:pPr>
        <w:spacing w:line="276" w:lineRule="auto"/>
        <w:ind w:left="1134"/>
        <w:rPr>
          <w:rFonts w:ascii="Proxima Nova" w:hAnsi="Proxima Nova" w:cstheme="minorHAnsi"/>
          <w:sz w:val="22"/>
          <w:szCs w:val="22"/>
          <w:lang w:eastAsia="en-AU"/>
        </w:rPr>
      </w:pPr>
      <w:r w:rsidRPr="00704A4F">
        <w:rPr>
          <w:rFonts w:ascii="Proxima Nova" w:hAnsi="Proxima Nova" w:cstheme="minorHAnsi"/>
          <w:i/>
          <w:iCs/>
          <w:sz w:val="22"/>
          <w:szCs w:val="22"/>
          <w:lang w:eastAsia="en-AU"/>
        </w:rPr>
        <w:t>… While the broad principle is that the Courts of this country must, as between parties, administer justice in public, this principle is subject to apparent exceptions, such as those to which I have referred. But the exceptions are themselves the outcome of a yet more fundamental principle that the chief object of Courts of justice must be to secure that justice is done. In the two cases of wards of Court and of lunatics the Court is really sitting primarily to guard the interests of the ward or the lunatic. Its jurisdiction is in this respect parental and administrative, and the disposal of controverted questions is an incident only in the jurisdiction. It may often be necessary, in order to attain its primary object, that the Court should exclude the public. The broad principle which ordinarily governs it therefore yields to the paramount duty, which is the care of the ward or the lunatic.</w:t>
      </w:r>
      <w:r w:rsidRPr="00704A4F">
        <w:rPr>
          <w:rStyle w:val="EndnoteReference"/>
          <w:rFonts w:ascii="Proxima Nova" w:eastAsiaTheme="majorEastAsia" w:hAnsi="Proxima Nova" w:cstheme="minorHAnsi"/>
          <w:sz w:val="22"/>
          <w:szCs w:val="22"/>
        </w:rPr>
        <w:endnoteReference w:id="307"/>
      </w:r>
      <w:r w:rsidRPr="00704A4F">
        <w:rPr>
          <w:rFonts w:ascii="Proxima Nova" w:hAnsi="Proxima Nova" w:cstheme="minorHAnsi"/>
          <w:sz w:val="22"/>
          <w:szCs w:val="22"/>
          <w:lang w:eastAsia="en-AU"/>
        </w:rPr>
        <w:t xml:space="preserve"> </w:t>
      </w:r>
    </w:p>
    <w:p w14:paraId="78CEEC10" w14:textId="77777777" w:rsidR="001A4D06" w:rsidRPr="00704A4F" w:rsidRDefault="001A4D06" w:rsidP="00704A4F">
      <w:pPr>
        <w:spacing w:line="276" w:lineRule="auto"/>
        <w:rPr>
          <w:rFonts w:ascii="Proxima Nova" w:hAnsi="Proxima Nova" w:cstheme="minorHAnsi"/>
          <w:sz w:val="22"/>
          <w:szCs w:val="22"/>
          <w:lang w:eastAsia="en-AU"/>
        </w:rPr>
      </w:pPr>
    </w:p>
    <w:p w14:paraId="06CBD7B0" w14:textId="3C80396D" w:rsidR="001A4D06" w:rsidRPr="00704A4F" w:rsidRDefault="001A4D06" w:rsidP="00704A4F">
      <w:pPr>
        <w:pStyle w:val="ListParagraph"/>
        <w:numPr>
          <w:ilvl w:val="1"/>
          <w:numId w:val="32"/>
        </w:numPr>
        <w:spacing w:line="276" w:lineRule="auto"/>
        <w:ind w:left="720" w:hanging="720"/>
        <w:contextualSpacing w:val="0"/>
        <w:rPr>
          <w:rFonts w:ascii="Proxima Nova" w:hAnsi="Proxima Nova" w:cstheme="minorHAnsi"/>
          <w:sz w:val="22"/>
          <w:szCs w:val="22"/>
          <w:lang w:eastAsia="en-AU"/>
        </w:rPr>
      </w:pPr>
      <w:r w:rsidRPr="00704A4F">
        <w:rPr>
          <w:rFonts w:ascii="Proxima Nova" w:hAnsi="Proxima Nova" w:cstheme="minorHAnsi"/>
          <w:sz w:val="22"/>
          <w:szCs w:val="22"/>
          <w:lang w:eastAsia="en-AU"/>
        </w:rPr>
        <w:t xml:space="preserve">In a similar vein, Lord Shaw of Dunfermline in </w:t>
      </w:r>
      <w:r w:rsidRPr="00704A4F">
        <w:rPr>
          <w:rFonts w:ascii="Proxima Nova" w:hAnsi="Proxima Nova" w:cstheme="minorHAnsi"/>
          <w:sz w:val="22"/>
          <w:szCs w:val="22"/>
        </w:rPr>
        <w:t xml:space="preserve">Scott v Scott </w:t>
      </w:r>
      <w:r w:rsidRPr="00704A4F">
        <w:rPr>
          <w:rFonts w:ascii="Proxima Nova" w:hAnsi="Proxima Nova" w:cstheme="minorHAnsi"/>
          <w:sz w:val="22"/>
          <w:szCs w:val="22"/>
          <w:lang w:eastAsia="en-AU"/>
        </w:rPr>
        <w:t>stated in relation to ‘suits affecting wards’ and ‘lunacy proceedings’:</w:t>
      </w:r>
    </w:p>
    <w:p w14:paraId="1E27E45D" w14:textId="77777777" w:rsidR="001A4D06" w:rsidRPr="00704A4F" w:rsidRDefault="001A4D06" w:rsidP="00704A4F">
      <w:pPr>
        <w:spacing w:line="276" w:lineRule="auto"/>
        <w:rPr>
          <w:rFonts w:ascii="Proxima Nova" w:hAnsi="Proxima Nova" w:cstheme="minorHAnsi"/>
          <w:sz w:val="22"/>
          <w:szCs w:val="22"/>
          <w:lang w:eastAsia="en-AU"/>
        </w:rPr>
      </w:pPr>
    </w:p>
    <w:p w14:paraId="551E32C2" w14:textId="1EFB57AC" w:rsidR="001A4D06" w:rsidRPr="00704A4F" w:rsidRDefault="001A4D06" w:rsidP="00704A4F">
      <w:pPr>
        <w:spacing w:line="276" w:lineRule="auto"/>
        <w:ind w:left="1134"/>
        <w:rPr>
          <w:rFonts w:ascii="Proxima Nova" w:hAnsi="Proxima Nova" w:cstheme="minorHAnsi"/>
          <w:sz w:val="22"/>
          <w:szCs w:val="22"/>
        </w:rPr>
      </w:pPr>
      <w:r w:rsidRPr="00704A4F">
        <w:rPr>
          <w:rFonts w:ascii="Proxima Nova" w:hAnsi="Proxima Nova" w:cstheme="minorHAnsi"/>
          <w:i/>
          <w:iCs/>
          <w:sz w:val="22"/>
          <w:szCs w:val="22"/>
        </w:rPr>
        <w:t>these cases, my Lords, depend upon the familiar principle that the jurisdiction over wards and lunatics is exercised by the judges as representing His Majesty as parens patriæ. The affairs are truly private affairs; the transactions are transactions truly intra familiam; and it has long been recognized that an appeal for the protection of the Court in the case of such persons does not involve the consequence of placing in the light of publicity their truly domestic affairs.</w:t>
      </w:r>
      <w:r w:rsidRPr="00704A4F">
        <w:rPr>
          <w:rStyle w:val="EndnoteReference"/>
          <w:rFonts w:ascii="Proxima Nova" w:eastAsiaTheme="majorEastAsia" w:hAnsi="Proxima Nova" w:cstheme="minorHAnsi"/>
          <w:sz w:val="22"/>
          <w:szCs w:val="22"/>
        </w:rPr>
        <w:endnoteReference w:id="308"/>
      </w:r>
    </w:p>
    <w:p w14:paraId="2B5F2393" w14:textId="77777777" w:rsidR="001A4D06" w:rsidRPr="00704A4F" w:rsidRDefault="001A4D06" w:rsidP="00704A4F">
      <w:pPr>
        <w:spacing w:line="276" w:lineRule="auto"/>
        <w:rPr>
          <w:rFonts w:ascii="Proxima Nova" w:hAnsi="Proxima Nova" w:cstheme="minorHAnsi"/>
          <w:sz w:val="22"/>
          <w:szCs w:val="22"/>
        </w:rPr>
      </w:pPr>
    </w:p>
    <w:p w14:paraId="028E22AF" w14:textId="226C48E1" w:rsidR="001A4D06" w:rsidRPr="00704A4F" w:rsidRDefault="001A4D06" w:rsidP="00704A4F">
      <w:pPr>
        <w:pStyle w:val="ListParagraph"/>
        <w:numPr>
          <w:ilvl w:val="1"/>
          <w:numId w:val="32"/>
        </w:numPr>
        <w:spacing w:line="276" w:lineRule="auto"/>
        <w:ind w:left="720" w:hanging="720"/>
        <w:contextualSpacing w:val="0"/>
        <w:rPr>
          <w:rFonts w:ascii="Proxima Nova" w:hAnsi="Proxima Nova" w:cstheme="minorHAnsi"/>
          <w:sz w:val="22"/>
          <w:szCs w:val="22"/>
        </w:rPr>
      </w:pPr>
      <w:r w:rsidRPr="00704A4F">
        <w:rPr>
          <w:rFonts w:ascii="Proxima Nova" w:hAnsi="Proxima Nova" w:cstheme="minorHAnsi"/>
          <w:sz w:val="22"/>
          <w:szCs w:val="22"/>
        </w:rPr>
        <w:t>Also in Scott v Scott, Earl of Halsbury stated:</w:t>
      </w:r>
    </w:p>
    <w:p w14:paraId="6EE451AD" w14:textId="77777777" w:rsidR="001A4D06" w:rsidRPr="00704A4F" w:rsidRDefault="001A4D06" w:rsidP="00704A4F">
      <w:pPr>
        <w:spacing w:line="276" w:lineRule="auto"/>
        <w:rPr>
          <w:rFonts w:ascii="Proxima Nova" w:hAnsi="Proxima Nova" w:cstheme="minorHAnsi"/>
          <w:sz w:val="22"/>
          <w:szCs w:val="22"/>
          <w:lang w:eastAsia="en-AU"/>
        </w:rPr>
      </w:pPr>
    </w:p>
    <w:p w14:paraId="21D53DC3" w14:textId="05321F38" w:rsidR="001A4D06" w:rsidRPr="00704A4F" w:rsidRDefault="001A4D06" w:rsidP="00704A4F">
      <w:pPr>
        <w:spacing w:line="276" w:lineRule="auto"/>
        <w:ind w:left="1134"/>
        <w:rPr>
          <w:rFonts w:ascii="Proxima Nova" w:hAnsi="Proxima Nova" w:cstheme="minorHAnsi"/>
          <w:i/>
          <w:iCs/>
          <w:sz w:val="22"/>
          <w:szCs w:val="22"/>
          <w:lang w:eastAsia="en-AU"/>
        </w:rPr>
      </w:pPr>
      <w:r w:rsidRPr="00704A4F">
        <w:rPr>
          <w:rFonts w:ascii="Proxima Nova" w:hAnsi="Proxima Nova" w:cstheme="minorHAnsi"/>
          <w:i/>
          <w:iCs/>
          <w:sz w:val="22"/>
          <w:szCs w:val="22"/>
          <w:lang w:eastAsia="en-AU"/>
        </w:rPr>
        <w:t>There are three different exceptions commonly so called, though in my judgment two of them are no exceptions at all. The first is wardship and the relation between guardian and ward, and the second is the care and treatment of lunatics.</w:t>
      </w:r>
    </w:p>
    <w:p w14:paraId="0CAF1F70" w14:textId="77777777" w:rsidR="001A4D06" w:rsidRPr="00704A4F" w:rsidRDefault="001A4D06" w:rsidP="00704A4F">
      <w:pPr>
        <w:spacing w:line="276" w:lineRule="auto"/>
        <w:ind w:left="1134"/>
        <w:rPr>
          <w:rFonts w:ascii="Proxima Nova" w:hAnsi="Proxima Nova" w:cstheme="minorHAnsi"/>
          <w:sz w:val="22"/>
          <w:szCs w:val="22"/>
          <w:lang w:eastAsia="en-AU"/>
        </w:rPr>
      </w:pPr>
      <w:r w:rsidRPr="00704A4F">
        <w:rPr>
          <w:rFonts w:ascii="Proxima Nova" w:hAnsi="Proxima Nova" w:cstheme="minorHAnsi"/>
          <w:i/>
          <w:iCs/>
          <w:sz w:val="22"/>
          <w:szCs w:val="22"/>
          <w:lang w:eastAsia="en-AU"/>
        </w:rPr>
        <w:t>My Lords, neither of these, for a reason that hardly requires to be stated, forms part of the public administration of justice at all.</w:t>
      </w:r>
      <w:r w:rsidRPr="00704A4F">
        <w:rPr>
          <w:rStyle w:val="EndnoteReference"/>
          <w:rFonts w:ascii="Proxima Nova" w:eastAsiaTheme="majorEastAsia" w:hAnsi="Proxima Nova" w:cstheme="minorHAnsi"/>
          <w:sz w:val="22"/>
          <w:szCs w:val="22"/>
        </w:rPr>
        <w:endnoteReference w:id="309"/>
      </w:r>
    </w:p>
    <w:p w14:paraId="68378D95" w14:textId="77777777" w:rsidR="001A4D06" w:rsidRPr="00704A4F" w:rsidRDefault="001A4D06" w:rsidP="00704A4F">
      <w:pPr>
        <w:spacing w:line="276" w:lineRule="auto"/>
        <w:rPr>
          <w:rFonts w:ascii="Proxima Nova" w:eastAsia="Calibri" w:hAnsi="Proxima Nova" w:cstheme="minorHAnsi"/>
          <w:sz w:val="22"/>
          <w:szCs w:val="22"/>
          <w:lang w:val="en-GB"/>
        </w:rPr>
      </w:pPr>
    </w:p>
    <w:p w14:paraId="5C3DDFB6" w14:textId="37EF520C" w:rsidR="001A4D06" w:rsidRPr="00704A4F" w:rsidRDefault="001A4D06" w:rsidP="00704A4F">
      <w:pPr>
        <w:numPr>
          <w:ilvl w:val="1"/>
          <w:numId w:val="32"/>
        </w:numPr>
        <w:spacing w:line="276" w:lineRule="auto"/>
        <w:ind w:left="720" w:hanging="720"/>
        <w:rPr>
          <w:rFonts w:ascii="Proxima Nova" w:eastAsia="Calibri" w:hAnsi="Proxima Nova" w:cstheme="minorHAnsi"/>
          <w:sz w:val="22"/>
          <w:szCs w:val="22"/>
          <w:lang w:val="en-GB"/>
        </w:rPr>
      </w:pPr>
      <w:r w:rsidRPr="00704A4F">
        <w:rPr>
          <w:rFonts w:ascii="Proxima Nova" w:hAnsi="Proxima Nova" w:cstheme="minorHAnsi"/>
          <w:sz w:val="22"/>
          <w:szCs w:val="22"/>
        </w:rPr>
        <w:t>This judicial commentary highlight</w:t>
      </w:r>
      <w:r w:rsidR="006D40C2" w:rsidRPr="00704A4F">
        <w:rPr>
          <w:rFonts w:ascii="Proxima Nova" w:hAnsi="Proxima Nova" w:cstheme="minorHAnsi"/>
          <w:sz w:val="22"/>
          <w:szCs w:val="22"/>
        </w:rPr>
        <w:t>s</w:t>
      </w:r>
      <w:r w:rsidRPr="00704A4F">
        <w:rPr>
          <w:rFonts w:ascii="Proxima Nova" w:hAnsi="Proxima Nova" w:cstheme="minorHAnsi"/>
          <w:sz w:val="22"/>
          <w:szCs w:val="22"/>
        </w:rPr>
        <w:t xml:space="preserve"> that </w:t>
      </w:r>
      <w:r w:rsidR="007C4152" w:rsidRPr="00704A4F">
        <w:rPr>
          <w:rFonts w:ascii="Proxima Nova" w:hAnsi="Proxima Nova" w:cstheme="minorHAnsi"/>
          <w:sz w:val="22"/>
          <w:szCs w:val="22"/>
        </w:rPr>
        <w:t xml:space="preserve">the </w:t>
      </w:r>
      <w:r w:rsidR="007C4152" w:rsidRPr="00704A4F">
        <w:rPr>
          <w:rFonts w:ascii="Proxima Nova" w:hAnsi="Proxima Nova" w:cstheme="minorHAnsi"/>
          <w:sz w:val="22"/>
          <w:szCs w:val="22"/>
          <w:lang w:val="en"/>
        </w:rPr>
        <w:t xml:space="preserve">common law doctrine of parens patriae </w:t>
      </w:r>
      <w:r w:rsidR="007C4152" w:rsidRPr="00704A4F">
        <w:rPr>
          <w:rFonts w:ascii="Proxima Nova" w:hAnsi="Proxima Nova" w:cstheme="minorHAnsi"/>
          <w:sz w:val="22"/>
          <w:szCs w:val="22"/>
        </w:rPr>
        <w:t>positions the court as inherently benevolent and as coming to the rescue of helpless and vulnerable people with disability in order to protect them from threats to their safety and wellbeing external to the justice system. W</w:t>
      </w:r>
      <w:r w:rsidR="006D40C2" w:rsidRPr="00704A4F">
        <w:rPr>
          <w:rFonts w:ascii="Proxima Nova" w:hAnsi="Proxima Nova" w:cstheme="minorHAnsi"/>
          <w:sz w:val="22"/>
          <w:szCs w:val="22"/>
        </w:rPr>
        <w:t xml:space="preserve">hen courts exercise the jurisdiction provided by </w:t>
      </w:r>
      <w:r w:rsidRPr="00704A4F">
        <w:rPr>
          <w:rFonts w:ascii="Proxima Nova" w:hAnsi="Proxima Nova" w:cstheme="minorHAnsi"/>
          <w:sz w:val="22"/>
          <w:szCs w:val="22"/>
        </w:rPr>
        <w:t xml:space="preserve">the </w:t>
      </w:r>
      <w:r w:rsidR="006D40C2" w:rsidRPr="00704A4F">
        <w:rPr>
          <w:rFonts w:ascii="Proxima Nova" w:hAnsi="Proxima Nova" w:cstheme="minorHAnsi"/>
          <w:sz w:val="22"/>
          <w:szCs w:val="22"/>
        </w:rPr>
        <w:t xml:space="preserve">common law doctrine of </w:t>
      </w:r>
      <w:r w:rsidRPr="00704A4F">
        <w:rPr>
          <w:rFonts w:ascii="Proxima Nova" w:hAnsi="Proxima Nova" w:cstheme="minorHAnsi"/>
          <w:sz w:val="22"/>
          <w:szCs w:val="22"/>
        </w:rPr>
        <w:t xml:space="preserve">parens patriae </w:t>
      </w:r>
      <w:r w:rsidR="00F60FE7" w:rsidRPr="00704A4F">
        <w:rPr>
          <w:rFonts w:ascii="Proxima Nova" w:hAnsi="Proxima Nova" w:cstheme="minorHAnsi"/>
          <w:sz w:val="22"/>
          <w:szCs w:val="22"/>
        </w:rPr>
        <w:t xml:space="preserve">the very nature and purpose of the court shifts, from being situated in the </w:t>
      </w:r>
      <w:r w:rsidRPr="00704A4F">
        <w:rPr>
          <w:rFonts w:ascii="Proxima Nova" w:hAnsi="Proxima Nova" w:cstheme="minorHAnsi"/>
          <w:sz w:val="22"/>
          <w:szCs w:val="22"/>
        </w:rPr>
        <w:t xml:space="preserve">public sphere </w:t>
      </w:r>
      <w:r w:rsidR="00F60FE7" w:rsidRPr="00704A4F">
        <w:rPr>
          <w:rFonts w:ascii="Proxima Nova" w:hAnsi="Proxima Nova" w:cstheme="minorHAnsi"/>
          <w:sz w:val="22"/>
          <w:szCs w:val="22"/>
        </w:rPr>
        <w:t>and exercising justice as an arm of the state for the benefit of the broader public</w:t>
      </w:r>
      <w:r w:rsidR="00040903" w:rsidRPr="00704A4F">
        <w:rPr>
          <w:rFonts w:ascii="Proxima Nova" w:hAnsi="Proxima Nova" w:cstheme="minorHAnsi"/>
          <w:sz w:val="22"/>
          <w:szCs w:val="22"/>
        </w:rPr>
        <w:t>,</w:t>
      </w:r>
      <w:r w:rsidR="00F60FE7" w:rsidRPr="00704A4F">
        <w:rPr>
          <w:rFonts w:ascii="Proxima Nova" w:hAnsi="Proxima Nova" w:cstheme="minorHAnsi"/>
          <w:sz w:val="22"/>
          <w:szCs w:val="22"/>
        </w:rPr>
        <w:t xml:space="preserve"> </w:t>
      </w:r>
      <w:r w:rsidRPr="00704A4F">
        <w:rPr>
          <w:rFonts w:ascii="Proxima Nova" w:hAnsi="Proxima Nova" w:cstheme="minorHAnsi"/>
          <w:sz w:val="22"/>
          <w:szCs w:val="22"/>
        </w:rPr>
        <w:t xml:space="preserve">to </w:t>
      </w:r>
      <w:r w:rsidR="00F60FE7" w:rsidRPr="00704A4F">
        <w:rPr>
          <w:rFonts w:ascii="Proxima Nova" w:hAnsi="Proxima Nova" w:cstheme="minorHAnsi"/>
          <w:sz w:val="22"/>
          <w:szCs w:val="22"/>
        </w:rPr>
        <w:t xml:space="preserve">being situated in </w:t>
      </w:r>
      <w:r w:rsidRPr="00704A4F">
        <w:rPr>
          <w:rFonts w:ascii="Proxima Nova" w:hAnsi="Proxima Nova" w:cstheme="minorHAnsi"/>
          <w:sz w:val="22"/>
          <w:szCs w:val="22"/>
        </w:rPr>
        <w:t xml:space="preserve">the private sphere </w:t>
      </w:r>
      <w:r w:rsidR="00F60FE7" w:rsidRPr="00704A4F">
        <w:rPr>
          <w:rFonts w:ascii="Proxima Nova" w:hAnsi="Proxima Nova" w:cstheme="minorHAnsi"/>
          <w:sz w:val="22"/>
          <w:szCs w:val="22"/>
        </w:rPr>
        <w:t>and exercising justice as a</w:t>
      </w:r>
      <w:r w:rsidRPr="00704A4F">
        <w:rPr>
          <w:rFonts w:ascii="Proxima Nova" w:hAnsi="Proxima Nova" w:cstheme="minorHAnsi"/>
          <w:sz w:val="22"/>
          <w:szCs w:val="22"/>
        </w:rPr>
        <w:t xml:space="preserve"> father</w:t>
      </w:r>
      <w:r w:rsidR="00F60FE7" w:rsidRPr="00704A4F">
        <w:rPr>
          <w:rFonts w:ascii="Proxima Nova" w:hAnsi="Proxima Nova" w:cstheme="minorHAnsi"/>
          <w:sz w:val="22"/>
          <w:szCs w:val="22"/>
        </w:rPr>
        <w:t xml:space="preserve"> to a child</w:t>
      </w:r>
      <w:r w:rsidRPr="00704A4F">
        <w:rPr>
          <w:rFonts w:ascii="Proxima Nova" w:hAnsi="Proxima Nova" w:cstheme="minorHAnsi"/>
          <w:sz w:val="22"/>
          <w:szCs w:val="22"/>
        </w:rPr>
        <w:t xml:space="preserve">. </w:t>
      </w:r>
      <w:r w:rsidR="00040903" w:rsidRPr="00704A4F">
        <w:rPr>
          <w:rFonts w:ascii="Proxima Nova" w:hAnsi="Proxima Nova" w:cstheme="minorHAnsi"/>
          <w:sz w:val="22"/>
          <w:szCs w:val="22"/>
        </w:rPr>
        <w:t xml:space="preserve">There are </w:t>
      </w:r>
      <w:r w:rsidR="003644C1" w:rsidRPr="00704A4F">
        <w:rPr>
          <w:rFonts w:ascii="Proxima Nova" w:hAnsi="Proxima Nova" w:cstheme="minorHAnsi"/>
          <w:sz w:val="22"/>
          <w:szCs w:val="22"/>
        </w:rPr>
        <w:t>three</w:t>
      </w:r>
      <w:r w:rsidR="00040903" w:rsidRPr="00704A4F">
        <w:rPr>
          <w:rFonts w:ascii="Proxima Nova" w:hAnsi="Proxima Nova" w:cstheme="minorHAnsi"/>
          <w:sz w:val="22"/>
          <w:szCs w:val="22"/>
        </w:rPr>
        <w:t xml:space="preserve"> concerns with this</w:t>
      </w:r>
      <w:r w:rsidR="00A15B5A" w:rsidRPr="00704A4F">
        <w:rPr>
          <w:rFonts w:ascii="Proxima Nova" w:hAnsi="Proxima Nova" w:cstheme="minorHAnsi"/>
          <w:sz w:val="22"/>
          <w:szCs w:val="22"/>
        </w:rPr>
        <w:t xml:space="preserve"> approach to the common law parens patriae doctrine</w:t>
      </w:r>
      <w:r w:rsidR="00040903" w:rsidRPr="00704A4F">
        <w:rPr>
          <w:rFonts w:ascii="Proxima Nova" w:hAnsi="Proxima Nova" w:cstheme="minorHAnsi"/>
          <w:sz w:val="22"/>
          <w:szCs w:val="22"/>
        </w:rPr>
        <w:t xml:space="preserve"> that demonstrate the gendered ableist violence of restrictive practices.</w:t>
      </w:r>
    </w:p>
    <w:p w14:paraId="7747CBC6" w14:textId="77777777" w:rsidR="001A4D06" w:rsidRPr="00704A4F" w:rsidRDefault="001A4D06" w:rsidP="00704A4F">
      <w:pPr>
        <w:spacing w:line="276" w:lineRule="auto"/>
        <w:ind w:left="720" w:hanging="720"/>
        <w:rPr>
          <w:rFonts w:ascii="Proxima Nova" w:hAnsi="Proxima Nova" w:cstheme="minorHAnsi"/>
          <w:sz w:val="22"/>
          <w:szCs w:val="22"/>
        </w:rPr>
      </w:pPr>
    </w:p>
    <w:p w14:paraId="06C2E41A" w14:textId="09B6C1C3" w:rsidR="004849F5" w:rsidRPr="00704A4F" w:rsidRDefault="00040903" w:rsidP="00704A4F">
      <w:pPr>
        <w:pStyle w:val="ListParagraph"/>
        <w:numPr>
          <w:ilvl w:val="1"/>
          <w:numId w:val="32"/>
        </w:numPr>
        <w:spacing w:line="276" w:lineRule="auto"/>
        <w:ind w:left="720" w:hanging="720"/>
        <w:contextualSpacing w:val="0"/>
        <w:rPr>
          <w:rFonts w:ascii="Proxima Nova" w:hAnsi="Proxima Nova" w:cstheme="minorHAnsi"/>
          <w:sz w:val="22"/>
          <w:szCs w:val="22"/>
        </w:rPr>
      </w:pPr>
      <w:r w:rsidRPr="00704A4F">
        <w:rPr>
          <w:rFonts w:ascii="Proxima Nova" w:hAnsi="Proxima Nova" w:cstheme="minorHAnsi"/>
          <w:sz w:val="22"/>
          <w:szCs w:val="22"/>
        </w:rPr>
        <w:t xml:space="preserve">First, </w:t>
      </w:r>
      <w:r w:rsidR="007C4152" w:rsidRPr="00704A4F">
        <w:rPr>
          <w:rFonts w:ascii="Proxima Nova" w:hAnsi="Proxima Nova" w:cstheme="minorHAnsi"/>
          <w:sz w:val="22"/>
          <w:szCs w:val="22"/>
        </w:rPr>
        <w:t>t</w:t>
      </w:r>
      <w:r w:rsidRPr="00704A4F">
        <w:rPr>
          <w:rFonts w:ascii="Proxima Nova" w:hAnsi="Proxima Nova" w:cstheme="minorHAnsi"/>
          <w:sz w:val="22"/>
          <w:szCs w:val="22"/>
        </w:rPr>
        <w:t>he doctrine relies on a medicalised and ableist understanding of p</w:t>
      </w:r>
      <w:r w:rsidR="001A4D06" w:rsidRPr="00704A4F">
        <w:rPr>
          <w:rFonts w:ascii="Proxima Nova" w:hAnsi="Proxima Nova" w:cstheme="minorHAnsi"/>
          <w:sz w:val="22"/>
          <w:szCs w:val="22"/>
        </w:rPr>
        <w:t>eople with disability as inherently violable (by forces external to the justice system) b</w:t>
      </w:r>
      <w:r w:rsidRPr="00704A4F">
        <w:rPr>
          <w:rFonts w:ascii="Proxima Nova" w:hAnsi="Proxima Nova" w:cstheme="minorHAnsi"/>
          <w:sz w:val="22"/>
          <w:szCs w:val="22"/>
        </w:rPr>
        <w:t xml:space="preserve">ecause of </w:t>
      </w:r>
      <w:r w:rsidR="001A4D06" w:rsidRPr="00704A4F">
        <w:rPr>
          <w:rFonts w:ascii="Proxima Nova" w:hAnsi="Proxima Nova" w:cstheme="minorHAnsi"/>
          <w:sz w:val="22"/>
          <w:szCs w:val="22"/>
        </w:rPr>
        <w:t>the inherent incapacity and vulnerability associated with their disability.</w:t>
      </w:r>
      <w:r w:rsidRPr="00704A4F">
        <w:rPr>
          <w:rFonts w:ascii="Proxima Nova" w:hAnsi="Proxima Nova" w:cstheme="minorHAnsi"/>
          <w:sz w:val="22"/>
          <w:szCs w:val="22"/>
        </w:rPr>
        <w:t xml:space="preserve"> </w:t>
      </w:r>
      <w:r w:rsidR="0009518F" w:rsidRPr="00704A4F">
        <w:rPr>
          <w:rFonts w:ascii="Proxima Nova" w:hAnsi="Proxima Nova" w:cstheme="minorHAnsi"/>
          <w:sz w:val="22"/>
          <w:szCs w:val="22"/>
        </w:rPr>
        <w:t xml:space="preserve">Yet, </w:t>
      </w:r>
      <w:r w:rsidRPr="00704A4F">
        <w:rPr>
          <w:rFonts w:ascii="Proxima Nova" w:hAnsi="Proxima Nova" w:cstheme="minorHAnsi"/>
          <w:sz w:val="22"/>
          <w:szCs w:val="22"/>
        </w:rPr>
        <w:t xml:space="preserve">this legal construction of people with disability renders them violable </w:t>
      </w:r>
      <w:r w:rsidR="0009518F" w:rsidRPr="00704A4F">
        <w:rPr>
          <w:rFonts w:ascii="Proxima Nova" w:hAnsi="Proxima Nova" w:cstheme="minorHAnsi"/>
          <w:sz w:val="22"/>
          <w:szCs w:val="22"/>
        </w:rPr>
        <w:t xml:space="preserve">through the </w:t>
      </w:r>
      <w:r w:rsidRPr="00704A4F">
        <w:rPr>
          <w:rFonts w:ascii="Proxima Nova" w:hAnsi="Proxima Nova" w:cstheme="minorHAnsi"/>
          <w:sz w:val="22"/>
          <w:szCs w:val="22"/>
        </w:rPr>
        <w:t xml:space="preserve">courts ordering the use of restrictive practices. Second, the </w:t>
      </w:r>
      <w:r w:rsidR="0009518F" w:rsidRPr="00704A4F">
        <w:rPr>
          <w:rFonts w:ascii="Proxima Nova" w:hAnsi="Proxima Nova" w:cstheme="minorHAnsi"/>
          <w:sz w:val="22"/>
          <w:szCs w:val="22"/>
        </w:rPr>
        <w:t>court’s legal construction as the private family home and judge’</w:t>
      </w:r>
      <w:r w:rsidRPr="00704A4F">
        <w:rPr>
          <w:rFonts w:ascii="Proxima Nova" w:hAnsi="Proxima Nova" w:cstheme="minorHAnsi"/>
          <w:sz w:val="22"/>
          <w:szCs w:val="22"/>
        </w:rPr>
        <w:t xml:space="preserve">s </w:t>
      </w:r>
      <w:r w:rsidR="0009518F" w:rsidRPr="00704A4F">
        <w:rPr>
          <w:rFonts w:ascii="Proxima Nova" w:hAnsi="Proxima Nova" w:cstheme="minorHAnsi"/>
          <w:sz w:val="22"/>
          <w:szCs w:val="22"/>
        </w:rPr>
        <w:t xml:space="preserve">construction as </w:t>
      </w:r>
      <w:r w:rsidRPr="00704A4F">
        <w:rPr>
          <w:rFonts w:ascii="Proxima Nova" w:hAnsi="Proxima Nova" w:cstheme="minorHAnsi"/>
          <w:sz w:val="22"/>
          <w:szCs w:val="22"/>
        </w:rPr>
        <w:t>a father figure is premised on the</w:t>
      </w:r>
      <w:r w:rsidR="00F60FE7" w:rsidRPr="00704A4F">
        <w:rPr>
          <w:rFonts w:ascii="Proxima Nova" w:hAnsi="Proxima Nova" w:cstheme="minorHAnsi"/>
          <w:sz w:val="22"/>
          <w:szCs w:val="22"/>
        </w:rPr>
        <w:t xml:space="preserve"> assumption that </w:t>
      </w:r>
      <w:r w:rsidR="0009518F" w:rsidRPr="00704A4F">
        <w:rPr>
          <w:rFonts w:ascii="Proxima Nova" w:hAnsi="Proxima Nova" w:cstheme="minorHAnsi"/>
          <w:sz w:val="22"/>
          <w:szCs w:val="22"/>
        </w:rPr>
        <w:t xml:space="preserve">within the home </w:t>
      </w:r>
      <w:r w:rsidR="00F60FE7" w:rsidRPr="00704A4F">
        <w:rPr>
          <w:rFonts w:ascii="Proxima Nova" w:hAnsi="Proxima Nova" w:cstheme="minorHAnsi"/>
          <w:sz w:val="22"/>
          <w:szCs w:val="22"/>
        </w:rPr>
        <w:t>the father is automatically loving, kind and protective to</w:t>
      </w:r>
      <w:r w:rsidR="0009518F" w:rsidRPr="00704A4F">
        <w:rPr>
          <w:rFonts w:ascii="Proxima Nova" w:hAnsi="Proxima Nova" w:cstheme="minorHAnsi"/>
          <w:sz w:val="22"/>
          <w:szCs w:val="22"/>
        </w:rPr>
        <w:t xml:space="preserve"> his </w:t>
      </w:r>
      <w:r w:rsidR="00F60FE7" w:rsidRPr="00704A4F">
        <w:rPr>
          <w:rFonts w:ascii="Proxima Nova" w:hAnsi="Proxima Nova" w:cstheme="minorHAnsi"/>
          <w:sz w:val="22"/>
          <w:szCs w:val="22"/>
        </w:rPr>
        <w:t>family</w:t>
      </w:r>
      <w:r w:rsidR="0009518F" w:rsidRPr="00704A4F">
        <w:rPr>
          <w:rFonts w:ascii="Proxima Nova" w:hAnsi="Proxima Nova" w:cstheme="minorHAnsi"/>
          <w:sz w:val="22"/>
          <w:szCs w:val="22"/>
        </w:rPr>
        <w:t>. This assumption</w:t>
      </w:r>
      <w:r w:rsidR="00F60FE7" w:rsidRPr="00704A4F">
        <w:rPr>
          <w:rFonts w:ascii="Proxima Nova" w:hAnsi="Proxima Nova" w:cstheme="minorHAnsi"/>
          <w:sz w:val="22"/>
          <w:szCs w:val="22"/>
        </w:rPr>
        <w:t xml:space="preserve"> has been challenged by decades of feminist activism and feminist legal scholarship that has highlighted</w:t>
      </w:r>
      <w:r w:rsidR="0009518F" w:rsidRPr="00704A4F">
        <w:rPr>
          <w:rFonts w:ascii="Proxima Nova" w:hAnsi="Proxima Nova" w:cstheme="minorHAnsi"/>
          <w:sz w:val="22"/>
          <w:szCs w:val="22"/>
        </w:rPr>
        <w:t xml:space="preserve"> violence within the family home and perpetrated by fathers and</w:t>
      </w:r>
      <w:r w:rsidR="00F60FE7" w:rsidRPr="00704A4F">
        <w:rPr>
          <w:rFonts w:ascii="Proxima Nova" w:hAnsi="Proxima Nova" w:cstheme="minorHAnsi"/>
          <w:sz w:val="22"/>
          <w:szCs w:val="22"/>
        </w:rPr>
        <w:t xml:space="preserve"> how the artificiality of the public/private divide serves to conceal violence within domesticated settings, protect male perpetrators from accountability, and exclude </w:t>
      </w:r>
      <w:r w:rsidR="0009518F" w:rsidRPr="00704A4F">
        <w:rPr>
          <w:rFonts w:ascii="Proxima Nova" w:hAnsi="Proxima Nova" w:cstheme="minorHAnsi"/>
          <w:sz w:val="22"/>
          <w:szCs w:val="22"/>
        </w:rPr>
        <w:t>victims-survivors</w:t>
      </w:r>
      <w:r w:rsidR="00F60FE7" w:rsidRPr="00704A4F">
        <w:rPr>
          <w:rFonts w:ascii="Proxima Nova" w:hAnsi="Proxima Nova" w:cstheme="minorHAnsi"/>
          <w:sz w:val="22"/>
          <w:szCs w:val="22"/>
        </w:rPr>
        <w:t xml:space="preserve"> from redress in the justice system.</w:t>
      </w:r>
      <w:r w:rsidR="001A4D06" w:rsidRPr="00704A4F">
        <w:rPr>
          <w:rFonts w:ascii="Proxima Nova" w:hAnsi="Proxima Nova" w:cstheme="minorHAnsi"/>
          <w:sz w:val="22"/>
          <w:szCs w:val="22"/>
        </w:rPr>
        <w:t xml:space="preserve"> </w:t>
      </w:r>
      <w:r w:rsidR="0009518F" w:rsidRPr="00704A4F">
        <w:rPr>
          <w:rFonts w:ascii="Proxima Nova" w:hAnsi="Proxima Nova" w:cstheme="minorHAnsi"/>
          <w:sz w:val="22"/>
          <w:szCs w:val="22"/>
        </w:rPr>
        <w:t>This</w:t>
      </w:r>
      <w:r w:rsidRPr="00704A4F">
        <w:rPr>
          <w:rFonts w:ascii="Proxima Nova" w:hAnsi="Proxima Nova" w:cstheme="minorHAnsi"/>
          <w:sz w:val="22"/>
          <w:szCs w:val="22"/>
        </w:rPr>
        <w:t xml:space="preserve"> legal construction of the </w:t>
      </w:r>
      <w:r w:rsidR="0009518F" w:rsidRPr="00704A4F">
        <w:rPr>
          <w:rFonts w:ascii="Proxima Nova" w:hAnsi="Proxima Nova" w:cstheme="minorHAnsi"/>
          <w:sz w:val="22"/>
          <w:szCs w:val="22"/>
        </w:rPr>
        <w:t>judge</w:t>
      </w:r>
      <w:r w:rsidRPr="00704A4F">
        <w:rPr>
          <w:rFonts w:ascii="Proxima Nova" w:hAnsi="Proxima Nova" w:cstheme="minorHAnsi"/>
          <w:sz w:val="22"/>
          <w:szCs w:val="22"/>
        </w:rPr>
        <w:t xml:space="preserve"> justifies their role in </w:t>
      </w:r>
      <w:r w:rsidR="001A4D06" w:rsidRPr="00704A4F">
        <w:rPr>
          <w:rFonts w:ascii="Proxima Nova" w:hAnsi="Proxima Nova" w:cstheme="minorHAnsi"/>
          <w:sz w:val="22"/>
          <w:szCs w:val="22"/>
        </w:rPr>
        <w:t>regulating restrictive practices</w:t>
      </w:r>
      <w:r w:rsidRPr="00704A4F">
        <w:rPr>
          <w:rFonts w:ascii="Proxima Nova" w:hAnsi="Proxima Nova" w:cstheme="minorHAnsi"/>
          <w:sz w:val="22"/>
          <w:szCs w:val="22"/>
        </w:rPr>
        <w:t xml:space="preserve"> as a benevolent and protective and ultimately non-violent </w:t>
      </w:r>
      <w:proofErr w:type="gramStart"/>
      <w:r w:rsidRPr="00704A4F">
        <w:rPr>
          <w:rFonts w:ascii="Proxima Nova" w:hAnsi="Proxima Nova" w:cstheme="minorHAnsi"/>
          <w:sz w:val="22"/>
          <w:szCs w:val="22"/>
        </w:rPr>
        <w:t>act</w:t>
      </w:r>
      <w:r w:rsidR="0009518F" w:rsidRPr="00704A4F">
        <w:rPr>
          <w:rFonts w:ascii="Proxima Nova" w:hAnsi="Proxima Nova" w:cstheme="minorHAnsi"/>
          <w:sz w:val="22"/>
          <w:szCs w:val="22"/>
        </w:rPr>
        <w:t>, and</w:t>
      </w:r>
      <w:proofErr w:type="gramEnd"/>
      <w:r w:rsidR="0009518F" w:rsidRPr="00704A4F">
        <w:rPr>
          <w:rFonts w:ascii="Proxima Nova" w:hAnsi="Proxima Nova" w:cstheme="minorHAnsi"/>
          <w:sz w:val="22"/>
          <w:szCs w:val="22"/>
        </w:rPr>
        <w:t xml:space="preserve"> constructs the court itself as a space of safety and non-violence (i.e., that violence happens somewhere ‘out there’, but not in the courtroom)</w:t>
      </w:r>
      <w:r w:rsidR="001A4D06" w:rsidRPr="00704A4F">
        <w:rPr>
          <w:rFonts w:ascii="Proxima Nova" w:hAnsi="Proxima Nova" w:cstheme="minorHAnsi"/>
          <w:sz w:val="22"/>
          <w:szCs w:val="22"/>
        </w:rPr>
        <w:t xml:space="preserve">. </w:t>
      </w:r>
      <w:r w:rsidR="00F23DF1" w:rsidRPr="00704A4F">
        <w:rPr>
          <w:rFonts w:ascii="Proxima Nova" w:hAnsi="Proxima Nova" w:cstheme="minorHAnsi"/>
          <w:sz w:val="22"/>
          <w:szCs w:val="22"/>
        </w:rPr>
        <w:t xml:space="preserve">The common law doctrine of parens patriae is legal patriarchy writ large. </w:t>
      </w:r>
      <w:r w:rsidRPr="00704A4F">
        <w:rPr>
          <w:rFonts w:ascii="Proxima Nova" w:hAnsi="Proxima Nova" w:cstheme="minorHAnsi"/>
          <w:sz w:val="22"/>
          <w:szCs w:val="22"/>
        </w:rPr>
        <w:t xml:space="preserve">Third, the combination of the legal construction of </w:t>
      </w:r>
      <w:r w:rsidR="0009518F" w:rsidRPr="00704A4F">
        <w:rPr>
          <w:rFonts w:ascii="Proxima Nova" w:hAnsi="Proxima Nova" w:cstheme="minorHAnsi"/>
          <w:sz w:val="22"/>
          <w:szCs w:val="22"/>
        </w:rPr>
        <w:t>people with disability</w:t>
      </w:r>
      <w:r w:rsidRPr="00704A4F">
        <w:rPr>
          <w:rFonts w:ascii="Proxima Nova" w:hAnsi="Proxima Nova" w:cstheme="minorHAnsi"/>
          <w:sz w:val="22"/>
          <w:szCs w:val="22"/>
        </w:rPr>
        <w:t xml:space="preserve"> </w:t>
      </w:r>
      <w:r w:rsidR="0009518F" w:rsidRPr="00704A4F">
        <w:rPr>
          <w:rFonts w:ascii="Proxima Nova" w:hAnsi="Proxima Nova" w:cstheme="minorHAnsi"/>
          <w:sz w:val="22"/>
          <w:szCs w:val="22"/>
        </w:rPr>
        <w:t>as vulnerable</w:t>
      </w:r>
      <w:r w:rsidRPr="00704A4F">
        <w:rPr>
          <w:rFonts w:ascii="Proxima Nova" w:hAnsi="Proxima Nova" w:cstheme="minorHAnsi"/>
          <w:sz w:val="22"/>
          <w:szCs w:val="22"/>
        </w:rPr>
        <w:t xml:space="preserve"> children</w:t>
      </w:r>
      <w:r w:rsidR="0009518F" w:rsidRPr="00704A4F">
        <w:rPr>
          <w:rFonts w:ascii="Proxima Nova" w:hAnsi="Proxima Nova" w:cstheme="minorHAnsi"/>
          <w:sz w:val="22"/>
          <w:szCs w:val="22"/>
        </w:rPr>
        <w:t>,</w:t>
      </w:r>
      <w:r w:rsidRPr="00704A4F">
        <w:rPr>
          <w:rFonts w:ascii="Proxima Nova" w:hAnsi="Proxima Nova" w:cstheme="minorHAnsi"/>
          <w:sz w:val="22"/>
          <w:szCs w:val="22"/>
        </w:rPr>
        <w:t xml:space="preserve"> the </w:t>
      </w:r>
      <w:r w:rsidR="0009518F" w:rsidRPr="00704A4F">
        <w:rPr>
          <w:rFonts w:ascii="Proxima Nova" w:hAnsi="Proxima Nova" w:cstheme="minorHAnsi"/>
          <w:sz w:val="22"/>
          <w:szCs w:val="22"/>
        </w:rPr>
        <w:t>judge</w:t>
      </w:r>
      <w:r w:rsidRPr="00704A4F">
        <w:rPr>
          <w:rFonts w:ascii="Proxima Nova" w:hAnsi="Proxima Nova" w:cstheme="minorHAnsi"/>
          <w:sz w:val="22"/>
          <w:szCs w:val="22"/>
        </w:rPr>
        <w:t xml:space="preserve"> as</w:t>
      </w:r>
      <w:r w:rsidR="0009518F" w:rsidRPr="00704A4F">
        <w:rPr>
          <w:rFonts w:ascii="Proxima Nova" w:hAnsi="Proxima Nova" w:cstheme="minorHAnsi"/>
          <w:sz w:val="22"/>
          <w:szCs w:val="22"/>
        </w:rPr>
        <w:t xml:space="preserve"> protective</w:t>
      </w:r>
      <w:r w:rsidRPr="00704A4F">
        <w:rPr>
          <w:rFonts w:ascii="Proxima Nova" w:hAnsi="Proxima Nova" w:cstheme="minorHAnsi"/>
          <w:sz w:val="22"/>
          <w:szCs w:val="22"/>
        </w:rPr>
        <w:t xml:space="preserve"> father</w:t>
      </w:r>
      <w:r w:rsidR="0009518F" w:rsidRPr="00704A4F">
        <w:rPr>
          <w:rFonts w:ascii="Proxima Nova" w:hAnsi="Proxima Nova" w:cstheme="minorHAnsi"/>
          <w:sz w:val="22"/>
          <w:szCs w:val="22"/>
        </w:rPr>
        <w:t xml:space="preserve"> and court as non-violent home</w:t>
      </w:r>
      <w:r w:rsidRPr="00704A4F">
        <w:rPr>
          <w:rFonts w:ascii="Proxima Nova" w:hAnsi="Proxima Nova" w:cstheme="minorHAnsi"/>
          <w:sz w:val="22"/>
          <w:szCs w:val="22"/>
        </w:rPr>
        <w:t xml:space="preserve"> </w:t>
      </w:r>
      <w:r w:rsidR="0009518F" w:rsidRPr="00704A4F">
        <w:rPr>
          <w:rFonts w:ascii="Proxima Nova" w:hAnsi="Proxima Nova" w:cstheme="minorHAnsi"/>
          <w:sz w:val="22"/>
          <w:szCs w:val="22"/>
        </w:rPr>
        <w:t>establishes</w:t>
      </w:r>
      <w:r w:rsidRPr="00704A4F">
        <w:rPr>
          <w:rFonts w:ascii="Proxima Nova" w:hAnsi="Proxima Nova" w:cstheme="minorHAnsi"/>
          <w:sz w:val="22"/>
          <w:szCs w:val="22"/>
        </w:rPr>
        <w:t xml:space="preserve"> the distinctiveness of the court’s exercise of this jurisdiction as</w:t>
      </w:r>
      <w:r w:rsidR="0009518F" w:rsidRPr="00704A4F">
        <w:rPr>
          <w:rFonts w:ascii="Proxima Nova" w:hAnsi="Proxima Nova" w:cstheme="minorHAnsi"/>
          <w:sz w:val="22"/>
          <w:szCs w:val="22"/>
        </w:rPr>
        <w:t xml:space="preserve"> opposed to other jurisdiction, and thus justifies</w:t>
      </w:r>
      <w:r w:rsidRPr="00704A4F">
        <w:rPr>
          <w:rFonts w:ascii="Proxima Nova" w:hAnsi="Proxima Nova" w:cstheme="minorHAnsi"/>
          <w:sz w:val="22"/>
          <w:szCs w:val="22"/>
        </w:rPr>
        <w:t xml:space="preserve"> </w:t>
      </w:r>
      <w:r w:rsidR="0009518F" w:rsidRPr="00704A4F">
        <w:rPr>
          <w:rFonts w:ascii="Proxima Nova" w:hAnsi="Proxima Nova" w:cstheme="minorHAnsi"/>
          <w:sz w:val="22"/>
          <w:szCs w:val="22"/>
        </w:rPr>
        <w:t xml:space="preserve">the </w:t>
      </w:r>
      <w:r w:rsidR="0095487D" w:rsidRPr="00704A4F">
        <w:rPr>
          <w:rFonts w:ascii="Proxima Nova" w:hAnsi="Proxima Nova" w:cstheme="minorHAnsi"/>
          <w:sz w:val="22"/>
          <w:szCs w:val="22"/>
        </w:rPr>
        <w:t>absence of public scrutiny of courts applying the common law doctrine of pare</w:t>
      </w:r>
      <w:r w:rsidR="0009518F" w:rsidRPr="00704A4F">
        <w:rPr>
          <w:rFonts w:ascii="Proxima Nova" w:hAnsi="Proxima Nova" w:cstheme="minorHAnsi"/>
          <w:sz w:val="22"/>
          <w:szCs w:val="22"/>
        </w:rPr>
        <w:t xml:space="preserve">ns patriae (as per the open justice principle). </w:t>
      </w:r>
      <w:r w:rsidR="00537BCA" w:rsidRPr="00704A4F">
        <w:rPr>
          <w:rFonts w:ascii="Proxima Nova" w:hAnsi="Proxima Nova" w:cstheme="minorHAnsi"/>
          <w:sz w:val="22"/>
          <w:szCs w:val="22"/>
        </w:rPr>
        <w:t xml:space="preserve">This distinctiveness justifies </w:t>
      </w:r>
      <w:r w:rsidR="001A4D06" w:rsidRPr="00704A4F">
        <w:rPr>
          <w:rFonts w:ascii="Proxima Nova" w:hAnsi="Proxima Nova" w:cstheme="minorHAnsi"/>
          <w:color w:val="000000"/>
          <w:sz w:val="22"/>
          <w:szCs w:val="22"/>
        </w:rPr>
        <w:t>the</w:t>
      </w:r>
      <w:r w:rsidRPr="00704A4F">
        <w:rPr>
          <w:rFonts w:ascii="Proxima Nova" w:hAnsi="Proxima Nova" w:cstheme="minorHAnsi"/>
          <w:color w:val="000000"/>
          <w:sz w:val="22"/>
          <w:szCs w:val="22"/>
        </w:rPr>
        <w:t xml:space="preserve"> lack of public transparency and accountability for its role in ordering violence of restrictive practices and</w:t>
      </w:r>
      <w:r w:rsidR="006F6BBF" w:rsidRPr="00704A4F">
        <w:rPr>
          <w:rFonts w:ascii="Proxima Nova" w:hAnsi="Proxima Nova" w:cstheme="minorHAnsi"/>
          <w:color w:val="000000"/>
          <w:sz w:val="22"/>
          <w:szCs w:val="22"/>
        </w:rPr>
        <w:t xml:space="preserve"> this lack of public scrutiny coupled with the court’s role in ordering violence</w:t>
      </w:r>
      <w:r w:rsidRPr="00704A4F">
        <w:rPr>
          <w:rFonts w:ascii="Proxima Nova" w:hAnsi="Proxima Nova" w:cstheme="minorHAnsi"/>
          <w:color w:val="000000"/>
          <w:sz w:val="22"/>
          <w:szCs w:val="22"/>
        </w:rPr>
        <w:t xml:space="preserve"> ultimately contributes to the</w:t>
      </w:r>
      <w:r w:rsidR="001A4D06" w:rsidRPr="00704A4F">
        <w:rPr>
          <w:rFonts w:ascii="Proxima Nova" w:hAnsi="Proxima Nova" w:cstheme="minorHAnsi"/>
          <w:color w:val="000000"/>
          <w:sz w:val="22"/>
          <w:szCs w:val="22"/>
        </w:rPr>
        <w:t xml:space="preserve"> </w:t>
      </w:r>
      <w:r w:rsidR="006F6BBF" w:rsidRPr="00704A4F">
        <w:rPr>
          <w:rFonts w:ascii="Proxima Nova" w:hAnsi="Proxima Nova" w:cstheme="minorHAnsi"/>
          <w:color w:val="000000"/>
          <w:sz w:val="22"/>
          <w:szCs w:val="22"/>
        </w:rPr>
        <w:t xml:space="preserve">reduction of </w:t>
      </w:r>
      <w:r w:rsidR="001A4D06" w:rsidRPr="00704A4F">
        <w:rPr>
          <w:rFonts w:ascii="Proxima Nova" w:hAnsi="Proxima Nova" w:cstheme="minorHAnsi"/>
          <w:color w:val="000000"/>
          <w:sz w:val="22"/>
          <w:szCs w:val="22"/>
        </w:rPr>
        <w:t xml:space="preserve">people with disability </w:t>
      </w:r>
      <w:r w:rsidR="006F6BBF" w:rsidRPr="00704A4F">
        <w:rPr>
          <w:rFonts w:ascii="Proxima Nova" w:hAnsi="Proxima Nova" w:cstheme="minorHAnsi"/>
          <w:color w:val="000000"/>
          <w:sz w:val="22"/>
          <w:szCs w:val="22"/>
        </w:rPr>
        <w:t>to less than</w:t>
      </w:r>
      <w:r w:rsidR="001A4D06" w:rsidRPr="00704A4F">
        <w:rPr>
          <w:rFonts w:ascii="Proxima Nova" w:hAnsi="Proxima Nova" w:cstheme="minorHAnsi"/>
          <w:color w:val="000000"/>
          <w:sz w:val="22"/>
          <w:szCs w:val="22"/>
        </w:rPr>
        <w:t xml:space="preserve"> full legal subjects and citizens and </w:t>
      </w:r>
      <w:r w:rsidR="006F6BBF" w:rsidRPr="00704A4F">
        <w:rPr>
          <w:rFonts w:ascii="Proxima Nova" w:hAnsi="Proxima Nova" w:cstheme="minorHAnsi"/>
          <w:color w:val="000000"/>
          <w:sz w:val="22"/>
          <w:szCs w:val="22"/>
        </w:rPr>
        <w:t xml:space="preserve">their exclusion from </w:t>
      </w:r>
      <w:r w:rsidR="001A4D06" w:rsidRPr="00704A4F">
        <w:rPr>
          <w:rFonts w:ascii="Proxima Nova" w:hAnsi="Proxima Nova" w:cstheme="minorHAnsi"/>
          <w:sz w:val="22"/>
          <w:szCs w:val="22"/>
        </w:rPr>
        <w:t>full political community and humanness</w:t>
      </w:r>
      <w:r w:rsidR="001A4D06" w:rsidRPr="00704A4F">
        <w:rPr>
          <w:rFonts w:ascii="Proxima Nova" w:hAnsi="Proxima Nova" w:cstheme="minorHAnsi"/>
          <w:color w:val="000000"/>
          <w:sz w:val="22"/>
          <w:szCs w:val="22"/>
        </w:rPr>
        <w:t>.</w:t>
      </w:r>
      <w:r w:rsidR="001A4D06" w:rsidRPr="00704A4F">
        <w:rPr>
          <w:rStyle w:val="EndnoteReference"/>
          <w:rFonts w:ascii="Proxima Nova" w:hAnsi="Proxima Nova" w:cstheme="minorHAnsi"/>
          <w:sz w:val="22"/>
          <w:szCs w:val="22"/>
        </w:rPr>
        <w:endnoteReference w:id="310"/>
      </w:r>
      <w:r w:rsidR="001A4D06" w:rsidRPr="00704A4F">
        <w:rPr>
          <w:rFonts w:ascii="Proxima Nova" w:hAnsi="Proxima Nova" w:cstheme="minorHAnsi"/>
          <w:color w:val="000000"/>
          <w:sz w:val="22"/>
          <w:szCs w:val="22"/>
        </w:rPr>
        <w:t xml:space="preserve"> </w:t>
      </w:r>
      <w:r w:rsidR="00FF04D8" w:rsidRPr="00704A4F">
        <w:rPr>
          <w:rFonts w:ascii="Proxima Nova" w:hAnsi="Proxima Nova" w:cstheme="minorHAnsi"/>
          <w:color w:val="000000"/>
          <w:sz w:val="22"/>
          <w:szCs w:val="22"/>
        </w:rPr>
        <w:t xml:space="preserve"> </w:t>
      </w:r>
      <w:r w:rsidR="004849F5" w:rsidRPr="00704A4F">
        <w:rPr>
          <w:rFonts w:ascii="Proxima Nova" w:hAnsi="Proxima Nova" w:cstheme="minorHAnsi"/>
          <w:color w:val="000000"/>
          <w:sz w:val="22"/>
          <w:szCs w:val="22"/>
        </w:rPr>
        <w:t xml:space="preserve">It is also important to note that the key dynamics of the child, father and family home </w:t>
      </w:r>
      <w:r w:rsidR="00525AB6" w:rsidRPr="00704A4F">
        <w:rPr>
          <w:rFonts w:ascii="Proxima Nova" w:hAnsi="Proxima Nova" w:cstheme="minorHAnsi"/>
          <w:color w:val="000000"/>
          <w:sz w:val="22"/>
          <w:szCs w:val="22"/>
        </w:rPr>
        <w:t xml:space="preserve">underpinning the legal violence </w:t>
      </w:r>
      <w:r w:rsidR="004849F5" w:rsidRPr="00704A4F">
        <w:rPr>
          <w:rFonts w:ascii="Proxima Nova" w:hAnsi="Proxima Nova" w:cstheme="minorHAnsi"/>
          <w:color w:val="000000"/>
          <w:sz w:val="22"/>
          <w:szCs w:val="22"/>
        </w:rPr>
        <w:t xml:space="preserve">in the common law doctrine of parens patriae </w:t>
      </w:r>
      <w:r w:rsidR="00525AB6" w:rsidRPr="00704A4F">
        <w:rPr>
          <w:rFonts w:ascii="Proxima Nova" w:hAnsi="Proxima Nova" w:cstheme="minorHAnsi"/>
          <w:color w:val="000000"/>
          <w:sz w:val="22"/>
          <w:szCs w:val="22"/>
        </w:rPr>
        <w:t xml:space="preserve">also gives rise to settler colonial violence, insofar as it positions Indigenous disabled people as childlike, the judge as rescuer and protector of Indigenous people and the court of the settler colonial white </w:t>
      </w:r>
      <w:r w:rsidR="00335AD1" w:rsidRPr="00704A4F">
        <w:rPr>
          <w:rFonts w:ascii="Proxima Nova" w:hAnsi="Proxima Nova" w:cstheme="minorHAnsi"/>
          <w:color w:val="000000"/>
          <w:sz w:val="22"/>
          <w:szCs w:val="22"/>
        </w:rPr>
        <w:t>nation state</w:t>
      </w:r>
      <w:r w:rsidR="00525AB6" w:rsidRPr="00704A4F">
        <w:rPr>
          <w:rFonts w:ascii="Proxima Nova" w:hAnsi="Proxima Nova" w:cstheme="minorHAnsi"/>
          <w:color w:val="000000"/>
          <w:sz w:val="22"/>
          <w:szCs w:val="22"/>
        </w:rPr>
        <w:t xml:space="preserve"> as non-violent</w:t>
      </w:r>
      <w:r w:rsidR="004849F5" w:rsidRPr="00704A4F">
        <w:rPr>
          <w:rFonts w:ascii="Proxima Nova" w:hAnsi="Proxima Nova" w:cstheme="minorHAnsi"/>
          <w:color w:val="000000"/>
          <w:sz w:val="22"/>
          <w:szCs w:val="22"/>
        </w:rPr>
        <w:t xml:space="preserve">. For example, Mills and Lefrancois </w:t>
      </w:r>
      <w:r w:rsidR="004849F5" w:rsidRPr="00704A4F">
        <w:rPr>
          <w:rFonts w:ascii="Proxima Nova" w:hAnsi="Proxima Nova" w:cstheme="minorHAnsi"/>
          <w:sz w:val="22"/>
          <w:szCs w:val="22"/>
        </w:rPr>
        <w:t>note that ‘</w:t>
      </w:r>
      <w:r w:rsidR="004849F5" w:rsidRPr="00704A4F">
        <w:rPr>
          <w:rFonts w:ascii="Proxima Nova" w:hAnsi="Proxima Nova" w:cs="Arial"/>
          <w:sz w:val="22"/>
          <w:szCs w:val="22"/>
        </w:rPr>
        <w:t>the child functions as a metaphor for colonized, racialized, psychiatrized and disabled peoples’</w:t>
      </w:r>
      <w:r w:rsidR="004849F5" w:rsidRPr="00704A4F">
        <w:rPr>
          <w:rStyle w:val="EndnoteReference"/>
          <w:rFonts w:ascii="Proxima Nova" w:hAnsi="Proxima Nova" w:cs="Arial"/>
          <w:sz w:val="22"/>
          <w:szCs w:val="22"/>
        </w:rPr>
        <w:endnoteReference w:id="311"/>
      </w:r>
      <w:r w:rsidR="004849F5" w:rsidRPr="00704A4F">
        <w:rPr>
          <w:rFonts w:ascii="Proxima Nova" w:hAnsi="Proxima Nova" w:cs="Arial"/>
          <w:sz w:val="22"/>
          <w:szCs w:val="22"/>
        </w:rPr>
        <w:t xml:space="preserve"> and that ‘metaphoric of child/colony is contingent on patriarchal domination, where the familial ruling of the husband/father is naturalized as a model for colonial domination’.</w:t>
      </w:r>
      <w:r w:rsidR="004849F5" w:rsidRPr="00704A4F">
        <w:rPr>
          <w:rStyle w:val="EndnoteReference"/>
          <w:rFonts w:ascii="Proxima Nova" w:hAnsi="Proxima Nova" w:cs="Arial"/>
          <w:sz w:val="22"/>
          <w:szCs w:val="22"/>
        </w:rPr>
        <w:endnoteReference w:id="312"/>
      </w:r>
      <w:r w:rsidR="00525AB6" w:rsidRPr="00704A4F">
        <w:rPr>
          <w:rFonts w:ascii="Proxima Nova" w:hAnsi="Proxima Nova" w:cs="Arial"/>
          <w:sz w:val="22"/>
          <w:szCs w:val="22"/>
        </w:rPr>
        <w:t xml:space="preserve"> </w:t>
      </w:r>
    </w:p>
    <w:p w14:paraId="233268C3" w14:textId="77777777" w:rsidR="003644C1" w:rsidRPr="00704A4F" w:rsidRDefault="003644C1" w:rsidP="00704A4F">
      <w:pPr>
        <w:pStyle w:val="ListParagraph"/>
        <w:spacing w:line="276" w:lineRule="auto"/>
        <w:contextualSpacing w:val="0"/>
        <w:rPr>
          <w:rFonts w:ascii="Proxima Nova" w:hAnsi="Proxima Nova" w:cstheme="minorHAnsi"/>
          <w:sz w:val="22"/>
          <w:szCs w:val="22"/>
        </w:rPr>
      </w:pPr>
    </w:p>
    <w:p w14:paraId="5FE9D715" w14:textId="04C74EFB" w:rsidR="003644C1" w:rsidRPr="00704A4F" w:rsidRDefault="003644C1" w:rsidP="00704A4F">
      <w:pPr>
        <w:pStyle w:val="ListParagraph"/>
        <w:numPr>
          <w:ilvl w:val="1"/>
          <w:numId w:val="32"/>
        </w:numPr>
        <w:spacing w:line="276" w:lineRule="auto"/>
        <w:ind w:left="720" w:hanging="720"/>
        <w:contextualSpacing w:val="0"/>
        <w:rPr>
          <w:rFonts w:ascii="Proxima Nova" w:hAnsi="Proxima Nova" w:cstheme="minorHAnsi"/>
          <w:sz w:val="22"/>
          <w:szCs w:val="22"/>
          <w:lang w:val="en"/>
        </w:rPr>
      </w:pPr>
      <w:r w:rsidRPr="00704A4F">
        <w:rPr>
          <w:rFonts w:ascii="Proxima Nova" w:hAnsi="Proxima Nova" w:cstheme="minorHAnsi"/>
          <w:sz w:val="22"/>
          <w:szCs w:val="22"/>
          <w:lang w:val="en"/>
        </w:rPr>
        <w:t xml:space="preserve">It is important that the Royal Commission </w:t>
      </w:r>
      <w:r w:rsidR="00335AD1" w:rsidRPr="00704A4F">
        <w:rPr>
          <w:rFonts w:ascii="Proxima Nova" w:hAnsi="Proxima Nova" w:cstheme="minorHAnsi"/>
          <w:sz w:val="22"/>
          <w:szCs w:val="22"/>
          <w:lang w:val="en"/>
        </w:rPr>
        <w:t>consider</w:t>
      </w:r>
      <w:r w:rsidRPr="00704A4F">
        <w:rPr>
          <w:rFonts w:ascii="Proxima Nova" w:hAnsi="Proxima Nova" w:cstheme="minorHAnsi"/>
          <w:sz w:val="22"/>
          <w:szCs w:val="22"/>
          <w:lang w:val="en"/>
        </w:rPr>
        <w:t xml:space="preserve"> the ableist and patriarchal common law parens patriae doctrine. The doctrine has an enduring existence beyond any legislative reforms to mental health or guardianship legislation. Even if mental health and guardianship legislation was completely abolished, the common law doctrine would continue to operate unless explicitly excluded through legislation. Yet, this jurisdiction is rarely discussed and scrutinised in government inquiries on restrictive practices, with the focus instead being on guardianship and mental health legislative frameworks. It is for this reason that in recommending the abolition of legal frameworks for restrictive practices and substituted decision making, WWDA specifically recommends legislative reform to explicitly exclude the operation of the </w:t>
      </w:r>
      <w:r w:rsidR="0095487D" w:rsidRPr="00704A4F">
        <w:rPr>
          <w:rFonts w:ascii="Proxima Nova" w:hAnsi="Proxima Nova" w:cstheme="minorHAnsi"/>
          <w:sz w:val="22"/>
          <w:szCs w:val="22"/>
          <w:lang w:val="en"/>
        </w:rPr>
        <w:t xml:space="preserve">common law doctrine of </w:t>
      </w:r>
      <w:r w:rsidRPr="00704A4F">
        <w:rPr>
          <w:rFonts w:ascii="Proxima Nova" w:hAnsi="Proxima Nova" w:cstheme="minorHAnsi"/>
          <w:sz w:val="22"/>
          <w:szCs w:val="22"/>
          <w:lang w:val="en"/>
        </w:rPr>
        <w:t>parens patriae in relation to restrictive practices.</w:t>
      </w:r>
    </w:p>
    <w:p w14:paraId="54F51DFE" w14:textId="77777777" w:rsidR="000F1C20" w:rsidRPr="00704A4F" w:rsidRDefault="000F1C20" w:rsidP="00704A4F">
      <w:pPr>
        <w:pStyle w:val="ListParagraph"/>
        <w:spacing w:line="276" w:lineRule="auto"/>
        <w:ind w:hanging="720"/>
        <w:contextualSpacing w:val="0"/>
        <w:rPr>
          <w:rFonts w:ascii="Proxima Nova" w:hAnsi="Proxima Nova" w:cstheme="minorHAnsi"/>
          <w:sz w:val="22"/>
          <w:szCs w:val="22"/>
        </w:rPr>
      </w:pPr>
    </w:p>
    <w:p w14:paraId="29404E90" w14:textId="1AD032C0" w:rsidR="006F3F43" w:rsidRPr="00704A4F" w:rsidRDefault="003644C1" w:rsidP="00704A4F">
      <w:pPr>
        <w:numPr>
          <w:ilvl w:val="1"/>
          <w:numId w:val="32"/>
        </w:numPr>
        <w:spacing w:line="276" w:lineRule="auto"/>
        <w:ind w:left="720" w:hanging="720"/>
        <w:rPr>
          <w:rFonts w:ascii="Proxima Nova" w:eastAsia="Calibri" w:hAnsi="Proxima Nova" w:cstheme="minorHAnsi"/>
          <w:sz w:val="22"/>
          <w:szCs w:val="22"/>
          <w:lang w:val="en-GB"/>
        </w:rPr>
      </w:pPr>
      <w:r w:rsidRPr="00704A4F">
        <w:rPr>
          <w:rFonts w:ascii="Proxima Nova" w:hAnsi="Proxima Nova" w:cstheme="minorHAnsi"/>
          <w:sz w:val="22"/>
          <w:szCs w:val="22"/>
          <w:bdr w:val="none" w:sz="0" w:space="0" w:color="auto" w:frame="1"/>
        </w:rPr>
        <w:t>Additional to concerns with the common law doctrine of parens patriae, restrictive practices are a form of gendered ableist legal violence because</w:t>
      </w:r>
      <w:r w:rsidR="0042650A" w:rsidRPr="00704A4F">
        <w:rPr>
          <w:rFonts w:ascii="Proxima Nova" w:hAnsi="Proxima Nova" w:cstheme="minorHAnsi"/>
          <w:sz w:val="22"/>
          <w:szCs w:val="22"/>
          <w:bdr w:val="none" w:sz="0" w:space="0" w:color="auto" w:frame="1"/>
        </w:rPr>
        <w:t xml:space="preserve"> </w:t>
      </w:r>
      <w:proofErr w:type="gramStart"/>
      <w:r w:rsidR="006F3F43" w:rsidRPr="00704A4F">
        <w:rPr>
          <w:rFonts w:ascii="Proxima Nova" w:hAnsi="Proxima Nova" w:cstheme="minorHAnsi"/>
          <w:sz w:val="22"/>
          <w:szCs w:val="22"/>
          <w:bdr w:val="none" w:sz="0" w:space="0" w:color="auto" w:frame="1"/>
        </w:rPr>
        <w:t>in the course of</w:t>
      </w:r>
      <w:proofErr w:type="gramEnd"/>
      <w:r w:rsidR="006F3F43" w:rsidRPr="00704A4F">
        <w:rPr>
          <w:rFonts w:ascii="Proxima Nova" w:hAnsi="Proxima Nova" w:cstheme="minorHAnsi"/>
          <w:sz w:val="22"/>
          <w:szCs w:val="22"/>
          <w:bdr w:val="none" w:sz="0" w:space="0" w:color="auto" w:frame="1"/>
        </w:rPr>
        <w:t xml:space="preserve"> authorising restrictive practices, </w:t>
      </w:r>
      <w:r w:rsidRPr="00704A4F">
        <w:rPr>
          <w:rFonts w:ascii="Proxima Nova" w:hAnsi="Proxima Nova" w:cstheme="minorHAnsi"/>
          <w:sz w:val="22"/>
          <w:szCs w:val="22"/>
          <w:bdr w:val="none" w:sz="0" w:space="0" w:color="auto" w:frame="1"/>
        </w:rPr>
        <w:t>courts</w:t>
      </w:r>
      <w:r w:rsidR="006F3F43" w:rsidRPr="00704A4F">
        <w:rPr>
          <w:rFonts w:ascii="Proxima Nova" w:hAnsi="Proxima Nova" w:cstheme="minorHAnsi"/>
          <w:sz w:val="22"/>
          <w:szCs w:val="22"/>
          <w:bdr w:val="none" w:sz="0" w:space="0" w:color="auto" w:frame="1"/>
        </w:rPr>
        <w:t xml:space="preserve"> </w:t>
      </w:r>
      <w:r w:rsidRPr="00704A4F">
        <w:rPr>
          <w:rFonts w:ascii="Proxima Nova" w:hAnsi="Proxima Nova" w:cstheme="minorHAnsi"/>
          <w:sz w:val="22"/>
          <w:szCs w:val="22"/>
          <w:bdr w:val="none" w:sz="0" w:space="0" w:color="auto" w:frame="1"/>
        </w:rPr>
        <w:t xml:space="preserve">and tribunals </w:t>
      </w:r>
      <w:r w:rsidR="006F3F43" w:rsidRPr="00704A4F">
        <w:rPr>
          <w:rFonts w:ascii="Proxima Nova" w:hAnsi="Proxima Nova" w:cstheme="minorHAnsi"/>
          <w:sz w:val="22"/>
          <w:szCs w:val="22"/>
          <w:bdr w:val="none" w:sz="0" w:space="0" w:color="auto" w:frame="1"/>
        </w:rPr>
        <w:t xml:space="preserve">situate women and girls with disability outside of gendered norms </w:t>
      </w:r>
      <w:r w:rsidR="008624A9" w:rsidRPr="00704A4F">
        <w:rPr>
          <w:rFonts w:ascii="Proxima Nova" w:hAnsi="Proxima Nova" w:cstheme="minorHAnsi"/>
          <w:sz w:val="22"/>
          <w:szCs w:val="22"/>
          <w:bdr w:val="none" w:sz="0" w:space="0" w:color="auto" w:frame="1"/>
        </w:rPr>
        <w:t>of</w:t>
      </w:r>
      <w:r w:rsidR="006F3F43" w:rsidRPr="00704A4F">
        <w:rPr>
          <w:rFonts w:ascii="Proxima Nova" w:hAnsi="Proxima Nova" w:cstheme="minorHAnsi"/>
          <w:sz w:val="22"/>
          <w:szCs w:val="22"/>
          <w:bdr w:val="none" w:sz="0" w:space="0" w:color="auto" w:frame="1"/>
        </w:rPr>
        <w:t xml:space="preserve"> reproduction, menstruation, sexuality and parenting.</w:t>
      </w:r>
      <w:r w:rsidR="006F3F43" w:rsidRPr="00704A4F">
        <w:rPr>
          <w:rStyle w:val="EndnoteReference"/>
          <w:rFonts w:ascii="Proxima Nova" w:hAnsi="Proxima Nova" w:cstheme="minorHAnsi"/>
          <w:sz w:val="22"/>
          <w:szCs w:val="22"/>
          <w:bdr w:val="none" w:sz="0" w:space="0" w:color="auto" w:frame="1"/>
        </w:rPr>
        <w:endnoteReference w:id="313"/>
      </w:r>
      <w:r w:rsidR="008624A9" w:rsidRPr="00704A4F">
        <w:rPr>
          <w:rFonts w:ascii="Proxima Nova" w:hAnsi="Proxima Nova" w:cstheme="minorHAnsi"/>
          <w:sz w:val="22"/>
          <w:szCs w:val="22"/>
          <w:bdr w:val="none" w:sz="0" w:space="0" w:color="auto" w:frame="1"/>
        </w:rPr>
        <w:t xml:space="preserve"> </w:t>
      </w:r>
      <w:r w:rsidR="006250A7" w:rsidRPr="00704A4F">
        <w:rPr>
          <w:rFonts w:ascii="Proxima Nova" w:hAnsi="Proxima Nova" w:cstheme="minorHAnsi"/>
          <w:sz w:val="22"/>
          <w:szCs w:val="22"/>
          <w:bdr w:val="none" w:sz="0" w:space="0" w:color="auto" w:frame="1"/>
        </w:rPr>
        <w:t>This is particularly apparent in relation to Family Court decisions on sterilisation, as Steele and Goldblatt summarise here:</w:t>
      </w:r>
    </w:p>
    <w:p w14:paraId="4CEC1DE2" w14:textId="77777777" w:rsidR="008624A9" w:rsidRPr="00704A4F" w:rsidRDefault="008624A9" w:rsidP="00704A4F">
      <w:pPr>
        <w:spacing w:line="276" w:lineRule="auto"/>
        <w:rPr>
          <w:rFonts w:ascii="Proxima Nova" w:eastAsia="Calibri" w:hAnsi="Proxima Nova" w:cstheme="minorHAnsi"/>
          <w:sz w:val="22"/>
          <w:szCs w:val="22"/>
        </w:rPr>
      </w:pPr>
    </w:p>
    <w:p w14:paraId="4599888C" w14:textId="00123654" w:rsidR="008624A9" w:rsidRPr="00704A4F" w:rsidRDefault="008624A9" w:rsidP="00704A4F">
      <w:pPr>
        <w:spacing w:line="276" w:lineRule="auto"/>
        <w:ind w:left="1134"/>
        <w:rPr>
          <w:rFonts w:ascii="Proxima Nova" w:eastAsia="GalliardStd-Roman" w:hAnsi="Proxima Nova" w:cstheme="minorHAnsi"/>
          <w:i/>
          <w:iCs/>
          <w:sz w:val="22"/>
          <w:szCs w:val="22"/>
        </w:rPr>
      </w:pPr>
      <w:r w:rsidRPr="00704A4F">
        <w:rPr>
          <w:rFonts w:ascii="Proxima Nova" w:eastAsia="GalliardStd-Roman" w:hAnsi="Proxima Nova" w:cstheme="minorHAnsi"/>
          <w:i/>
          <w:iCs/>
          <w:sz w:val="22"/>
          <w:szCs w:val="22"/>
        </w:rPr>
        <w:t xml:space="preserve">During the 1980s and 1990s, there were </w:t>
      </w:r>
      <w:proofErr w:type="gramStart"/>
      <w:r w:rsidRPr="00704A4F">
        <w:rPr>
          <w:rFonts w:ascii="Proxima Nova" w:eastAsia="GalliardStd-Roman" w:hAnsi="Proxima Nova" w:cstheme="minorHAnsi"/>
          <w:i/>
          <w:iCs/>
          <w:sz w:val="22"/>
          <w:szCs w:val="22"/>
        </w:rPr>
        <w:t>a</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number of</w:t>
      </w:r>
      <w:proofErr w:type="gramEnd"/>
      <w:r w:rsidRPr="00704A4F">
        <w:rPr>
          <w:rFonts w:ascii="Proxima Nova" w:eastAsia="GalliardStd-Roman" w:hAnsi="Proxima Nova" w:cstheme="minorHAnsi"/>
          <w:i/>
          <w:iCs/>
          <w:sz w:val="22"/>
          <w:szCs w:val="22"/>
        </w:rPr>
        <w:t xml:space="preserve"> FCA decisions and Australian High Court decisions concerning</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 xml:space="preserve">sterilization of girls with disabilities. These decisions illustrate </w:t>
      </w:r>
      <w:r w:rsidR="006250A7" w:rsidRPr="00704A4F">
        <w:rPr>
          <w:rFonts w:ascii="Proxima Nova" w:eastAsia="GalliardStd-Roman" w:hAnsi="Proxima Nova" w:cstheme="minorHAnsi"/>
          <w:i/>
          <w:iCs/>
          <w:sz w:val="22"/>
          <w:szCs w:val="22"/>
        </w:rPr>
        <w:t>…</w:t>
      </w:r>
      <w:r w:rsidRPr="00704A4F">
        <w:rPr>
          <w:rFonts w:ascii="Proxima Nova" w:eastAsia="GalliardStd-Roman" w:hAnsi="Proxima Nova" w:cstheme="minorHAnsi"/>
          <w:i/>
          <w:iCs/>
          <w:sz w:val="22"/>
          <w:szCs w:val="22"/>
        </w:rPr>
        <w:t xml:space="preserve"> problematic</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associations between disability, gender, and menstruation</w:t>
      </w:r>
      <w:r w:rsidR="006250A7" w:rsidRPr="00704A4F">
        <w:rPr>
          <w:rFonts w:ascii="Proxima Nova" w:eastAsia="GalliardStd-Roman" w:hAnsi="Proxima Nova" w:cstheme="minorHAnsi"/>
          <w:i/>
          <w:iCs/>
          <w:sz w:val="22"/>
          <w:szCs w:val="22"/>
        </w:rPr>
        <w:t xml:space="preserve"> …</w:t>
      </w:r>
    </w:p>
    <w:p w14:paraId="3A98A9C1" w14:textId="6E8D7AFE" w:rsidR="008624A9" w:rsidRPr="00704A4F" w:rsidRDefault="008624A9" w:rsidP="00704A4F">
      <w:pPr>
        <w:spacing w:line="276" w:lineRule="auto"/>
        <w:ind w:left="1134"/>
        <w:rPr>
          <w:rFonts w:ascii="Proxima Nova" w:eastAsia="GalliardStd-Roman" w:hAnsi="Proxima Nova" w:cstheme="minorHAnsi"/>
          <w:sz w:val="22"/>
          <w:szCs w:val="22"/>
        </w:rPr>
      </w:pPr>
      <w:r w:rsidRPr="00704A4F">
        <w:rPr>
          <w:rFonts w:ascii="Proxima Nova" w:eastAsia="GalliardStd-Roman" w:hAnsi="Proxima Nova" w:cstheme="minorHAnsi"/>
          <w:i/>
          <w:iCs/>
          <w:sz w:val="22"/>
          <w:szCs w:val="22"/>
        </w:rPr>
        <w:t>They portray girls as risky and dangerous by reason of their leaky bodies and</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 xml:space="preserve">irrational </w:t>
      </w:r>
      <w:r w:rsidR="004F17C7" w:rsidRPr="00704A4F">
        <w:rPr>
          <w:rFonts w:ascii="Proxima Nova" w:eastAsia="GalliardStd-Roman" w:hAnsi="Proxima Nova" w:cstheme="minorHAnsi"/>
          <w:i/>
          <w:iCs/>
          <w:sz w:val="22"/>
          <w:szCs w:val="22"/>
        </w:rPr>
        <w:t>behaviour</w:t>
      </w:r>
      <w:r w:rsidRPr="00704A4F">
        <w:rPr>
          <w:rFonts w:ascii="Proxima Nova" w:eastAsia="GalliardStd-Roman" w:hAnsi="Proxima Nova" w:cstheme="minorHAnsi"/>
          <w:i/>
          <w:iCs/>
          <w:sz w:val="22"/>
          <w:szCs w:val="22"/>
        </w:rPr>
        <w:t xml:space="preserve"> attributed to their menstruation (Steele 2008, 2016). The</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 xml:space="preserve">girls are portrayed </w:t>
      </w:r>
      <w:r w:rsidRPr="00704A4F">
        <w:rPr>
          <w:rFonts w:ascii="Proxima Nova" w:eastAsia="GalliardStd-Roman" w:hAnsi="Proxima Nova" w:cstheme="minorHAnsi"/>
          <w:i/>
          <w:iCs/>
          <w:sz w:val="22"/>
          <w:szCs w:val="22"/>
        </w:rPr>
        <w:lastRenderedPageBreak/>
        <w:t>as being unable to comprehend menstruation as part of</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their bodies’ processes. For example, in one decision the judge stated: “[during</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menstruation] L threw herself on the floor and scratched herself on the</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legs and face, . . . she would lash out if someone tried to assist her so they</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might be injured and she would claw her own body with her fingers until</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she drew blood” (Re BW (unreported, FamCA, Chisholm J, 10 April 1995)</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at 10). In this context, sterilization is viewed by judges as being in the girls’</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 xml:space="preserve">best interests because it will protect them from their erratic and risky </w:t>
      </w:r>
      <w:r w:rsidR="006250A7" w:rsidRPr="00704A4F">
        <w:rPr>
          <w:rFonts w:ascii="Proxima Nova" w:eastAsia="GalliardStd-Roman" w:hAnsi="Proxima Nova" w:cstheme="minorHAnsi"/>
          <w:i/>
          <w:iCs/>
          <w:sz w:val="22"/>
          <w:szCs w:val="22"/>
        </w:rPr>
        <w:t xml:space="preserve">behaviour </w:t>
      </w:r>
      <w:r w:rsidRPr="00704A4F">
        <w:rPr>
          <w:rFonts w:ascii="Proxima Nova" w:eastAsia="GalliardStd-Roman" w:hAnsi="Proxima Nova" w:cstheme="minorHAnsi"/>
          <w:i/>
          <w:iCs/>
          <w:sz w:val="22"/>
          <w:szCs w:val="22"/>
        </w:rPr>
        <w:t>associated with menstruation and protect them from pregnancy and</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childbirth, including pregnancy arising from sexual abuse. Judges have also</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expressed need to use sterilization to avoid the “frightening and unnecessary</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experience” of being in public with visible bleeding (Re Jane (1988) 12</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Fam LR 662 at 681). The judges also approach sterilization as being in the</w:t>
      </w:r>
      <w:r w:rsidR="004F17C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best interests of the child because it will protect parents and carers from the</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 xml:space="preserve">burden of care imposed by their superfluous menstruation and related </w:t>
      </w:r>
      <w:r w:rsidR="004F17C7" w:rsidRPr="00704A4F">
        <w:rPr>
          <w:rFonts w:ascii="Proxima Nova" w:eastAsia="GalliardStd-Roman" w:hAnsi="Proxima Nova" w:cstheme="minorHAnsi"/>
          <w:i/>
          <w:iCs/>
          <w:sz w:val="22"/>
          <w:szCs w:val="22"/>
        </w:rPr>
        <w:t>behaviour</w:t>
      </w:r>
      <w:r w:rsidRPr="00704A4F">
        <w:rPr>
          <w:rFonts w:ascii="Proxima Nova" w:eastAsia="GalliardStd-Roman" w:hAnsi="Proxima Nova" w:cstheme="minorHAnsi"/>
          <w:i/>
          <w:iCs/>
          <w:sz w:val="22"/>
          <w:szCs w:val="22"/>
        </w:rPr>
        <w:t>,</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and the burden of caring for any child born (Steele 2008). For example,</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Warnick J described sterilization of Katie as “lessen[ing] the physical burdens</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for the mother, in particular by decreasing the number of changes necessary</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in toileting” (Re Katie (unreported, FamCA, Warnick J, 30 November 1995)</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at 15). Moreover, in some decisions, the Family Court rejected alternatives</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to menstrual management on the basis that they would not be successful. For</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example, in one decision Cook J dismissed a menstrual management education</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program because he considered it “difficult to avoid the feeling, that</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here, perhaps too much reliance is being placed on the success of what are</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possibly imperfect programs, imperfectly administered and monitored upon,</w:t>
      </w:r>
      <w:r w:rsidR="006250A7" w:rsidRPr="00704A4F">
        <w:rPr>
          <w:rFonts w:ascii="Proxima Nova" w:eastAsia="GalliardStd-Roman" w:hAnsi="Proxima Nova" w:cstheme="minorHAnsi"/>
          <w:i/>
          <w:iCs/>
          <w:sz w:val="22"/>
          <w:szCs w:val="22"/>
        </w:rPr>
        <w:t xml:space="preserve"> </w:t>
      </w:r>
      <w:r w:rsidRPr="00704A4F">
        <w:rPr>
          <w:rFonts w:ascii="Proxima Nova" w:eastAsia="GalliardStd-Roman" w:hAnsi="Proxima Nova" w:cstheme="minorHAnsi"/>
          <w:i/>
          <w:iCs/>
          <w:sz w:val="22"/>
          <w:szCs w:val="22"/>
        </w:rPr>
        <w:t>sadly, an imperfect subject” (Re a Teenager (1988) 13 Fam LR 85 at 94).</w:t>
      </w:r>
      <w:r w:rsidR="009E64CC" w:rsidRPr="00704A4F">
        <w:rPr>
          <w:rStyle w:val="EndnoteReference"/>
          <w:rFonts w:ascii="Proxima Nova" w:eastAsia="GalliardStd-Roman" w:hAnsi="Proxima Nova" w:cstheme="minorHAnsi"/>
          <w:sz w:val="22"/>
          <w:szCs w:val="22"/>
        </w:rPr>
        <w:endnoteReference w:id="314"/>
      </w:r>
    </w:p>
    <w:p w14:paraId="6ED3D30B" w14:textId="77777777" w:rsidR="000D693E" w:rsidRPr="00704A4F" w:rsidRDefault="000D693E" w:rsidP="00704A4F">
      <w:pPr>
        <w:pStyle w:val="ListParagraph"/>
        <w:spacing w:line="276" w:lineRule="auto"/>
        <w:ind w:hanging="720"/>
        <w:contextualSpacing w:val="0"/>
        <w:rPr>
          <w:rFonts w:ascii="Proxima Nova" w:eastAsia="Calibri" w:hAnsi="Proxima Nova" w:cstheme="minorHAnsi"/>
          <w:sz w:val="22"/>
          <w:szCs w:val="22"/>
        </w:rPr>
      </w:pPr>
    </w:p>
    <w:p w14:paraId="10F1E3D5" w14:textId="5147F383" w:rsidR="000D693E" w:rsidRPr="00704A4F" w:rsidRDefault="00A00236" w:rsidP="00704A4F">
      <w:pPr>
        <w:numPr>
          <w:ilvl w:val="1"/>
          <w:numId w:val="32"/>
        </w:numPr>
        <w:spacing w:line="276" w:lineRule="auto"/>
        <w:ind w:left="720" w:hanging="720"/>
        <w:rPr>
          <w:rFonts w:ascii="Proxima Nova" w:eastAsia="Calibri" w:hAnsi="Proxima Nova" w:cstheme="minorHAnsi"/>
          <w:sz w:val="22"/>
          <w:szCs w:val="22"/>
          <w:lang w:val="en-GB"/>
        </w:rPr>
      </w:pPr>
      <w:r w:rsidRPr="00704A4F">
        <w:rPr>
          <w:rFonts w:ascii="Proxima Nova" w:eastAsia="Calibri" w:hAnsi="Proxima Nova" w:cstheme="minorHAnsi"/>
          <w:sz w:val="22"/>
          <w:szCs w:val="22"/>
          <w:lang w:val="en-GB"/>
        </w:rPr>
        <w:t>Understanding restrictive practices as gendered ableist legal violence underscores the importance of complete prohibition of restrictive practices through widespread legislative reform,</w:t>
      </w:r>
      <w:r w:rsidR="00924DE8" w:rsidRPr="00704A4F">
        <w:rPr>
          <w:rFonts w:ascii="Proxima Nova" w:eastAsia="Calibri" w:hAnsi="Proxima Nova" w:cstheme="minorHAnsi"/>
          <w:sz w:val="22"/>
          <w:szCs w:val="22"/>
          <w:lang w:val="en-GB"/>
        </w:rPr>
        <w:t xml:space="preserve"> the significance of considering restrictive practices specifically in relation to women and girls with disability,</w:t>
      </w:r>
      <w:r w:rsidRPr="00704A4F">
        <w:rPr>
          <w:rFonts w:ascii="Proxima Nova" w:eastAsia="Calibri" w:hAnsi="Proxima Nova" w:cstheme="minorHAnsi"/>
          <w:sz w:val="22"/>
          <w:szCs w:val="22"/>
          <w:lang w:val="en-GB"/>
        </w:rPr>
        <w:t xml:space="preserve"> and </w:t>
      </w:r>
      <w:r w:rsidR="00924DE8" w:rsidRPr="00704A4F">
        <w:rPr>
          <w:rFonts w:ascii="Proxima Nova" w:eastAsia="Calibri" w:hAnsi="Proxima Nova" w:cstheme="minorHAnsi"/>
          <w:sz w:val="22"/>
          <w:szCs w:val="22"/>
          <w:lang w:val="en-GB"/>
        </w:rPr>
        <w:t xml:space="preserve">the </w:t>
      </w:r>
      <w:r w:rsidRPr="00704A4F">
        <w:rPr>
          <w:rFonts w:ascii="Proxima Nova" w:eastAsia="Calibri" w:hAnsi="Proxima Nova" w:cstheme="minorHAnsi"/>
          <w:sz w:val="22"/>
          <w:szCs w:val="22"/>
          <w:lang w:val="en-GB"/>
        </w:rPr>
        <w:t xml:space="preserve">necessity for the Royal Commission to specifically engage in its issues papers, public hearings and other work with the legal and justice dimensions and contexts of restrictive practices. </w:t>
      </w:r>
      <w:proofErr w:type="gramStart"/>
      <w:r w:rsidRPr="00704A4F">
        <w:rPr>
          <w:rFonts w:ascii="Proxima Nova" w:eastAsia="Calibri" w:hAnsi="Proxima Nova" w:cstheme="minorHAnsi"/>
          <w:sz w:val="22"/>
          <w:szCs w:val="22"/>
          <w:lang w:val="en-GB"/>
        </w:rPr>
        <w:t>As long as</w:t>
      </w:r>
      <w:proofErr w:type="gramEnd"/>
      <w:r w:rsidRPr="00704A4F">
        <w:rPr>
          <w:rFonts w:ascii="Proxima Nova" w:eastAsia="Calibri" w:hAnsi="Proxima Nova" w:cstheme="minorHAnsi"/>
          <w:sz w:val="22"/>
          <w:szCs w:val="22"/>
          <w:lang w:val="en-GB"/>
        </w:rPr>
        <w:t xml:space="preserve"> the Royal Commission focuses only on how restrictive practices are used ‘on the ground’, it will overlook the </w:t>
      </w:r>
      <w:r w:rsidR="002F1FFB" w:rsidRPr="00704A4F">
        <w:rPr>
          <w:rFonts w:ascii="Proxima Nova" w:eastAsia="Calibri" w:hAnsi="Proxima Nova" w:cstheme="minorHAnsi"/>
          <w:sz w:val="22"/>
          <w:szCs w:val="22"/>
          <w:lang w:val="en-GB"/>
        </w:rPr>
        <w:t xml:space="preserve">significant dimension of their violence and also be unable to formulate recommendations that prevent this violence from continuing. </w:t>
      </w:r>
    </w:p>
    <w:p w14:paraId="1086B7F8" w14:textId="77777777" w:rsidR="00DF421D" w:rsidRPr="00704A4F" w:rsidRDefault="00DF421D" w:rsidP="00704A4F">
      <w:pPr>
        <w:widowControl w:val="0"/>
        <w:autoSpaceDE w:val="0"/>
        <w:autoSpaceDN w:val="0"/>
        <w:adjustRightInd w:val="0"/>
        <w:spacing w:line="276" w:lineRule="auto"/>
        <w:rPr>
          <w:rFonts w:ascii="Proxima Nova" w:eastAsia="Calibri" w:hAnsi="Proxima Nova" w:cstheme="minorHAnsi"/>
          <w:color w:val="000000"/>
          <w:sz w:val="22"/>
          <w:szCs w:val="22"/>
        </w:rPr>
      </w:pPr>
    </w:p>
    <w:p w14:paraId="6EF70D7D" w14:textId="0CC4C697" w:rsidR="00F14CE0" w:rsidRDefault="00F14CE0" w:rsidP="00C92D1C">
      <w:pPr>
        <w:rPr>
          <w:rFonts w:ascii="Proxima Nova" w:hAnsi="Proxima Nova"/>
          <w:sz w:val="22"/>
          <w:szCs w:val="22"/>
        </w:rPr>
      </w:pPr>
      <w:bookmarkStart w:id="56" w:name="_Toc61349498"/>
      <w:bookmarkEnd w:id="53"/>
      <w:r w:rsidRPr="00BD5E1A">
        <w:rPr>
          <w:rFonts w:ascii="Proxima Nova" w:hAnsi="Proxima Nova"/>
          <w:sz w:val="22"/>
          <w:szCs w:val="22"/>
        </w:rPr>
        <w:br w:type="page"/>
      </w:r>
    </w:p>
    <w:p w14:paraId="74034434" w14:textId="3C5C6551" w:rsidR="00885EDF" w:rsidRPr="00885EDF" w:rsidRDefault="00885EDF" w:rsidP="00C92D1C">
      <w:pPr>
        <w:rPr>
          <w:rFonts w:ascii="Proxima Nova" w:hAnsi="Proxima Nova"/>
          <w:sz w:val="20"/>
          <w:szCs w:val="20"/>
        </w:rPr>
      </w:pPr>
    </w:p>
    <w:p w14:paraId="23665C03" w14:textId="40BAB845" w:rsidR="00885EDF" w:rsidRPr="00EE677E" w:rsidRDefault="00885EDF" w:rsidP="00885EDF">
      <w:pPr>
        <w:ind w:left="720" w:hanging="720"/>
        <w:rPr>
          <w:rFonts w:ascii="Proxima Nova" w:hAnsi="Proxima Nova"/>
          <w:sz w:val="20"/>
          <w:szCs w:val="20"/>
        </w:rPr>
      </w:pPr>
      <w:r w:rsidRPr="00885EDF">
        <w:rPr>
          <w:rFonts w:ascii="League Spartan" w:hAnsi="League Spartan"/>
          <w:color w:val="004479"/>
          <w:sz w:val="28"/>
          <w:szCs w:val="28"/>
        </w:rPr>
        <w:t>7.</w:t>
      </w:r>
      <w:r w:rsidRPr="00885EDF">
        <w:rPr>
          <w:rFonts w:ascii="League Spartan" w:hAnsi="League Spartan"/>
          <w:color w:val="004479"/>
          <w:sz w:val="28"/>
          <w:szCs w:val="28"/>
        </w:rPr>
        <w:tab/>
        <w:t>RESTRICTIVE PRACTICES – A VIOLATION OF HUMAN RIGHTS</w:t>
      </w:r>
    </w:p>
    <w:p w14:paraId="3FA7B9F4" w14:textId="6925A28F" w:rsidR="00885EDF" w:rsidRPr="00F45224" w:rsidRDefault="00885EDF" w:rsidP="00F45224">
      <w:pPr>
        <w:spacing w:line="276" w:lineRule="auto"/>
        <w:rPr>
          <w:rFonts w:ascii="Proxima Nova" w:hAnsi="Proxima Nova"/>
          <w:sz w:val="22"/>
          <w:szCs w:val="22"/>
        </w:rPr>
      </w:pPr>
    </w:p>
    <w:p w14:paraId="35A1ECBF" w14:textId="1E06E794" w:rsidR="00C17576" w:rsidRPr="00F45224" w:rsidRDefault="00885EDF" w:rsidP="00F45224">
      <w:pPr>
        <w:spacing w:line="276" w:lineRule="auto"/>
        <w:ind w:left="720" w:hanging="720"/>
        <w:rPr>
          <w:rFonts w:ascii="Proxima Nova" w:hAnsi="Proxima Nova" w:cstheme="minorHAnsi"/>
          <w:sz w:val="22"/>
          <w:szCs w:val="22"/>
        </w:rPr>
      </w:pPr>
      <w:r w:rsidRPr="00F45224">
        <w:rPr>
          <w:rFonts w:ascii="Proxima Nova" w:hAnsi="Proxima Nova"/>
          <w:sz w:val="22"/>
          <w:szCs w:val="22"/>
        </w:rPr>
        <w:t>7.1.</w:t>
      </w:r>
      <w:r w:rsidRPr="00F45224">
        <w:rPr>
          <w:rFonts w:ascii="Proxima Nova" w:hAnsi="Proxima Nova"/>
          <w:sz w:val="22"/>
          <w:szCs w:val="22"/>
        </w:rPr>
        <w:tab/>
      </w:r>
      <w:r w:rsidR="00C17576" w:rsidRPr="00F45224">
        <w:rPr>
          <w:rFonts w:ascii="Proxima Nova" w:hAnsi="Proxima Nova" w:cstheme="minorHAnsi"/>
          <w:sz w:val="22"/>
          <w:szCs w:val="22"/>
        </w:rPr>
        <w:t>This section provides an overview of an international human rights framework for responding to restrictive practices as violence against women and girls with disability</w:t>
      </w:r>
      <w:r w:rsidRPr="00F45224">
        <w:rPr>
          <w:rFonts w:ascii="Proxima Nova" w:hAnsi="Proxima Nova" w:cstheme="minorHAnsi"/>
          <w:sz w:val="22"/>
          <w:szCs w:val="22"/>
        </w:rPr>
        <w:t>.</w:t>
      </w:r>
    </w:p>
    <w:p w14:paraId="2814FBE0" w14:textId="77777777" w:rsidR="00885EDF" w:rsidRPr="00F45224" w:rsidRDefault="00885EDF" w:rsidP="00F45224">
      <w:pPr>
        <w:spacing w:line="276" w:lineRule="auto"/>
        <w:ind w:left="720" w:hanging="720"/>
        <w:rPr>
          <w:rFonts w:ascii="Proxima Nova" w:hAnsi="Proxima Nova"/>
          <w:sz w:val="22"/>
          <w:szCs w:val="22"/>
        </w:rPr>
      </w:pPr>
    </w:p>
    <w:p w14:paraId="7A0BCFB0" w14:textId="3734F1C3" w:rsidR="000D1AAC" w:rsidRPr="00F45224" w:rsidRDefault="000D1AAC" w:rsidP="00F45224">
      <w:pPr>
        <w:pStyle w:val="ListParagraph"/>
        <w:numPr>
          <w:ilvl w:val="1"/>
          <w:numId w:val="36"/>
        </w:numPr>
        <w:spacing w:line="276" w:lineRule="auto"/>
        <w:ind w:left="720" w:hanging="720"/>
        <w:rPr>
          <w:rFonts w:ascii="Proxima Nova" w:hAnsi="Proxima Nova"/>
          <w:sz w:val="22"/>
          <w:szCs w:val="22"/>
        </w:rPr>
      </w:pPr>
      <w:r w:rsidRPr="00F45224">
        <w:rPr>
          <w:rFonts w:ascii="Proxima Nova" w:hAnsi="Proxima Nova"/>
          <w:sz w:val="22"/>
          <w:szCs w:val="22"/>
        </w:rPr>
        <w:t>Restrictive practi</w:t>
      </w:r>
      <w:r w:rsidR="008631A1" w:rsidRPr="00F45224">
        <w:rPr>
          <w:rFonts w:ascii="Proxima Nova" w:hAnsi="Proxima Nova"/>
          <w:sz w:val="22"/>
          <w:szCs w:val="22"/>
        </w:rPr>
        <w:t>ces are human rights violations</w:t>
      </w:r>
      <w:r w:rsidRPr="00F45224">
        <w:rPr>
          <w:rFonts w:ascii="Proxima Nova" w:hAnsi="Proxima Nova"/>
          <w:sz w:val="22"/>
          <w:szCs w:val="22"/>
        </w:rPr>
        <w:t xml:space="preserve">. Their use and legality violate rights </w:t>
      </w:r>
      <w:r w:rsidRPr="00F45224">
        <w:rPr>
          <w:rFonts w:ascii="Proxima Nova" w:hAnsi="Proxima Nova" w:cstheme="minorHAnsi"/>
          <w:sz w:val="22"/>
          <w:szCs w:val="22"/>
        </w:rPr>
        <w:t>of people with disability to</w:t>
      </w:r>
      <w:r w:rsidRPr="00F45224">
        <w:rPr>
          <w:rFonts w:ascii="Proxima Nova" w:hAnsi="Proxima Nova" w:cstheme="minorHAnsi"/>
          <w:color w:val="000000" w:themeColor="text1"/>
          <w:sz w:val="22"/>
          <w:szCs w:val="22"/>
          <w:lang w:bidi="en-US"/>
        </w:rPr>
        <w:t xml:space="preserve"> equality and non-discrimination, legal capacity, freedom from violence and torture, personal integrity, liberty, and independent living and community inclusion as provided by</w:t>
      </w:r>
      <w:r w:rsidRPr="00F45224">
        <w:rPr>
          <w:rFonts w:ascii="Proxima Nova" w:hAnsi="Proxima Nova" w:cstheme="minorHAnsi"/>
          <w:sz w:val="22"/>
          <w:szCs w:val="22"/>
        </w:rPr>
        <w:t xml:space="preserve"> the CRPD, and other international human rights instruments. Their </w:t>
      </w:r>
      <w:r w:rsidR="00335AD1" w:rsidRPr="00F45224">
        <w:rPr>
          <w:rFonts w:ascii="Proxima Nova" w:hAnsi="Proxima Nova" w:cstheme="minorHAnsi"/>
          <w:sz w:val="22"/>
          <w:szCs w:val="22"/>
        </w:rPr>
        <w:t>longer-term</w:t>
      </w:r>
      <w:r w:rsidRPr="00F45224">
        <w:rPr>
          <w:rFonts w:ascii="Proxima Nova" w:hAnsi="Proxima Nova" w:cstheme="minorHAnsi"/>
          <w:sz w:val="22"/>
          <w:szCs w:val="22"/>
        </w:rPr>
        <w:t xml:space="preserve"> impacts that are apparent from our approach to restrictive practices as </w:t>
      </w:r>
      <w:r w:rsidR="00167E5D" w:rsidRPr="00F45224">
        <w:rPr>
          <w:rFonts w:ascii="Proxima Nova" w:hAnsi="Proxima Nova" w:cstheme="minorHAnsi"/>
          <w:sz w:val="22"/>
          <w:szCs w:val="22"/>
        </w:rPr>
        <w:t xml:space="preserve">gendered ableist legal </w:t>
      </w:r>
      <w:r w:rsidRPr="00F45224">
        <w:rPr>
          <w:rFonts w:ascii="Proxima Nova" w:hAnsi="Proxima Nova" w:cstheme="minorHAnsi"/>
          <w:sz w:val="22"/>
          <w:szCs w:val="22"/>
        </w:rPr>
        <w:t xml:space="preserve">violence, notably their impacts on </w:t>
      </w:r>
      <w:r w:rsidRPr="00F45224">
        <w:rPr>
          <w:rFonts w:ascii="Proxima Nova" w:hAnsi="Proxima Nova"/>
          <w:sz w:val="22"/>
          <w:szCs w:val="22"/>
        </w:rPr>
        <w:t>people with disability’s flourishing, social, economic and civic participation, expe</w:t>
      </w:r>
      <w:r w:rsidR="00167E5D" w:rsidRPr="00F45224">
        <w:rPr>
          <w:rFonts w:ascii="Proxima Nova" w:hAnsi="Proxima Nova"/>
          <w:sz w:val="22"/>
          <w:szCs w:val="22"/>
        </w:rPr>
        <w:t>r</w:t>
      </w:r>
      <w:r w:rsidRPr="00F45224">
        <w:rPr>
          <w:rFonts w:ascii="Proxima Nova" w:hAnsi="Proxima Nova"/>
          <w:sz w:val="22"/>
          <w:szCs w:val="22"/>
        </w:rPr>
        <w:t>iences of intimacy and family formation, engage a broader range of human rights.</w:t>
      </w:r>
    </w:p>
    <w:p w14:paraId="6DB039D7" w14:textId="77777777" w:rsidR="000D1AAC" w:rsidRPr="00F45224" w:rsidRDefault="000D1AAC" w:rsidP="00F45224">
      <w:pPr>
        <w:pStyle w:val="ListParagraph"/>
        <w:spacing w:line="276" w:lineRule="auto"/>
        <w:ind w:hanging="720"/>
        <w:rPr>
          <w:rFonts w:ascii="Proxima Nova" w:hAnsi="Proxima Nova"/>
          <w:sz w:val="22"/>
          <w:szCs w:val="22"/>
        </w:rPr>
      </w:pPr>
    </w:p>
    <w:p w14:paraId="5D15FCC2" w14:textId="66EDA9AB" w:rsidR="00C17576" w:rsidRPr="00F45224" w:rsidRDefault="00C17576" w:rsidP="00F45224">
      <w:pPr>
        <w:pStyle w:val="ListParagraph"/>
        <w:numPr>
          <w:ilvl w:val="1"/>
          <w:numId w:val="36"/>
        </w:numPr>
        <w:spacing w:line="276" w:lineRule="auto"/>
        <w:ind w:left="720" w:hanging="720"/>
        <w:contextualSpacing w:val="0"/>
        <w:rPr>
          <w:rFonts w:ascii="Proxima Nova" w:hAnsi="Proxima Nova"/>
          <w:sz w:val="22"/>
          <w:szCs w:val="22"/>
        </w:rPr>
      </w:pPr>
      <w:r w:rsidRPr="00F45224">
        <w:rPr>
          <w:rFonts w:ascii="Proxima Nova" w:hAnsi="Proxima Nova"/>
          <w:sz w:val="22"/>
          <w:szCs w:val="22"/>
        </w:rPr>
        <w:t xml:space="preserve">Violence against women and girls with disability is </w:t>
      </w:r>
      <w:r w:rsidR="00167E5D" w:rsidRPr="00F45224">
        <w:rPr>
          <w:rFonts w:ascii="Proxima Nova" w:hAnsi="Proxima Nova"/>
          <w:sz w:val="22"/>
          <w:szCs w:val="22"/>
        </w:rPr>
        <w:t xml:space="preserve">recognised as </w:t>
      </w:r>
      <w:r w:rsidRPr="00F45224">
        <w:rPr>
          <w:rFonts w:ascii="Proxima Nova" w:hAnsi="Proxima Nova"/>
          <w:sz w:val="22"/>
          <w:szCs w:val="22"/>
        </w:rPr>
        <w:t xml:space="preserve">a significant </w:t>
      </w:r>
      <w:r w:rsidR="00167E5D" w:rsidRPr="00F45224">
        <w:rPr>
          <w:rFonts w:ascii="Proxima Nova" w:hAnsi="Proxima Nova"/>
          <w:sz w:val="22"/>
          <w:szCs w:val="22"/>
        </w:rPr>
        <w:t xml:space="preserve">human rights </w:t>
      </w:r>
      <w:r w:rsidRPr="00F45224">
        <w:rPr>
          <w:rFonts w:ascii="Proxima Nova" w:hAnsi="Proxima Nova"/>
          <w:sz w:val="22"/>
          <w:szCs w:val="22"/>
        </w:rPr>
        <w:t xml:space="preserve">problem in Australia, and restrictive practices </w:t>
      </w:r>
      <w:r w:rsidR="00167E5D" w:rsidRPr="00F45224">
        <w:rPr>
          <w:rFonts w:ascii="Proxima Nova" w:hAnsi="Proxima Nova"/>
          <w:sz w:val="22"/>
          <w:szCs w:val="22"/>
        </w:rPr>
        <w:t xml:space="preserve">(including non-consensual and coercive sterilisation, menstrual suppression, contraception and abortion) </w:t>
      </w:r>
      <w:r w:rsidRPr="00F45224">
        <w:rPr>
          <w:rFonts w:ascii="Proxima Nova" w:hAnsi="Proxima Nova"/>
          <w:sz w:val="22"/>
          <w:szCs w:val="22"/>
        </w:rPr>
        <w:t>are a core aspect of this violence. Following her visit to Australia, the Special Rapporteur on Violence</w:t>
      </w:r>
      <w:r w:rsidR="00D03F41" w:rsidRPr="00F45224">
        <w:rPr>
          <w:rFonts w:ascii="Proxima Nova" w:hAnsi="Proxima Nova"/>
          <w:sz w:val="22"/>
          <w:szCs w:val="22"/>
        </w:rPr>
        <w:t xml:space="preserve"> Against Women</w:t>
      </w:r>
      <w:r w:rsidRPr="00F45224">
        <w:rPr>
          <w:rFonts w:ascii="Proxima Nova" w:hAnsi="Proxima Nova"/>
          <w:sz w:val="22"/>
          <w:szCs w:val="22"/>
        </w:rPr>
        <w:t xml:space="preserve"> noted the following regarding its causes and consequences:</w:t>
      </w:r>
    </w:p>
    <w:p w14:paraId="2F8E7F83" w14:textId="77777777" w:rsidR="00C17576" w:rsidRPr="00F45224" w:rsidRDefault="00C17576" w:rsidP="00F45224">
      <w:pPr>
        <w:pStyle w:val="ListParagraph"/>
        <w:spacing w:line="276" w:lineRule="auto"/>
        <w:ind w:hanging="720"/>
        <w:contextualSpacing w:val="0"/>
        <w:rPr>
          <w:rFonts w:ascii="Proxima Nova" w:hAnsi="Proxima Nova"/>
          <w:sz w:val="22"/>
          <w:szCs w:val="22"/>
        </w:rPr>
      </w:pPr>
    </w:p>
    <w:p w14:paraId="08BE80B0" w14:textId="77777777" w:rsidR="00C17576" w:rsidRPr="00F45224" w:rsidRDefault="00C17576" w:rsidP="00F45224">
      <w:pPr>
        <w:pStyle w:val="ListParagraph"/>
        <w:spacing w:line="276" w:lineRule="auto"/>
        <w:ind w:left="1134"/>
        <w:contextualSpacing w:val="0"/>
        <w:rPr>
          <w:rFonts w:ascii="Proxima Nova" w:hAnsi="Proxima Nova"/>
          <w:sz w:val="22"/>
          <w:szCs w:val="22"/>
        </w:rPr>
      </w:pPr>
      <w:r w:rsidRPr="00F45224">
        <w:rPr>
          <w:rFonts w:ascii="Proxima Nova" w:hAnsi="Proxima Nova"/>
          <w:i/>
          <w:iCs/>
          <w:sz w:val="22"/>
          <w:szCs w:val="22"/>
        </w:rPr>
        <w:t xml:space="preserve">Compared to their peers, women with disabilities experience significantly higher levels of all forms of violence more intensely and frequently and are subjected to such violence by a greater number of perpetrators. Their experiences of violence last over a longer </w:t>
      </w:r>
      <w:proofErr w:type="gramStart"/>
      <w:r w:rsidRPr="00F45224">
        <w:rPr>
          <w:rFonts w:ascii="Proxima Nova" w:hAnsi="Proxima Nova"/>
          <w:i/>
          <w:iCs/>
          <w:sz w:val="22"/>
          <w:szCs w:val="22"/>
        </w:rPr>
        <w:t>period of time</w:t>
      </w:r>
      <w:proofErr w:type="gramEnd"/>
      <w:r w:rsidRPr="00F45224">
        <w:rPr>
          <w:rFonts w:ascii="Proxima Nova" w:hAnsi="Proxima Nova"/>
          <w:i/>
          <w:iCs/>
          <w:sz w:val="22"/>
          <w:szCs w:val="22"/>
        </w:rPr>
        <w:t xml:space="preserve"> and more severe injuries result from that violence. Beyond forms of violence such as sexual abuse, including rape and domestic violence, women and girls with disabilities are at particular risk of practices violating their sexual and reproductive rights, such as forced sterilization, forced abortion and forced contraception. On forced sterilization, the Special Rapporteur echoes concerns raised consistently by the United Nations human rights mechanisms, which have consistently recommended the adoption of legislation prohibiting sterilization in the absence of prior, fully informed and free consent, except where there is a serious threat to life or health.</w:t>
      </w:r>
      <w:r w:rsidRPr="00F45224">
        <w:rPr>
          <w:rStyle w:val="EndnoteReference"/>
          <w:rFonts w:ascii="Proxima Nova" w:hAnsi="Proxima Nova"/>
          <w:sz w:val="22"/>
          <w:szCs w:val="22"/>
        </w:rPr>
        <w:endnoteReference w:id="315"/>
      </w:r>
    </w:p>
    <w:p w14:paraId="0F5B86FA" w14:textId="77777777" w:rsidR="00C17576" w:rsidRPr="00F45224" w:rsidRDefault="00C17576" w:rsidP="00F45224">
      <w:pPr>
        <w:spacing w:line="276" w:lineRule="auto"/>
        <w:rPr>
          <w:rFonts w:ascii="Proxima Nova" w:hAnsi="Proxima Nova"/>
          <w:sz w:val="22"/>
          <w:szCs w:val="22"/>
        </w:rPr>
      </w:pPr>
    </w:p>
    <w:p w14:paraId="4555F0A6" w14:textId="5A2D9B18" w:rsidR="00C17576" w:rsidRPr="00F45224" w:rsidRDefault="00C17576" w:rsidP="00F45224">
      <w:pPr>
        <w:pStyle w:val="ListParagraph"/>
        <w:numPr>
          <w:ilvl w:val="1"/>
          <w:numId w:val="36"/>
        </w:numPr>
        <w:spacing w:line="276" w:lineRule="auto"/>
        <w:ind w:left="720" w:hanging="720"/>
        <w:contextualSpacing w:val="0"/>
        <w:rPr>
          <w:rFonts w:ascii="Proxima Nova" w:hAnsi="Proxima Nova"/>
          <w:sz w:val="22"/>
          <w:szCs w:val="22"/>
        </w:rPr>
      </w:pPr>
      <w:r w:rsidRPr="00F45224">
        <w:rPr>
          <w:rFonts w:ascii="Proxima Nova" w:hAnsi="Proxima Nova"/>
          <w:sz w:val="22"/>
          <w:szCs w:val="22"/>
        </w:rPr>
        <w:t>The Special Rapporteur on Violence</w:t>
      </w:r>
      <w:r w:rsidR="00D03F41" w:rsidRPr="00F45224">
        <w:rPr>
          <w:rFonts w:ascii="Proxima Nova" w:hAnsi="Proxima Nova"/>
          <w:sz w:val="22"/>
          <w:szCs w:val="22"/>
        </w:rPr>
        <w:t xml:space="preserve"> Against Women</w:t>
      </w:r>
      <w:r w:rsidRPr="00F45224">
        <w:rPr>
          <w:rFonts w:ascii="Proxima Nova" w:hAnsi="Proxima Nova"/>
          <w:sz w:val="22"/>
          <w:szCs w:val="22"/>
        </w:rPr>
        <w:t xml:space="preserve"> also noted the failures of laws and justice systems to prevent and redress violence:</w:t>
      </w:r>
    </w:p>
    <w:p w14:paraId="0CFDE341" w14:textId="77777777" w:rsidR="00C17576" w:rsidRPr="00F45224" w:rsidRDefault="00C17576" w:rsidP="00F45224">
      <w:pPr>
        <w:spacing w:line="276" w:lineRule="auto"/>
        <w:rPr>
          <w:rFonts w:ascii="Proxima Nova" w:hAnsi="Proxima Nova"/>
          <w:sz w:val="22"/>
          <w:szCs w:val="22"/>
        </w:rPr>
      </w:pPr>
    </w:p>
    <w:p w14:paraId="0303EB04" w14:textId="77777777" w:rsidR="00C17576" w:rsidRPr="00F45224" w:rsidRDefault="00C17576" w:rsidP="00F45224">
      <w:pPr>
        <w:pStyle w:val="Default0"/>
        <w:spacing w:line="276" w:lineRule="auto"/>
        <w:ind w:left="1134"/>
        <w:rPr>
          <w:rFonts w:ascii="Proxima Nova" w:hAnsi="Proxima Nova" w:cstheme="minorHAnsi"/>
          <w:i/>
          <w:iCs/>
          <w:sz w:val="22"/>
          <w:szCs w:val="22"/>
        </w:rPr>
      </w:pPr>
      <w:r w:rsidRPr="00F45224">
        <w:rPr>
          <w:rFonts w:ascii="Proxima Nova" w:hAnsi="Proxima Nova" w:cstheme="minorHAnsi"/>
          <w:i/>
          <w:iCs/>
          <w:sz w:val="22"/>
          <w:szCs w:val="22"/>
        </w:rPr>
        <w:t xml:space="preserve">The issue is not addressed adequately in legislation or policy frameworks on violence against women or women with disabilities, leading to an overall lack of accountability and impunity for perpetrators. There is no comprehensive and properly intersectional human rights policy framework to address all forms of violence against people with disabilities, especially women, and no legal, administrative or policy framework for the prevention, protection, investigation and prosecution of all forms of violence, exploitation, and abuse of people with disabilities. </w:t>
      </w:r>
    </w:p>
    <w:p w14:paraId="485BA6FC" w14:textId="77777777" w:rsidR="00C17576" w:rsidRPr="00F45224" w:rsidRDefault="00C17576" w:rsidP="00F45224">
      <w:pPr>
        <w:pStyle w:val="Default0"/>
        <w:spacing w:line="276" w:lineRule="auto"/>
        <w:ind w:left="1134"/>
        <w:rPr>
          <w:rFonts w:ascii="Proxima Nova" w:hAnsi="Proxima Nova" w:cstheme="minorHAnsi"/>
          <w:i/>
          <w:iCs/>
          <w:sz w:val="22"/>
          <w:szCs w:val="22"/>
        </w:rPr>
      </w:pPr>
    </w:p>
    <w:p w14:paraId="7F21E3AB" w14:textId="77777777" w:rsidR="00C17576" w:rsidRPr="00F45224" w:rsidRDefault="00C17576" w:rsidP="00F45224">
      <w:pPr>
        <w:pStyle w:val="Default0"/>
        <w:spacing w:line="276" w:lineRule="auto"/>
        <w:ind w:left="1134"/>
        <w:rPr>
          <w:rFonts w:ascii="Proxima Nova" w:hAnsi="Proxima Nova" w:cstheme="minorHAnsi"/>
          <w:sz w:val="22"/>
          <w:szCs w:val="22"/>
        </w:rPr>
      </w:pPr>
      <w:r w:rsidRPr="00F45224">
        <w:rPr>
          <w:rFonts w:ascii="Proxima Nova" w:hAnsi="Proxima Nova" w:cstheme="minorHAnsi"/>
          <w:i/>
          <w:iCs/>
          <w:sz w:val="22"/>
          <w:szCs w:val="22"/>
        </w:rPr>
        <w:t>Women and girls with disabilities face accrued difficulties in accessing remedies. The Special Rapporteur received details of cases where service providers had not reported some cases, or where the police had refused to investigate allegations of sexual violence because the alleged victims had a mental disability which they had decided would be problematic in terms of gathering evidence.</w:t>
      </w:r>
      <w:r w:rsidRPr="00F45224">
        <w:rPr>
          <w:rStyle w:val="EndnoteReference"/>
          <w:rFonts w:ascii="Proxima Nova" w:hAnsi="Proxima Nova" w:cstheme="minorHAnsi"/>
          <w:sz w:val="22"/>
          <w:szCs w:val="22"/>
        </w:rPr>
        <w:endnoteReference w:id="316"/>
      </w:r>
      <w:r w:rsidRPr="00F45224">
        <w:rPr>
          <w:rFonts w:ascii="Proxima Nova" w:hAnsi="Proxima Nova" w:cstheme="minorHAnsi"/>
          <w:sz w:val="22"/>
          <w:szCs w:val="22"/>
        </w:rPr>
        <w:t xml:space="preserve"> </w:t>
      </w:r>
    </w:p>
    <w:p w14:paraId="52280AF6" w14:textId="52568B8B" w:rsidR="00C17576" w:rsidRPr="00F45224" w:rsidRDefault="00C17576" w:rsidP="00F45224">
      <w:pPr>
        <w:spacing w:line="276" w:lineRule="auto"/>
        <w:ind w:left="720" w:hanging="720"/>
        <w:rPr>
          <w:rFonts w:ascii="Proxima Nova" w:hAnsi="Proxima Nova" w:cstheme="minorHAnsi"/>
          <w:sz w:val="22"/>
          <w:szCs w:val="22"/>
        </w:rPr>
      </w:pPr>
    </w:p>
    <w:p w14:paraId="4079D4A0" w14:textId="79AFC0FB" w:rsidR="000E48E3" w:rsidRPr="00F45224" w:rsidRDefault="000E48E3" w:rsidP="00F45224">
      <w:pPr>
        <w:pStyle w:val="ListParagraph"/>
        <w:numPr>
          <w:ilvl w:val="1"/>
          <w:numId w:val="36"/>
        </w:numPr>
        <w:spacing w:line="276" w:lineRule="auto"/>
        <w:ind w:left="720" w:hanging="720"/>
        <w:rPr>
          <w:rFonts w:ascii="Proxima Nova" w:hAnsi="Proxima Nova" w:cstheme="minorHAnsi"/>
          <w:sz w:val="22"/>
          <w:szCs w:val="22"/>
        </w:rPr>
      </w:pPr>
      <w:r w:rsidRPr="00F45224">
        <w:rPr>
          <w:rFonts w:ascii="Proxima Nova" w:hAnsi="Proxima Nova" w:cstheme="minorHAnsi"/>
          <w:sz w:val="22"/>
          <w:szCs w:val="22"/>
        </w:rPr>
        <w:t xml:space="preserve">It is fundamental to the Royal Commission’s work on restrictive practices (including reports, community forums, stakeholder engagement, hearings, publications, findings and recommendations) that it centres the human rights of people with disability </w:t>
      </w:r>
      <w:proofErr w:type="gramStart"/>
      <w:r w:rsidRPr="00F45224">
        <w:rPr>
          <w:rFonts w:ascii="Proxima Nova" w:hAnsi="Proxima Nova" w:cstheme="minorHAnsi"/>
          <w:sz w:val="22"/>
          <w:szCs w:val="22"/>
        </w:rPr>
        <w:t>to:</w:t>
      </w:r>
      <w:proofErr w:type="gramEnd"/>
      <w:r w:rsidRPr="00F45224">
        <w:rPr>
          <w:rFonts w:ascii="Proxima Nova" w:hAnsi="Proxima Nova" w:cstheme="minorHAnsi"/>
          <w:color w:val="000000" w:themeColor="text1"/>
          <w:sz w:val="22"/>
          <w:szCs w:val="22"/>
          <w:lang w:bidi="en-US"/>
        </w:rPr>
        <w:t xml:space="preserve"> equality and non-discrimination; freedom from violence and torture; legal capacity; personal integrity; liberty; and independent living and community inclusion as provided by</w:t>
      </w:r>
      <w:r w:rsidRPr="00F45224">
        <w:rPr>
          <w:rFonts w:ascii="Proxima Nova" w:hAnsi="Proxima Nova" w:cstheme="minorHAnsi"/>
          <w:sz w:val="22"/>
          <w:szCs w:val="22"/>
        </w:rPr>
        <w:t xml:space="preserve"> the CRPD. This is in line with its Terms of Reference, which are based in the context of the CRPD. </w:t>
      </w:r>
    </w:p>
    <w:p w14:paraId="3099ED2A" w14:textId="77777777" w:rsidR="00ED048A" w:rsidRPr="00F45224" w:rsidRDefault="00ED048A" w:rsidP="00F45224">
      <w:pPr>
        <w:spacing w:line="276" w:lineRule="auto"/>
        <w:ind w:left="720" w:hanging="720"/>
        <w:rPr>
          <w:rFonts w:ascii="Proxima Nova" w:hAnsi="Proxima Nova" w:cstheme="minorHAnsi"/>
          <w:sz w:val="22"/>
          <w:szCs w:val="22"/>
        </w:rPr>
      </w:pPr>
    </w:p>
    <w:p w14:paraId="64D210E1" w14:textId="7FE934C2" w:rsidR="00ED048A" w:rsidRPr="00F45224" w:rsidRDefault="00ED048A" w:rsidP="00F45224">
      <w:pPr>
        <w:pStyle w:val="ListParagraph"/>
        <w:numPr>
          <w:ilvl w:val="1"/>
          <w:numId w:val="36"/>
        </w:numPr>
        <w:spacing w:line="276" w:lineRule="auto"/>
        <w:ind w:left="720" w:hanging="720"/>
        <w:rPr>
          <w:rFonts w:ascii="Proxima Nova" w:hAnsi="Proxima Nova" w:cstheme="minorHAnsi"/>
          <w:sz w:val="22"/>
          <w:szCs w:val="22"/>
        </w:rPr>
      </w:pPr>
      <w:r w:rsidRPr="00F45224">
        <w:rPr>
          <w:rFonts w:ascii="Proxima Nova" w:hAnsi="Proxima Nova" w:cstheme="minorHAnsi"/>
          <w:sz w:val="22"/>
          <w:szCs w:val="22"/>
        </w:rPr>
        <w:t xml:space="preserve">Relatedly, the Royal Commission must consider </w:t>
      </w:r>
      <w:proofErr w:type="gramStart"/>
      <w:r w:rsidRPr="00F45224">
        <w:rPr>
          <w:rFonts w:ascii="Proxima Nova" w:hAnsi="Proxima Nova" w:cstheme="minorHAnsi"/>
          <w:sz w:val="22"/>
          <w:szCs w:val="22"/>
        </w:rPr>
        <w:t>all of</w:t>
      </w:r>
      <w:proofErr w:type="gramEnd"/>
      <w:r w:rsidRPr="00F45224">
        <w:rPr>
          <w:rFonts w:ascii="Proxima Nova" w:hAnsi="Proxima Nova" w:cstheme="minorHAnsi"/>
          <w:sz w:val="22"/>
          <w:szCs w:val="22"/>
        </w:rPr>
        <w:t xml:space="preserve"> the relevant recommendations made to Australia from the international human rights treaty monitoring bodies, not just those stemming from the UN CRPD Committee, in its work on restrictive practices. This approach recognises that Australia is a signatory to seven core international human rights treaties, each of which contain obligations relating to people with disability (including women and girls with disability), and which are expected to be viewed and implemented as complementary mechanisms through which to create a holistic framework of rights protection and response for all people with disability.</w:t>
      </w:r>
    </w:p>
    <w:p w14:paraId="5D34235E" w14:textId="1AD9A351" w:rsidR="000E48E3" w:rsidRPr="00F45224" w:rsidRDefault="000E48E3" w:rsidP="00F45224">
      <w:pPr>
        <w:spacing w:line="276" w:lineRule="auto"/>
        <w:ind w:left="720" w:hanging="720"/>
        <w:rPr>
          <w:rFonts w:ascii="Proxima Nova" w:hAnsi="Proxima Nova" w:cstheme="minorHAnsi"/>
          <w:sz w:val="22"/>
          <w:szCs w:val="22"/>
        </w:rPr>
      </w:pPr>
    </w:p>
    <w:p w14:paraId="65395250" w14:textId="3F1639CD" w:rsidR="00C17576" w:rsidRPr="00F45224" w:rsidRDefault="00C17576" w:rsidP="00357BBF">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This section provides an overview of an international human rights framework for responding to restrictive practices as violence against women and girls with disability, which supports the recommendations in Section</w:t>
      </w:r>
      <w:r w:rsidR="00673CC7" w:rsidRPr="00F45224">
        <w:rPr>
          <w:rFonts w:ascii="Proxima Nova" w:hAnsi="Proxima Nova" w:cstheme="minorHAnsi"/>
          <w:sz w:val="22"/>
          <w:szCs w:val="22"/>
        </w:rPr>
        <w:t xml:space="preserve"> 1</w:t>
      </w:r>
      <w:r w:rsidRPr="00F45224">
        <w:rPr>
          <w:rFonts w:ascii="Proxima Nova" w:hAnsi="Proxima Nova" w:cstheme="minorHAnsi"/>
          <w:sz w:val="22"/>
          <w:szCs w:val="22"/>
        </w:rPr>
        <w:t>. It begins with a general overview of the CRPD in relation to women and girls with disability and identifies some risks about counter-productive engagement with human rights by Government and law reform inquiries. Next, this section explores human rights as they relate to restrictive practices in relation to women and girls with disability.</w:t>
      </w:r>
    </w:p>
    <w:p w14:paraId="3B79C2F3" w14:textId="77777777" w:rsidR="00A025CC" w:rsidRPr="00F45224" w:rsidRDefault="00A025CC" w:rsidP="00A025CC">
      <w:pPr>
        <w:autoSpaceDE w:val="0"/>
        <w:autoSpaceDN w:val="0"/>
        <w:adjustRightInd w:val="0"/>
        <w:spacing w:line="276" w:lineRule="auto"/>
        <w:rPr>
          <w:rFonts w:ascii="Proxima Nova" w:hAnsi="Proxima Nova" w:cstheme="minorHAnsi"/>
          <w:sz w:val="22"/>
          <w:szCs w:val="22"/>
          <w:lang w:val="en"/>
        </w:rPr>
      </w:pPr>
    </w:p>
    <w:p w14:paraId="4938C203" w14:textId="0BA0B356" w:rsidR="00A025CC" w:rsidRPr="00B901C0" w:rsidRDefault="00A025CC" w:rsidP="00A025CC">
      <w:pPr>
        <w:spacing w:line="276" w:lineRule="auto"/>
        <w:rPr>
          <w:rFonts w:ascii="Proxima Nova" w:hAnsi="Proxima Nova" w:cstheme="minorHAnsi"/>
        </w:rPr>
      </w:pPr>
      <w:r w:rsidRPr="00B901C0">
        <w:rPr>
          <w:rFonts w:ascii="Proxima Nova" w:hAnsi="Proxima Nova"/>
          <w:b/>
          <w:color w:val="AC1F79"/>
        </w:rPr>
        <w:t>Human Rights Generally</w:t>
      </w:r>
    </w:p>
    <w:p w14:paraId="713F8EFA" w14:textId="77777777" w:rsidR="00C17576" w:rsidRPr="00F45224" w:rsidRDefault="00C17576" w:rsidP="00A025CC">
      <w:pPr>
        <w:spacing w:line="276" w:lineRule="auto"/>
        <w:ind w:left="720" w:hanging="720"/>
        <w:rPr>
          <w:rFonts w:ascii="Proxima Nova" w:hAnsi="Proxima Nova" w:cstheme="minorHAnsi"/>
          <w:sz w:val="22"/>
          <w:szCs w:val="22"/>
        </w:rPr>
      </w:pPr>
    </w:p>
    <w:p w14:paraId="2E5D1005" w14:textId="77777777" w:rsidR="00C17576" w:rsidRPr="00F45224" w:rsidRDefault="00C17576" w:rsidP="00A025CC">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Australia is a signatory to seven core international human rights treaties.</w:t>
      </w:r>
      <w:r w:rsidRPr="00F45224">
        <w:rPr>
          <w:rStyle w:val="EndnoteReference"/>
          <w:rFonts w:ascii="Proxima Nova" w:hAnsi="Proxima Nova" w:cstheme="minorHAnsi"/>
          <w:sz w:val="22"/>
          <w:szCs w:val="22"/>
        </w:rPr>
        <w:endnoteReference w:id="317"/>
      </w:r>
      <w:r w:rsidRPr="00F45224">
        <w:rPr>
          <w:rFonts w:ascii="Proxima Nova" w:hAnsi="Proxima Nova" w:cstheme="minorHAnsi"/>
          <w:sz w:val="22"/>
          <w:szCs w:val="22"/>
        </w:rPr>
        <w:t xml:space="preserve"> As a party to these treaties, Australia has chosen to be bound by the treaty requirements and has an international obligation to implement the treaty provisions through its laws and policies. Together, the seven international human rights treaties to which Australia is a party – along with their Optional Protocols,</w:t>
      </w:r>
      <w:r w:rsidRPr="00F45224">
        <w:rPr>
          <w:rStyle w:val="EndnoteReference"/>
          <w:rFonts w:ascii="Proxima Nova" w:hAnsi="Proxima Nova" w:cstheme="minorHAnsi"/>
          <w:sz w:val="22"/>
          <w:szCs w:val="22"/>
        </w:rPr>
        <w:endnoteReference w:id="318"/>
      </w:r>
      <w:r w:rsidRPr="00F45224">
        <w:rPr>
          <w:rFonts w:ascii="Proxima Nova" w:hAnsi="Proxima Nova" w:cstheme="minorHAnsi"/>
          <w:sz w:val="22"/>
          <w:szCs w:val="22"/>
        </w:rPr>
        <w:t xml:space="preserve"> General Comments</w:t>
      </w:r>
      <w:r w:rsidRPr="00F45224">
        <w:rPr>
          <w:rStyle w:val="EndnoteReference"/>
          <w:rFonts w:ascii="Proxima Nova" w:hAnsi="Proxima Nova" w:cstheme="minorHAnsi"/>
          <w:sz w:val="22"/>
          <w:szCs w:val="22"/>
        </w:rPr>
        <w:endnoteReference w:id="319"/>
      </w:r>
      <w:r w:rsidRPr="00F45224">
        <w:rPr>
          <w:rFonts w:ascii="Proxima Nova" w:hAnsi="Proxima Nova" w:cstheme="minorHAnsi"/>
          <w:sz w:val="22"/>
          <w:szCs w:val="22"/>
        </w:rPr>
        <w:t xml:space="preserve"> and recommendations adopted by the bodies monitoring their implementation – provide the framework to delineate the obligations and responsibilities of Governments and other duty-bearers to comprehensively promote the human rights of women and girls with disability, including in relation to violence.</w:t>
      </w:r>
    </w:p>
    <w:p w14:paraId="433C6BC1" w14:textId="77777777" w:rsidR="00C17576" w:rsidRPr="00F45224" w:rsidRDefault="00C17576" w:rsidP="00A025CC">
      <w:pPr>
        <w:pStyle w:val="ListParagraph"/>
        <w:spacing w:line="276" w:lineRule="auto"/>
        <w:ind w:hanging="720"/>
        <w:contextualSpacing w:val="0"/>
        <w:rPr>
          <w:rFonts w:ascii="Proxima Nova" w:hAnsi="Proxima Nova" w:cstheme="minorHAnsi"/>
          <w:sz w:val="22"/>
          <w:szCs w:val="22"/>
        </w:rPr>
      </w:pPr>
    </w:p>
    <w:p w14:paraId="7FFEA014" w14:textId="77777777" w:rsidR="00C17576" w:rsidRPr="00F45224" w:rsidRDefault="00C17576" w:rsidP="00A025CC">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It is encouraging that the Royal Commission’s Terms of Reference explicitly embed international human rights and explicitly reference the CRPD:</w:t>
      </w:r>
    </w:p>
    <w:p w14:paraId="66501EB7" w14:textId="77777777" w:rsidR="00C17576" w:rsidRPr="00F45224" w:rsidRDefault="00C17576" w:rsidP="00A025CC">
      <w:pPr>
        <w:pStyle w:val="ListParagraph"/>
        <w:spacing w:line="276" w:lineRule="auto"/>
        <w:ind w:hanging="720"/>
        <w:rPr>
          <w:rFonts w:ascii="Proxima Nova" w:hAnsi="Proxima Nova" w:cstheme="minorHAnsi"/>
          <w:sz w:val="22"/>
          <w:szCs w:val="22"/>
        </w:rPr>
      </w:pPr>
    </w:p>
    <w:p w14:paraId="2AB751A3" w14:textId="77777777" w:rsidR="00C17576" w:rsidRPr="00F45224" w:rsidRDefault="00C17576" w:rsidP="00357BBF">
      <w:pPr>
        <w:pStyle w:val="ListParagraph"/>
        <w:spacing w:line="276" w:lineRule="auto"/>
        <w:ind w:left="1134"/>
        <w:contextualSpacing w:val="0"/>
        <w:rPr>
          <w:rFonts w:ascii="Proxima Nova" w:hAnsi="Proxima Nova" w:cstheme="minorHAnsi"/>
          <w:i/>
          <w:iCs/>
          <w:sz w:val="22"/>
          <w:szCs w:val="22"/>
        </w:rPr>
      </w:pPr>
      <w:r w:rsidRPr="00F45224">
        <w:rPr>
          <w:rFonts w:ascii="Proxima Nova" w:hAnsi="Proxima Nova" w:cstheme="minorHAnsi"/>
          <w:i/>
          <w:iCs/>
          <w:sz w:val="22"/>
          <w:szCs w:val="22"/>
        </w:rPr>
        <w:t xml:space="preserve">RECOGNISING that people with disability </w:t>
      </w:r>
      <w:proofErr w:type="gramStart"/>
      <w:r w:rsidRPr="00F45224">
        <w:rPr>
          <w:rFonts w:ascii="Proxima Nova" w:hAnsi="Proxima Nova" w:cstheme="minorHAnsi"/>
          <w:i/>
          <w:iCs/>
          <w:sz w:val="22"/>
          <w:szCs w:val="22"/>
        </w:rPr>
        <w:t>are:</w:t>
      </w:r>
      <w:proofErr w:type="gramEnd"/>
      <w:r w:rsidRPr="00F45224">
        <w:rPr>
          <w:rFonts w:ascii="Proxima Nova" w:hAnsi="Proxima Nova" w:cstheme="minorHAnsi"/>
          <w:i/>
          <w:iCs/>
          <w:sz w:val="22"/>
          <w:szCs w:val="22"/>
        </w:rPr>
        <w:t xml:space="preserve"> equal citizens and have the right to the full and equal enjoyment of all </w:t>
      </w:r>
      <w:r w:rsidRPr="00F45224">
        <w:rPr>
          <w:rStyle w:val="highlight"/>
          <w:rFonts w:ascii="Proxima Nova" w:hAnsi="Proxima Nova" w:cstheme="minorHAnsi"/>
          <w:i/>
          <w:iCs/>
          <w:sz w:val="22"/>
          <w:szCs w:val="22"/>
        </w:rPr>
        <w:t>human rights</w:t>
      </w:r>
      <w:r w:rsidRPr="00F45224">
        <w:rPr>
          <w:rFonts w:ascii="Proxima Nova" w:hAnsi="Proxima Nova" w:cstheme="minorHAnsi"/>
          <w:i/>
          <w:iCs/>
          <w:sz w:val="22"/>
          <w:szCs w:val="22"/>
        </w:rPr>
        <w:t xml:space="preserve"> and fundamental freedoms, including respect for their inherent dignity and individual autonomy. …</w:t>
      </w:r>
    </w:p>
    <w:p w14:paraId="55C3970E" w14:textId="77777777" w:rsidR="00C17576" w:rsidRPr="00F45224" w:rsidRDefault="00C17576" w:rsidP="00357BBF">
      <w:pPr>
        <w:pStyle w:val="ListParagraph"/>
        <w:spacing w:line="276" w:lineRule="auto"/>
        <w:ind w:left="1134"/>
        <w:contextualSpacing w:val="0"/>
        <w:rPr>
          <w:rFonts w:ascii="Proxima Nova" w:hAnsi="Proxima Nova" w:cstheme="minorHAnsi"/>
          <w:i/>
          <w:iCs/>
          <w:sz w:val="22"/>
          <w:szCs w:val="22"/>
        </w:rPr>
      </w:pPr>
    </w:p>
    <w:p w14:paraId="4B86E0CE" w14:textId="77777777" w:rsidR="00C17576" w:rsidRPr="00F45224" w:rsidRDefault="00C17576" w:rsidP="00357BBF">
      <w:pPr>
        <w:pStyle w:val="ListParagraph"/>
        <w:spacing w:line="276" w:lineRule="auto"/>
        <w:ind w:left="1134"/>
        <w:contextualSpacing w:val="0"/>
        <w:rPr>
          <w:rFonts w:ascii="Proxima Nova" w:hAnsi="Proxima Nova" w:cstheme="minorHAnsi"/>
          <w:sz w:val="22"/>
          <w:szCs w:val="22"/>
        </w:rPr>
      </w:pPr>
      <w:r w:rsidRPr="00F45224">
        <w:rPr>
          <w:rFonts w:ascii="Proxima Nova" w:hAnsi="Proxima Nova" w:cstheme="minorHAnsi"/>
          <w:i/>
          <w:iCs/>
          <w:sz w:val="22"/>
          <w:szCs w:val="22"/>
        </w:rPr>
        <w:t xml:space="preserve">AND Australia has international obligations to take appropriate legislative, administrative and other measures to promote the human rights of people with disability, including to protect people with disability from all forms of exploitation, violence and abuse under the </w:t>
      </w:r>
      <w:r w:rsidRPr="00F45224">
        <w:rPr>
          <w:rStyle w:val="highlight"/>
          <w:rFonts w:ascii="Proxima Nova" w:hAnsi="Proxima Nova" w:cstheme="minorHAnsi"/>
          <w:i/>
          <w:iCs/>
          <w:sz w:val="22"/>
          <w:szCs w:val="22"/>
        </w:rPr>
        <w:t>Convention</w:t>
      </w:r>
      <w:r w:rsidRPr="00F45224">
        <w:rPr>
          <w:rFonts w:ascii="Proxima Nova" w:hAnsi="Proxima Nova" w:cstheme="minorHAnsi"/>
          <w:i/>
          <w:iCs/>
          <w:sz w:val="22"/>
          <w:szCs w:val="22"/>
        </w:rPr>
        <w:t xml:space="preserve"> on the Rights of Persons with Disabilities.</w:t>
      </w:r>
      <w:r w:rsidRPr="00F45224">
        <w:rPr>
          <w:rStyle w:val="EndnoteReference"/>
          <w:rFonts w:ascii="Proxima Nova" w:hAnsi="Proxima Nova" w:cstheme="minorHAnsi"/>
          <w:sz w:val="22"/>
          <w:szCs w:val="22"/>
        </w:rPr>
        <w:endnoteReference w:id="320"/>
      </w:r>
    </w:p>
    <w:p w14:paraId="106B2E2F" w14:textId="77777777" w:rsidR="00C17576" w:rsidRPr="00F45224" w:rsidRDefault="00C17576" w:rsidP="00A025CC">
      <w:pPr>
        <w:spacing w:line="276" w:lineRule="auto"/>
        <w:ind w:left="720" w:hanging="720"/>
        <w:rPr>
          <w:rFonts w:ascii="Proxima Nova" w:hAnsi="Proxima Nova" w:cstheme="minorHAnsi"/>
          <w:sz w:val="22"/>
          <w:szCs w:val="22"/>
        </w:rPr>
      </w:pPr>
    </w:p>
    <w:p w14:paraId="7AD77166" w14:textId="77777777" w:rsidR="00C17576" w:rsidRPr="00F45224" w:rsidRDefault="00C17576" w:rsidP="00A025CC">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 xml:space="preserve">Moreover, while it is important that the work of the Royal Commission is framed within and underpinned specifically by the CRPD, the Royal Commission should also engage with other human rights treaties. It should be understood that implementation of the </w:t>
      </w:r>
      <w:proofErr w:type="gramStart"/>
      <w:r w:rsidRPr="00F45224">
        <w:rPr>
          <w:rFonts w:ascii="Proxima Nova" w:hAnsi="Proxima Nova" w:cstheme="minorHAnsi"/>
          <w:sz w:val="22"/>
          <w:szCs w:val="22"/>
        </w:rPr>
        <w:t>seven core</w:t>
      </w:r>
      <w:proofErr w:type="gramEnd"/>
      <w:r w:rsidRPr="00F45224">
        <w:rPr>
          <w:rFonts w:ascii="Proxima Nova" w:hAnsi="Proxima Nova" w:cstheme="minorHAnsi"/>
          <w:sz w:val="22"/>
          <w:szCs w:val="22"/>
        </w:rPr>
        <w:t xml:space="preserve"> international human rights treaties to which Australia is a party is not mutually exclusive. These treaties are expected to be viewed and implemented as complementary mechanisms through which to create a holistic framework of rights protection and response for all people with disability.</w:t>
      </w:r>
      <w:r w:rsidRPr="00F45224">
        <w:rPr>
          <w:rStyle w:val="EndnoteReference"/>
          <w:rFonts w:ascii="Proxima Nova" w:hAnsi="Proxima Nova" w:cstheme="minorHAnsi"/>
          <w:sz w:val="22"/>
          <w:szCs w:val="22"/>
        </w:rPr>
        <w:endnoteReference w:id="321"/>
      </w:r>
      <w:r w:rsidRPr="00F45224">
        <w:rPr>
          <w:rFonts w:ascii="Proxima Nova" w:hAnsi="Proxima Nova" w:cstheme="minorHAnsi"/>
          <w:sz w:val="22"/>
          <w:szCs w:val="22"/>
        </w:rPr>
        <w:t xml:space="preserve"> For example, for more than a decade, several of the international human rights treaty monitoring bodies have made recommendations to Australia in relation to people with disability, including specific recommendations relating to women and girls with disability. These include recommendations in relation to restrictive practices (notably sterilisation) as well as violence against women and girls with disability more broadly. We urge the Royal Commission to consider </w:t>
      </w:r>
      <w:proofErr w:type="gramStart"/>
      <w:r w:rsidRPr="00F45224">
        <w:rPr>
          <w:rFonts w:ascii="Proxima Nova" w:hAnsi="Proxima Nova" w:cstheme="minorHAnsi"/>
          <w:sz w:val="22"/>
          <w:szCs w:val="22"/>
        </w:rPr>
        <w:t>all of</w:t>
      </w:r>
      <w:proofErr w:type="gramEnd"/>
      <w:r w:rsidRPr="00F45224">
        <w:rPr>
          <w:rFonts w:ascii="Proxima Nova" w:hAnsi="Proxima Nova" w:cstheme="minorHAnsi"/>
          <w:sz w:val="22"/>
          <w:szCs w:val="22"/>
        </w:rPr>
        <w:t xml:space="preserve"> these recommendations in its work, not just those stemming from the CRPD.</w:t>
      </w:r>
    </w:p>
    <w:p w14:paraId="36265C54" w14:textId="77777777" w:rsidR="00C17576" w:rsidRPr="00F45224" w:rsidRDefault="00C17576" w:rsidP="00A025CC">
      <w:pPr>
        <w:pStyle w:val="ListParagraph"/>
        <w:spacing w:line="276" w:lineRule="auto"/>
        <w:ind w:hanging="720"/>
        <w:contextualSpacing w:val="0"/>
        <w:rPr>
          <w:rFonts w:ascii="Proxima Nova" w:hAnsi="Proxima Nova" w:cstheme="minorHAnsi"/>
          <w:sz w:val="22"/>
          <w:szCs w:val="22"/>
        </w:rPr>
      </w:pPr>
    </w:p>
    <w:p w14:paraId="78B0C92B" w14:textId="77777777" w:rsidR="00C17576" w:rsidRPr="00F45224" w:rsidRDefault="00C17576" w:rsidP="00A025CC">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lang w:val="en-AU"/>
        </w:rPr>
        <w:t>To the extent that the Royal Commission focuses on the CRPD, we note that this treaty is</w:t>
      </w:r>
      <w:r w:rsidRPr="00F45224">
        <w:rPr>
          <w:rFonts w:ascii="Proxima Nova" w:hAnsi="Proxima Nova" w:cstheme="minorHAnsi"/>
          <w:sz w:val="22"/>
          <w:szCs w:val="22"/>
          <w:lang w:val="x-none"/>
        </w:rPr>
        <w:t xml:space="preserve"> clear on gender equality. The CRPD recognises gender as one of the most important </w:t>
      </w:r>
      <w:r w:rsidRPr="00F45224">
        <w:rPr>
          <w:rFonts w:ascii="Proxima Nova" w:hAnsi="Proxima Nova" w:cstheme="minorHAnsi"/>
          <w:sz w:val="22"/>
          <w:szCs w:val="22"/>
          <w:lang w:val="x-none"/>
        </w:rPr>
        <w:lastRenderedPageBreak/>
        <w:t xml:space="preserve">categories of social organisation. It expressly states the </w:t>
      </w:r>
      <w:r w:rsidRPr="00F45224">
        <w:rPr>
          <w:rFonts w:ascii="Proxima Nova" w:hAnsi="Proxima Nova" w:cstheme="minorHAnsi"/>
          <w:sz w:val="22"/>
          <w:szCs w:val="22"/>
        </w:rPr>
        <w:t>requirement</w:t>
      </w:r>
      <w:r w:rsidRPr="00F45224">
        <w:rPr>
          <w:rFonts w:ascii="Proxima Nova" w:hAnsi="Proxima Nova" w:cstheme="minorHAnsi"/>
          <w:sz w:val="22"/>
          <w:szCs w:val="22"/>
          <w:lang w:val="x-none"/>
        </w:rPr>
        <w:t xml:space="preserve"> to incorporate a gender perspective in all efforts to promote the human rights of people with disabilit</w:t>
      </w:r>
      <w:r w:rsidRPr="00F45224">
        <w:rPr>
          <w:rFonts w:ascii="Proxima Nova" w:hAnsi="Proxima Nova" w:cstheme="minorHAnsi"/>
          <w:sz w:val="22"/>
          <w:szCs w:val="22"/>
        </w:rPr>
        <w:t>y</w:t>
      </w:r>
      <w:r w:rsidRPr="00F45224">
        <w:rPr>
          <w:rFonts w:ascii="Proxima Nova" w:hAnsi="Proxima Nova" w:cstheme="minorHAnsi"/>
          <w:sz w:val="22"/>
          <w:szCs w:val="22"/>
          <w:lang w:val="x-none"/>
        </w:rPr>
        <w:t xml:space="preserve">, meaning that the rights of women </w:t>
      </w:r>
      <w:r w:rsidRPr="00F45224">
        <w:rPr>
          <w:rFonts w:ascii="Proxima Nova" w:hAnsi="Proxima Nova" w:cstheme="minorHAnsi"/>
          <w:sz w:val="22"/>
          <w:szCs w:val="22"/>
          <w:lang w:val="en-AU"/>
        </w:rPr>
        <w:t xml:space="preserve">and girls </w:t>
      </w:r>
      <w:r w:rsidRPr="00F45224">
        <w:rPr>
          <w:rFonts w:ascii="Proxima Nova" w:hAnsi="Proxima Nova" w:cstheme="minorHAnsi"/>
          <w:sz w:val="22"/>
          <w:szCs w:val="22"/>
          <w:lang w:val="x-none"/>
        </w:rPr>
        <w:t>with disabilit</w:t>
      </w:r>
      <w:r w:rsidRPr="00F45224">
        <w:rPr>
          <w:rFonts w:ascii="Proxima Nova" w:hAnsi="Proxima Nova" w:cstheme="minorHAnsi"/>
          <w:sz w:val="22"/>
          <w:szCs w:val="22"/>
        </w:rPr>
        <w:t>y</w:t>
      </w:r>
      <w:r w:rsidRPr="00F45224">
        <w:rPr>
          <w:rFonts w:ascii="Proxima Nova" w:hAnsi="Proxima Nova" w:cstheme="minorHAnsi"/>
          <w:sz w:val="22"/>
          <w:szCs w:val="22"/>
          <w:lang w:val="x-none"/>
        </w:rPr>
        <w:t xml:space="preserve"> must be addressed when interpreting and implementing every article of the </w:t>
      </w:r>
      <w:r w:rsidRPr="00F45224">
        <w:rPr>
          <w:rFonts w:ascii="Proxima Nova" w:hAnsi="Proxima Nova" w:cstheme="minorHAnsi"/>
          <w:sz w:val="22"/>
          <w:szCs w:val="22"/>
          <w:lang w:val="en-AU"/>
        </w:rPr>
        <w:t>CRPD</w:t>
      </w:r>
      <w:r w:rsidRPr="00F45224">
        <w:rPr>
          <w:rFonts w:ascii="Proxima Nova" w:hAnsi="Proxima Nova" w:cstheme="minorHAnsi"/>
          <w:sz w:val="22"/>
          <w:szCs w:val="22"/>
          <w:lang w:val="x-none"/>
        </w:rPr>
        <w:t>.</w:t>
      </w:r>
    </w:p>
    <w:p w14:paraId="312281D7" w14:textId="77777777" w:rsidR="00C17576" w:rsidRPr="00F45224" w:rsidRDefault="00C17576" w:rsidP="00A025CC">
      <w:pPr>
        <w:pStyle w:val="ListParagraph"/>
        <w:spacing w:line="276" w:lineRule="auto"/>
        <w:ind w:hanging="720"/>
        <w:contextualSpacing w:val="0"/>
        <w:rPr>
          <w:rFonts w:ascii="Proxima Nova" w:hAnsi="Proxima Nova" w:cstheme="minorHAnsi"/>
          <w:sz w:val="22"/>
          <w:szCs w:val="22"/>
        </w:rPr>
      </w:pPr>
    </w:p>
    <w:p w14:paraId="13DBDB77" w14:textId="77777777" w:rsidR="00C17576" w:rsidRPr="00F45224" w:rsidRDefault="00C17576" w:rsidP="00A025CC">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color w:val="000000" w:themeColor="text1"/>
          <w:sz w:val="22"/>
          <w:szCs w:val="22"/>
          <w:lang w:bidi="en-US"/>
        </w:rPr>
        <w:t xml:space="preserve">The CRPD </w:t>
      </w:r>
      <w:r w:rsidRPr="00F45224">
        <w:rPr>
          <w:rFonts w:ascii="Proxima Nova" w:hAnsi="Proxima Nova" w:cstheme="minorHAnsi"/>
          <w:sz w:val="22"/>
          <w:szCs w:val="22"/>
          <w:lang w:val="x-none"/>
        </w:rPr>
        <w:t>prioritises women and girls with disabilit</w:t>
      </w:r>
      <w:r w:rsidRPr="00F45224">
        <w:rPr>
          <w:rFonts w:ascii="Proxima Nova" w:hAnsi="Proxima Nova" w:cstheme="minorHAnsi"/>
          <w:sz w:val="22"/>
          <w:szCs w:val="22"/>
        </w:rPr>
        <w:t>y</w:t>
      </w:r>
      <w:r w:rsidRPr="00F45224">
        <w:rPr>
          <w:rFonts w:ascii="Proxima Nova" w:hAnsi="Proxima Nova" w:cstheme="minorHAnsi"/>
          <w:sz w:val="22"/>
          <w:szCs w:val="22"/>
          <w:lang w:val="x-none"/>
        </w:rPr>
        <w:t xml:space="preserve"> as a group warranting specific attention and additional measures. It obliges Governments to take positive actions and measures to ensure that disabled women and girls enjoy all human rights and fundamental freedoms. It clarifies the need to ensure that national policies, frameworks and strategies explicit</w:t>
      </w:r>
      <w:r w:rsidRPr="00F45224">
        <w:rPr>
          <w:rFonts w:ascii="Proxima Nova" w:hAnsi="Proxima Nova" w:cstheme="minorHAnsi"/>
          <w:sz w:val="22"/>
          <w:szCs w:val="22"/>
          <w:lang w:val="en-AU"/>
        </w:rPr>
        <w:t>ly</w:t>
      </w:r>
      <w:r w:rsidRPr="00F45224">
        <w:rPr>
          <w:rFonts w:ascii="Proxima Nova" w:hAnsi="Proxima Nova" w:cstheme="minorHAnsi"/>
          <w:sz w:val="22"/>
          <w:szCs w:val="22"/>
          <w:lang w:val="x-none"/>
        </w:rPr>
        <w:t xml:space="preserve"> recogni</w:t>
      </w:r>
      <w:r w:rsidRPr="00F45224">
        <w:rPr>
          <w:rFonts w:ascii="Proxima Nova" w:hAnsi="Proxima Nova" w:cstheme="minorHAnsi"/>
          <w:sz w:val="22"/>
          <w:szCs w:val="22"/>
          <w:lang w:val="en-AU"/>
        </w:rPr>
        <w:t>se</w:t>
      </w:r>
      <w:r w:rsidRPr="00F45224">
        <w:rPr>
          <w:rFonts w:ascii="Proxima Nova" w:hAnsi="Proxima Nova" w:cstheme="minorHAnsi"/>
          <w:sz w:val="22"/>
          <w:szCs w:val="22"/>
          <w:lang w:val="x-none"/>
        </w:rPr>
        <w:t xml:space="preserve"> the impact of multiple discriminations caused by the intersection of gender and disability, and that such policies and frameworks include focused, gender-specific measures to ensure that women and girls with disabilit</w:t>
      </w:r>
      <w:r w:rsidRPr="00F45224">
        <w:rPr>
          <w:rFonts w:ascii="Proxima Nova" w:hAnsi="Proxima Nova" w:cstheme="minorHAnsi"/>
          <w:sz w:val="22"/>
          <w:szCs w:val="22"/>
        </w:rPr>
        <w:t>y</w:t>
      </w:r>
      <w:r w:rsidRPr="00F45224">
        <w:rPr>
          <w:rFonts w:ascii="Proxima Nova" w:hAnsi="Proxima Nova" w:cstheme="minorHAnsi"/>
          <w:sz w:val="22"/>
          <w:szCs w:val="22"/>
          <w:lang w:val="x-none"/>
        </w:rPr>
        <w:t xml:space="preserve"> experience full and effective enjoyment of their human rights.</w:t>
      </w:r>
    </w:p>
    <w:p w14:paraId="747F2D35" w14:textId="77777777" w:rsidR="00C17576" w:rsidRPr="00F45224" w:rsidRDefault="00C17576" w:rsidP="00A025CC">
      <w:pPr>
        <w:pStyle w:val="ListParagraph"/>
        <w:spacing w:line="276" w:lineRule="auto"/>
        <w:ind w:hanging="720"/>
        <w:contextualSpacing w:val="0"/>
        <w:rPr>
          <w:rFonts w:ascii="Proxima Nova" w:hAnsi="Proxima Nova" w:cstheme="minorHAnsi"/>
          <w:sz w:val="22"/>
          <w:szCs w:val="22"/>
        </w:rPr>
      </w:pPr>
    </w:p>
    <w:p w14:paraId="4DF6474F" w14:textId="38796D59" w:rsidR="00C17576" w:rsidRPr="00F45224" w:rsidRDefault="00C17576" w:rsidP="00A025CC">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 xml:space="preserve">Despite the obligations of the CRPD in relation to women and girls with disability, it remains the case that in Australian legislative, policy and service contexts, people with disability are still often treated as asexual, genderless human beings. This gender-neutrality can (and does) create and perpetuate the consequences of gender-based discrimination and can (and does) lead to misleading analyses of issues and/or inaccurate assessments of likely policy outcomes. This is particularly concerning in relation to restrictive practices regarding women and girls’ </w:t>
      </w:r>
      <w:r w:rsidR="000964DF" w:rsidRPr="00F45224">
        <w:rPr>
          <w:rFonts w:ascii="Proxima Nova" w:hAnsi="Proxima Nova" w:cstheme="minorHAnsi"/>
          <w:sz w:val="22"/>
          <w:szCs w:val="22"/>
        </w:rPr>
        <w:t>embodied and social experiences that are gendered as female – such as menstruation, sexual assault and domestic violence victimisation, sexuality and intimacy, reproduction, mothering, menopause, and gynaecological cancers</w:t>
      </w:r>
      <w:r w:rsidR="002D4B3E" w:rsidRPr="00F45224">
        <w:rPr>
          <w:rFonts w:ascii="Proxima Nova" w:hAnsi="Proxima Nova" w:cstheme="minorHAnsi"/>
          <w:sz w:val="22"/>
          <w:szCs w:val="22"/>
        </w:rPr>
        <w:t>,</w:t>
      </w:r>
      <w:r w:rsidRPr="00F45224">
        <w:rPr>
          <w:rFonts w:ascii="Proxima Nova" w:hAnsi="Proxima Nova" w:cstheme="minorHAnsi"/>
          <w:sz w:val="22"/>
          <w:szCs w:val="22"/>
        </w:rPr>
        <w:t xml:space="preserve"> including non-consensual and coercive sterilisation, menstrual suppression, contraception, abortion</w:t>
      </w:r>
      <w:r w:rsidRPr="00F45224">
        <w:rPr>
          <w:rFonts w:ascii="Proxima Nova" w:hAnsi="Proxima Nova"/>
          <w:sz w:val="22"/>
          <w:szCs w:val="22"/>
        </w:rPr>
        <w:t>, forced child removal, and denial of support for sexual activity and intimate relationships.</w:t>
      </w:r>
    </w:p>
    <w:p w14:paraId="7C1A81AE" w14:textId="77777777" w:rsidR="00C17576" w:rsidRPr="00F45224" w:rsidRDefault="00C17576" w:rsidP="00A025CC">
      <w:pPr>
        <w:pStyle w:val="ListParagraph"/>
        <w:spacing w:line="276" w:lineRule="auto"/>
        <w:ind w:hanging="720"/>
        <w:contextualSpacing w:val="0"/>
        <w:rPr>
          <w:rFonts w:ascii="Proxima Nova" w:hAnsi="Proxima Nova" w:cstheme="minorHAnsi"/>
          <w:color w:val="000000" w:themeColor="text1"/>
          <w:sz w:val="22"/>
          <w:szCs w:val="22"/>
          <w:lang w:bidi="en-US"/>
        </w:rPr>
      </w:pPr>
    </w:p>
    <w:p w14:paraId="1FEDE434" w14:textId="77777777" w:rsidR="00C17576" w:rsidRPr="00F45224" w:rsidRDefault="00C17576" w:rsidP="00A025CC">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 xml:space="preserve">Article 6 of the CRPD (Women with Disabilities), as a cross-cutting article, means that the </w:t>
      </w:r>
      <w:r w:rsidRPr="00F45224">
        <w:rPr>
          <w:rFonts w:ascii="Proxima Nova" w:hAnsi="Proxima Nova" w:cstheme="minorHAnsi"/>
          <w:sz w:val="22"/>
          <w:szCs w:val="22"/>
          <w:lang w:val="x-none"/>
        </w:rPr>
        <w:t>rights of women with disabilit</w:t>
      </w:r>
      <w:r w:rsidRPr="00F45224">
        <w:rPr>
          <w:rFonts w:ascii="Proxima Nova" w:hAnsi="Proxima Nova" w:cstheme="minorHAnsi"/>
          <w:sz w:val="22"/>
          <w:szCs w:val="22"/>
        </w:rPr>
        <w:t>y</w:t>
      </w:r>
      <w:r w:rsidRPr="00F45224">
        <w:rPr>
          <w:rFonts w:ascii="Proxima Nova" w:hAnsi="Proxima Nova" w:cstheme="minorHAnsi"/>
          <w:sz w:val="22"/>
          <w:szCs w:val="22"/>
          <w:lang w:val="x-none"/>
        </w:rPr>
        <w:t xml:space="preserve"> must be </w:t>
      </w:r>
      <w:r w:rsidRPr="00F45224">
        <w:rPr>
          <w:rFonts w:ascii="Proxima Nova" w:hAnsi="Proxima Nova" w:cstheme="minorHAnsi"/>
          <w:sz w:val="22"/>
          <w:szCs w:val="22"/>
        </w:rPr>
        <w:t xml:space="preserve">specifically identified and </w:t>
      </w:r>
      <w:r w:rsidRPr="00F45224">
        <w:rPr>
          <w:rFonts w:ascii="Proxima Nova" w:hAnsi="Proxima Nova" w:cstheme="minorHAnsi"/>
          <w:sz w:val="22"/>
          <w:szCs w:val="22"/>
          <w:lang w:val="x-none"/>
        </w:rPr>
        <w:t>addressed</w:t>
      </w:r>
      <w:r w:rsidRPr="00F45224">
        <w:rPr>
          <w:rFonts w:ascii="Proxima Nova" w:hAnsi="Proxima Nova" w:cstheme="minorHAnsi"/>
          <w:sz w:val="22"/>
          <w:szCs w:val="22"/>
        </w:rPr>
        <w:t xml:space="preserve"> in all measures in the implementation and monitoring of the CRPD, including in relation to Articles 12, 14, 15, 16, and 17. </w:t>
      </w:r>
      <w:proofErr w:type="gramStart"/>
      <w:r w:rsidRPr="00F45224">
        <w:rPr>
          <w:rFonts w:ascii="Proxima Nova" w:hAnsi="Proxima Nova" w:cstheme="minorHAnsi"/>
          <w:sz w:val="22"/>
          <w:szCs w:val="22"/>
        </w:rPr>
        <w:t>It is clear that in</w:t>
      </w:r>
      <w:proofErr w:type="gramEnd"/>
      <w:r w:rsidRPr="00F45224">
        <w:rPr>
          <w:rFonts w:ascii="Proxima Nova" w:hAnsi="Proxima Nova" w:cstheme="minorHAnsi"/>
          <w:sz w:val="22"/>
          <w:szCs w:val="22"/>
        </w:rPr>
        <w:t xml:space="preserve"> the Australian context, this is yet to occur.</w:t>
      </w:r>
    </w:p>
    <w:p w14:paraId="04585944" w14:textId="77777777" w:rsidR="00C17576" w:rsidRPr="00F45224" w:rsidRDefault="00C17576" w:rsidP="00A025CC">
      <w:pPr>
        <w:pStyle w:val="ListParagraph"/>
        <w:spacing w:line="276" w:lineRule="auto"/>
        <w:ind w:hanging="720"/>
        <w:contextualSpacing w:val="0"/>
        <w:rPr>
          <w:rFonts w:ascii="Proxima Nova" w:hAnsi="Proxima Nova" w:cstheme="minorHAnsi"/>
          <w:sz w:val="22"/>
          <w:szCs w:val="22"/>
        </w:rPr>
      </w:pPr>
    </w:p>
    <w:p w14:paraId="4C6525EC" w14:textId="74439292" w:rsidR="00C17576" w:rsidRPr="00F45224" w:rsidRDefault="00C17576" w:rsidP="00A025CC">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 xml:space="preserve">For a comprehensive discussion of the human rights approach to violence, abuse, neglect and exploitation against people with disability, including women and girls with disability, we draw the attention of the Royal Commission to our submission, as part of </w:t>
      </w:r>
      <w:r w:rsidR="003050D0" w:rsidRPr="00F45224">
        <w:rPr>
          <w:rFonts w:ascii="Proxima Nova" w:hAnsi="Proxima Nova" w:cstheme="minorHAnsi"/>
          <w:sz w:val="22"/>
          <w:szCs w:val="22"/>
        </w:rPr>
        <w:t>Disabled People’s Organisations Australia (</w:t>
      </w:r>
      <w:r w:rsidRPr="00F45224">
        <w:rPr>
          <w:rFonts w:ascii="Proxima Nova" w:hAnsi="Proxima Nova" w:cstheme="minorHAnsi"/>
          <w:sz w:val="22"/>
          <w:szCs w:val="22"/>
        </w:rPr>
        <w:t>DPO Australia</w:t>
      </w:r>
      <w:r w:rsidR="003050D0" w:rsidRPr="00F45224">
        <w:rPr>
          <w:rFonts w:ascii="Proxima Nova" w:hAnsi="Proxima Nova" w:cstheme="minorHAnsi"/>
          <w:sz w:val="22"/>
          <w:szCs w:val="22"/>
        </w:rPr>
        <w:t xml:space="preserve">, </w:t>
      </w:r>
      <w:r w:rsidRPr="00F45224">
        <w:rPr>
          <w:rFonts w:ascii="Proxima Nova" w:hAnsi="Proxima Nova" w:cstheme="minorHAnsi"/>
          <w:sz w:val="22"/>
          <w:szCs w:val="22"/>
        </w:rPr>
        <w:t>formerly the Australian Cross Disability Alliance) to the Senate</w:t>
      </w:r>
      <w:r w:rsidR="004A0D2C" w:rsidRPr="00F45224">
        <w:rPr>
          <w:rFonts w:ascii="Proxima Nova" w:hAnsi="Proxima Nova" w:cstheme="minorHAnsi"/>
          <w:sz w:val="22"/>
          <w:szCs w:val="22"/>
        </w:rPr>
        <w:t xml:space="preserve"> Institutional Violence</w:t>
      </w:r>
      <w:r w:rsidRPr="00F45224">
        <w:rPr>
          <w:rFonts w:ascii="Proxima Nova" w:hAnsi="Proxima Nova" w:cstheme="minorHAnsi"/>
          <w:sz w:val="22"/>
          <w:szCs w:val="22"/>
        </w:rPr>
        <w:t xml:space="preserve"> Inquiry.</w:t>
      </w:r>
      <w:r w:rsidRPr="00F45224">
        <w:rPr>
          <w:rStyle w:val="EndnoteReference"/>
          <w:rFonts w:ascii="Proxima Nova" w:hAnsi="Proxima Nova" w:cstheme="minorHAnsi"/>
          <w:sz w:val="22"/>
          <w:szCs w:val="22"/>
        </w:rPr>
        <w:endnoteReference w:id="322"/>
      </w:r>
      <w:r w:rsidRPr="00F45224">
        <w:rPr>
          <w:rFonts w:ascii="Proxima Nova" w:hAnsi="Proxima Nova" w:cstheme="minorHAnsi"/>
          <w:sz w:val="22"/>
          <w:szCs w:val="22"/>
        </w:rPr>
        <w:t xml:space="preserve"> This submission comprehensively: examines the human rights conceptualisation of ‘disability’, ‘intersectionality’ and ‘violence against people with disability’; provides information on the scope and prevalence of violence, including gendered disability violence; outlines human rights violations that constitute violence, abuse, neglect and exploitation against people with disability; and highlights failures in the Australian legislative, policy and service landscape in relation to violence. We also draw the attention of the Royal Commission to the paper, </w:t>
      </w:r>
      <w:r w:rsidR="002D4B3E" w:rsidRPr="00F45224">
        <w:rPr>
          <w:rFonts w:ascii="Proxima Nova" w:hAnsi="Proxima Nova" w:cstheme="minorHAnsi"/>
          <w:sz w:val="22"/>
          <w:szCs w:val="22"/>
        </w:rPr>
        <w:t>‘</w:t>
      </w:r>
      <w:r w:rsidRPr="00F45224">
        <w:rPr>
          <w:rFonts w:ascii="Proxima Nova" w:hAnsi="Proxima Nova" w:cstheme="minorHAnsi"/>
          <w:sz w:val="22"/>
          <w:szCs w:val="22"/>
        </w:rPr>
        <w:t>Preventing Violence against Women and Girls with Disabilities: Integrating A Human Rights Perspective</w:t>
      </w:r>
      <w:r w:rsidR="002D4B3E" w:rsidRPr="00F45224">
        <w:rPr>
          <w:rFonts w:ascii="Proxima Nova" w:hAnsi="Proxima Nova" w:cstheme="minorHAnsi"/>
          <w:sz w:val="22"/>
          <w:szCs w:val="22"/>
        </w:rPr>
        <w:t>’</w:t>
      </w:r>
      <w:r w:rsidRPr="00F45224">
        <w:rPr>
          <w:rFonts w:ascii="Proxima Nova" w:hAnsi="Proxima Nova" w:cstheme="minorHAnsi"/>
          <w:sz w:val="22"/>
          <w:szCs w:val="22"/>
        </w:rPr>
        <w:t>.</w:t>
      </w:r>
      <w:r w:rsidRPr="00F45224">
        <w:rPr>
          <w:rStyle w:val="EndnoteReference"/>
          <w:rFonts w:ascii="Proxima Nova" w:hAnsi="Proxima Nova" w:cstheme="minorHAnsi"/>
          <w:sz w:val="22"/>
          <w:szCs w:val="22"/>
        </w:rPr>
        <w:endnoteReference w:id="323"/>
      </w:r>
      <w:r w:rsidRPr="00F45224">
        <w:rPr>
          <w:rFonts w:ascii="Proxima Nova" w:hAnsi="Proxima Nova" w:cstheme="minorHAnsi"/>
          <w:sz w:val="22"/>
          <w:szCs w:val="22"/>
        </w:rPr>
        <w:t xml:space="preserve"> This paper elaborates on key points made in this submission. We also draw the attention of the Royal Commission to the </w:t>
      </w:r>
      <w:r w:rsidR="001B72E9" w:rsidRPr="00F45224">
        <w:rPr>
          <w:rFonts w:ascii="Proxima Nova" w:hAnsi="Proxima Nova" w:cstheme="minorHAnsi"/>
          <w:sz w:val="22"/>
          <w:szCs w:val="22"/>
        </w:rPr>
        <w:t>‘</w:t>
      </w:r>
      <w:r w:rsidRPr="00F45224">
        <w:rPr>
          <w:rFonts w:ascii="Proxima Nova" w:hAnsi="Proxima Nova" w:cstheme="minorHAnsi"/>
          <w:sz w:val="22"/>
          <w:szCs w:val="22"/>
        </w:rPr>
        <w:t>Women with Disabilities Australia (WWDA) Position Statement: The Right to Freedom from All Forms of Violence</w:t>
      </w:r>
      <w:r w:rsidR="001B72E9" w:rsidRPr="00F45224">
        <w:rPr>
          <w:rFonts w:ascii="Proxima Nova" w:hAnsi="Proxima Nova" w:cstheme="minorHAnsi"/>
          <w:sz w:val="22"/>
          <w:szCs w:val="22"/>
        </w:rPr>
        <w:t>’</w:t>
      </w:r>
      <w:r w:rsidRPr="00F45224">
        <w:rPr>
          <w:rFonts w:ascii="Proxima Nova" w:hAnsi="Proxima Nova" w:cstheme="minorHAnsi"/>
          <w:sz w:val="22"/>
          <w:szCs w:val="22"/>
        </w:rPr>
        <w:t>.</w:t>
      </w:r>
      <w:r w:rsidRPr="00F45224">
        <w:rPr>
          <w:rStyle w:val="EndnoteReference"/>
          <w:rFonts w:ascii="Proxima Nova" w:hAnsi="Proxima Nova" w:cstheme="minorHAnsi"/>
          <w:sz w:val="22"/>
          <w:szCs w:val="22"/>
        </w:rPr>
        <w:endnoteReference w:id="324"/>
      </w:r>
      <w:r w:rsidRPr="00F45224">
        <w:rPr>
          <w:rFonts w:ascii="Proxima Nova" w:hAnsi="Proxima Nova" w:cstheme="minorHAnsi"/>
          <w:sz w:val="22"/>
          <w:szCs w:val="22"/>
        </w:rPr>
        <w:t xml:space="preserve"> This Statement outlines key evidence concerning ongoing violations of Australian women and girls with disabilities’ right to freedom from all forms of violence, and highlights specific human rights obligations to ensure that all women and girls with disability can realise their right to freedom from all forms of violence, abuse, exploitation and neglect. </w:t>
      </w:r>
    </w:p>
    <w:p w14:paraId="5F6CAC9E" w14:textId="77777777" w:rsidR="00C17576" w:rsidRPr="00F45224" w:rsidRDefault="00C17576" w:rsidP="00A025CC">
      <w:pPr>
        <w:spacing w:line="276" w:lineRule="auto"/>
        <w:ind w:left="720" w:hanging="720"/>
        <w:rPr>
          <w:rFonts w:ascii="Proxima Nova" w:hAnsi="Proxima Nova" w:cstheme="minorHAnsi"/>
          <w:sz w:val="22"/>
          <w:szCs w:val="22"/>
        </w:rPr>
      </w:pPr>
    </w:p>
    <w:p w14:paraId="67271A17" w14:textId="26646A08" w:rsidR="00C17576" w:rsidRPr="00F45224" w:rsidRDefault="00C17576" w:rsidP="00A025CC">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Consistent with CRPD General Comment 3 (Women and girls with disabilities) and CRPD General Comment 7 (The participation of persons with disabilities, including children with disabilities, through their representative organizations, in the implementation and monitoring of the Convention), it is critical that the Royal Commission provide safe and supportive spaces to enable women and girls with disability to engage with the Royal Commission without fear of retribution.</w:t>
      </w:r>
      <w:bookmarkStart w:id="57" w:name="OLE_LINK5"/>
      <w:bookmarkStart w:id="58" w:name="OLE_LINK6"/>
      <w:bookmarkEnd w:id="57"/>
      <w:bookmarkEnd w:id="58"/>
      <w:r w:rsidRPr="00F45224">
        <w:rPr>
          <w:rFonts w:ascii="Proxima Nova" w:hAnsi="Proxima Nova" w:cstheme="minorHAnsi"/>
          <w:sz w:val="22"/>
          <w:szCs w:val="22"/>
        </w:rPr>
        <w:t xml:space="preserve"> And, as a prior matter, it is critical that the Royal Commission </w:t>
      </w:r>
      <w:r w:rsidRPr="00F45224">
        <w:rPr>
          <w:rFonts w:ascii="Proxima Nova" w:hAnsi="Proxima Nova" w:cstheme="minorHAnsi"/>
          <w:sz w:val="22"/>
          <w:szCs w:val="22"/>
        </w:rPr>
        <w:lastRenderedPageBreak/>
        <w:t xml:space="preserve">provide opportunities for exploration specifically of violence against women and girls with disability, including the gendered dynamics of violence and the different contexts, forms and impacts of violence. To date this has not occurred through the </w:t>
      </w:r>
      <w:proofErr w:type="gramStart"/>
      <w:r w:rsidR="003509C3" w:rsidRPr="00F45224">
        <w:rPr>
          <w:rFonts w:ascii="Proxima Nova" w:hAnsi="Proxima Nova" w:cstheme="minorHAnsi"/>
          <w:sz w:val="22"/>
          <w:szCs w:val="22"/>
        </w:rPr>
        <w:t>i</w:t>
      </w:r>
      <w:r w:rsidRPr="00F45224">
        <w:rPr>
          <w:rFonts w:ascii="Proxima Nova" w:hAnsi="Proxima Nova" w:cstheme="minorHAnsi"/>
          <w:sz w:val="22"/>
          <w:szCs w:val="22"/>
        </w:rPr>
        <w:t>ssues</w:t>
      </w:r>
      <w:proofErr w:type="gramEnd"/>
      <w:r w:rsidRPr="00F45224">
        <w:rPr>
          <w:rFonts w:ascii="Proxima Nova" w:hAnsi="Proxima Nova" w:cstheme="minorHAnsi"/>
          <w:sz w:val="22"/>
          <w:szCs w:val="22"/>
        </w:rPr>
        <w:t xml:space="preserve"> </w:t>
      </w:r>
      <w:r w:rsidR="003509C3" w:rsidRPr="00F45224">
        <w:rPr>
          <w:rFonts w:ascii="Proxima Nova" w:hAnsi="Proxima Nova" w:cstheme="minorHAnsi"/>
          <w:sz w:val="22"/>
          <w:szCs w:val="22"/>
        </w:rPr>
        <w:t>p</w:t>
      </w:r>
      <w:r w:rsidRPr="00F45224">
        <w:rPr>
          <w:rFonts w:ascii="Proxima Nova" w:hAnsi="Proxima Nova" w:cstheme="minorHAnsi"/>
          <w:sz w:val="22"/>
          <w:szCs w:val="22"/>
        </w:rPr>
        <w:t xml:space="preserve">apers and </w:t>
      </w:r>
      <w:r w:rsidR="003509C3" w:rsidRPr="00F45224">
        <w:rPr>
          <w:rFonts w:ascii="Proxima Nova" w:hAnsi="Proxima Nova" w:cstheme="minorHAnsi"/>
          <w:sz w:val="22"/>
          <w:szCs w:val="22"/>
        </w:rPr>
        <w:t>public h</w:t>
      </w:r>
      <w:r w:rsidRPr="00F45224">
        <w:rPr>
          <w:rFonts w:ascii="Proxima Nova" w:hAnsi="Proxima Nova" w:cstheme="minorHAnsi"/>
          <w:sz w:val="22"/>
          <w:szCs w:val="22"/>
        </w:rPr>
        <w:t xml:space="preserve">earings. </w:t>
      </w:r>
    </w:p>
    <w:p w14:paraId="6220C563" w14:textId="54C05ACF" w:rsidR="00C17576" w:rsidRPr="00F45224" w:rsidRDefault="00C17576" w:rsidP="00A025CC">
      <w:pPr>
        <w:spacing w:line="276" w:lineRule="auto"/>
        <w:ind w:left="720" w:hanging="720"/>
        <w:rPr>
          <w:rFonts w:ascii="Proxima Nova" w:hAnsi="Proxima Nova" w:cstheme="minorHAnsi"/>
          <w:sz w:val="22"/>
          <w:szCs w:val="22"/>
        </w:rPr>
      </w:pPr>
    </w:p>
    <w:p w14:paraId="7990F8CF" w14:textId="2B4D1021" w:rsidR="00726C28" w:rsidRPr="00F45224" w:rsidRDefault="00726C28" w:rsidP="00F45224">
      <w:pPr>
        <w:spacing w:line="276" w:lineRule="auto"/>
        <w:rPr>
          <w:rFonts w:ascii="Proxima Nova" w:hAnsi="Proxima Nova" w:cstheme="minorHAnsi"/>
          <w:sz w:val="22"/>
          <w:szCs w:val="22"/>
        </w:rPr>
      </w:pPr>
      <w:r w:rsidRPr="00F45224">
        <w:rPr>
          <w:rFonts w:ascii="Proxima Nova" w:hAnsi="Proxima Nova"/>
          <w:b/>
          <w:color w:val="AC1F79"/>
          <w:sz w:val="22"/>
          <w:szCs w:val="22"/>
        </w:rPr>
        <w:t>Some Cautionary Notes on How the Royal Commission Engages with International Human Rights</w:t>
      </w:r>
    </w:p>
    <w:p w14:paraId="7268A93D" w14:textId="34B45BAD" w:rsidR="00357BBF" w:rsidRPr="00F45224" w:rsidRDefault="00357BBF" w:rsidP="00F45224">
      <w:pPr>
        <w:spacing w:line="276" w:lineRule="auto"/>
        <w:rPr>
          <w:rFonts w:ascii="Proxima Nova" w:hAnsi="Proxima Nova" w:cstheme="minorHAnsi"/>
          <w:sz w:val="22"/>
          <w:szCs w:val="22"/>
        </w:rPr>
      </w:pPr>
    </w:p>
    <w:p w14:paraId="2D3C160B" w14:textId="12074355" w:rsidR="00C17576" w:rsidRPr="00F45224" w:rsidRDefault="00C17576" w:rsidP="00E1572C">
      <w:pPr>
        <w:pStyle w:val="ListParagraph"/>
        <w:numPr>
          <w:ilvl w:val="1"/>
          <w:numId w:val="36"/>
        </w:numPr>
        <w:spacing w:line="276" w:lineRule="auto"/>
        <w:ind w:left="720" w:hanging="720"/>
        <w:rPr>
          <w:rFonts w:ascii="Proxima Nova" w:hAnsi="Proxima Nova" w:cstheme="minorHAnsi"/>
          <w:sz w:val="22"/>
          <w:szCs w:val="22"/>
        </w:rPr>
      </w:pPr>
      <w:bookmarkStart w:id="59" w:name="_Toc61349487"/>
      <w:r w:rsidRPr="00F45224">
        <w:rPr>
          <w:rFonts w:ascii="Proxima Nova" w:hAnsi="Proxima Nova" w:cstheme="minorHAnsi"/>
          <w:sz w:val="22"/>
          <w:szCs w:val="22"/>
        </w:rPr>
        <w:t xml:space="preserve">It is very encouraging that the Royal Commission is explicitly embedding international human rights in its Terms of Reference and has engaged with human rights through its </w:t>
      </w:r>
      <w:proofErr w:type="gramStart"/>
      <w:r w:rsidRPr="00F45224">
        <w:rPr>
          <w:rFonts w:ascii="Proxima Nova" w:hAnsi="Proxima Nova" w:cstheme="minorHAnsi"/>
          <w:sz w:val="22"/>
          <w:szCs w:val="22"/>
        </w:rPr>
        <w:t>issues</w:t>
      </w:r>
      <w:proofErr w:type="gramEnd"/>
      <w:r w:rsidRPr="00F45224">
        <w:rPr>
          <w:rFonts w:ascii="Proxima Nova" w:hAnsi="Proxima Nova" w:cstheme="minorHAnsi"/>
          <w:sz w:val="22"/>
          <w:szCs w:val="22"/>
        </w:rPr>
        <w:t xml:space="preserve"> papers and research program. Here we raise some cautionary notes based on our observations of the counter-productive effects arising from how earlier Government inquiries and law reform projects have engaged with the CRPD.</w:t>
      </w:r>
    </w:p>
    <w:p w14:paraId="752676F0" w14:textId="77777777" w:rsidR="00C17576" w:rsidRPr="00F45224" w:rsidRDefault="00C17576" w:rsidP="00E1572C">
      <w:pPr>
        <w:spacing w:line="276" w:lineRule="auto"/>
        <w:ind w:left="720" w:hanging="720"/>
        <w:rPr>
          <w:rFonts w:ascii="Proxima Nova" w:hAnsi="Proxima Nova" w:cstheme="minorHAnsi"/>
          <w:sz w:val="22"/>
          <w:szCs w:val="22"/>
        </w:rPr>
      </w:pPr>
    </w:p>
    <w:p w14:paraId="5FADD84F" w14:textId="71CC4820" w:rsidR="00C17576" w:rsidRPr="00F45224" w:rsidRDefault="00C17576" w:rsidP="00E1572C">
      <w:pPr>
        <w:pStyle w:val="ListParagraph"/>
        <w:numPr>
          <w:ilvl w:val="1"/>
          <w:numId w:val="36"/>
        </w:numPr>
        <w:spacing w:line="276" w:lineRule="auto"/>
        <w:ind w:left="720" w:hanging="720"/>
        <w:rPr>
          <w:rFonts w:ascii="Proxima Nova" w:hAnsi="Proxima Nova" w:cstheme="minorHAnsi"/>
          <w:sz w:val="22"/>
          <w:szCs w:val="22"/>
        </w:rPr>
      </w:pPr>
      <w:r w:rsidRPr="00F45224">
        <w:rPr>
          <w:rFonts w:ascii="Proxima Nova" w:hAnsi="Proxima Nova" w:cstheme="minorHAnsi"/>
          <w:sz w:val="22"/>
          <w:szCs w:val="22"/>
        </w:rPr>
        <w:t>The first point of caution is that the Royal Commission must ensure it takes a holistic approach to human rights of people with disability, including women and girls with disability. All human rights must be considered, including those in the CRPD and in mainstream human rights instruments, such as the International Covenant on Civil and Political Rights (ICCPR). An approach that considers all human rights can be contrasted to an approach that cherry-picks those human rights (</w:t>
      </w:r>
      <w:proofErr w:type="gramStart"/>
      <w:r w:rsidRPr="00F45224">
        <w:rPr>
          <w:rFonts w:ascii="Proxima Nova" w:hAnsi="Proxima Nova" w:cstheme="minorHAnsi"/>
          <w:sz w:val="22"/>
          <w:szCs w:val="22"/>
        </w:rPr>
        <w:t>e.g.</w:t>
      </w:r>
      <w:proofErr w:type="gramEnd"/>
      <w:r w:rsidRPr="00F45224">
        <w:rPr>
          <w:rFonts w:ascii="Proxima Nova" w:hAnsi="Proxima Nova" w:cstheme="minorHAnsi"/>
          <w:sz w:val="22"/>
          <w:szCs w:val="22"/>
        </w:rPr>
        <w:t xml:space="preserve"> rights to ‘dignity’, ‘health’) that can be interpreted in ways that do not disrupt a medicalised approach to people with disability and allow the structural status quo of confinement, segregation and institutionalisation to continue (albeit with ‘improvements’ in how care is provided to individuals within these existing and untransformed structural conditions). The Senate Sterilisation Inquiry</w:t>
      </w:r>
      <w:r w:rsidRPr="00F45224">
        <w:rPr>
          <w:rStyle w:val="EndnoteReference"/>
          <w:rFonts w:ascii="Proxima Nova" w:hAnsi="Proxima Nova" w:cstheme="minorHAnsi"/>
          <w:sz w:val="22"/>
          <w:szCs w:val="22"/>
        </w:rPr>
        <w:endnoteReference w:id="325"/>
      </w:r>
      <w:r w:rsidRPr="00F45224">
        <w:rPr>
          <w:rFonts w:ascii="Proxima Nova" w:hAnsi="Proxima Nova" w:cstheme="minorHAnsi"/>
          <w:sz w:val="22"/>
          <w:szCs w:val="22"/>
        </w:rPr>
        <w:t xml:space="preserve"> is a prime example of a selective/convenience approach to human rights. In that inquiry, the Committee selectively drew upon CRPD human rights such as the right to health (although not rights to non-discrimination, legal capacity and personal integrity) to recommend a ‘human rights’ test for judicial approval of non-consensual sterilisation, in a context where UN treaty body Committees have consistently recognised sterilisation as a grave human rights abuse and called on the Australian Government to prohibit the practice.</w:t>
      </w:r>
      <w:r w:rsidRPr="00F45224">
        <w:rPr>
          <w:rStyle w:val="EndnoteReference"/>
          <w:rFonts w:ascii="Proxima Nova" w:hAnsi="Proxima Nova" w:cstheme="minorHAnsi"/>
          <w:sz w:val="22"/>
          <w:szCs w:val="22"/>
        </w:rPr>
        <w:endnoteReference w:id="326"/>
      </w:r>
      <w:r w:rsidRPr="00F45224">
        <w:rPr>
          <w:rFonts w:ascii="Proxima Nova" w:hAnsi="Proxima Nova" w:cstheme="minorHAnsi"/>
          <w:sz w:val="22"/>
          <w:szCs w:val="22"/>
        </w:rPr>
        <w:t xml:space="preserve"> </w:t>
      </w:r>
    </w:p>
    <w:p w14:paraId="2B504A1C" w14:textId="77777777" w:rsidR="00C17576" w:rsidRPr="00F45224" w:rsidRDefault="00C17576" w:rsidP="00E1572C">
      <w:pPr>
        <w:spacing w:line="276" w:lineRule="auto"/>
        <w:ind w:left="720" w:hanging="720"/>
        <w:rPr>
          <w:rFonts w:ascii="Proxima Nova" w:hAnsi="Proxima Nova" w:cstheme="minorHAnsi"/>
          <w:sz w:val="22"/>
          <w:szCs w:val="22"/>
        </w:rPr>
      </w:pPr>
    </w:p>
    <w:p w14:paraId="4237CDDE" w14:textId="28151268" w:rsidR="00C17576" w:rsidRPr="00F45224" w:rsidRDefault="00C17576" w:rsidP="00E1572C">
      <w:pPr>
        <w:pStyle w:val="ListParagraph"/>
        <w:numPr>
          <w:ilvl w:val="1"/>
          <w:numId w:val="36"/>
        </w:numPr>
        <w:spacing w:line="276" w:lineRule="auto"/>
        <w:ind w:left="720" w:hanging="720"/>
        <w:rPr>
          <w:rFonts w:ascii="Proxima Nova" w:hAnsi="Proxima Nova" w:cstheme="minorHAnsi"/>
          <w:sz w:val="22"/>
          <w:szCs w:val="22"/>
        </w:rPr>
      </w:pPr>
      <w:r w:rsidRPr="00F45224">
        <w:rPr>
          <w:rFonts w:ascii="Proxima Nova" w:hAnsi="Proxima Nova" w:cstheme="minorHAnsi"/>
          <w:sz w:val="22"/>
          <w:szCs w:val="22"/>
        </w:rPr>
        <w:t>While we are hopeful the Royal Commission will not take such a selective/convenience approach, we do note that in the Health Care</w:t>
      </w:r>
      <w:r w:rsidR="003509C3" w:rsidRPr="00F45224">
        <w:rPr>
          <w:rFonts w:ascii="Proxima Nova" w:hAnsi="Proxima Nova" w:cstheme="minorHAnsi"/>
          <w:sz w:val="22"/>
          <w:szCs w:val="22"/>
        </w:rPr>
        <w:t xml:space="preserve"> and Services</w:t>
      </w:r>
      <w:r w:rsidRPr="00F45224">
        <w:rPr>
          <w:rFonts w:ascii="Proxima Nova" w:hAnsi="Proxima Nova" w:cstheme="minorHAnsi"/>
          <w:sz w:val="22"/>
          <w:szCs w:val="22"/>
        </w:rPr>
        <w:t xml:space="preserve"> for People with Cognitive Disability Issues Paper, the Royal Commission focuses on Article 25 and the right to health as an enabler, as well as focusing on the ability of people to access physical healthcare.</w:t>
      </w:r>
      <w:r w:rsidR="00DC343E" w:rsidRPr="00F45224">
        <w:rPr>
          <w:rStyle w:val="EndnoteReference"/>
          <w:rFonts w:ascii="Proxima Nova" w:hAnsi="Proxima Nova" w:cstheme="minorHAnsi"/>
          <w:sz w:val="22"/>
          <w:szCs w:val="22"/>
        </w:rPr>
        <w:endnoteReference w:id="327"/>
      </w:r>
      <w:r w:rsidRPr="00F45224">
        <w:rPr>
          <w:rFonts w:ascii="Proxima Nova" w:hAnsi="Proxima Nova" w:cstheme="minorHAnsi"/>
          <w:sz w:val="22"/>
          <w:szCs w:val="22"/>
        </w:rPr>
        <w:t xml:space="preserve"> While not </w:t>
      </w:r>
      <w:r w:rsidR="005C559E" w:rsidRPr="00F45224">
        <w:rPr>
          <w:rFonts w:ascii="Proxima Nova" w:hAnsi="Proxima Nova" w:cstheme="minorHAnsi"/>
          <w:sz w:val="22"/>
          <w:szCs w:val="22"/>
        </w:rPr>
        <w:t xml:space="preserve">disputing </w:t>
      </w:r>
      <w:r w:rsidRPr="00F45224">
        <w:rPr>
          <w:rFonts w:ascii="Proxima Nova" w:hAnsi="Proxima Nova" w:cstheme="minorHAnsi"/>
          <w:sz w:val="22"/>
          <w:szCs w:val="22"/>
        </w:rPr>
        <w:t xml:space="preserve">this right is central to equality and freedom from violence (notably in light of premature deaths of people with intellectual disability due to denial of </w:t>
      </w:r>
      <w:r w:rsidR="00744E47" w:rsidRPr="00F45224">
        <w:rPr>
          <w:rFonts w:ascii="Proxima Nova" w:hAnsi="Proxima Nova" w:cstheme="minorHAnsi"/>
          <w:sz w:val="22"/>
          <w:szCs w:val="22"/>
        </w:rPr>
        <w:t xml:space="preserve">any or appropriate </w:t>
      </w:r>
      <w:r w:rsidRPr="00F45224">
        <w:rPr>
          <w:rFonts w:ascii="Proxima Nova" w:hAnsi="Proxima Nova" w:cstheme="minorHAnsi"/>
          <w:sz w:val="22"/>
          <w:szCs w:val="22"/>
        </w:rPr>
        <w:t>healthcare</w:t>
      </w:r>
      <w:r w:rsidR="005C559E" w:rsidRPr="00F45224">
        <w:rPr>
          <w:rFonts w:ascii="Proxima Nova" w:hAnsi="Proxima Nova" w:cstheme="minorHAnsi"/>
          <w:sz w:val="22"/>
          <w:szCs w:val="22"/>
        </w:rPr>
        <w:t>)</w:t>
      </w:r>
      <w:r w:rsidR="00DC343E" w:rsidRPr="00F45224">
        <w:rPr>
          <w:rStyle w:val="EndnoteReference"/>
          <w:rFonts w:ascii="Proxima Nova" w:hAnsi="Proxima Nova" w:cstheme="minorHAnsi"/>
          <w:sz w:val="22"/>
          <w:szCs w:val="22"/>
        </w:rPr>
        <w:endnoteReference w:id="328"/>
      </w:r>
      <w:r w:rsidRPr="00F45224">
        <w:rPr>
          <w:rFonts w:ascii="Proxima Nova" w:hAnsi="Proxima Nova" w:cstheme="minorHAnsi"/>
          <w:sz w:val="22"/>
          <w:szCs w:val="22"/>
        </w:rPr>
        <w:t>, th</w:t>
      </w:r>
      <w:r w:rsidR="003509C3" w:rsidRPr="00F45224">
        <w:rPr>
          <w:rFonts w:ascii="Proxima Nova" w:hAnsi="Proxima Nova" w:cstheme="minorHAnsi"/>
          <w:sz w:val="22"/>
          <w:szCs w:val="22"/>
        </w:rPr>
        <w:t>e health care</w:t>
      </w:r>
      <w:r w:rsidRPr="00F45224">
        <w:rPr>
          <w:rFonts w:ascii="Proxima Nova" w:hAnsi="Proxima Nova" w:cstheme="minorHAnsi"/>
          <w:sz w:val="22"/>
          <w:szCs w:val="22"/>
        </w:rPr>
        <w:t xml:space="preserve"> </w:t>
      </w:r>
      <w:r w:rsidR="003509C3" w:rsidRPr="00F45224">
        <w:rPr>
          <w:rFonts w:ascii="Proxima Nova" w:hAnsi="Proxima Nova" w:cstheme="minorHAnsi"/>
          <w:sz w:val="22"/>
          <w:szCs w:val="22"/>
        </w:rPr>
        <w:t>i</w:t>
      </w:r>
      <w:r w:rsidRPr="00F45224">
        <w:rPr>
          <w:rFonts w:ascii="Proxima Nova" w:hAnsi="Proxima Nova" w:cstheme="minorHAnsi"/>
          <w:sz w:val="22"/>
          <w:szCs w:val="22"/>
        </w:rPr>
        <w:t xml:space="preserve">ssues </w:t>
      </w:r>
      <w:r w:rsidR="003509C3" w:rsidRPr="00F45224">
        <w:rPr>
          <w:rFonts w:ascii="Proxima Nova" w:hAnsi="Proxima Nova" w:cstheme="minorHAnsi"/>
          <w:sz w:val="22"/>
          <w:szCs w:val="22"/>
        </w:rPr>
        <w:t>p</w:t>
      </w:r>
      <w:r w:rsidRPr="00F45224">
        <w:rPr>
          <w:rFonts w:ascii="Proxima Nova" w:hAnsi="Proxima Nova" w:cstheme="minorHAnsi"/>
          <w:sz w:val="22"/>
          <w:szCs w:val="22"/>
        </w:rPr>
        <w:t>aper does not consider how ‘health’ (and even the ‘right’ to health) is used to justify violence. Article 25 (like all articles in the CRPD) needs to be read in conjunction with other CRPD articles and articles of other human rights documents</w:t>
      </w:r>
      <w:r w:rsidR="005C559E" w:rsidRPr="00F45224">
        <w:rPr>
          <w:rFonts w:ascii="Proxima Nova" w:hAnsi="Proxima Nova" w:cstheme="minorHAnsi"/>
          <w:sz w:val="22"/>
          <w:szCs w:val="22"/>
        </w:rPr>
        <w:t xml:space="preserve">, </w:t>
      </w:r>
      <w:r w:rsidRPr="00F45224">
        <w:rPr>
          <w:rFonts w:ascii="Proxima Nova" w:hAnsi="Proxima Nova" w:cstheme="minorHAnsi"/>
          <w:sz w:val="22"/>
          <w:szCs w:val="22"/>
        </w:rPr>
        <w:t xml:space="preserve">such as the ICCPR and Convention Against Torture (CAT), so that the realisation of the right to health does not undermine equality, autonomy/self-determination and freedom from violence. This omission is particularly concerning given that </w:t>
      </w:r>
      <w:r w:rsidR="00DC343E" w:rsidRPr="00F45224">
        <w:rPr>
          <w:rFonts w:ascii="Proxima Nova" w:hAnsi="Proxima Nova" w:cstheme="minorHAnsi"/>
          <w:sz w:val="22"/>
          <w:szCs w:val="22"/>
        </w:rPr>
        <w:t xml:space="preserve">the health care </w:t>
      </w:r>
      <w:r w:rsidRPr="00F45224">
        <w:rPr>
          <w:rFonts w:ascii="Proxima Nova" w:hAnsi="Proxima Nova" w:cstheme="minorHAnsi"/>
          <w:sz w:val="22"/>
          <w:szCs w:val="22"/>
        </w:rPr>
        <w:t>issues paper did not consider gendered violence against women and girls with disability in health care settings, such as surgical procedures or prescribing in relation to non-consensual and coercive sterilisation, menstrual suppression, contraception and abortion. This is also reflected in the observations of the Parliamentary Joint Committee on Human Rights regarding the Government’s approach to the human rights compatibility of the RACF Quality of Care Amendment (Minimising the Use of Restraints) Principles 2019; focusing on the right to health at the cost of rights related to violence.</w:t>
      </w:r>
      <w:r w:rsidRPr="00F45224">
        <w:rPr>
          <w:rStyle w:val="EndnoteReference"/>
          <w:rFonts w:ascii="Proxima Nova" w:hAnsi="Proxima Nova" w:cstheme="minorHAnsi"/>
          <w:sz w:val="22"/>
          <w:szCs w:val="22"/>
        </w:rPr>
        <w:endnoteReference w:id="329"/>
      </w:r>
    </w:p>
    <w:p w14:paraId="1CCDD2AD" w14:textId="77777777" w:rsidR="00C17576" w:rsidRPr="00F45224" w:rsidRDefault="00C17576" w:rsidP="00E1572C">
      <w:pPr>
        <w:spacing w:line="276" w:lineRule="auto"/>
        <w:ind w:left="720" w:hanging="720"/>
        <w:rPr>
          <w:rFonts w:ascii="Proxima Nova" w:hAnsi="Proxima Nova" w:cstheme="minorHAnsi"/>
          <w:sz w:val="22"/>
          <w:szCs w:val="22"/>
        </w:rPr>
      </w:pPr>
    </w:p>
    <w:p w14:paraId="1F17EAED" w14:textId="00659363" w:rsidR="00C17576" w:rsidRPr="00F45224" w:rsidRDefault="00C17576" w:rsidP="00E1572C">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 xml:space="preserve">Another way in which the selective/convenience approach to international human rights might manifest is if the Royal Commission commits to taking a human rights-based approach, but then does not begin from the premise of what international human rights treaties </w:t>
      </w:r>
      <w:proofErr w:type="gramStart"/>
      <w:r w:rsidRPr="00F45224">
        <w:rPr>
          <w:rFonts w:ascii="Proxima Nova" w:hAnsi="Proxima Nova" w:cstheme="minorHAnsi"/>
          <w:sz w:val="22"/>
          <w:szCs w:val="22"/>
        </w:rPr>
        <w:t>actually state</w:t>
      </w:r>
      <w:proofErr w:type="gramEnd"/>
      <w:r w:rsidRPr="00F45224">
        <w:rPr>
          <w:rFonts w:ascii="Proxima Nova" w:hAnsi="Proxima Nova" w:cstheme="minorHAnsi"/>
          <w:sz w:val="22"/>
          <w:szCs w:val="22"/>
        </w:rPr>
        <w:t xml:space="preserve"> in relation to a particular aspect of violence against people with disability, instead retreating to debate whether that intervention is contrary to human rights at a domestic level and whether it is even violence. WWDA has observed this as occurring implicitly in relation </w:t>
      </w:r>
      <w:r w:rsidRPr="00F45224">
        <w:rPr>
          <w:rFonts w:ascii="Proxima Nova" w:hAnsi="Proxima Nova" w:cstheme="minorHAnsi"/>
          <w:sz w:val="22"/>
          <w:szCs w:val="22"/>
        </w:rPr>
        <w:lastRenderedPageBreak/>
        <w:t>to group homes, segregated education and psychotropic medication. It would be extremely concerning if the</w:t>
      </w:r>
      <w:r w:rsidR="00ED048A" w:rsidRPr="00F45224">
        <w:rPr>
          <w:rFonts w:ascii="Proxima Nova" w:hAnsi="Proxima Nova" w:cstheme="minorHAnsi"/>
          <w:sz w:val="22"/>
          <w:szCs w:val="22"/>
        </w:rPr>
        <w:t xml:space="preserve"> Royal Commission was to canvas</w:t>
      </w:r>
      <w:r w:rsidRPr="00F45224">
        <w:rPr>
          <w:rFonts w:ascii="Proxima Nova" w:hAnsi="Proxima Nova" w:cstheme="minorHAnsi"/>
          <w:sz w:val="22"/>
          <w:szCs w:val="22"/>
        </w:rPr>
        <w:t xml:space="preserve">, in future hearings, forums and papers, views about the value, benefits and human rights compliance of restrictive practices. Article 5 of the CRPD prohibits segregation </w:t>
      </w:r>
      <w:proofErr w:type="gramStart"/>
      <w:r w:rsidRPr="00F45224">
        <w:rPr>
          <w:rFonts w:ascii="Proxima Nova" w:hAnsi="Proxima Nova" w:cstheme="minorHAnsi"/>
          <w:sz w:val="22"/>
          <w:szCs w:val="22"/>
        </w:rPr>
        <w:t>on the basis of</w:t>
      </w:r>
      <w:proofErr w:type="gramEnd"/>
      <w:r w:rsidRPr="00F45224">
        <w:rPr>
          <w:rFonts w:ascii="Proxima Nova" w:hAnsi="Proxima Nova" w:cstheme="minorHAnsi"/>
          <w:sz w:val="22"/>
          <w:szCs w:val="22"/>
        </w:rPr>
        <w:t xml:space="preserve"> impairment, reflecting the established principle in international law that segregation is inherently unequal and discriminatory.</w:t>
      </w:r>
      <w:r w:rsidRPr="00F45224">
        <w:rPr>
          <w:rStyle w:val="EndnoteReference"/>
          <w:rFonts w:ascii="Proxima Nova" w:hAnsi="Proxima Nova" w:cstheme="minorHAnsi"/>
          <w:sz w:val="22"/>
          <w:szCs w:val="22"/>
        </w:rPr>
        <w:endnoteReference w:id="330"/>
      </w:r>
      <w:r w:rsidRPr="00F45224">
        <w:rPr>
          <w:rFonts w:ascii="Proxima Nova" w:hAnsi="Proxima Nova" w:cstheme="minorHAnsi"/>
          <w:sz w:val="22"/>
          <w:szCs w:val="22"/>
        </w:rPr>
        <w:t xml:space="preserve"> The rights to exercise legal capacity, preserve personal integrity and be free of arbitrary detention </w:t>
      </w:r>
      <w:r w:rsidRPr="00F45224">
        <w:rPr>
          <w:rFonts w:ascii="Proxima Nova" w:hAnsi="Proxima Nova" w:cstheme="minorHAnsi"/>
          <w:color w:val="000000" w:themeColor="text1"/>
          <w:sz w:val="22"/>
          <w:szCs w:val="22"/>
          <w:lang w:bidi="en-US"/>
        </w:rPr>
        <w:t>have</w:t>
      </w:r>
      <w:r w:rsidRPr="00F45224">
        <w:rPr>
          <w:rFonts w:ascii="Proxima Nova" w:hAnsi="Proxima Nova" w:cstheme="minorHAnsi"/>
          <w:sz w:val="22"/>
          <w:szCs w:val="22"/>
        </w:rPr>
        <w:t xml:space="preserve"> already been negotiated and agreed and outlined in legally binding international human rights law through the CRPD. In this context, the value/benefits/human rights compliance of restrictive practices should not be up for debate in the Royal Commission.</w:t>
      </w:r>
    </w:p>
    <w:p w14:paraId="739C42C9" w14:textId="77777777" w:rsidR="00C17576" w:rsidRPr="00F45224" w:rsidRDefault="00C17576" w:rsidP="00E1572C">
      <w:pPr>
        <w:spacing w:line="276" w:lineRule="auto"/>
        <w:ind w:left="720" w:hanging="720"/>
        <w:rPr>
          <w:rFonts w:ascii="Proxima Nova" w:hAnsi="Proxima Nova" w:cstheme="minorHAnsi"/>
          <w:sz w:val="22"/>
          <w:szCs w:val="22"/>
        </w:rPr>
      </w:pPr>
    </w:p>
    <w:p w14:paraId="6CA193CC" w14:textId="0EA05FFE" w:rsidR="00C96F68" w:rsidRPr="00F45224" w:rsidRDefault="00C17576" w:rsidP="00E1572C">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The second point of caution is that a human rights approach to people with disability should not sustain multiple standards of human rights that differentiate between disabled populations. The possibility for multiple standards is evident in the relatively narrow approach to what constitutes an institution for the purpose of advocacy and scholarship on deinstitutionalisation and Article 19 of the CRPD. For example, RACFs are generally only seen as institutions in relation to younger people with disability (and not for people living with dementia and older people with disability)</w:t>
      </w:r>
      <w:r w:rsidRPr="00F45224">
        <w:rPr>
          <w:rStyle w:val="EndnoteReference"/>
          <w:rFonts w:ascii="Proxima Nova" w:hAnsi="Proxima Nova" w:cstheme="minorHAnsi"/>
          <w:sz w:val="22"/>
          <w:szCs w:val="22"/>
        </w:rPr>
        <w:endnoteReference w:id="331"/>
      </w:r>
      <w:r w:rsidRPr="00F45224">
        <w:rPr>
          <w:rFonts w:ascii="Proxima Nova" w:hAnsi="Proxima Nova" w:cstheme="minorHAnsi"/>
          <w:sz w:val="22"/>
          <w:szCs w:val="22"/>
        </w:rPr>
        <w:t xml:space="preserve"> and prisons, juvenile justice facilities and immigration detention centres (all sites of confinement where many people with disability reside) are typically excluded from the concept of the disability ‘institution.’ Instead, they are framed in terms of Articles 13, 14, and 15 which are focused on rights within institutions and legal processes leading up to admission to institutions, rather than deinstitutionalisation.</w:t>
      </w:r>
      <w:r w:rsidRPr="00F45224">
        <w:rPr>
          <w:rStyle w:val="EndnoteReference"/>
          <w:rFonts w:ascii="Proxima Nova" w:hAnsi="Proxima Nova" w:cstheme="minorHAnsi"/>
          <w:sz w:val="22"/>
          <w:szCs w:val="22"/>
        </w:rPr>
        <w:endnoteReference w:id="332"/>
      </w:r>
      <w:r w:rsidR="00ED048A" w:rsidRPr="00F45224">
        <w:rPr>
          <w:rFonts w:ascii="Proxima Nova" w:hAnsi="Proxima Nova" w:cstheme="minorHAnsi"/>
          <w:sz w:val="22"/>
          <w:szCs w:val="22"/>
        </w:rPr>
        <w:t xml:space="preserve"> These inequalities are</w:t>
      </w:r>
      <w:r w:rsidRPr="00F45224">
        <w:rPr>
          <w:rFonts w:ascii="Proxima Nova" w:hAnsi="Proxima Nova" w:cstheme="minorHAnsi"/>
          <w:sz w:val="22"/>
          <w:szCs w:val="22"/>
        </w:rPr>
        <w:t xml:space="preserve"> particularly concerning given the populations in these two examples are more likely to be older, racialised, Indigenous and/or poor people with disability.</w:t>
      </w:r>
    </w:p>
    <w:p w14:paraId="0F37AF99" w14:textId="77777777" w:rsidR="00C96F68" w:rsidRPr="00F45224" w:rsidRDefault="00C96F68" w:rsidP="00E1572C">
      <w:pPr>
        <w:spacing w:line="276" w:lineRule="auto"/>
        <w:ind w:left="720" w:hanging="720"/>
        <w:rPr>
          <w:rFonts w:ascii="Proxima Nova" w:hAnsi="Proxima Nova" w:cstheme="minorHAnsi"/>
          <w:sz w:val="22"/>
          <w:szCs w:val="22"/>
        </w:rPr>
      </w:pPr>
    </w:p>
    <w:p w14:paraId="1BA19293" w14:textId="31607CC8" w:rsidR="0037797F" w:rsidRPr="00F45224" w:rsidRDefault="00C17576" w:rsidP="00E1572C">
      <w:pPr>
        <w:pStyle w:val="ListParagraph"/>
        <w:numPr>
          <w:ilvl w:val="1"/>
          <w:numId w:val="36"/>
        </w:numPr>
        <w:spacing w:line="276" w:lineRule="auto"/>
        <w:ind w:left="720" w:hanging="720"/>
        <w:rPr>
          <w:rFonts w:ascii="Proxima Nova" w:hAnsi="Proxima Nova" w:cstheme="minorHAnsi"/>
          <w:sz w:val="22"/>
          <w:szCs w:val="22"/>
        </w:rPr>
      </w:pPr>
      <w:r w:rsidRPr="00F45224">
        <w:rPr>
          <w:rFonts w:ascii="Proxima Nova" w:hAnsi="Proxima Nova" w:cstheme="minorHAnsi"/>
          <w:sz w:val="22"/>
          <w:szCs w:val="22"/>
        </w:rPr>
        <w:t>The third caution is that the Royal Commission should not engage with human rights in an overly legalistic way and only when they are legally enforceable in Australia (</w:t>
      </w:r>
      <w:proofErr w:type="gramStart"/>
      <w:r w:rsidRPr="00F45224">
        <w:rPr>
          <w:rFonts w:ascii="Proxima Nova" w:hAnsi="Proxima Nova" w:cstheme="minorHAnsi"/>
          <w:sz w:val="22"/>
          <w:szCs w:val="22"/>
        </w:rPr>
        <w:t>i.e.</w:t>
      </w:r>
      <w:proofErr w:type="gramEnd"/>
      <w:r w:rsidRPr="00F45224">
        <w:rPr>
          <w:rFonts w:ascii="Proxima Nova" w:hAnsi="Proxima Nova" w:cstheme="minorHAnsi"/>
          <w:sz w:val="22"/>
          <w:szCs w:val="22"/>
        </w:rPr>
        <w:t xml:space="preserve"> a more legal/doctrinal approach to human rights). The technical legal approach to human rights, when used in a law reform context, can unnecessarily end up being directed towards interpreting out of the necessity or law reform. Indeed, this has been the problem in various State and Territory reviews of guardianship and mental health legislation, as well as the Senate Sterilisation Inquiry, where Australia’s interpretative declaration to Article 12 of the CRPD has been viewed as a limitation to realising Article 12 in recommendations for reform.</w:t>
      </w:r>
      <w:r w:rsidRPr="00F45224">
        <w:rPr>
          <w:rStyle w:val="EndnoteReference"/>
          <w:rFonts w:ascii="Proxima Nova" w:hAnsi="Proxima Nova" w:cstheme="minorHAnsi"/>
          <w:sz w:val="22"/>
          <w:szCs w:val="22"/>
        </w:rPr>
        <w:endnoteReference w:id="333"/>
      </w:r>
      <w:r w:rsidRPr="00F45224">
        <w:rPr>
          <w:rFonts w:ascii="Proxima Nova" w:hAnsi="Proxima Nova" w:cstheme="minorHAnsi"/>
          <w:sz w:val="22"/>
          <w:szCs w:val="22"/>
        </w:rPr>
        <w:t xml:space="preserve"> </w:t>
      </w:r>
      <w:r w:rsidR="0018458E" w:rsidRPr="00F45224">
        <w:rPr>
          <w:rFonts w:ascii="Proxima Nova" w:hAnsi="Proxima Nova" w:cstheme="minorHAnsi"/>
          <w:sz w:val="22"/>
          <w:szCs w:val="22"/>
        </w:rPr>
        <w:t>These Interpretative Declarations, which include allowing for substitute decision-making and compulsory treatment, have been found to be hindering Australia’s ability to comply with the CRPD and are being used as a justification for violence (including through restrictive practices) and to deny people with disability their human rights. This is consistent with recommendations made to successive Australian Governments by the UN treaty monitoring bodies and by civil society organisations, including DPOs.</w:t>
      </w:r>
      <w:r w:rsidR="0018458E" w:rsidRPr="00F45224">
        <w:rPr>
          <w:rFonts w:ascii="Proxima Nova" w:eastAsia="Calibri" w:hAnsi="Proxima Nova" w:cstheme="minorHAnsi"/>
          <w:sz w:val="22"/>
          <w:szCs w:val="22"/>
        </w:rPr>
        <w:t xml:space="preserve"> </w:t>
      </w:r>
      <w:r w:rsidRPr="00F45224">
        <w:rPr>
          <w:rFonts w:ascii="Proxima Nova" w:hAnsi="Proxima Nova" w:cstheme="minorHAnsi"/>
          <w:sz w:val="22"/>
          <w:szCs w:val="22"/>
        </w:rPr>
        <w:t>This approach inevitably results in the conclusion that Australia technically either has not breached any obligations, or is not bound by the CRPD, which in turn perversely vind</w:t>
      </w:r>
      <w:r w:rsidR="00ED048A" w:rsidRPr="00F45224">
        <w:rPr>
          <w:rFonts w:ascii="Proxima Nova" w:hAnsi="Proxima Nova" w:cstheme="minorHAnsi"/>
          <w:sz w:val="22"/>
          <w:szCs w:val="22"/>
        </w:rPr>
        <w:t>icates retaining the violent status quo</w:t>
      </w:r>
      <w:r w:rsidRPr="00F45224">
        <w:rPr>
          <w:rFonts w:ascii="Proxima Nova" w:hAnsi="Proxima Nova" w:cstheme="minorHAnsi"/>
          <w:sz w:val="22"/>
          <w:szCs w:val="22"/>
        </w:rPr>
        <w:t xml:space="preserve">. It would be a perverse situation if the Royal Commission’s recommendations on how to transform law and practice were limited by what is the current law (including the current domestic law of human rights). </w:t>
      </w:r>
      <w:r w:rsidR="00ED048A" w:rsidRPr="00F45224">
        <w:rPr>
          <w:rFonts w:ascii="Proxima Nova" w:hAnsi="Proxima Nova" w:cstheme="minorHAnsi"/>
          <w:sz w:val="22"/>
          <w:szCs w:val="22"/>
        </w:rPr>
        <w:t>If such an approach were taken consistently across all aspects of Australian law, p</w:t>
      </w:r>
      <w:r w:rsidRPr="00F45224">
        <w:rPr>
          <w:rFonts w:ascii="Proxima Nova" w:hAnsi="Proxima Nova" w:cstheme="minorHAnsi"/>
          <w:sz w:val="22"/>
          <w:szCs w:val="22"/>
        </w:rPr>
        <w:t>resumably no change to any laws would ever be possible because such changes would then be contrary to the existing laws.</w:t>
      </w:r>
      <w:r w:rsidR="0037797F" w:rsidRPr="00F45224">
        <w:rPr>
          <w:rFonts w:ascii="Proxima Nova" w:hAnsi="Proxima Nova" w:cstheme="minorHAnsi"/>
          <w:sz w:val="22"/>
          <w:szCs w:val="22"/>
        </w:rPr>
        <w:t xml:space="preserve"> </w:t>
      </w:r>
      <w:r w:rsidR="000D233F" w:rsidRPr="00F45224">
        <w:rPr>
          <w:rFonts w:ascii="Proxima Nova" w:hAnsi="Proxima Nova" w:cstheme="minorHAnsi"/>
          <w:sz w:val="22"/>
          <w:szCs w:val="22"/>
        </w:rPr>
        <w:t>On a related note, we are concerned by Commissioner Sackville’s observations of human rights (particularly the CRPD) as “</w:t>
      </w:r>
      <w:r w:rsidR="000D233F" w:rsidRPr="00F45224">
        <w:rPr>
          <w:rFonts w:ascii="Proxima Nova" w:hAnsi="Proxima Nova" w:cstheme="minorHAnsi"/>
          <w:i/>
          <w:iCs/>
          <w:sz w:val="22"/>
          <w:szCs w:val="22"/>
        </w:rPr>
        <w:t>informing</w:t>
      </w:r>
      <w:r w:rsidR="000D233F" w:rsidRPr="00F45224">
        <w:rPr>
          <w:rFonts w:ascii="Proxima Nova" w:hAnsi="Proxima Nova" w:cstheme="minorHAnsi"/>
          <w:sz w:val="22"/>
          <w:szCs w:val="22"/>
        </w:rPr>
        <w:t xml:space="preserve"> the Royal Commission”.</w:t>
      </w:r>
      <w:r w:rsidR="000D233F" w:rsidRPr="00F45224">
        <w:rPr>
          <w:rStyle w:val="EndnoteReference"/>
          <w:rFonts w:ascii="Proxima Nova" w:hAnsi="Proxima Nova" w:cstheme="minorHAnsi"/>
          <w:sz w:val="22"/>
          <w:szCs w:val="22"/>
        </w:rPr>
        <w:endnoteReference w:id="334"/>
      </w:r>
      <w:r w:rsidR="000D233F" w:rsidRPr="00F45224">
        <w:rPr>
          <w:rFonts w:ascii="Proxima Nova" w:hAnsi="Proxima Nova" w:cstheme="minorHAnsi"/>
          <w:sz w:val="22"/>
          <w:szCs w:val="22"/>
        </w:rPr>
        <w:t xml:space="preserve"> The reference to ‘informing</w:t>
      </w:r>
      <w:r w:rsidR="000262D1" w:rsidRPr="00F45224">
        <w:rPr>
          <w:rFonts w:ascii="Proxima Nova" w:hAnsi="Proxima Nova" w:cstheme="minorHAnsi"/>
          <w:sz w:val="22"/>
          <w:szCs w:val="22"/>
        </w:rPr>
        <w:t>’ grossly understates the expectation that they will guide the Royal Commission’s work, in a broader context of the Australian government having obligations under the CRPD.</w:t>
      </w:r>
    </w:p>
    <w:p w14:paraId="3E8F6D7A" w14:textId="77777777" w:rsidR="0037797F" w:rsidRPr="00F45224" w:rsidRDefault="0037797F" w:rsidP="00E1572C">
      <w:pPr>
        <w:spacing w:line="276" w:lineRule="auto"/>
        <w:ind w:left="720" w:hanging="720"/>
        <w:rPr>
          <w:rFonts w:ascii="Proxima Nova" w:hAnsi="Proxima Nova" w:cstheme="minorHAnsi"/>
          <w:sz w:val="22"/>
          <w:szCs w:val="22"/>
        </w:rPr>
      </w:pPr>
    </w:p>
    <w:p w14:paraId="67D5D41F" w14:textId="61919F35" w:rsidR="00C96F68" w:rsidRPr="00F45224" w:rsidRDefault="0037797F" w:rsidP="00E1572C">
      <w:pPr>
        <w:pStyle w:val="ListParagraph"/>
        <w:numPr>
          <w:ilvl w:val="1"/>
          <w:numId w:val="36"/>
        </w:numPr>
        <w:spacing w:line="276" w:lineRule="auto"/>
        <w:ind w:left="720" w:hanging="720"/>
        <w:rPr>
          <w:rFonts w:ascii="Proxima Nova" w:hAnsi="Proxima Nova" w:cstheme="minorHAnsi"/>
          <w:sz w:val="22"/>
          <w:szCs w:val="22"/>
        </w:rPr>
      </w:pPr>
      <w:r w:rsidRPr="00F45224">
        <w:rPr>
          <w:rFonts w:ascii="Proxima Nova" w:hAnsi="Proxima Nova" w:cstheme="minorHAnsi"/>
          <w:sz w:val="22"/>
          <w:szCs w:val="22"/>
        </w:rPr>
        <w:t xml:space="preserve">Legal technicalities aside, there is nothing preventing the Royal Commission from engaging with the CRPD as providing a moral and ethical framework to guide normative transformation of law and justice, medical, disability and welfare systems. Transformation is </w:t>
      </w:r>
      <w:proofErr w:type="gramStart"/>
      <w:r w:rsidRPr="00F45224">
        <w:rPr>
          <w:rFonts w:ascii="Proxima Nova" w:hAnsi="Proxima Nova" w:cstheme="minorHAnsi"/>
          <w:sz w:val="22"/>
          <w:szCs w:val="22"/>
        </w:rPr>
        <w:t>by definition unbound</w:t>
      </w:r>
      <w:proofErr w:type="gramEnd"/>
      <w:r w:rsidRPr="00F45224">
        <w:rPr>
          <w:rFonts w:ascii="Proxima Nova" w:hAnsi="Proxima Nova" w:cstheme="minorHAnsi"/>
          <w:sz w:val="22"/>
          <w:szCs w:val="22"/>
        </w:rPr>
        <w:t xml:space="preserve"> by current domestic law and practice on human rights. </w:t>
      </w:r>
      <w:r w:rsidR="00C17576" w:rsidRPr="00F45224">
        <w:rPr>
          <w:rFonts w:ascii="Proxima Nova" w:hAnsi="Proxima Nova" w:cstheme="minorHAnsi"/>
          <w:sz w:val="22"/>
          <w:szCs w:val="22"/>
        </w:rPr>
        <w:t xml:space="preserve">While the legal technicality approach to human rights might be appropriate in a court context where it is important to identify currently enforceable legal rights and obligations under Australian law, the most </w:t>
      </w:r>
      <w:r w:rsidR="00C17576" w:rsidRPr="00F45224">
        <w:rPr>
          <w:rFonts w:ascii="Proxima Nova" w:hAnsi="Proxima Nova" w:cstheme="minorHAnsi"/>
          <w:sz w:val="22"/>
          <w:szCs w:val="22"/>
        </w:rPr>
        <w:lastRenderedPageBreak/>
        <w:t xml:space="preserve">such an approach (as part of a broader engagement with human rights as providing a moral and ethical framework to guide normative transformation of law, and of justice, medical, disability and welfare systems) can do in an inquiry context is to highlight the extent of current obligations and compliance. It seems counter-productive that the current domestic legal enforceability of international human rights in the Royal Commission context, which is focused on making recommendations for change of existing legal frameworks, is determinative of the future legal status of a particular intervention. Instead, such analysis should be informing recommendations for the Australian Government to reform its laws </w:t>
      </w:r>
      <w:proofErr w:type="gramStart"/>
      <w:r w:rsidR="00C17576" w:rsidRPr="00F45224">
        <w:rPr>
          <w:rFonts w:ascii="Proxima Nova" w:hAnsi="Proxima Nova" w:cstheme="minorHAnsi"/>
          <w:sz w:val="22"/>
          <w:szCs w:val="22"/>
        </w:rPr>
        <w:t>so as to</w:t>
      </w:r>
      <w:proofErr w:type="gramEnd"/>
      <w:r w:rsidR="00C17576" w:rsidRPr="00F45224">
        <w:rPr>
          <w:rFonts w:ascii="Proxima Nova" w:hAnsi="Proxima Nova" w:cstheme="minorHAnsi"/>
          <w:sz w:val="22"/>
          <w:szCs w:val="22"/>
        </w:rPr>
        <w:t xml:space="preserve"> fully implement the CRPD in Australian law. To rely exclusively on a legal technicality approach to human rights is to deplete human rights of the rich ethical and moral ideals that underpin them. </w:t>
      </w:r>
    </w:p>
    <w:p w14:paraId="6EB1E0C2" w14:textId="77777777" w:rsidR="004424E2" w:rsidRPr="00F45224" w:rsidRDefault="004424E2" w:rsidP="00E1572C">
      <w:pPr>
        <w:spacing w:line="276" w:lineRule="auto"/>
        <w:ind w:left="720" w:hanging="720"/>
        <w:rPr>
          <w:rFonts w:ascii="Proxima Nova" w:hAnsi="Proxima Nova" w:cstheme="minorHAnsi"/>
          <w:sz w:val="22"/>
          <w:szCs w:val="22"/>
        </w:rPr>
      </w:pPr>
    </w:p>
    <w:p w14:paraId="14DF18EA" w14:textId="1048F65D" w:rsidR="004424E2" w:rsidRPr="00F45224" w:rsidRDefault="004424E2" w:rsidP="00E1572C">
      <w:pPr>
        <w:pStyle w:val="ListParagraph"/>
        <w:numPr>
          <w:ilvl w:val="1"/>
          <w:numId w:val="36"/>
        </w:numPr>
        <w:spacing w:line="276" w:lineRule="auto"/>
        <w:ind w:left="720" w:hanging="720"/>
        <w:rPr>
          <w:rFonts w:ascii="Proxima Nova" w:hAnsi="Proxima Nova" w:cstheme="minorHAnsi"/>
          <w:sz w:val="22"/>
          <w:szCs w:val="22"/>
        </w:rPr>
      </w:pPr>
      <w:r w:rsidRPr="00F45224">
        <w:rPr>
          <w:rFonts w:ascii="Proxima Nova" w:hAnsi="Proxima Nova" w:cstheme="minorHAnsi"/>
          <w:sz w:val="22"/>
          <w:szCs w:val="22"/>
        </w:rPr>
        <w:t>The fourth caution relates to the use of human rights discourse by service providers. As discussed in Section 5, restrictive practices might occur in the course of routine service delivery and be rationalised as achieving inclusion, participation, choice and safety for people with disability</w:t>
      </w:r>
      <w:r w:rsidR="00E2259F" w:rsidRPr="00F45224">
        <w:rPr>
          <w:rFonts w:ascii="Proxima Nova" w:hAnsi="Proxima Nova" w:cstheme="minorHAnsi"/>
          <w:sz w:val="22"/>
          <w:szCs w:val="22"/>
        </w:rPr>
        <w:t xml:space="preserve"> (particularly when provided in the context of </w:t>
      </w:r>
      <w:r w:rsidR="002B0D76" w:rsidRPr="00F45224">
        <w:rPr>
          <w:rFonts w:ascii="Proxima Nova" w:hAnsi="Proxima Nova" w:cstheme="minorHAnsi"/>
          <w:sz w:val="22"/>
          <w:szCs w:val="22"/>
        </w:rPr>
        <w:t>the NDIS with its legislative human rights framing</w:t>
      </w:r>
      <w:r w:rsidR="00E2259F" w:rsidRPr="00F45224">
        <w:rPr>
          <w:rFonts w:ascii="Proxima Nova" w:hAnsi="Proxima Nova" w:cstheme="minorHAnsi"/>
          <w:sz w:val="22"/>
          <w:szCs w:val="22"/>
        </w:rPr>
        <w:t>)</w:t>
      </w:r>
      <w:r w:rsidRPr="00F45224">
        <w:rPr>
          <w:rFonts w:ascii="Proxima Nova" w:hAnsi="Proxima Nova" w:cstheme="minorHAnsi"/>
          <w:sz w:val="22"/>
          <w:szCs w:val="22"/>
        </w:rPr>
        <w:t>. The Royal Commission must not take at face value the commitment to human rights by service providers using restrictive practices</w:t>
      </w:r>
      <w:r w:rsidR="002B0D76" w:rsidRPr="00F45224">
        <w:rPr>
          <w:rFonts w:ascii="Proxima Nova" w:hAnsi="Proxima Nova" w:cstheme="minorHAnsi"/>
          <w:sz w:val="22"/>
          <w:szCs w:val="22"/>
        </w:rPr>
        <w:t xml:space="preserve">. Instead, we encourage the Royal Commission to </w:t>
      </w:r>
      <w:r w:rsidRPr="00F45224">
        <w:rPr>
          <w:rFonts w:ascii="Proxima Nova" w:hAnsi="Proxima Nova" w:cstheme="minorHAnsi"/>
          <w:sz w:val="22"/>
          <w:szCs w:val="22"/>
        </w:rPr>
        <w:t xml:space="preserve">explore how human rights discourse (notably concepts of inclusion, participation, choice and safety) </w:t>
      </w:r>
      <w:r w:rsidR="002B0D76" w:rsidRPr="00F45224">
        <w:rPr>
          <w:rFonts w:ascii="Proxima Nova" w:hAnsi="Proxima Nova" w:cstheme="minorHAnsi"/>
          <w:sz w:val="22"/>
          <w:szCs w:val="22"/>
        </w:rPr>
        <w:t>can be rationalised as co-existing with the use of restrictive practices by disability service provides, how human rights discourse might be co-opted for</w:t>
      </w:r>
      <w:r w:rsidRPr="00F45224">
        <w:rPr>
          <w:rFonts w:ascii="Proxima Nova" w:hAnsi="Proxima Nova" w:cstheme="minorHAnsi"/>
          <w:sz w:val="22"/>
          <w:szCs w:val="22"/>
        </w:rPr>
        <w:t xml:space="preserve"> efficiency</w:t>
      </w:r>
      <w:r w:rsidR="002B0D76" w:rsidRPr="00F45224">
        <w:rPr>
          <w:rFonts w:ascii="Proxima Nova" w:hAnsi="Proxima Nova" w:cstheme="minorHAnsi"/>
          <w:sz w:val="22"/>
          <w:szCs w:val="22"/>
        </w:rPr>
        <w:t>,</w:t>
      </w:r>
      <w:r w:rsidRPr="00F45224">
        <w:rPr>
          <w:rFonts w:ascii="Proxima Nova" w:hAnsi="Proxima Nova" w:cstheme="minorHAnsi"/>
          <w:sz w:val="22"/>
          <w:szCs w:val="22"/>
        </w:rPr>
        <w:t xml:space="preserve"> convenience </w:t>
      </w:r>
      <w:r w:rsidR="002B0D76" w:rsidRPr="00F45224">
        <w:rPr>
          <w:rFonts w:ascii="Proxima Nova" w:hAnsi="Proxima Nova" w:cstheme="minorHAnsi"/>
          <w:sz w:val="22"/>
          <w:szCs w:val="22"/>
        </w:rPr>
        <w:t xml:space="preserve">and economic gain </w:t>
      </w:r>
      <w:r w:rsidRPr="00F45224">
        <w:rPr>
          <w:rFonts w:ascii="Proxima Nova" w:hAnsi="Proxima Nova" w:cstheme="minorHAnsi"/>
          <w:sz w:val="22"/>
          <w:szCs w:val="22"/>
        </w:rPr>
        <w:t xml:space="preserve">for the benefit of service providers, and how the NDIS legislative framework with its neoliberal focus on choice and control facilitates this co-opting. This </w:t>
      </w:r>
      <w:r w:rsidR="00480CB7" w:rsidRPr="00F45224">
        <w:rPr>
          <w:rFonts w:ascii="Proxima Nova" w:hAnsi="Proxima Nova" w:cstheme="minorHAnsi"/>
          <w:sz w:val="22"/>
          <w:szCs w:val="22"/>
        </w:rPr>
        <w:t>exploration is</w:t>
      </w:r>
      <w:r w:rsidRPr="00F45224">
        <w:rPr>
          <w:rFonts w:ascii="Proxima Nova" w:hAnsi="Proxima Nova" w:cstheme="minorHAnsi"/>
          <w:sz w:val="22"/>
          <w:szCs w:val="22"/>
        </w:rPr>
        <w:t xml:space="preserve"> particularly necessary in relation to women and girls with disability, where norms of ability and gender diminish their agency and the economic and social value of their gendered reproductive, menstrual, familial, intimate, and sexual experiences </w:t>
      </w:r>
      <w:proofErr w:type="gramStart"/>
      <w:r w:rsidRPr="00F45224">
        <w:rPr>
          <w:rFonts w:ascii="Proxima Nova" w:hAnsi="Proxima Nova" w:cstheme="minorHAnsi"/>
          <w:sz w:val="22"/>
          <w:szCs w:val="22"/>
        </w:rPr>
        <w:t>so as to</w:t>
      </w:r>
      <w:proofErr w:type="gramEnd"/>
      <w:r w:rsidRPr="00F45224">
        <w:rPr>
          <w:rFonts w:ascii="Proxima Nova" w:hAnsi="Proxima Nova" w:cstheme="minorHAnsi"/>
          <w:sz w:val="22"/>
          <w:szCs w:val="22"/>
        </w:rPr>
        <w:t xml:space="preserve"> justify use of restrictive practices such as non-consensual sterilisation, menstrual suppression, contraception and abortion under the guise of inclusion, participation, choice and safety.</w:t>
      </w:r>
    </w:p>
    <w:p w14:paraId="380316D9" w14:textId="77777777" w:rsidR="00C96F68" w:rsidRPr="00F45224" w:rsidRDefault="00C96F68" w:rsidP="00E1572C">
      <w:pPr>
        <w:spacing w:line="276" w:lineRule="auto"/>
        <w:ind w:left="720" w:hanging="720"/>
        <w:rPr>
          <w:rFonts w:ascii="Proxima Nova" w:hAnsi="Proxima Nova" w:cstheme="minorHAnsi"/>
          <w:sz w:val="22"/>
          <w:szCs w:val="22"/>
        </w:rPr>
      </w:pPr>
    </w:p>
    <w:p w14:paraId="38F39BEA" w14:textId="7B39FAE7" w:rsidR="00C17576" w:rsidRPr="00F45224" w:rsidRDefault="00C17576" w:rsidP="00E1572C">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 xml:space="preserve">The final caution is that there might be some contexts in which the CRPD alone does not provide all the tools to grapple with the complexity of violence perpetrated against people with disability. </w:t>
      </w:r>
      <w:proofErr w:type="gramStart"/>
      <w:r w:rsidRPr="00F45224">
        <w:rPr>
          <w:rFonts w:ascii="Proxima Nova" w:hAnsi="Proxima Nova" w:cstheme="minorHAnsi"/>
          <w:sz w:val="22"/>
          <w:szCs w:val="22"/>
        </w:rPr>
        <w:t>In particular, as</w:t>
      </w:r>
      <w:proofErr w:type="gramEnd"/>
      <w:r w:rsidRPr="00F45224">
        <w:rPr>
          <w:rFonts w:ascii="Proxima Nova" w:hAnsi="Proxima Nova" w:cstheme="minorHAnsi"/>
          <w:sz w:val="22"/>
          <w:szCs w:val="22"/>
        </w:rPr>
        <w:t xml:space="preserve"> Steele has explored at length elsewhere,</w:t>
      </w:r>
      <w:r w:rsidRPr="00F45224">
        <w:rPr>
          <w:rStyle w:val="EndnoteReference"/>
          <w:rFonts w:ascii="Proxima Nova" w:hAnsi="Proxima Nova" w:cstheme="minorHAnsi"/>
          <w:sz w:val="22"/>
          <w:szCs w:val="22"/>
        </w:rPr>
        <w:endnoteReference w:id="335"/>
      </w:r>
      <w:r w:rsidRPr="00F45224">
        <w:rPr>
          <w:rFonts w:ascii="Proxima Nova" w:hAnsi="Proxima Nova" w:cstheme="minorHAnsi"/>
          <w:sz w:val="22"/>
          <w:szCs w:val="22"/>
        </w:rPr>
        <w:t xml:space="preserve"> the CRPD might not provide </w:t>
      </w:r>
      <w:r w:rsidR="00DD73B8" w:rsidRPr="00F45224">
        <w:rPr>
          <w:rFonts w:ascii="Proxima Nova" w:hAnsi="Proxima Nova" w:cstheme="minorHAnsi"/>
          <w:sz w:val="22"/>
          <w:szCs w:val="22"/>
        </w:rPr>
        <w:t xml:space="preserve">a complete set of </w:t>
      </w:r>
      <w:r w:rsidRPr="00F45224">
        <w:rPr>
          <w:rFonts w:ascii="Proxima Nova" w:hAnsi="Proxima Nova" w:cstheme="minorHAnsi"/>
          <w:sz w:val="22"/>
          <w:szCs w:val="22"/>
        </w:rPr>
        <w:t xml:space="preserve">tools to fully understand and respond to settler colonial violence, structural violence, slow violence, the endurance of eugenics logic about disability, or violence against people with disability in the criminal justice context. </w:t>
      </w:r>
      <w:r w:rsidR="00DD73B8" w:rsidRPr="00F45224">
        <w:rPr>
          <w:rFonts w:ascii="Proxima Nova" w:hAnsi="Proxima Nova" w:cstheme="minorHAnsi"/>
          <w:sz w:val="22"/>
          <w:szCs w:val="22"/>
        </w:rPr>
        <w:t>The CRPD might consider drawing on other frameworks of justice, such as Indigenous justice frameworks, transformative justice and Disability Justice.</w:t>
      </w:r>
    </w:p>
    <w:p w14:paraId="506B07D4" w14:textId="77777777" w:rsidR="000F09FD" w:rsidRPr="00F45224" w:rsidRDefault="000F09FD" w:rsidP="000F09FD">
      <w:pPr>
        <w:autoSpaceDE w:val="0"/>
        <w:autoSpaceDN w:val="0"/>
        <w:adjustRightInd w:val="0"/>
        <w:spacing w:line="276" w:lineRule="auto"/>
        <w:rPr>
          <w:rFonts w:ascii="Proxima Nova" w:hAnsi="Proxima Nova" w:cstheme="minorHAnsi"/>
          <w:sz w:val="22"/>
          <w:szCs w:val="22"/>
          <w:lang w:val="en"/>
        </w:rPr>
      </w:pPr>
    </w:p>
    <w:p w14:paraId="351831CC" w14:textId="5CD7826E" w:rsidR="000F09FD" w:rsidRPr="00CD1BE6" w:rsidRDefault="000F09FD" w:rsidP="000F09FD">
      <w:pPr>
        <w:spacing w:line="276" w:lineRule="auto"/>
        <w:rPr>
          <w:rFonts w:ascii="Proxima Nova" w:hAnsi="Proxima Nova" w:cstheme="minorHAnsi"/>
        </w:rPr>
      </w:pPr>
      <w:r w:rsidRPr="00CD1BE6">
        <w:rPr>
          <w:rFonts w:ascii="Proxima Nova" w:hAnsi="Proxima Nova"/>
          <w:b/>
          <w:color w:val="AC1F79"/>
        </w:rPr>
        <w:t>Use and Legality of Restrictive Practices as Human Rights Violations</w:t>
      </w:r>
    </w:p>
    <w:p w14:paraId="7C3B3A85" w14:textId="77777777" w:rsidR="000F09FD" w:rsidRPr="00F45224" w:rsidRDefault="000F09FD" w:rsidP="000F09FD">
      <w:pPr>
        <w:spacing w:line="276" w:lineRule="auto"/>
        <w:ind w:left="720" w:hanging="720"/>
        <w:rPr>
          <w:rFonts w:ascii="Proxima Nova" w:hAnsi="Proxima Nova" w:cstheme="minorHAnsi"/>
          <w:sz w:val="22"/>
          <w:szCs w:val="22"/>
        </w:rPr>
      </w:pPr>
    </w:p>
    <w:bookmarkEnd w:id="59"/>
    <w:p w14:paraId="66483CD6" w14:textId="557E7342" w:rsidR="00C17576" w:rsidRPr="00F45224" w:rsidRDefault="00C17576" w:rsidP="00C47B09">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Restrictive practices violate international human rights principles and standards of equality and non-discrimination as well as preventing realisation of multiple rights, including rights of people with disability to</w:t>
      </w:r>
      <w:r w:rsidRPr="00F45224">
        <w:rPr>
          <w:rFonts w:ascii="Proxima Nova" w:hAnsi="Proxima Nova" w:cstheme="minorHAnsi"/>
          <w:color w:val="000000" w:themeColor="text1"/>
          <w:sz w:val="22"/>
          <w:szCs w:val="22"/>
          <w:lang w:bidi="en-US"/>
        </w:rPr>
        <w:t xml:space="preserve"> equality and non-discrimination, freedom from violence and torture, legal capacity, personal integrity, liberty, and independent living and community inclusion. </w:t>
      </w:r>
      <w:r w:rsidRPr="00F45224">
        <w:rPr>
          <w:rFonts w:ascii="Proxima Nova" w:hAnsi="Proxima Nova" w:cstheme="minorHAnsi"/>
          <w:sz w:val="22"/>
          <w:szCs w:val="22"/>
        </w:rPr>
        <w:t>It is concerning to WWDA that the</w:t>
      </w:r>
      <w:r w:rsidR="003509C3" w:rsidRPr="00F45224">
        <w:rPr>
          <w:rFonts w:ascii="Proxima Nova" w:hAnsi="Proxima Nova" w:cstheme="minorHAnsi"/>
          <w:sz w:val="22"/>
          <w:szCs w:val="22"/>
        </w:rPr>
        <w:t xml:space="preserve"> </w:t>
      </w:r>
      <w:r w:rsidR="003509C3" w:rsidRPr="00F45224">
        <w:rPr>
          <w:rFonts w:ascii="Proxima Nova" w:hAnsi="Proxima Nova" w:cs="Calibri"/>
          <w:sz w:val="22"/>
          <w:szCs w:val="22"/>
        </w:rPr>
        <w:t>Restrictive Practices</w:t>
      </w:r>
      <w:r w:rsidRPr="00F45224">
        <w:rPr>
          <w:rFonts w:ascii="Proxima Nova" w:hAnsi="Proxima Nova" w:cstheme="minorHAnsi"/>
          <w:sz w:val="22"/>
          <w:szCs w:val="22"/>
        </w:rPr>
        <w:t xml:space="preserve"> Issues Paper does not highlight the fact that restrictive practices are in clear breach of the CRPD. Rather, quite equivocally, it is stated they ‘may’ constitute a human rights breach:</w:t>
      </w:r>
    </w:p>
    <w:p w14:paraId="7C52C750" w14:textId="77777777" w:rsidR="00C17576" w:rsidRPr="00F45224" w:rsidRDefault="00C17576" w:rsidP="00C47B09">
      <w:pPr>
        <w:spacing w:line="276" w:lineRule="auto"/>
        <w:ind w:left="720" w:hanging="720"/>
        <w:rPr>
          <w:rFonts w:ascii="Proxima Nova" w:hAnsi="Proxima Nova" w:cstheme="minorHAnsi"/>
          <w:sz w:val="22"/>
          <w:szCs w:val="22"/>
        </w:rPr>
      </w:pPr>
    </w:p>
    <w:p w14:paraId="0EB545A5" w14:textId="77777777" w:rsidR="00C17576" w:rsidRPr="00F45224" w:rsidRDefault="00C17576" w:rsidP="000F09FD">
      <w:pPr>
        <w:spacing w:line="276" w:lineRule="auto"/>
        <w:ind w:left="1134"/>
        <w:rPr>
          <w:rFonts w:ascii="Proxima Nova" w:hAnsi="Proxima Nova" w:cstheme="minorHAnsi"/>
          <w:sz w:val="22"/>
          <w:szCs w:val="22"/>
        </w:rPr>
      </w:pPr>
      <w:r w:rsidRPr="00F45224">
        <w:rPr>
          <w:rFonts w:ascii="Proxima Nova" w:hAnsi="Proxima Nova" w:cstheme="minorHAnsi"/>
          <w:i/>
          <w:iCs/>
          <w:sz w:val="22"/>
          <w:szCs w:val="22"/>
        </w:rPr>
        <w:t>People with disability have a right to be free from violence and abuse, and torture or cruel, inhumane or degrading treatment. People with disability also have rights to physical and mental integrity, liberty and autonomy. The use of restrictive practices may conflict with these human rights.</w:t>
      </w:r>
      <w:r w:rsidRPr="00F45224">
        <w:rPr>
          <w:rStyle w:val="EndnoteReference"/>
          <w:rFonts w:ascii="Proxima Nova" w:hAnsi="Proxima Nova" w:cstheme="minorHAnsi"/>
          <w:sz w:val="22"/>
          <w:szCs w:val="22"/>
        </w:rPr>
        <w:endnoteReference w:id="336"/>
      </w:r>
    </w:p>
    <w:p w14:paraId="5B3D8EE6" w14:textId="77777777" w:rsidR="00C17576" w:rsidRPr="00F45224" w:rsidRDefault="00C17576" w:rsidP="000F09FD">
      <w:pPr>
        <w:spacing w:line="276" w:lineRule="auto"/>
        <w:rPr>
          <w:rFonts w:ascii="Proxima Nova" w:hAnsi="Proxima Nova" w:cstheme="minorHAnsi"/>
          <w:sz w:val="22"/>
          <w:szCs w:val="22"/>
        </w:rPr>
      </w:pPr>
    </w:p>
    <w:p w14:paraId="63A00417" w14:textId="77777777" w:rsidR="00C17576" w:rsidRPr="00F45224" w:rsidRDefault="00C17576" w:rsidP="00C47B09">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 xml:space="preserve">The UN CRPD Committee has overwhelmingly found restrictive practices (including non-consensual and coerced sterilisation and abortion) and substituted decision-making and compulsory treatment laws to be inconsistent with the CRPD and contrary to human rights </w:t>
      </w:r>
      <w:r w:rsidRPr="00F45224">
        <w:rPr>
          <w:rFonts w:ascii="Proxima Nova" w:hAnsi="Proxima Nova" w:cstheme="minorHAnsi"/>
          <w:sz w:val="22"/>
          <w:szCs w:val="22"/>
        </w:rPr>
        <w:lastRenderedPageBreak/>
        <w:t>provisions therein. As a result, the UN CRPD Committee has consistently urged States Parties to review such practices and related legislation and bring them in line with the CRPD. For example, Maker and McSherry summarise that:</w:t>
      </w:r>
    </w:p>
    <w:p w14:paraId="0CC9CDD6" w14:textId="77777777" w:rsidR="00C17576" w:rsidRPr="00F45224" w:rsidRDefault="00C17576" w:rsidP="000F09FD">
      <w:pPr>
        <w:spacing w:line="276" w:lineRule="auto"/>
        <w:rPr>
          <w:rFonts w:ascii="Proxima Nova" w:hAnsi="Proxima Nova" w:cstheme="minorHAnsi"/>
          <w:sz w:val="22"/>
          <w:szCs w:val="22"/>
        </w:rPr>
      </w:pPr>
    </w:p>
    <w:p w14:paraId="34EA384D" w14:textId="2D6EB4BB" w:rsidR="00C17576" w:rsidRPr="00F45224" w:rsidRDefault="00C17576" w:rsidP="00C47B09">
      <w:pPr>
        <w:pStyle w:val="ListParagraph"/>
        <w:spacing w:line="276" w:lineRule="auto"/>
        <w:ind w:left="1134"/>
        <w:contextualSpacing w:val="0"/>
        <w:rPr>
          <w:rFonts w:ascii="Proxima Nova" w:hAnsi="Proxima Nova"/>
          <w:sz w:val="22"/>
          <w:szCs w:val="22"/>
        </w:rPr>
      </w:pPr>
      <w:r w:rsidRPr="00F45224">
        <w:rPr>
          <w:rFonts w:ascii="Proxima Nova" w:hAnsi="Proxima Nova"/>
          <w:i/>
          <w:iCs/>
          <w:sz w:val="22"/>
          <w:szCs w:val="22"/>
        </w:rPr>
        <w:t>The UN Committee on the Rights of Persons with Disabilities, which monitors implementation of the CRPD, has repeatedly expressed its concerns about the use of restraint. It has recommended action to reduce or abolish restraint in its ‘concluding observations’ on reports submitted to it from many States Parties to the Convention including Slovenia, Luxembourg, the United Kingdom, Ethiopia, Thailand, Croatia, Germany, Denmark, the Republic of Korea, Mexico, Kenya and Australia.</w:t>
      </w:r>
      <w:r w:rsidRPr="00F45224">
        <w:rPr>
          <w:rStyle w:val="EndnoteReference"/>
          <w:rFonts w:ascii="Proxima Nova" w:hAnsi="Proxima Nova"/>
          <w:sz w:val="22"/>
          <w:szCs w:val="22"/>
        </w:rPr>
        <w:endnoteReference w:id="337"/>
      </w:r>
      <w:r w:rsidRPr="00F45224" w:rsidDel="00BF2564">
        <w:rPr>
          <w:rStyle w:val="EndnoteReference"/>
          <w:rFonts w:ascii="Proxima Nova" w:hAnsi="Proxima Nova"/>
          <w:sz w:val="22"/>
          <w:szCs w:val="22"/>
        </w:rPr>
        <w:t xml:space="preserve"> </w:t>
      </w:r>
    </w:p>
    <w:p w14:paraId="167F1C3F" w14:textId="77777777" w:rsidR="00C47B09" w:rsidRPr="00F45224" w:rsidRDefault="00C47B09" w:rsidP="00C47B09">
      <w:pPr>
        <w:pStyle w:val="ListParagraph"/>
        <w:spacing w:line="276" w:lineRule="auto"/>
        <w:ind w:hanging="720"/>
        <w:contextualSpacing w:val="0"/>
        <w:rPr>
          <w:rFonts w:ascii="Proxima Nova" w:eastAsia="Calibri" w:hAnsi="Proxima Nova" w:cstheme="minorHAnsi"/>
          <w:sz w:val="22"/>
          <w:szCs w:val="22"/>
        </w:rPr>
      </w:pPr>
    </w:p>
    <w:p w14:paraId="187EA63C" w14:textId="77777777" w:rsidR="00C17576" w:rsidRPr="00F45224" w:rsidRDefault="00C17576" w:rsidP="00C47B09">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eastAsia="Calibri" w:hAnsi="Proxima Nova" w:cstheme="minorHAnsi"/>
          <w:sz w:val="22"/>
          <w:szCs w:val="22"/>
        </w:rPr>
        <w:t>The issue of non-consensual and coerced sterilisation as a human rights violation has also been clearly articulated by the Committee on Elimination of Discrimination Against Women</w:t>
      </w:r>
      <w:r w:rsidRPr="00F45224">
        <w:rPr>
          <w:rStyle w:val="EndnoteReference"/>
          <w:rFonts w:ascii="Proxima Nova" w:eastAsia="Calibri" w:hAnsi="Proxima Nova" w:cstheme="minorHAnsi"/>
          <w:sz w:val="22"/>
          <w:szCs w:val="22"/>
        </w:rPr>
        <w:endnoteReference w:id="338"/>
      </w:r>
      <w:r w:rsidRPr="00F45224">
        <w:rPr>
          <w:rFonts w:ascii="Proxima Nova" w:eastAsia="Calibri" w:hAnsi="Proxima Nova" w:cstheme="minorHAnsi"/>
          <w:sz w:val="22"/>
          <w:szCs w:val="22"/>
        </w:rPr>
        <w:t xml:space="preserve"> (UN CEDAW Committee).</w:t>
      </w:r>
    </w:p>
    <w:p w14:paraId="4DBC117B" w14:textId="77777777" w:rsidR="00C17576" w:rsidRPr="00F45224" w:rsidRDefault="00C17576" w:rsidP="00C47B09">
      <w:pPr>
        <w:spacing w:line="276" w:lineRule="auto"/>
        <w:ind w:left="720" w:hanging="720"/>
        <w:rPr>
          <w:rFonts w:ascii="Proxima Nova" w:eastAsiaTheme="minorHAnsi" w:hAnsi="Proxima Nova" w:cstheme="minorHAnsi"/>
          <w:sz w:val="22"/>
          <w:szCs w:val="22"/>
        </w:rPr>
      </w:pPr>
    </w:p>
    <w:p w14:paraId="42F772AD" w14:textId="77777777" w:rsidR="00C17576" w:rsidRPr="00F45224" w:rsidRDefault="00C17576" w:rsidP="00C47B09">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eastAsia="Calibri" w:hAnsi="Proxima Nova" w:cstheme="minorHAnsi"/>
          <w:sz w:val="22"/>
          <w:szCs w:val="22"/>
        </w:rPr>
        <w:t>We now turn to discuss how restrictive practices and related substituted decision-making and compulsory treatment laws violate specific rights in the CRPD.</w:t>
      </w:r>
    </w:p>
    <w:p w14:paraId="37F27E95" w14:textId="2FA6F5AA" w:rsidR="000F09FD" w:rsidRPr="00F45224" w:rsidRDefault="000F09FD" w:rsidP="00C47B09">
      <w:pPr>
        <w:spacing w:line="276" w:lineRule="auto"/>
        <w:ind w:left="720" w:hanging="720"/>
        <w:rPr>
          <w:rFonts w:ascii="Proxima Nova" w:hAnsi="Proxima Nova"/>
          <w:sz w:val="22"/>
          <w:szCs w:val="22"/>
        </w:rPr>
      </w:pPr>
    </w:p>
    <w:p w14:paraId="64253A0C" w14:textId="53A9AB41" w:rsidR="00C47B09" w:rsidRPr="00CD1BE6" w:rsidRDefault="00C47B09" w:rsidP="00C47B09">
      <w:pPr>
        <w:spacing w:line="276" w:lineRule="auto"/>
        <w:rPr>
          <w:rFonts w:ascii="Proxima Nova" w:hAnsi="Proxima Nova" w:cstheme="minorHAnsi"/>
        </w:rPr>
      </w:pPr>
      <w:r w:rsidRPr="00CD1BE6">
        <w:rPr>
          <w:rFonts w:ascii="Proxima Nova" w:hAnsi="Proxima Nova"/>
          <w:b/>
          <w:color w:val="AC1F79"/>
        </w:rPr>
        <w:t>Equality, Non-Discrimination and Participation</w:t>
      </w:r>
    </w:p>
    <w:p w14:paraId="332B47EF" w14:textId="68D77852" w:rsidR="00C47B09" w:rsidRPr="00F45224" w:rsidRDefault="00C47B09" w:rsidP="00F45224">
      <w:pPr>
        <w:spacing w:line="276" w:lineRule="auto"/>
        <w:ind w:left="720" w:hanging="720"/>
        <w:rPr>
          <w:rFonts w:ascii="Proxima Nova" w:hAnsi="Proxima Nova"/>
          <w:sz w:val="22"/>
          <w:szCs w:val="22"/>
        </w:rPr>
      </w:pPr>
    </w:p>
    <w:p w14:paraId="64843313"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Laws that regulate restrictive practices, including substituted decision-making and compulsory treatment laws, violate the right to equality and non-discrimination against people with disability. Governments are required to abolish discriminatory laws that regulate restrictive practices and address the ableism and stigma that sustain the use of restrictive practices.</w:t>
      </w:r>
    </w:p>
    <w:p w14:paraId="3EA83B9D" w14:textId="77777777" w:rsidR="00C17576" w:rsidRPr="00F45224" w:rsidRDefault="00C17576" w:rsidP="00F45224">
      <w:pPr>
        <w:spacing w:line="276" w:lineRule="auto"/>
        <w:ind w:left="720" w:hanging="720"/>
        <w:rPr>
          <w:rFonts w:ascii="Proxima Nova" w:hAnsi="Proxima Nova" w:cstheme="minorHAnsi"/>
          <w:sz w:val="22"/>
          <w:szCs w:val="22"/>
        </w:rPr>
      </w:pPr>
    </w:p>
    <w:p w14:paraId="5703DC76"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 xml:space="preserve">Equality and non-discrimination are among the most fundamental principles and rights of international human rights law. Because they are interconnected with human dignity, they are the cornerstones of all human rights. States Parties have an obligation to respect, protect and fulfil the right of all persons with disabilities to non-discrimination and equality. This means that States Parties must refrain from any action that discriminates against persons with disability. </w:t>
      </w:r>
    </w:p>
    <w:p w14:paraId="4A2D8052" w14:textId="77777777" w:rsidR="00C17576" w:rsidRPr="00F45224" w:rsidRDefault="00C17576" w:rsidP="00F45224">
      <w:pPr>
        <w:spacing w:line="276" w:lineRule="auto"/>
        <w:ind w:left="720" w:hanging="720"/>
        <w:rPr>
          <w:rFonts w:ascii="Proxima Nova" w:hAnsi="Proxima Nova" w:cstheme="minorHAnsi"/>
          <w:sz w:val="22"/>
          <w:szCs w:val="22"/>
        </w:rPr>
      </w:pPr>
    </w:p>
    <w:p w14:paraId="4EA0A161"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color w:val="000000" w:themeColor="text1"/>
          <w:spacing w:val="-4"/>
          <w:sz w:val="22"/>
          <w:szCs w:val="22"/>
          <w:shd w:val="clear" w:color="auto" w:fill="FFFFFF"/>
        </w:rPr>
        <w:t>The CRPD codifies a ‘human rights model’ of disability.</w:t>
      </w:r>
      <w:r w:rsidRPr="00F45224">
        <w:rPr>
          <w:rStyle w:val="EndnoteReference"/>
          <w:rFonts w:ascii="Proxima Nova" w:hAnsi="Proxima Nova" w:cstheme="minorHAnsi"/>
          <w:color w:val="000000" w:themeColor="text1"/>
          <w:spacing w:val="-4"/>
          <w:sz w:val="22"/>
          <w:szCs w:val="22"/>
          <w:shd w:val="clear" w:color="auto" w:fill="FFFFFF"/>
        </w:rPr>
        <w:endnoteReference w:id="339"/>
      </w:r>
      <w:r w:rsidRPr="00F45224">
        <w:rPr>
          <w:rFonts w:ascii="Proxima Nova" w:hAnsi="Proxima Nova" w:cstheme="minorHAnsi"/>
          <w:color w:val="000000" w:themeColor="text1"/>
          <w:spacing w:val="-4"/>
          <w:sz w:val="22"/>
          <w:szCs w:val="22"/>
          <w:shd w:val="clear" w:color="auto" w:fill="FFFFFF"/>
        </w:rPr>
        <w:t xml:space="preserve"> This model </w:t>
      </w:r>
      <w:r w:rsidRPr="00F45224">
        <w:rPr>
          <w:rFonts w:ascii="Proxima Nova" w:hAnsi="Proxima Nova" w:cstheme="minorHAnsi"/>
          <w:sz w:val="22"/>
          <w:szCs w:val="22"/>
        </w:rPr>
        <w:t>is distinct to a medical or charity model found in earlier human rights instruments pertaining to disability. The UN CRPD Committee explains:</w:t>
      </w:r>
    </w:p>
    <w:p w14:paraId="035BED0B" w14:textId="77777777" w:rsidR="00C17576" w:rsidRPr="00F45224" w:rsidRDefault="00C17576" w:rsidP="00F45224">
      <w:pPr>
        <w:pStyle w:val="ListParagraph"/>
        <w:spacing w:line="276" w:lineRule="auto"/>
        <w:ind w:hanging="720"/>
        <w:contextualSpacing w:val="0"/>
        <w:rPr>
          <w:rFonts w:ascii="Proxima Nova" w:hAnsi="Proxima Nova" w:cstheme="minorHAnsi"/>
          <w:sz w:val="22"/>
          <w:szCs w:val="22"/>
        </w:rPr>
      </w:pPr>
    </w:p>
    <w:p w14:paraId="78A17A90" w14:textId="77777777" w:rsidR="00C17576" w:rsidRPr="00F45224" w:rsidRDefault="00C17576" w:rsidP="00F45224">
      <w:pPr>
        <w:pStyle w:val="ListParagraph"/>
        <w:spacing w:line="276" w:lineRule="auto"/>
        <w:ind w:left="1134"/>
        <w:contextualSpacing w:val="0"/>
        <w:rPr>
          <w:rFonts w:ascii="Proxima Nova" w:hAnsi="Proxima Nova" w:cstheme="minorHAnsi"/>
          <w:sz w:val="22"/>
          <w:szCs w:val="22"/>
        </w:rPr>
      </w:pPr>
      <w:r w:rsidRPr="00F45224">
        <w:rPr>
          <w:rFonts w:ascii="Proxima Nova" w:hAnsi="Proxima Nova"/>
          <w:i/>
          <w:iCs/>
          <w:sz w:val="22"/>
          <w:szCs w:val="22"/>
        </w:rPr>
        <w:t>The human rights model of disability recognizes that disability is a social construct and impairments must not be taken as a legitimate ground for the denial or restriction of human rights. It acknowledges that disability is one of several layers of identity. Hence, disability laws and policies must take the diversity of persons with disabilities into account. It also recognizes that human rights are interdependent, interrelated and indivisible.</w:t>
      </w:r>
      <w:r w:rsidRPr="00F45224">
        <w:rPr>
          <w:rStyle w:val="EndnoteReference"/>
          <w:rFonts w:ascii="Proxima Nova" w:hAnsi="Proxima Nova"/>
          <w:sz w:val="22"/>
          <w:szCs w:val="22"/>
        </w:rPr>
        <w:endnoteReference w:id="340"/>
      </w:r>
    </w:p>
    <w:p w14:paraId="65E7CFA9" w14:textId="77777777" w:rsidR="00C17576" w:rsidRPr="00F45224" w:rsidRDefault="00C17576" w:rsidP="00F45224">
      <w:pPr>
        <w:pStyle w:val="ListParagraph"/>
        <w:spacing w:line="276" w:lineRule="auto"/>
        <w:ind w:left="567" w:hanging="567"/>
        <w:contextualSpacing w:val="0"/>
        <w:rPr>
          <w:rFonts w:ascii="Proxima Nova" w:hAnsi="Proxima Nova" w:cstheme="minorHAnsi"/>
          <w:sz w:val="22"/>
          <w:szCs w:val="22"/>
        </w:rPr>
      </w:pPr>
    </w:p>
    <w:p w14:paraId="09166F39" w14:textId="77777777" w:rsidR="00C17576" w:rsidRPr="00F45224" w:rsidRDefault="00C17576" w:rsidP="00F45224">
      <w:pPr>
        <w:pStyle w:val="ListParagraph"/>
        <w:numPr>
          <w:ilvl w:val="1"/>
          <w:numId w:val="36"/>
        </w:numPr>
        <w:snapToGrid w:val="0"/>
        <w:spacing w:line="276" w:lineRule="auto"/>
        <w:ind w:left="720" w:hanging="720"/>
        <w:contextualSpacing w:val="0"/>
        <w:rPr>
          <w:rFonts w:ascii="Proxima Nova" w:hAnsi="Proxima Nova" w:cstheme="minorHAnsi"/>
          <w:sz w:val="22"/>
          <w:szCs w:val="22"/>
          <w:bdr w:val="none" w:sz="0" w:space="0" w:color="auto" w:frame="1"/>
        </w:rPr>
      </w:pPr>
      <w:r w:rsidRPr="00F45224">
        <w:rPr>
          <w:rFonts w:ascii="Proxima Nova" w:hAnsi="Proxima Nova" w:cstheme="minorHAnsi"/>
          <w:color w:val="000000" w:themeColor="text1"/>
          <w:spacing w:val="-4"/>
          <w:sz w:val="22"/>
          <w:szCs w:val="22"/>
          <w:shd w:val="clear" w:color="auto" w:fill="FFFFFF"/>
        </w:rPr>
        <w:t>This model ‘values impairment as part of human diversity and human dignity.’</w:t>
      </w:r>
      <w:r w:rsidRPr="00F45224">
        <w:rPr>
          <w:rStyle w:val="EndnoteReference"/>
          <w:rFonts w:ascii="Proxima Nova" w:hAnsi="Proxima Nova" w:cstheme="minorHAnsi"/>
          <w:color w:val="000000" w:themeColor="text1"/>
          <w:spacing w:val="-4"/>
          <w:sz w:val="22"/>
          <w:szCs w:val="22"/>
          <w:shd w:val="clear" w:color="auto" w:fill="FFFFFF"/>
        </w:rPr>
        <w:endnoteReference w:id="341"/>
      </w:r>
      <w:r w:rsidRPr="00F45224">
        <w:rPr>
          <w:rFonts w:ascii="Proxima Nova" w:hAnsi="Proxima Nova" w:cstheme="minorHAnsi"/>
          <w:color w:val="000000" w:themeColor="text1"/>
          <w:spacing w:val="-4"/>
          <w:sz w:val="22"/>
          <w:szCs w:val="22"/>
          <w:shd w:val="clear" w:color="auto" w:fill="FFFFFF"/>
        </w:rPr>
        <w:t xml:space="preserve"> The inherent dignity of the human being is the focus of the human rights model of disability, rather than any impairment. It ‘clarifies that impairment does not derogate human dignity nor does it encroach upon the disabled person’s status as a rights-bearer.’</w:t>
      </w:r>
      <w:r w:rsidRPr="00F45224">
        <w:rPr>
          <w:rStyle w:val="EndnoteReference"/>
          <w:rFonts w:ascii="Proxima Nova" w:hAnsi="Proxima Nova" w:cstheme="minorHAnsi"/>
          <w:color w:val="000000" w:themeColor="text1"/>
          <w:spacing w:val="-4"/>
          <w:sz w:val="22"/>
          <w:szCs w:val="22"/>
          <w:shd w:val="clear" w:color="auto" w:fill="FFFFFF"/>
        </w:rPr>
        <w:endnoteReference w:id="342"/>
      </w:r>
      <w:r w:rsidRPr="00F45224">
        <w:rPr>
          <w:rFonts w:ascii="Proxima Nova" w:hAnsi="Proxima Nova" w:cstheme="minorHAnsi"/>
          <w:color w:val="000000" w:themeColor="text1"/>
          <w:spacing w:val="-4"/>
          <w:sz w:val="22"/>
          <w:szCs w:val="22"/>
          <w:shd w:val="clear" w:color="auto" w:fill="FFFFFF"/>
        </w:rPr>
        <w:t xml:space="preserve"> </w:t>
      </w:r>
    </w:p>
    <w:p w14:paraId="3CB5959B" w14:textId="77777777" w:rsidR="00C17576" w:rsidRPr="00F45224" w:rsidRDefault="00C17576" w:rsidP="00F45224">
      <w:pPr>
        <w:spacing w:line="276" w:lineRule="auto"/>
        <w:ind w:left="720" w:hanging="720"/>
        <w:rPr>
          <w:rFonts w:ascii="Proxima Nova" w:hAnsi="Proxima Nova" w:cstheme="minorHAnsi"/>
          <w:sz w:val="22"/>
          <w:szCs w:val="22"/>
        </w:rPr>
      </w:pPr>
    </w:p>
    <w:p w14:paraId="1D39221E"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sz w:val="22"/>
          <w:szCs w:val="22"/>
        </w:rPr>
      </w:pPr>
      <w:r w:rsidRPr="00F45224">
        <w:rPr>
          <w:rFonts w:ascii="Proxima Nova" w:hAnsi="Proxima Nova" w:cstheme="minorHAnsi"/>
          <w:sz w:val="22"/>
          <w:szCs w:val="22"/>
        </w:rPr>
        <w:t>Equality and non-discrimination are found in the CRPD both as a general principle</w:t>
      </w:r>
      <w:r w:rsidRPr="00F45224">
        <w:rPr>
          <w:rStyle w:val="EndnoteReference"/>
          <w:rFonts w:ascii="Proxima Nova" w:hAnsi="Proxima Nova" w:cstheme="minorHAnsi"/>
          <w:sz w:val="22"/>
          <w:szCs w:val="22"/>
        </w:rPr>
        <w:endnoteReference w:id="343"/>
      </w:r>
      <w:r w:rsidRPr="00F45224">
        <w:rPr>
          <w:rFonts w:ascii="Proxima Nova" w:hAnsi="Proxima Nova" w:cstheme="minorHAnsi"/>
          <w:sz w:val="22"/>
          <w:szCs w:val="22"/>
        </w:rPr>
        <w:t xml:space="preserve"> and as a right.</w:t>
      </w:r>
      <w:r w:rsidRPr="00F45224">
        <w:rPr>
          <w:rStyle w:val="EndnoteReference"/>
          <w:rFonts w:ascii="Proxima Nova" w:hAnsi="Proxima Nova" w:cstheme="minorHAnsi"/>
          <w:sz w:val="22"/>
          <w:szCs w:val="22"/>
        </w:rPr>
        <w:endnoteReference w:id="344"/>
      </w:r>
      <w:r w:rsidRPr="00F45224">
        <w:rPr>
          <w:rFonts w:ascii="Proxima Nova" w:hAnsi="Proxima Nova" w:cstheme="minorHAnsi"/>
          <w:sz w:val="22"/>
          <w:szCs w:val="22"/>
        </w:rPr>
        <w:t xml:space="preserve"> </w:t>
      </w:r>
    </w:p>
    <w:p w14:paraId="33DEA554" w14:textId="77777777" w:rsidR="00C17576" w:rsidRPr="00F45224" w:rsidRDefault="00C17576" w:rsidP="00F45224">
      <w:pPr>
        <w:pStyle w:val="ListParagraph"/>
        <w:spacing w:line="276" w:lineRule="auto"/>
        <w:ind w:hanging="720"/>
        <w:rPr>
          <w:rFonts w:ascii="Proxima Nova" w:hAnsi="Proxima Nova" w:cstheme="minorHAnsi"/>
          <w:sz w:val="22"/>
          <w:szCs w:val="22"/>
        </w:rPr>
      </w:pPr>
    </w:p>
    <w:p w14:paraId="7F79457A"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sz w:val="22"/>
          <w:szCs w:val="22"/>
        </w:rPr>
      </w:pPr>
      <w:r w:rsidRPr="00F45224">
        <w:rPr>
          <w:rFonts w:ascii="Proxima Nova" w:hAnsi="Proxima Nova" w:cstheme="minorHAnsi"/>
          <w:sz w:val="22"/>
          <w:szCs w:val="22"/>
        </w:rPr>
        <w:t>Article 5(2) provides that Government must prohibit</w:t>
      </w:r>
      <w:r w:rsidRPr="00F45224">
        <w:rPr>
          <w:rFonts w:ascii="Proxima Nova" w:hAnsi="Proxima Nova"/>
          <w:sz w:val="22"/>
          <w:szCs w:val="22"/>
        </w:rPr>
        <w:t xml:space="preserve"> ‘all discrimination </w:t>
      </w:r>
      <w:proofErr w:type="gramStart"/>
      <w:r w:rsidRPr="00F45224">
        <w:rPr>
          <w:rFonts w:ascii="Proxima Nova" w:hAnsi="Proxima Nova"/>
          <w:sz w:val="22"/>
          <w:szCs w:val="22"/>
        </w:rPr>
        <w:t>on the basis of</w:t>
      </w:r>
      <w:proofErr w:type="gramEnd"/>
      <w:r w:rsidRPr="00F45224">
        <w:rPr>
          <w:rFonts w:ascii="Proxima Nova" w:hAnsi="Proxima Nova"/>
          <w:sz w:val="22"/>
          <w:szCs w:val="22"/>
        </w:rPr>
        <w:t xml:space="preserve"> disability and guarantee to persons with disabilities equal and effective legal protection against discrimination on all grounds.’</w:t>
      </w:r>
      <w:r w:rsidRPr="00F45224">
        <w:rPr>
          <w:rFonts w:ascii="Proxima Nova" w:hAnsi="Proxima Nova" w:cstheme="minorHAnsi"/>
          <w:sz w:val="22"/>
          <w:szCs w:val="22"/>
        </w:rPr>
        <w:t xml:space="preserve"> ‘D</w:t>
      </w:r>
      <w:r w:rsidRPr="00F45224">
        <w:rPr>
          <w:rFonts w:ascii="Proxima Nova" w:hAnsi="Proxima Nova"/>
          <w:sz w:val="22"/>
          <w:szCs w:val="22"/>
        </w:rPr>
        <w:t xml:space="preserve">iscrimination </w:t>
      </w:r>
      <w:proofErr w:type="gramStart"/>
      <w:r w:rsidRPr="00F45224">
        <w:rPr>
          <w:rFonts w:ascii="Proxima Nova" w:hAnsi="Proxima Nova"/>
          <w:sz w:val="22"/>
          <w:szCs w:val="22"/>
        </w:rPr>
        <w:t>on the basis of</w:t>
      </w:r>
      <w:proofErr w:type="gramEnd"/>
      <w:r w:rsidRPr="00F45224">
        <w:rPr>
          <w:rFonts w:ascii="Proxima Nova" w:hAnsi="Proxima Nova"/>
          <w:sz w:val="22"/>
          <w:szCs w:val="22"/>
        </w:rPr>
        <w:t xml:space="preserve"> disability’ is defined as: ‘any distinction, exclusion or restriction on the basis of disability which has the purpose or effect of impairing or nullifying the recognition, enjoyment or exercise, on an equal basis </w:t>
      </w:r>
      <w:r w:rsidRPr="00F45224">
        <w:rPr>
          <w:rFonts w:ascii="Proxima Nova" w:hAnsi="Proxima Nova"/>
          <w:sz w:val="22"/>
          <w:szCs w:val="22"/>
        </w:rPr>
        <w:lastRenderedPageBreak/>
        <w:t>with others, of all human rights and fundamental freedoms in the political, economic, social, cultural, civil or any other field.’</w:t>
      </w:r>
      <w:r w:rsidRPr="00F45224">
        <w:rPr>
          <w:rStyle w:val="EndnoteReference"/>
          <w:rFonts w:ascii="Proxima Nova" w:hAnsi="Proxima Nova"/>
          <w:sz w:val="22"/>
          <w:szCs w:val="22"/>
        </w:rPr>
        <w:endnoteReference w:id="345"/>
      </w:r>
      <w:r w:rsidRPr="00F45224">
        <w:rPr>
          <w:rFonts w:ascii="Proxima Nova" w:hAnsi="Proxima Nova"/>
          <w:sz w:val="22"/>
          <w:szCs w:val="22"/>
        </w:rPr>
        <w:t xml:space="preserve"> ‘Discrimination on all grounds’ is defined as:</w:t>
      </w:r>
    </w:p>
    <w:p w14:paraId="6A6B61D6" w14:textId="77777777" w:rsidR="00C17576" w:rsidRPr="00F45224" w:rsidRDefault="00C17576" w:rsidP="00F45224">
      <w:pPr>
        <w:spacing w:line="276" w:lineRule="auto"/>
        <w:ind w:left="45"/>
        <w:rPr>
          <w:rFonts w:ascii="Proxima Nova" w:hAnsi="Proxima Nova"/>
          <w:sz w:val="22"/>
          <w:szCs w:val="22"/>
        </w:rPr>
      </w:pPr>
    </w:p>
    <w:p w14:paraId="34954D26" w14:textId="77777777" w:rsidR="00C17576" w:rsidRPr="00F45224" w:rsidRDefault="00C17576" w:rsidP="00F45224">
      <w:pPr>
        <w:pStyle w:val="ListParagraph"/>
        <w:spacing w:line="276" w:lineRule="auto"/>
        <w:ind w:left="1134"/>
        <w:contextualSpacing w:val="0"/>
        <w:rPr>
          <w:rFonts w:ascii="Proxima Nova" w:hAnsi="Proxima Nova"/>
          <w:sz w:val="22"/>
          <w:szCs w:val="22"/>
        </w:rPr>
      </w:pPr>
      <w:r w:rsidRPr="00F45224">
        <w:rPr>
          <w:rFonts w:ascii="Proxima Nova" w:hAnsi="Proxima Nova"/>
          <w:i/>
          <w:iCs/>
          <w:sz w:val="22"/>
          <w:szCs w:val="22"/>
        </w:rPr>
        <w:t xml:space="preserve">… all possible grounds of discrimination and their intersections must be </w:t>
      </w:r>
      <w:proofErr w:type="gramStart"/>
      <w:r w:rsidRPr="00F45224">
        <w:rPr>
          <w:rFonts w:ascii="Proxima Nova" w:hAnsi="Proxima Nova"/>
          <w:i/>
          <w:iCs/>
          <w:sz w:val="22"/>
          <w:szCs w:val="22"/>
        </w:rPr>
        <w:t>taken into account</w:t>
      </w:r>
      <w:proofErr w:type="gramEnd"/>
      <w:r w:rsidRPr="00F45224">
        <w:rPr>
          <w:rFonts w:ascii="Proxima Nova" w:hAnsi="Proxima Nova"/>
          <w:i/>
          <w:iCs/>
          <w:sz w:val="22"/>
          <w:szCs w:val="22"/>
        </w:rPr>
        <w:t>. Possible grounds include but are not limited to: disability; health status; genetic or other predisposition towards illness; race; colour; descent; sex; pregnancy and maternity/paternity; civil; family or carer status; gender expression; sex; language; religion; political or other opinion; national, ethnic, indigenous or social origin; migrant, refugee or asylum status; belonging to a national minority; economic or property status; birth; and age, or a combination of any of those grounds or characteristics associated with any of those grounds.</w:t>
      </w:r>
      <w:r w:rsidRPr="00F45224">
        <w:rPr>
          <w:rStyle w:val="EndnoteReference"/>
          <w:rFonts w:ascii="Proxima Nova" w:hAnsi="Proxima Nova"/>
          <w:sz w:val="22"/>
          <w:szCs w:val="22"/>
        </w:rPr>
        <w:endnoteReference w:id="346"/>
      </w:r>
    </w:p>
    <w:p w14:paraId="5EBD6EB0" w14:textId="77777777" w:rsidR="00C17576" w:rsidRPr="00F45224" w:rsidRDefault="00C17576" w:rsidP="00F45224">
      <w:pPr>
        <w:spacing w:line="276" w:lineRule="auto"/>
        <w:rPr>
          <w:rFonts w:ascii="Proxima Nova" w:hAnsi="Proxima Nova" w:cstheme="minorHAnsi"/>
          <w:sz w:val="22"/>
          <w:szCs w:val="22"/>
        </w:rPr>
      </w:pPr>
    </w:p>
    <w:p w14:paraId="244C4582" w14:textId="12797648" w:rsidR="00C17576" w:rsidRPr="00F45224" w:rsidRDefault="00C17576" w:rsidP="00F45224">
      <w:pPr>
        <w:pStyle w:val="ListParagraph"/>
        <w:numPr>
          <w:ilvl w:val="1"/>
          <w:numId w:val="36"/>
        </w:numPr>
        <w:spacing w:line="276" w:lineRule="auto"/>
        <w:ind w:left="720" w:hanging="720"/>
        <w:contextualSpacing w:val="0"/>
        <w:rPr>
          <w:rFonts w:ascii="Proxima Nova" w:hAnsi="Proxima Nova"/>
          <w:sz w:val="22"/>
          <w:szCs w:val="22"/>
          <w:lang w:eastAsia="en-AU"/>
        </w:rPr>
      </w:pPr>
      <w:r w:rsidRPr="00F45224">
        <w:rPr>
          <w:rFonts w:ascii="Proxima Nova" w:hAnsi="Proxima Nova"/>
          <w:sz w:val="22"/>
          <w:szCs w:val="22"/>
          <w:lang w:eastAsia="en-AU"/>
        </w:rPr>
        <w:t>The UN CRPD Committee in the context of its General Comment 6 (</w:t>
      </w:r>
      <w:r w:rsidR="00905DB6" w:rsidRPr="00F45224">
        <w:rPr>
          <w:rFonts w:ascii="Proxima Nova" w:hAnsi="Proxima Nova"/>
          <w:sz w:val="22"/>
          <w:szCs w:val="22"/>
          <w:lang w:eastAsia="en-AU"/>
        </w:rPr>
        <w:t>Equality and N</w:t>
      </w:r>
      <w:r w:rsidRPr="00F45224">
        <w:rPr>
          <w:rFonts w:ascii="Proxima Nova" w:hAnsi="Proxima Nova"/>
          <w:sz w:val="22"/>
          <w:szCs w:val="22"/>
          <w:lang w:eastAsia="en-AU"/>
        </w:rPr>
        <w:t>on-discrimination) highlights the role of laws – and the paternalism underpinning them – as sustaining inequality and violence against people with disability:</w:t>
      </w:r>
    </w:p>
    <w:p w14:paraId="1D135176" w14:textId="77777777" w:rsidR="00C17576" w:rsidRPr="00F45224" w:rsidRDefault="00C17576" w:rsidP="00F45224">
      <w:pPr>
        <w:spacing w:line="276" w:lineRule="auto"/>
        <w:rPr>
          <w:rFonts w:ascii="Proxima Nova" w:hAnsi="Proxima Nova" w:cstheme="minorHAnsi"/>
          <w:sz w:val="22"/>
          <w:szCs w:val="22"/>
          <w:lang w:eastAsia="en-AU"/>
        </w:rPr>
      </w:pPr>
    </w:p>
    <w:p w14:paraId="0928EF6A" w14:textId="77777777" w:rsidR="00C17576" w:rsidRPr="00F45224" w:rsidRDefault="00C17576" w:rsidP="00F45224">
      <w:pPr>
        <w:pStyle w:val="ListParagraph"/>
        <w:spacing w:line="276" w:lineRule="auto"/>
        <w:ind w:left="1134"/>
        <w:contextualSpacing w:val="0"/>
        <w:rPr>
          <w:rFonts w:ascii="Proxima Nova" w:hAnsi="Proxima Nova" w:cstheme="minorHAnsi"/>
          <w:sz w:val="22"/>
          <w:szCs w:val="22"/>
          <w:lang w:eastAsia="en-AU"/>
        </w:rPr>
      </w:pPr>
      <w:r w:rsidRPr="00F45224">
        <w:rPr>
          <w:rFonts w:ascii="Proxima Nova" w:hAnsi="Proxima Nova" w:cstheme="minorHAnsi"/>
          <w:i/>
          <w:iCs/>
          <w:color w:val="000000"/>
          <w:sz w:val="22"/>
          <w:szCs w:val="22"/>
          <w:lang w:val="en-AU"/>
        </w:rPr>
        <w:t xml:space="preserve">… laws and regulatory frameworks often remain imperfect and incomplete or </w:t>
      </w:r>
      <w:proofErr w:type="gramStart"/>
      <w:r w:rsidRPr="00F45224">
        <w:rPr>
          <w:rFonts w:ascii="Proxima Nova" w:hAnsi="Proxima Nova" w:cstheme="minorHAnsi"/>
          <w:i/>
          <w:iCs/>
          <w:color w:val="000000"/>
          <w:sz w:val="22"/>
          <w:szCs w:val="22"/>
          <w:lang w:val="en-AU"/>
        </w:rPr>
        <w:t>ineffective, or</w:t>
      </w:r>
      <w:proofErr w:type="gramEnd"/>
      <w:r w:rsidRPr="00F45224">
        <w:rPr>
          <w:rFonts w:ascii="Proxima Nova" w:hAnsi="Proxima Nova" w:cstheme="minorHAnsi"/>
          <w:i/>
          <w:iCs/>
          <w:color w:val="000000"/>
          <w:sz w:val="22"/>
          <w:szCs w:val="22"/>
          <w:lang w:val="en-AU"/>
        </w:rPr>
        <w:t xml:space="preserve"> reflect an inadequate understanding of the human rights model of disability. Many national laws and policies perpetuate the exclusion and isolation of and discrimination and violence against persons with disabilities. They often lack a recognition of multiple and intersectional discrimination or discrimination by association; fail to acknowledge that the denial of reasonable accommodation constitutes discrimination; and lack effective mechanisms of legal redress and reparation. Such laws and policies are commonly not regarded as disability-based discrimination because they are justified as being for the protection or care of the persons with a disability, or in their best interest.</w:t>
      </w:r>
      <w:r w:rsidRPr="00F45224">
        <w:rPr>
          <w:rStyle w:val="EndnoteReference"/>
          <w:rFonts w:ascii="Proxima Nova" w:hAnsi="Proxima Nova" w:cstheme="minorHAnsi"/>
          <w:color w:val="000000"/>
          <w:sz w:val="22"/>
          <w:szCs w:val="22"/>
          <w:lang w:val="en-AU"/>
        </w:rPr>
        <w:endnoteReference w:id="347"/>
      </w:r>
    </w:p>
    <w:p w14:paraId="02757D4B" w14:textId="77777777" w:rsidR="00C17576" w:rsidRPr="00F45224" w:rsidRDefault="00C17576" w:rsidP="00F45224">
      <w:pPr>
        <w:spacing w:line="276" w:lineRule="auto"/>
        <w:ind w:left="45"/>
        <w:rPr>
          <w:rFonts w:ascii="Proxima Nova" w:hAnsi="Proxima Nova"/>
          <w:sz w:val="22"/>
          <w:szCs w:val="22"/>
        </w:rPr>
      </w:pPr>
    </w:p>
    <w:p w14:paraId="70545A2B" w14:textId="186D5372" w:rsidR="00C17576" w:rsidRPr="00F45224" w:rsidRDefault="00C17576" w:rsidP="00F45224">
      <w:pPr>
        <w:pStyle w:val="ListParagraph"/>
        <w:numPr>
          <w:ilvl w:val="1"/>
          <w:numId w:val="36"/>
        </w:numPr>
        <w:spacing w:line="276" w:lineRule="auto"/>
        <w:ind w:left="720" w:hanging="720"/>
        <w:contextualSpacing w:val="0"/>
        <w:rPr>
          <w:rFonts w:ascii="Proxima Nova" w:hAnsi="Proxima Nova"/>
          <w:sz w:val="22"/>
          <w:szCs w:val="22"/>
        </w:rPr>
      </w:pPr>
      <w:r w:rsidRPr="00F45224">
        <w:rPr>
          <w:rFonts w:ascii="Proxima Nova" w:hAnsi="Proxima Nova" w:cstheme="minorHAnsi"/>
          <w:sz w:val="22"/>
          <w:szCs w:val="22"/>
        </w:rPr>
        <w:t xml:space="preserve">While ableism is not mentioned in the CRPD, the Special Rapporteur on Disabilities, discusses the role of ableism in discrimination. The Special Rapporteur on Disabilities defines ‘ableism’ as: </w:t>
      </w:r>
    </w:p>
    <w:p w14:paraId="6F141F1A" w14:textId="77777777" w:rsidR="00C17576" w:rsidRPr="00F45224" w:rsidRDefault="00C17576" w:rsidP="00F45224">
      <w:pPr>
        <w:spacing w:line="276" w:lineRule="auto"/>
        <w:rPr>
          <w:rFonts w:ascii="Proxima Nova" w:hAnsi="Proxima Nova" w:cstheme="minorHAnsi"/>
          <w:sz w:val="22"/>
          <w:szCs w:val="22"/>
        </w:rPr>
      </w:pPr>
    </w:p>
    <w:p w14:paraId="71FA268C" w14:textId="77777777" w:rsidR="00C17576" w:rsidRPr="00F45224" w:rsidRDefault="00C17576" w:rsidP="00F45224">
      <w:pPr>
        <w:pStyle w:val="ListParagraph"/>
        <w:spacing w:line="276" w:lineRule="auto"/>
        <w:ind w:left="1134"/>
        <w:contextualSpacing w:val="0"/>
        <w:rPr>
          <w:rFonts w:ascii="Proxima Nova" w:hAnsi="Proxima Nova"/>
          <w:sz w:val="22"/>
          <w:szCs w:val="22"/>
        </w:rPr>
      </w:pPr>
      <w:r w:rsidRPr="00F45224">
        <w:rPr>
          <w:rFonts w:ascii="Proxima Nova" w:hAnsi="Proxima Nova"/>
          <w:i/>
          <w:iCs/>
          <w:sz w:val="22"/>
          <w:szCs w:val="22"/>
        </w:rPr>
        <w:t>… a value system that considers certain typical characteristics of body and mind as essential for living a life of value. Based on strict standards of appearance, functioning and behaviour, ableist ways of thinking consider the disability experience as a misfortune that leads to suffering and disadvantage and invariably devalues human life.</w:t>
      </w:r>
      <w:r w:rsidRPr="00F45224">
        <w:rPr>
          <w:rStyle w:val="EndnoteReference"/>
          <w:rFonts w:ascii="Proxima Nova" w:hAnsi="Proxima Nova"/>
          <w:sz w:val="22"/>
          <w:szCs w:val="22"/>
        </w:rPr>
        <w:endnoteReference w:id="348"/>
      </w:r>
      <w:r w:rsidRPr="00F45224">
        <w:rPr>
          <w:rFonts w:ascii="Proxima Nova" w:hAnsi="Proxima Nova"/>
          <w:sz w:val="22"/>
          <w:szCs w:val="22"/>
        </w:rPr>
        <w:t xml:space="preserve"> </w:t>
      </w:r>
    </w:p>
    <w:p w14:paraId="24A5BDAD" w14:textId="77777777" w:rsidR="00C17576" w:rsidRPr="00F45224" w:rsidRDefault="00C17576" w:rsidP="00F45224">
      <w:pPr>
        <w:spacing w:line="276" w:lineRule="auto"/>
        <w:rPr>
          <w:rFonts w:ascii="Proxima Nova" w:hAnsi="Proxima Nova"/>
          <w:sz w:val="22"/>
          <w:szCs w:val="22"/>
        </w:rPr>
      </w:pPr>
    </w:p>
    <w:p w14:paraId="056A5038" w14:textId="77777777" w:rsidR="00C17576" w:rsidRPr="00F45224" w:rsidRDefault="00C17576" w:rsidP="00F45224">
      <w:pPr>
        <w:pStyle w:val="ListParagraph"/>
        <w:spacing w:line="276" w:lineRule="auto"/>
        <w:contextualSpacing w:val="0"/>
        <w:rPr>
          <w:rFonts w:ascii="Proxima Nova" w:hAnsi="Proxima Nova"/>
          <w:sz w:val="22"/>
          <w:szCs w:val="22"/>
        </w:rPr>
      </w:pPr>
      <w:r w:rsidRPr="00F45224">
        <w:rPr>
          <w:rFonts w:ascii="Proxima Nova" w:hAnsi="Proxima Nova"/>
          <w:sz w:val="22"/>
          <w:szCs w:val="22"/>
        </w:rPr>
        <w:t xml:space="preserve">She explains that ableism lies: </w:t>
      </w:r>
    </w:p>
    <w:p w14:paraId="5A943AED" w14:textId="77777777" w:rsidR="00C17576" w:rsidRPr="00F45224" w:rsidRDefault="00C17576" w:rsidP="00F45224">
      <w:pPr>
        <w:spacing w:line="276" w:lineRule="auto"/>
        <w:rPr>
          <w:rFonts w:ascii="Proxima Nova" w:hAnsi="Proxima Nova"/>
          <w:sz w:val="22"/>
          <w:szCs w:val="22"/>
        </w:rPr>
      </w:pPr>
    </w:p>
    <w:p w14:paraId="03A573FD" w14:textId="77777777" w:rsidR="00C17576" w:rsidRPr="00F45224" w:rsidRDefault="00C17576" w:rsidP="00F45224">
      <w:pPr>
        <w:pStyle w:val="ListParagraph"/>
        <w:spacing w:line="276" w:lineRule="auto"/>
        <w:ind w:left="1134"/>
        <w:contextualSpacing w:val="0"/>
        <w:rPr>
          <w:rFonts w:ascii="Proxima Nova" w:hAnsi="Proxima Nova"/>
          <w:sz w:val="22"/>
          <w:szCs w:val="22"/>
        </w:rPr>
      </w:pPr>
      <w:r w:rsidRPr="00F45224">
        <w:rPr>
          <w:rFonts w:ascii="Proxima Nova" w:hAnsi="Proxima Nova"/>
          <w:i/>
          <w:iCs/>
          <w:sz w:val="22"/>
          <w:szCs w:val="22"/>
        </w:rPr>
        <w:t>… at the root of discriminatory practices, such as the sterilization of girls and women with disabilities, the segregation, institutionalization and deprivation of liberty of persons with disabilities in disability-specific facilities and the use of coercion on the basis of “need of treatment” or “risk to self or to others,” the denial of legal capacity on the basis of mental capacity, the denial of treatment on the basis of disability, or the failure to consider the extra costs of living with a disability.</w:t>
      </w:r>
      <w:r w:rsidRPr="00F45224">
        <w:rPr>
          <w:rStyle w:val="EndnoteReference"/>
          <w:rFonts w:ascii="Proxima Nova" w:hAnsi="Proxima Nova"/>
          <w:sz w:val="22"/>
          <w:szCs w:val="22"/>
        </w:rPr>
        <w:endnoteReference w:id="349"/>
      </w:r>
      <w:r w:rsidRPr="00F45224">
        <w:rPr>
          <w:rFonts w:ascii="Proxima Nova" w:hAnsi="Proxima Nova"/>
          <w:sz w:val="22"/>
          <w:szCs w:val="22"/>
        </w:rPr>
        <w:t xml:space="preserve"> </w:t>
      </w:r>
    </w:p>
    <w:p w14:paraId="7D5F54DF" w14:textId="77777777" w:rsidR="00C17576" w:rsidRPr="00F45224" w:rsidRDefault="00C17576" w:rsidP="00F45224">
      <w:pPr>
        <w:spacing w:line="276" w:lineRule="auto"/>
        <w:ind w:left="45"/>
        <w:rPr>
          <w:rFonts w:ascii="Proxima Nova" w:hAnsi="Proxima Nova"/>
          <w:sz w:val="22"/>
          <w:szCs w:val="22"/>
          <w:lang w:eastAsia="en-AU"/>
        </w:rPr>
      </w:pPr>
    </w:p>
    <w:p w14:paraId="4D47F668" w14:textId="77777777" w:rsidR="00C17576" w:rsidRPr="00F45224" w:rsidRDefault="00C17576" w:rsidP="00F45224">
      <w:pPr>
        <w:pStyle w:val="ListParagraph"/>
        <w:numPr>
          <w:ilvl w:val="1"/>
          <w:numId w:val="36"/>
        </w:numPr>
        <w:spacing w:line="276" w:lineRule="auto"/>
        <w:ind w:left="720" w:hanging="720"/>
        <w:rPr>
          <w:rFonts w:ascii="Proxima Nova" w:hAnsi="Proxima Nova" w:cstheme="minorHAnsi"/>
          <w:sz w:val="22"/>
          <w:szCs w:val="22"/>
        </w:rPr>
      </w:pPr>
      <w:r w:rsidRPr="00F45224">
        <w:rPr>
          <w:rFonts w:ascii="Proxima Nova" w:hAnsi="Proxima Nova" w:cstheme="minorHAnsi"/>
          <w:sz w:val="22"/>
          <w:szCs w:val="22"/>
        </w:rPr>
        <w:t>The Special Rapporteur on Disabilities draws on the principle in the CRPD of inherent dignity to re-assert the entitlement of people with disability to full humanity:</w:t>
      </w:r>
    </w:p>
    <w:p w14:paraId="5CC4D64F" w14:textId="77777777" w:rsidR="00C17576" w:rsidRPr="00F45224" w:rsidRDefault="00C17576" w:rsidP="00F45224">
      <w:pPr>
        <w:snapToGrid w:val="0"/>
        <w:spacing w:line="276" w:lineRule="auto"/>
        <w:rPr>
          <w:rFonts w:ascii="Proxima Nova" w:hAnsi="Proxima Nova" w:cstheme="minorHAnsi"/>
          <w:sz w:val="22"/>
          <w:szCs w:val="22"/>
          <w:bdr w:val="none" w:sz="0" w:space="0" w:color="auto" w:frame="1"/>
        </w:rPr>
      </w:pPr>
    </w:p>
    <w:p w14:paraId="065E8F70" w14:textId="77777777" w:rsidR="00C17576" w:rsidRPr="00F45224" w:rsidRDefault="00C17576" w:rsidP="00F45224">
      <w:pPr>
        <w:pStyle w:val="ListParagraph"/>
        <w:snapToGrid w:val="0"/>
        <w:spacing w:line="276" w:lineRule="auto"/>
        <w:ind w:left="1134"/>
        <w:contextualSpacing w:val="0"/>
        <w:rPr>
          <w:rFonts w:ascii="Proxima Nova" w:hAnsi="Proxima Nova" w:cstheme="minorHAnsi"/>
          <w:sz w:val="22"/>
          <w:szCs w:val="22"/>
          <w:bdr w:val="none" w:sz="0" w:space="0" w:color="auto" w:frame="1"/>
        </w:rPr>
      </w:pPr>
      <w:r w:rsidRPr="00F45224">
        <w:rPr>
          <w:rFonts w:ascii="Proxima Nova" w:hAnsi="Proxima Nova"/>
          <w:i/>
          <w:iCs/>
          <w:sz w:val="22"/>
          <w:szCs w:val="22"/>
        </w:rPr>
        <w:t>Life with a disability is a life worth living equal to others. Every person has a unique set of unrepeatable characteristics and experiences that make them irreplaceable and valuable. The lives of persons with disabilities are human lives and, consequently, endowed with inherent dignity. Persons with disabilities can live fulfilling lives and enjoy what gives life meaning.</w:t>
      </w:r>
      <w:r w:rsidRPr="00F45224">
        <w:rPr>
          <w:rStyle w:val="EndnoteReference"/>
          <w:rFonts w:ascii="Proxima Nova" w:hAnsi="Proxima Nova"/>
          <w:sz w:val="22"/>
          <w:szCs w:val="22"/>
        </w:rPr>
        <w:endnoteReference w:id="350"/>
      </w:r>
    </w:p>
    <w:p w14:paraId="74B15D07" w14:textId="77777777" w:rsidR="00C17576" w:rsidRPr="00F45224" w:rsidRDefault="00C17576" w:rsidP="00F45224">
      <w:pPr>
        <w:spacing w:line="276" w:lineRule="auto"/>
        <w:rPr>
          <w:rFonts w:ascii="Proxima Nova" w:hAnsi="Proxima Nova" w:cstheme="minorHAnsi"/>
          <w:sz w:val="22"/>
          <w:szCs w:val="22"/>
        </w:rPr>
      </w:pPr>
    </w:p>
    <w:p w14:paraId="534ACF3A" w14:textId="77777777" w:rsidR="00C17576" w:rsidRPr="00F45224" w:rsidRDefault="00C17576" w:rsidP="00F45224">
      <w:pPr>
        <w:pStyle w:val="ListParagraph"/>
        <w:numPr>
          <w:ilvl w:val="1"/>
          <w:numId w:val="36"/>
        </w:numPr>
        <w:spacing w:line="276" w:lineRule="auto"/>
        <w:ind w:left="720" w:hanging="720"/>
        <w:rPr>
          <w:rFonts w:ascii="Proxima Nova" w:hAnsi="Proxima Nova"/>
          <w:sz w:val="22"/>
          <w:szCs w:val="22"/>
        </w:rPr>
      </w:pPr>
      <w:r w:rsidRPr="00F45224">
        <w:rPr>
          <w:rFonts w:ascii="Proxima Nova" w:hAnsi="Proxima Nova"/>
          <w:sz w:val="22"/>
          <w:szCs w:val="22"/>
        </w:rPr>
        <w:t>She argues that addressing ableism is not simply about ‘awareness raising’, but rather requires ‘cultural transformation’:</w:t>
      </w:r>
    </w:p>
    <w:p w14:paraId="77FCBD4F" w14:textId="77777777" w:rsidR="00C17576" w:rsidRPr="00F45224" w:rsidRDefault="00C17576" w:rsidP="00F45224">
      <w:pPr>
        <w:spacing w:line="276" w:lineRule="auto"/>
        <w:rPr>
          <w:rFonts w:ascii="Proxima Nova" w:hAnsi="Proxima Nova"/>
          <w:sz w:val="22"/>
          <w:szCs w:val="22"/>
        </w:rPr>
      </w:pPr>
    </w:p>
    <w:p w14:paraId="35F7665A" w14:textId="77777777" w:rsidR="00C17576" w:rsidRPr="00F45224" w:rsidRDefault="00C17576" w:rsidP="00F45224">
      <w:pPr>
        <w:spacing w:line="276" w:lineRule="auto"/>
        <w:ind w:left="1134"/>
        <w:rPr>
          <w:rFonts w:ascii="Proxima Nova" w:hAnsi="Proxima Nova" w:cstheme="minorHAnsi"/>
          <w:sz w:val="22"/>
          <w:szCs w:val="22"/>
        </w:rPr>
      </w:pPr>
      <w:r w:rsidRPr="00F45224">
        <w:rPr>
          <w:rFonts w:ascii="Proxima Nova" w:hAnsi="Proxima Nova" w:cstheme="minorHAnsi"/>
          <w:i/>
          <w:iCs/>
          <w:sz w:val="22"/>
          <w:szCs w:val="22"/>
        </w:rPr>
        <w:t>Given the cultural and societal challenges posed by ableism, neither awareness-raising programmes nor the generalization of anti-discrimination measures will alone suffice. What is needed is a cultural transformation of the way society relates to the difference of disability. That is a commitment to the recognition of persons with disabilities as equals on all terms, with the same rights and opportunities as everyone else in society. It is thus vital to reduce the distance between society’s views of disability and the narratives of those living with a disability. The devaluation of the lives of persons with disabilities comes partly from a historic inability to listen to what persons with disabilities have to say about themselves.</w:t>
      </w:r>
      <w:r w:rsidRPr="00F45224">
        <w:rPr>
          <w:rStyle w:val="EndnoteReference"/>
          <w:rFonts w:ascii="Proxima Nova" w:hAnsi="Proxima Nova" w:cstheme="minorHAnsi"/>
          <w:sz w:val="22"/>
          <w:szCs w:val="22"/>
        </w:rPr>
        <w:endnoteReference w:id="351"/>
      </w:r>
    </w:p>
    <w:p w14:paraId="6F1E5ED6" w14:textId="77777777" w:rsidR="00C17576" w:rsidRPr="00F45224" w:rsidRDefault="00C17576" w:rsidP="00F45224">
      <w:pPr>
        <w:spacing w:line="276" w:lineRule="auto"/>
        <w:rPr>
          <w:rFonts w:ascii="Proxima Nova" w:hAnsi="Proxima Nova" w:cstheme="minorHAnsi"/>
          <w:sz w:val="22"/>
          <w:szCs w:val="22"/>
        </w:rPr>
      </w:pPr>
    </w:p>
    <w:p w14:paraId="7B293744" w14:textId="77777777" w:rsidR="00C17576" w:rsidRPr="00F45224" w:rsidRDefault="00C17576" w:rsidP="00F45224">
      <w:pPr>
        <w:pStyle w:val="ListParagraph"/>
        <w:numPr>
          <w:ilvl w:val="1"/>
          <w:numId w:val="36"/>
        </w:numPr>
        <w:spacing w:line="276" w:lineRule="auto"/>
        <w:ind w:left="720" w:hanging="720"/>
        <w:rPr>
          <w:rFonts w:ascii="Proxima Nova" w:hAnsi="Proxima Nova" w:cstheme="minorHAnsi"/>
          <w:sz w:val="22"/>
          <w:szCs w:val="22"/>
        </w:rPr>
      </w:pPr>
      <w:r w:rsidRPr="00F45224">
        <w:rPr>
          <w:rFonts w:ascii="Proxima Nova" w:hAnsi="Proxima Nova" w:cstheme="minorHAnsi"/>
          <w:sz w:val="22"/>
          <w:szCs w:val="22"/>
        </w:rPr>
        <w:t>Article 5(1) provides for the right to be equal before and under the law, which means they ‘</w:t>
      </w:r>
      <w:r w:rsidRPr="00F45224">
        <w:rPr>
          <w:rFonts w:ascii="Proxima Nova" w:hAnsi="Proxima Nova"/>
          <w:sz w:val="22"/>
          <w:szCs w:val="22"/>
        </w:rPr>
        <w:t>have the right to be effectively protected and to positively engage.’</w:t>
      </w:r>
      <w:r w:rsidRPr="00F45224">
        <w:rPr>
          <w:rStyle w:val="EndnoteReference"/>
          <w:rFonts w:ascii="Proxima Nova" w:hAnsi="Proxima Nova"/>
          <w:sz w:val="22"/>
          <w:szCs w:val="22"/>
        </w:rPr>
        <w:endnoteReference w:id="352"/>
      </w:r>
      <w:r w:rsidRPr="00F45224">
        <w:rPr>
          <w:rFonts w:ascii="Proxima Nova" w:hAnsi="Proxima Nova"/>
          <w:sz w:val="22"/>
          <w:szCs w:val="22"/>
        </w:rPr>
        <w:t xml:space="preserve"> Laws that discriminate against people with disability violate Article 5(1) such that ‘there should be no laws that allow for specific denial, restriction or limitation of the rights of persons with disabilities, and that disability should be mainstreamed in all legislation and policies.’</w:t>
      </w:r>
      <w:r w:rsidRPr="00F45224">
        <w:rPr>
          <w:rStyle w:val="EndnoteReference"/>
          <w:rFonts w:ascii="Proxima Nova" w:hAnsi="Proxima Nova"/>
          <w:sz w:val="22"/>
          <w:szCs w:val="22"/>
        </w:rPr>
        <w:endnoteReference w:id="353"/>
      </w:r>
      <w:r w:rsidRPr="00F45224">
        <w:rPr>
          <w:rFonts w:ascii="Proxima Nova" w:hAnsi="Proxima Nova"/>
          <w:sz w:val="22"/>
          <w:szCs w:val="22"/>
        </w:rPr>
        <w:t xml:space="preserve"> </w:t>
      </w:r>
      <w:r w:rsidRPr="00F45224">
        <w:rPr>
          <w:rFonts w:ascii="Proxima Nova" w:hAnsi="Proxima Nova" w:cstheme="minorHAnsi"/>
          <w:sz w:val="22"/>
          <w:szCs w:val="22"/>
        </w:rPr>
        <w:t xml:space="preserve">The right to ‘equal protection under the law’ is particularly significant in the context of substituted decision-making and compulsory treatment laws that treat people with disability unequally. </w:t>
      </w:r>
      <w:r w:rsidRPr="00F45224">
        <w:rPr>
          <w:rFonts w:ascii="Proxima Nova" w:hAnsi="Proxima Nova"/>
          <w:sz w:val="22"/>
          <w:szCs w:val="22"/>
          <w:lang w:eastAsia="en-AU"/>
        </w:rPr>
        <w:t>The UN CRPD Committee states that ‘</w:t>
      </w:r>
      <w:r w:rsidRPr="00F45224">
        <w:rPr>
          <w:rFonts w:ascii="Proxima Nova" w:hAnsi="Proxima Nova"/>
          <w:sz w:val="22"/>
          <w:szCs w:val="22"/>
        </w:rPr>
        <w:t>deprivation of liberty; torture or cruel, inhuman or degrading treatment or punishment; violence; and the forced treatment of persons with disabilities inside and outside of mental health facilities are ‘</w:t>
      </w:r>
      <w:proofErr w:type="gramStart"/>
      <w:r w:rsidRPr="00F45224">
        <w:rPr>
          <w:rFonts w:ascii="Proxima Nova" w:hAnsi="Proxima Nova"/>
          <w:sz w:val="22"/>
          <w:szCs w:val="22"/>
        </w:rPr>
        <w:t>by definition discriminatory</w:t>
      </w:r>
      <w:proofErr w:type="gramEnd"/>
      <w:r w:rsidRPr="00F45224">
        <w:rPr>
          <w:rFonts w:ascii="Proxima Nova" w:hAnsi="Proxima Nova"/>
          <w:sz w:val="22"/>
          <w:szCs w:val="22"/>
        </w:rPr>
        <w:t>.’</w:t>
      </w:r>
      <w:r w:rsidRPr="00F45224">
        <w:rPr>
          <w:rStyle w:val="EndnoteReference"/>
          <w:rFonts w:ascii="Proxima Nova" w:hAnsi="Proxima Nova"/>
          <w:sz w:val="22"/>
          <w:szCs w:val="22"/>
        </w:rPr>
        <w:endnoteReference w:id="354"/>
      </w:r>
    </w:p>
    <w:p w14:paraId="773A31E6" w14:textId="77777777" w:rsidR="00C17576" w:rsidRPr="00F45224" w:rsidRDefault="00C17576" w:rsidP="00F45224">
      <w:pPr>
        <w:spacing w:line="276" w:lineRule="auto"/>
        <w:ind w:left="720" w:hanging="720"/>
        <w:rPr>
          <w:rFonts w:ascii="Proxima Nova" w:hAnsi="Proxima Nova" w:cstheme="minorBidi"/>
          <w:sz w:val="22"/>
          <w:szCs w:val="22"/>
          <w:lang w:eastAsia="en-AU"/>
        </w:rPr>
      </w:pPr>
    </w:p>
    <w:p w14:paraId="0E992AAF"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States Parties obligations in relation to equality and non-discrimination extend to the abolition of discriminatory laws, such as those that permit restrictive practices. As the UN CRPD Committee states:</w:t>
      </w:r>
    </w:p>
    <w:p w14:paraId="2507453B" w14:textId="77777777" w:rsidR="00C17576" w:rsidRPr="00F45224" w:rsidRDefault="00C17576" w:rsidP="00F45224">
      <w:pPr>
        <w:spacing w:line="276" w:lineRule="auto"/>
        <w:rPr>
          <w:rFonts w:ascii="Proxima Nova" w:hAnsi="Proxima Nova" w:cstheme="minorHAnsi"/>
          <w:sz w:val="22"/>
          <w:szCs w:val="22"/>
        </w:rPr>
      </w:pPr>
    </w:p>
    <w:p w14:paraId="22F7B11E" w14:textId="77777777" w:rsidR="00C17576" w:rsidRPr="00F45224" w:rsidRDefault="00C17576" w:rsidP="00F45224">
      <w:pPr>
        <w:autoSpaceDE w:val="0"/>
        <w:autoSpaceDN w:val="0"/>
        <w:adjustRightInd w:val="0"/>
        <w:spacing w:line="276" w:lineRule="auto"/>
        <w:ind w:left="1134"/>
        <w:rPr>
          <w:rFonts w:ascii="Proxima Nova" w:hAnsi="Proxima Nova" w:cstheme="minorHAnsi"/>
          <w:sz w:val="22"/>
          <w:szCs w:val="22"/>
        </w:rPr>
      </w:pPr>
      <w:r w:rsidRPr="00F45224">
        <w:rPr>
          <w:rFonts w:ascii="Proxima Nova" w:eastAsiaTheme="minorHAnsi" w:hAnsi="Proxima Nova" w:cstheme="minorHAnsi"/>
          <w:i/>
          <w:iCs/>
          <w:color w:val="000000"/>
          <w:sz w:val="22"/>
          <w:szCs w:val="22"/>
        </w:rPr>
        <w:t xml:space="preserve">States parties shall modify or abolish existing laws, regulations, customs and practices that constitute such discrimination. The Committee has often given examples in that regard including: guardianship laws and other rules infringing upon the right to legal capacity; </w:t>
      </w:r>
      <w:r w:rsidRPr="00F45224">
        <w:rPr>
          <w:rFonts w:ascii="Proxima Nova" w:hAnsi="Proxima Nova" w:cstheme="minorHAnsi"/>
          <w:i/>
          <w:iCs/>
          <w:sz w:val="22"/>
          <w:szCs w:val="22"/>
        </w:rPr>
        <w:t>mental health laws that legitimize forced institutionalization and forced treatment, which are discriminatory and must be abolished; non-consensual sterilization of women and girls with disabilities; inaccessible housing and institutionalization policy; segregated education laws and policies; and election laws that disenfranchise persons with disabilities.</w:t>
      </w:r>
      <w:r w:rsidRPr="00F45224">
        <w:rPr>
          <w:rStyle w:val="EndnoteReference"/>
          <w:rFonts w:ascii="Proxima Nova" w:hAnsi="Proxima Nova" w:cstheme="minorHAnsi"/>
          <w:sz w:val="22"/>
          <w:szCs w:val="22"/>
        </w:rPr>
        <w:endnoteReference w:id="355"/>
      </w:r>
    </w:p>
    <w:p w14:paraId="135286B8" w14:textId="77777777" w:rsidR="00C17576" w:rsidRPr="00F45224" w:rsidRDefault="00C17576" w:rsidP="00F45224">
      <w:pPr>
        <w:spacing w:line="276" w:lineRule="auto"/>
        <w:ind w:left="720" w:hanging="720"/>
        <w:rPr>
          <w:rFonts w:ascii="Proxima Nova" w:hAnsi="Proxima Nova" w:cstheme="minorHAnsi"/>
          <w:sz w:val="22"/>
          <w:szCs w:val="22"/>
        </w:rPr>
      </w:pPr>
    </w:p>
    <w:p w14:paraId="60070ADF"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sz w:val="22"/>
          <w:szCs w:val="22"/>
        </w:rPr>
      </w:pPr>
      <w:r w:rsidRPr="00F45224">
        <w:rPr>
          <w:rFonts w:ascii="Proxima Nova" w:hAnsi="Proxima Nova" w:cstheme="minorHAnsi"/>
          <w:sz w:val="22"/>
          <w:szCs w:val="22"/>
        </w:rPr>
        <w:t>As well as abolishing discriminatory laws, in implementing Article 5, States Parties are also required to: ‘</w:t>
      </w:r>
      <w:r w:rsidRPr="00F45224">
        <w:rPr>
          <w:rFonts w:ascii="Proxima Nova" w:hAnsi="Proxima Nova"/>
          <w:sz w:val="22"/>
          <w:szCs w:val="22"/>
        </w:rPr>
        <w:t>[e]stablish accessible and effective redress mechanisms and ensure access to justice, on an equal basis with others, for victims of discrimination based on disability.’</w:t>
      </w:r>
      <w:r w:rsidRPr="00F45224">
        <w:rPr>
          <w:rStyle w:val="EndnoteReference"/>
          <w:rFonts w:ascii="Proxima Nova" w:hAnsi="Proxima Nova"/>
          <w:sz w:val="22"/>
          <w:szCs w:val="22"/>
        </w:rPr>
        <w:endnoteReference w:id="356"/>
      </w:r>
    </w:p>
    <w:p w14:paraId="0938F88A" w14:textId="77777777" w:rsidR="00C17576" w:rsidRPr="00F45224" w:rsidRDefault="00C17576" w:rsidP="00F45224">
      <w:pPr>
        <w:spacing w:line="276" w:lineRule="auto"/>
        <w:ind w:left="720" w:hanging="720"/>
        <w:rPr>
          <w:rFonts w:ascii="Proxima Nova" w:hAnsi="Proxima Nova" w:cstheme="minorHAnsi"/>
          <w:sz w:val="22"/>
          <w:szCs w:val="22"/>
        </w:rPr>
      </w:pPr>
    </w:p>
    <w:p w14:paraId="69A36C58"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 xml:space="preserve">Through CRPD General Comment 6 (Equality and non-discrimination) the UN CRPD Committee has provided authoritative guidance on the implementation of, and intersection between other CRPD Articles including 12, 14, 15, 16, 17 and 19 and CRPD Article 5 (Equality and non-discrimination). The Committee has clarified for example, that: </w:t>
      </w:r>
    </w:p>
    <w:p w14:paraId="3D805E3C" w14:textId="77777777" w:rsidR="00C17576" w:rsidRPr="00F45224" w:rsidRDefault="00C17576" w:rsidP="00F45224">
      <w:pPr>
        <w:pStyle w:val="ListParagraph"/>
        <w:spacing w:line="276" w:lineRule="auto"/>
        <w:ind w:hanging="720"/>
        <w:contextualSpacing w:val="0"/>
        <w:rPr>
          <w:rFonts w:ascii="Proxima Nova" w:hAnsi="Proxima Nova" w:cstheme="minorHAnsi"/>
          <w:sz w:val="22"/>
          <w:szCs w:val="22"/>
        </w:rPr>
      </w:pPr>
    </w:p>
    <w:p w14:paraId="00ABFDB7" w14:textId="77777777" w:rsidR="00C17576" w:rsidRPr="00F45224" w:rsidRDefault="00C17576" w:rsidP="00F45224">
      <w:pPr>
        <w:pStyle w:val="ListParagraph"/>
        <w:spacing w:line="276" w:lineRule="auto"/>
        <w:ind w:left="1134"/>
        <w:contextualSpacing w:val="0"/>
        <w:rPr>
          <w:rFonts w:ascii="Proxima Nova" w:hAnsi="Proxima Nova" w:cstheme="minorHAnsi"/>
          <w:sz w:val="22"/>
          <w:szCs w:val="22"/>
        </w:rPr>
      </w:pPr>
      <w:r w:rsidRPr="00F45224">
        <w:rPr>
          <w:rFonts w:ascii="Proxima Nova" w:hAnsi="Proxima Nova" w:cstheme="minorHAnsi"/>
          <w:i/>
          <w:iCs/>
          <w:sz w:val="22"/>
          <w:szCs w:val="22"/>
        </w:rPr>
        <w:t>Persons with disabilities can be disproportionately affected by violence, abuse and other cruel and degrading punishment, which can take the form of restraint or segregation as well as violent assault. The Committee is particularly concerned about the following acts committed against persons with disabilities, including children on the grounds of impairment, which by definition are discriminatory: separation of children with disabilities from their families and forced placement in institutions; deprivation of liberty; torture or cruel, inhuman or degrading treatment or punishment; violence; and the forced treatment of persons with disabilities inside and outside of mental health facilities. States parties must take all appropriate measures, to provide protection from and prevent all forms of exploitation, violence and abuse against persons with disabilities. Forced corrective disability treatments should be prohibited.</w:t>
      </w:r>
      <w:r w:rsidRPr="00F45224">
        <w:rPr>
          <w:rStyle w:val="EndnoteReference"/>
          <w:rFonts w:ascii="Proxima Nova" w:hAnsi="Proxima Nova" w:cstheme="minorHAnsi"/>
          <w:sz w:val="22"/>
          <w:szCs w:val="22"/>
        </w:rPr>
        <w:endnoteReference w:id="357"/>
      </w:r>
    </w:p>
    <w:p w14:paraId="613107C1" w14:textId="77777777" w:rsidR="00C17576" w:rsidRPr="00F45224" w:rsidRDefault="00C17576" w:rsidP="00F45224">
      <w:pPr>
        <w:spacing w:line="276" w:lineRule="auto"/>
        <w:rPr>
          <w:rFonts w:ascii="Proxima Nova" w:hAnsi="Proxima Nova" w:cstheme="minorHAnsi"/>
          <w:sz w:val="22"/>
          <w:szCs w:val="22"/>
        </w:rPr>
      </w:pPr>
    </w:p>
    <w:p w14:paraId="310372BF" w14:textId="44295BA3"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lastRenderedPageBreak/>
        <w:t>People with disability, including women and girls with disability, have their rights articulated and upheld through all the international human rights treaties to which Australia is a party.</w:t>
      </w:r>
      <w:r w:rsidRPr="00F45224">
        <w:rPr>
          <w:rStyle w:val="EndnoteReference"/>
          <w:rFonts w:ascii="Proxima Nova" w:hAnsi="Proxima Nova" w:cstheme="minorHAnsi"/>
          <w:sz w:val="22"/>
          <w:szCs w:val="22"/>
        </w:rPr>
        <w:endnoteReference w:id="358"/>
      </w:r>
      <w:r w:rsidRPr="00F45224">
        <w:rPr>
          <w:rFonts w:ascii="Proxima Nova" w:hAnsi="Proxima Nova" w:cstheme="minorHAnsi"/>
          <w:sz w:val="22"/>
          <w:szCs w:val="22"/>
        </w:rPr>
        <w:t xml:space="preserve"> Prior to the development and adoption of the CRPD, the application of human rights to the issues and concerns of people with disability were largely invisible and not addressed.</w:t>
      </w:r>
      <w:r w:rsidRPr="00F45224">
        <w:rPr>
          <w:rStyle w:val="EndnoteReference"/>
          <w:rFonts w:ascii="Proxima Nova" w:hAnsi="Proxima Nova" w:cstheme="minorHAnsi"/>
          <w:sz w:val="22"/>
          <w:szCs w:val="22"/>
        </w:rPr>
        <w:endnoteReference w:id="359"/>
      </w:r>
      <w:r w:rsidRPr="00F45224">
        <w:rPr>
          <w:rFonts w:ascii="Proxima Nova" w:hAnsi="Proxima Nova" w:cstheme="minorHAnsi"/>
          <w:sz w:val="22"/>
          <w:szCs w:val="22"/>
        </w:rPr>
        <w:t xml:space="preserve"> The CRPD is a response to this lack of recognition of the rights of persons with disability. Until the CRPD, specific issues and concerns for women and girls with disability were mainly articulated, in varying degrees, within the jurisprudence developed under the CEDAW</w:t>
      </w:r>
      <w:r w:rsidRPr="00F45224">
        <w:rPr>
          <w:rStyle w:val="EndnoteReference"/>
          <w:rFonts w:ascii="Proxima Nova" w:hAnsi="Proxima Nova" w:cstheme="minorHAnsi"/>
          <w:sz w:val="22"/>
          <w:szCs w:val="22"/>
        </w:rPr>
        <w:endnoteReference w:id="360"/>
      </w:r>
      <w:r w:rsidRPr="00F45224">
        <w:rPr>
          <w:rFonts w:ascii="Proxima Nova" w:hAnsi="Proxima Nova" w:cstheme="minorHAnsi"/>
          <w:sz w:val="22"/>
          <w:szCs w:val="22"/>
        </w:rPr>
        <w:t xml:space="preserve"> and the Convention on the Rights of the Child.</w:t>
      </w:r>
      <w:r w:rsidRPr="00F45224">
        <w:rPr>
          <w:rStyle w:val="EndnoteReference"/>
          <w:rFonts w:ascii="Proxima Nova" w:hAnsi="Proxima Nova" w:cstheme="minorHAnsi"/>
          <w:sz w:val="22"/>
          <w:szCs w:val="22"/>
        </w:rPr>
        <w:endnoteReference w:id="361"/>
      </w:r>
      <w:r w:rsidRPr="00F45224">
        <w:rPr>
          <w:rFonts w:ascii="Proxima Nova" w:hAnsi="Proxima Nova" w:cstheme="minorHAnsi"/>
          <w:sz w:val="22"/>
          <w:szCs w:val="22"/>
        </w:rPr>
        <w:t xml:space="preserve">  </w:t>
      </w:r>
    </w:p>
    <w:p w14:paraId="6C55E373" w14:textId="77777777" w:rsidR="00C17576" w:rsidRPr="00F45224" w:rsidRDefault="00C17576" w:rsidP="00F45224">
      <w:pPr>
        <w:pStyle w:val="ListParagraph"/>
        <w:spacing w:line="276" w:lineRule="auto"/>
        <w:ind w:hanging="720"/>
        <w:contextualSpacing w:val="0"/>
        <w:rPr>
          <w:rFonts w:ascii="Proxima Nova" w:hAnsi="Proxima Nova" w:cstheme="minorHAnsi"/>
          <w:sz w:val="22"/>
          <w:szCs w:val="22"/>
        </w:rPr>
      </w:pPr>
    </w:p>
    <w:p w14:paraId="3603995B"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However, the CRPD explicitly acknowledges different layers or intersections of identity, through paragraph (p) of its preamble:</w:t>
      </w:r>
    </w:p>
    <w:p w14:paraId="431F0529" w14:textId="77777777" w:rsidR="00C17576" w:rsidRPr="00F45224" w:rsidRDefault="00C17576" w:rsidP="00F45224">
      <w:pPr>
        <w:spacing w:line="276" w:lineRule="auto"/>
        <w:rPr>
          <w:rFonts w:ascii="Proxima Nova" w:hAnsi="Proxima Nova" w:cstheme="minorHAnsi"/>
          <w:sz w:val="22"/>
          <w:szCs w:val="22"/>
        </w:rPr>
      </w:pPr>
    </w:p>
    <w:p w14:paraId="1815CC37" w14:textId="77777777" w:rsidR="00C17576" w:rsidRPr="00F45224" w:rsidRDefault="00C17576" w:rsidP="00F45224">
      <w:pPr>
        <w:pStyle w:val="ListParagraph"/>
        <w:spacing w:line="276" w:lineRule="auto"/>
        <w:ind w:left="1134"/>
        <w:contextualSpacing w:val="0"/>
        <w:rPr>
          <w:rFonts w:ascii="Proxima Nova" w:hAnsi="Proxima Nova" w:cstheme="minorHAnsi"/>
          <w:i/>
          <w:iCs/>
          <w:sz w:val="22"/>
          <w:szCs w:val="22"/>
        </w:rPr>
      </w:pPr>
      <w:r w:rsidRPr="00F45224">
        <w:rPr>
          <w:rFonts w:ascii="Proxima Nova" w:hAnsi="Proxima Nova" w:cstheme="minorHAnsi"/>
          <w:i/>
          <w:iCs/>
          <w:sz w:val="22"/>
          <w:szCs w:val="22"/>
        </w:rPr>
        <w:t xml:space="preserve">Concerned about the difficult conditions faced by persons with disabilities who are subject to multiple and aggravated forms of discrimination </w:t>
      </w:r>
      <w:proofErr w:type="gramStart"/>
      <w:r w:rsidRPr="00F45224">
        <w:rPr>
          <w:rFonts w:ascii="Proxima Nova" w:hAnsi="Proxima Nova" w:cstheme="minorHAnsi"/>
          <w:i/>
          <w:iCs/>
          <w:sz w:val="22"/>
          <w:szCs w:val="22"/>
        </w:rPr>
        <w:t>on the basis of</w:t>
      </w:r>
      <w:proofErr w:type="gramEnd"/>
      <w:r w:rsidRPr="00F45224">
        <w:rPr>
          <w:rFonts w:ascii="Proxima Nova" w:hAnsi="Proxima Nova" w:cstheme="minorHAnsi"/>
          <w:i/>
          <w:iCs/>
          <w:sz w:val="22"/>
          <w:szCs w:val="22"/>
        </w:rPr>
        <w:t xml:space="preserve"> race, colour, sex, language, religion, political or other opinion, national, ethnic, indigenous or social origin, property, birth, age or other status.</w:t>
      </w:r>
    </w:p>
    <w:p w14:paraId="1748170D" w14:textId="156C6208" w:rsidR="00C17576" w:rsidRPr="00F45224" w:rsidRDefault="00C17576" w:rsidP="00F45224">
      <w:pPr>
        <w:spacing w:line="276" w:lineRule="auto"/>
        <w:ind w:left="567" w:hanging="567"/>
        <w:rPr>
          <w:rFonts w:ascii="Proxima Nova" w:hAnsi="Proxima Nova" w:cstheme="minorHAnsi"/>
          <w:sz w:val="22"/>
          <w:szCs w:val="22"/>
        </w:rPr>
      </w:pPr>
    </w:p>
    <w:p w14:paraId="43A9029F"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Intersectionality is a key element of the human rights approach to disability required by the CRPD. Women and girls with disability are among those groups of persons with disability who most often experience multiple and intersectional discrimination. As the UN CRPD Committee observes:</w:t>
      </w:r>
    </w:p>
    <w:p w14:paraId="45D670BE" w14:textId="77777777" w:rsidR="00C17576" w:rsidRPr="00F45224" w:rsidRDefault="00C17576" w:rsidP="00F45224">
      <w:pPr>
        <w:spacing w:line="276" w:lineRule="auto"/>
        <w:rPr>
          <w:rFonts w:ascii="Proxima Nova" w:hAnsi="Proxima Nova" w:cstheme="minorHAnsi"/>
          <w:sz w:val="22"/>
          <w:szCs w:val="22"/>
        </w:rPr>
      </w:pPr>
    </w:p>
    <w:p w14:paraId="4EB000D7" w14:textId="77777777" w:rsidR="00C17576" w:rsidRPr="00F45224" w:rsidRDefault="00C17576" w:rsidP="00F45224">
      <w:pPr>
        <w:pStyle w:val="ListParagraph"/>
        <w:spacing w:line="276" w:lineRule="auto"/>
        <w:ind w:left="1134"/>
        <w:contextualSpacing w:val="0"/>
        <w:rPr>
          <w:rFonts w:ascii="Proxima Nova" w:hAnsi="Proxima Nova" w:cstheme="minorHAnsi"/>
          <w:sz w:val="22"/>
          <w:szCs w:val="22"/>
        </w:rPr>
      </w:pPr>
      <w:r w:rsidRPr="00F45224">
        <w:rPr>
          <w:rFonts w:ascii="Proxima Nova" w:hAnsi="Proxima Nova" w:cstheme="minorHAnsi"/>
          <w:i/>
          <w:iCs/>
          <w:color w:val="000000"/>
          <w:sz w:val="22"/>
          <w:szCs w:val="22"/>
          <w:lang w:val="en-AU"/>
        </w:rPr>
        <w:t>There is strong evidence to show that women and girls with disabilities face barriers in most areas of life. These barriers create situations of multiple and intersecting forms of discrimination against women and girls with disabilities, in particular with regard to: equal access to education, economic opportunities, social interaction and justice; equal recognition before the law; and the ability to participate in politics and to exercise control over their own lives across a range of contexts, for example with regard to health care, including sexual and reproductive health services, and to where and with whom they wish to live.</w:t>
      </w:r>
      <w:r w:rsidRPr="00F45224">
        <w:rPr>
          <w:rStyle w:val="EndnoteReference"/>
          <w:rFonts w:ascii="Proxima Nova" w:hAnsi="Proxima Nova" w:cstheme="minorHAnsi"/>
          <w:color w:val="000000"/>
          <w:sz w:val="22"/>
          <w:szCs w:val="22"/>
          <w:lang w:val="en-AU"/>
        </w:rPr>
        <w:endnoteReference w:id="362"/>
      </w:r>
    </w:p>
    <w:p w14:paraId="511D0D73" w14:textId="77777777" w:rsidR="00C17576" w:rsidRPr="00F45224" w:rsidRDefault="00C17576" w:rsidP="00F45224">
      <w:pPr>
        <w:spacing w:line="276" w:lineRule="auto"/>
        <w:ind w:left="720" w:hanging="720"/>
        <w:rPr>
          <w:rFonts w:ascii="Proxima Nova" w:hAnsi="Proxima Nova" w:cstheme="minorHAnsi"/>
          <w:sz w:val="22"/>
          <w:szCs w:val="22"/>
        </w:rPr>
      </w:pPr>
    </w:p>
    <w:p w14:paraId="6299CA58"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Article 5 is complemented by Article 6 of the CRPD which is a binding equality and non-discrimination article that prohibits discrimination against women and girls with disabilities, obliging States Parties to promote equality of both opportunity and outcomes.</w:t>
      </w:r>
      <w:bookmarkStart w:id="60" w:name="OLE_LINK3"/>
      <w:bookmarkStart w:id="61" w:name="OLE_LINK4"/>
      <w:bookmarkEnd w:id="60"/>
      <w:bookmarkEnd w:id="61"/>
      <w:r w:rsidRPr="00F45224">
        <w:rPr>
          <w:rFonts w:ascii="Proxima Nova" w:hAnsi="Proxima Nova" w:cstheme="minorHAnsi"/>
          <w:sz w:val="22"/>
          <w:szCs w:val="22"/>
        </w:rPr>
        <w:t xml:space="preserve"> Article 6 recognises ‘that women and girls with disabilities are subject to multiple discrimination’,</w:t>
      </w:r>
      <w:r w:rsidRPr="00F45224">
        <w:rPr>
          <w:rStyle w:val="EndnoteReference"/>
          <w:rFonts w:ascii="Proxima Nova" w:hAnsi="Proxima Nova" w:cstheme="minorHAnsi"/>
          <w:sz w:val="22"/>
          <w:szCs w:val="22"/>
        </w:rPr>
        <w:endnoteReference w:id="363"/>
      </w:r>
      <w:r w:rsidRPr="00F45224">
        <w:rPr>
          <w:rFonts w:ascii="Proxima Nova" w:hAnsi="Proxima Nova" w:cstheme="minorHAnsi"/>
          <w:sz w:val="22"/>
          <w:szCs w:val="22"/>
        </w:rPr>
        <w:t xml:space="preserve"> which establishes ‘the first binding intersectionality clause in a human rights treaty.’</w:t>
      </w:r>
      <w:r w:rsidRPr="00F45224">
        <w:rPr>
          <w:rStyle w:val="EndnoteReference"/>
          <w:rFonts w:ascii="Proxima Nova" w:hAnsi="Proxima Nova" w:cstheme="minorHAnsi"/>
          <w:sz w:val="22"/>
          <w:szCs w:val="22"/>
        </w:rPr>
        <w:endnoteReference w:id="364"/>
      </w:r>
      <w:r w:rsidRPr="00F45224">
        <w:rPr>
          <w:rFonts w:ascii="Proxima Nova" w:hAnsi="Proxima Nova" w:cstheme="minorHAnsi"/>
          <w:sz w:val="22"/>
          <w:szCs w:val="22"/>
        </w:rPr>
        <w:t xml:space="preserve"> </w:t>
      </w:r>
    </w:p>
    <w:p w14:paraId="40F47C71" w14:textId="77777777" w:rsidR="00C17576" w:rsidRPr="00F45224" w:rsidRDefault="00C17576" w:rsidP="00F45224">
      <w:pPr>
        <w:spacing w:line="276" w:lineRule="auto"/>
        <w:ind w:left="720" w:hanging="720"/>
        <w:rPr>
          <w:rFonts w:ascii="Proxima Nova" w:hAnsi="Proxima Nova" w:cstheme="minorHAnsi"/>
          <w:sz w:val="22"/>
          <w:szCs w:val="22"/>
        </w:rPr>
      </w:pPr>
    </w:p>
    <w:p w14:paraId="7E56D928" w14:textId="27FB579D"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In its General Comment 3 (</w:t>
      </w:r>
      <w:r w:rsidR="00F20CA2" w:rsidRPr="00F45224">
        <w:rPr>
          <w:rFonts w:ascii="Proxima Nova" w:hAnsi="Proxima Nova" w:cstheme="minorHAnsi"/>
          <w:sz w:val="22"/>
          <w:szCs w:val="22"/>
        </w:rPr>
        <w:t>Women and G</w:t>
      </w:r>
      <w:r w:rsidRPr="00F45224">
        <w:rPr>
          <w:rFonts w:ascii="Proxima Nova" w:hAnsi="Proxima Nova" w:cstheme="minorHAnsi"/>
          <w:sz w:val="22"/>
          <w:szCs w:val="22"/>
        </w:rPr>
        <w:t xml:space="preserve">irls with </w:t>
      </w:r>
      <w:r w:rsidR="00F20CA2" w:rsidRPr="00F45224">
        <w:rPr>
          <w:rFonts w:ascii="Proxima Nova" w:hAnsi="Proxima Nova" w:cstheme="minorHAnsi"/>
          <w:sz w:val="22"/>
          <w:szCs w:val="22"/>
        </w:rPr>
        <w:t>D</w:t>
      </w:r>
      <w:r w:rsidRPr="00F45224">
        <w:rPr>
          <w:rFonts w:ascii="Proxima Nova" w:hAnsi="Proxima Nova" w:cstheme="minorHAnsi"/>
          <w:sz w:val="22"/>
          <w:szCs w:val="22"/>
        </w:rPr>
        <w:t>isabilities), the UN CRPD Committee recognises that the discrimination women and girls with disability experience can constitute ‘structural discrimination’:</w:t>
      </w:r>
    </w:p>
    <w:p w14:paraId="64D5D920" w14:textId="77777777" w:rsidR="00C17576" w:rsidRPr="00F45224" w:rsidRDefault="00C17576" w:rsidP="00F45224">
      <w:pPr>
        <w:pStyle w:val="ListParagraph"/>
        <w:spacing w:line="276" w:lineRule="auto"/>
        <w:ind w:hanging="720"/>
        <w:contextualSpacing w:val="0"/>
        <w:rPr>
          <w:rFonts w:ascii="Proxima Nova" w:hAnsi="Proxima Nova" w:cstheme="minorHAnsi"/>
          <w:sz w:val="22"/>
          <w:szCs w:val="22"/>
        </w:rPr>
      </w:pPr>
    </w:p>
    <w:p w14:paraId="7AF79BBB" w14:textId="77777777" w:rsidR="00C17576" w:rsidRPr="00F45224" w:rsidRDefault="00C17576" w:rsidP="00F45224">
      <w:pPr>
        <w:autoSpaceDE w:val="0"/>
        <w:autoSpaceDN w:val="0"/>
        <w:adjustRightInd w:val="0"/>
        <w:spacing w:line="276" w:lineRule="auto"/>
        <w:ind w:left="1134"/>
        <w:rPr>
          <w:rFonts w:ascii="Proxima Nova" w:hAnsi="Proxima Nova" w:cstheme="minorHAnsi"/>
          <w:sz w:val="22"/>
          <w:szCs w:val="22"/>
        </w:rPr>
      </w:pPr>
      <w:r w:rsidRPr="00F45224">
        <w:rPr>
          <w:rFonts w:ascii="Proxima Nova" w:eastAsiaTheme="minorHAnsi" w:hAnsi="Proxima Nova" w:cstheme="minorHAnsi"/>
          <w:i/>
          <w:iCs/>
          <w:color w:val="000000"/>
          <w:sz w:val="22"/>
          <w:szCs w:val="22"/>
        </w:rPr>
        <w:t xml:space="preserve">Structural, or systemic, discrimination is reflected in hidden or overt patterns of discriminatory institutional behaviour, discriminatory cultural traditions and discriminatory social norms and/or rules. Harmful gender and disability stereotyping, which can lead to such discrimination, is inextricably linked to a lack of policies, regulations and services specifically for women with disabilities. For example, owing to stereotyping based on the intersection of gender and disability, women with disabilities may face barriers when </w:t>
      </w:r>
      <w:r w:rsidRPr="00F45224">
        <w:rPr>
          <w:rFonts w:ascii="Proxima Nova" w:hAnsi="Proxima Nova" w:cstheme="minorHAnsi"/>
          <w:i/>
          <w:iCs/>
          <w:sz w:val="22"/>
          <w:szCs w:val="22"/>
        </w:rPr>
        <w:t>reporting violence, such as disbelief and dismissal by the police, prosecutors and courts. … The lack of awareness, training and policies to prevent harmful stereotyping of women with disabilities by public officials, be they teachers, health service providers, police officers, prosecutors or judges, and by the public at large can often lead to the violation of rights.</w:t>
      </w:r>
      <w:r w:rsidRPr="00F45224">
        <w:rPr>
          <w:rStyle w:val="EndnoteReference"/>
          <w:rFonts w:ascii="Proxima Nova" w:hAnsi="Proxima Nova" w:cstheme="minorHAnsi"/>
          <w:sz w:val="22"/>
          <w:szCs w:val="22"/>
        </w:rPr>
        <w:endnoteReference w:id="365"/>
      </w:r>
    </w:p>
    <w:p w14:paraId="081E3F7C" w14:textId="77777777" w:rsidR="00C17576" w:rsidRPr="00F45224" w:rsidRDefault="00C17576" w:rsidP="00F45224">
      <w:pPr>
        <w:spacing w:line="276" w:lineRule="auto"/>
        <w:ind w:left="720" w:hanging="720"/>
        <w:rPr>
          <w:rFonts w:ascii="Proxima Nova" w:hAnsi="Proxima Nova" w:cstheme="minorHAnsi"/>
          <w:sz w:val="22"/>
          <w:szCs w:val="22"/>
        </w:rPr>
      </w:pPr>
    </w:p>
    <w:p w14:paraId="0B7636EA" w14:textId="66470E55"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 xml:space="preserve">General Comment 3 (Women and </w:t>
      </w:r>
      <w:r w:rsidR="00F20CA2" w:rsidRPr="00F45224">
        <w:rPr>
          <w:rFonts w:ascii="Proxima Nova" w:hAnsi="Proxima Nova" w:cstheme="minorHAnsi"/>
          <w:sz w:val="22"/>
          <w:szCs w:val="22"/>
        </w:rPr>
        <w:t>Girls with D</w:t>
      </w:r>
      <w:r w:rsidRPr="00F45224">
        <w:rPr>
          <w:rFonts w:ascii="Proxima Nova" w:hAnsi="Proxima Nova" w:cstheme="minorHAnsi"/>
          <w:sz w:val="22"/>
          <w:szCs w:val="22"/>
        </w:rPr>
        <w:t>isabilities) specifically recognises that women and girls with disability are more likely to be discriminated against than men and boys with disability and women and girls without disability.</w:t>
      </w:r>
      <w:r w:rsidRPr="00F45224">
        <w:rPr>
          <w:rStyle w:val="EndnoteReference"/>
          <w:rFonts w:ascii="Proxima Nova" w:hAnsi="Proxima Nova" w:cstheme="minorHAnsi"/>
          <w:sz w:val="22"/>
          <w:szCs w:val="22"/>
        </w:rPr>
        <w:endnoteReference w:id="366"/>
      </w:r>
      <w:r w:rsidRPr="00F45224">
        <w:rPr>
          <w:rFonts w:ascii="Proxima Nova" w:hAnsi="Proxima Nova" w:cstheme="minorHAnsi"/>
          <w:sz w:val="22"/>
          <w:szCs w:val="22"/>
        </w:rPr>
        <w:t xml:space="preserve"> This General Comment highlights that women and girls with disability experience the ‘same harmful practices’</w:t>
      </w:r>
      <w:r w:rsidRPr="00F45224">
        <w:rPr>
          <w:rStyle w:val="EndnoteReference"/>
          <w:rFonts w:ascii="Proxima Nova" w:hAnsi="Proxima Nova" w:cstheme="minorHAnsi"/>
          <w:sz w:val="22"/>
          <w:szCs w:val="22"/>
        </w:rPr>
        <w:endnoteReference w:id="367"/>
      </w:r>
      <w:r w:rsidRPr="00F45224">
        <w:rPr>
          <w:rFonts w:ascii="Proxima Nova" w:hAnsi="Proxima Nova" w:cstheme="minorHAnsi"/>
          <w:sz w:val="22"/>
          <w:szCs w:val="22"/>
        </w:rPr>
        <w:t xml:space="preserve"> committed against </w:t>
      </w:r>
      <w:r w:rsidRPr="00F45224">
        <w:rPr>
          <w:rFonts w:ascii="Proxima Nova" w:hAnsi="Proxima Nova" w:cstheme="minorHAnsi"/>
          <w:sz w:val="22"/>
          <w:szCs w:val="22"/>
        </w:rPr>
        <w:lastRenderedPageBreak/>
        <w:t>women without disability but also experience specific and unique forms of violence. This includes: the absence of free and informed consent and legal compulsory detention and treatment; economic exploitation; violations of sexual and reproductive rights; and forms of violence that constitute torture and ill-treatment, such as forced or coerced sterilisation, the administration of electroshock treatment and the use of chemical, physical or mechanical restraints, and isolation and seclusion.</w:t>
      </w:r>
      <w:r w:rsidRPr="00F45224">
        <w:rPr>
          <w:rStyle w:val="EndnoteReference"/>
          <w:rFonts w:ascii="Proxima Nova" w:hAnsi="Proxima Nova" w:cstheme="minorHAnsi"/>
          <w:sz w:val="22"/>
          <w:szCs w:val="22"/>
        </w:rPr>
        <w:endnoteReference w:id="368"/>
      </w:r>
    </w:p>
    <w:p w14:paraId="512571B1" w14:textId="77777777" w:rsidR="00C17576" w:rsidRPr="00F45224" w:rsidRDefault="00C17576" w:rsidP="00F45224">
      <w:pPr>
        <w:spacing w:line="276" w:lineRule="auto"/>
        <w:ind w:left="720" w:hanging="720"/>
        <w:rPr>
          <w:rFonts w:ascii="Proxima Nova" w:hAnsi="Proxima Nova" w:cstheme="minorHAnsi"/>
          <w:sz w:val="22"/>
          <w:szCs w:val="22"/>
        </w:rPr>
      </w:pPr>
    </w:p>
    <w:p w14:paraId="24878678"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Article 6 is a cross-cutting article that relates to all other articles of the CRPD.</w:t>
      </w:r>
      <w:r w:rsidRPr="00F45224">
        <w:rPr>
          <w:rStyle w:val="EndnoteReference"/>
          <w:rFonts w:ascii="Proxima Nova" w:hAnsi="Proxima Nova" w:cstheme="minorHAnsi"/>
          <w:sz w:val="22"/>
          <w:szCs w:val="22"/>
        </w:rPr>
        <w:endnoteReference w:id="369"/>
      </w:r>
      <w:r w:rsidRPr="00F45224">
        <w:rPr>
          <w:rFonts w:ascii="Proxima Nova" w:hAnsi="Proxima Nova" w:cstheme="minorHAnsi"/>
          <w:sz w:val="22"/>
          <w:szCs w:val="22"/>
        </w:rPr>
        <w:t xml:space="preserve"> This means that the issues and concerns of women and girls with disability must be included in all actions to implement the CRPD, including the implementation of ‘positive measures… to ensure that women with disabilities are protected against multiple discrimination and can enjoy human rights and fundamental freedoms on an equal basis with others.’</w:t>
      </w:r>
      <w:r w:rsidRPr="00F45224">
        <w:rPr>
          <w:rStyle w:val="EndnoteReference"/>
          <w:rFonts w:ascii="Proxima Nova" w:hAnsi="Proxima Nova" w:cstheme="minorHAnsi"/>
          <w:sz w:val="22"/>
          <w:szCs w:val="22"/>
        </w:rPr>
        <w:endnoteReference w:id="370"/>
      </w:r>
      <w:r w:rsidRPr="00F45224">
        <w:rPr>
          <w:rFonts w:ascii="Proxima Nova" w:hAnsi="Proxima Nova" w:cstheme="minorHAnsi"/>
          <w:sz w:val="22"/>
          <w:szCs w:val="22"/>
        </w:rPr>
        <w:t xml:space="preserve"> </w:t>
      </w:r>
    </w:p>
    <w:p w14:paraId="7E3E6409" w14:textId="77777777" w:rsidR="00C17576" w:rsidRPr="00F45224" w:rsidRDefault="00C17576" w:rsidP="00F45224">
      <w:pPr>
        <w:pStyle w:val="ListParagraph"/>
        <w:spacing w:line="276" w:lineRule="auto"/>
        <w:ind w:hanging="720"/>
        <w:contextualSpacing w:val="0"/>
        <w:rPr>
          <w:rFonts w:ascii="Proxima Nova" w:hAnsi="Proxima Nova" w:cstheme="minorHAnsi"/>
          <w:sz w:val="22"/>
          <w:szCs w:val="22"/>
        </w:rPr>
      </w:pPr>
    </w:p>
    <w:p w14:paraId="3A90A12F"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Article 6 ensures that the CRPD is not gender neutral, and this is reinforced by other elements within the CRPD:</w:t>
      </w:r>
    </w:p>
    <w:p w14:paraId="598461E9" w14:textId="77777777" w:rsidR="00C17576" w:rsidRPr="00F45224" w:rsidRDefault="00C17576" w:rsidP="00F45224">
      <w:pPr>
        <w:pStyle w:val="ListParagraph"/>
        <w:numPr>
          <w:ilvl w:val="0"/>
          <w:numId w:val="37"/>
        </w:numPr>
        <w:snapToGrid w:val="0"/>
        <w:spacing w:line="276" w:lineRule="auto"/>
        <w:ind w:left="1077" w:hanging="357"/>
        <w:rPr>
          <w:rFonts w:ascii="Proxima Nova" w:hAnsi="Proxima Nova" w:cstheme="minorHAnsi"/>
          <w:sz w:val="22"/>
          <w:szCs w:val="22"/>
        </w:rPr>
      </w:pPr>
      <w:r w:rsidRPr="00F45224">
        <w:rPr>
          <w:rFonts w:ascii="Proxima Nova" w:hAnsi="Proxima Nova" w:cstheme="minorHAnsi"/>
          <w:sz w:val="22"/>
          <w:szCs w:val="22"/>
        </w:rPr>
        <w:t xml:space="preserve">Preamble paragraph (s) states, ‘[e]mphasising the need to incorporate a gender perspective in all efforts to promote the full enjoyment of human rights and fundamental freedoms by persons with </w:t>
      </w:r>
      <w:proofErr w:type="gramStart"/>
      <w:r w:rsidRPr="00F45224">
        <w:rPr>
          <w:rFonts w:ascii="Proxima Nova" w:hAnsi="Proxima Nova" w:cstheme="minorHAnsi"/>
          <w:sz w:val="22"/>
          <w:szCs w:val="22"/>
        </w:rPr>
        <w:t>disabilities’;</w:t>
      </w:r>
      <w:proofErr w:type="gramEnd"/>
    </w:p>
    <w:p w14:paraId="46AD1FAE" w14:textId="77777777" w:rsidR="00C17576" w:rsidRPr="00F45224" w:rsidRDefault="00C17576" w:rsidP="00F45224">
      <w:pPr>
        <w:pStyle w:val="ListParagraph"/>
        <w:numPr>
          <w:ilvl w:val="0"/>
          <w:numId w:val="37"/>
        </w:numPr>
        <w:snapToGrid w:val="0"/>
        <w:spacing w:line="276" w:lineRule="auto"/>
        <w:ind w:left="1077" w:hanging="357"/>
        <w:rPr>
          <w:rFonts w:ascii="Proxima Nova" w:hAnsi="Proxima Nova" w:cstheme="minorHAnsi"/>
          <w:sz w:val="22"/>
          <w:szCs w:val="22"/>
        </w:rPr>
      </w:pPr>
      <w:r w:rsidRPr="00F45224">
        <w:rPr>
          <w:rFonts w:ascii="Proxima Nova" w:hAnsi="Proxima Nova" w:cstheme="minorHAnsi"/>
          <w:sz w:val="22"/>
          <w:szCs w:val="22"/>
        </w:rPr>
        <w:t xml:space="preserve">Article 3(g) contains the principle ‘Equality between men and women’; and </w:t>
      </w:r>
    </w:p>
    <w:p w14:paraId="7AA52F99" w14:textId="77777777" w:rsidR="00C17576" w:rsidRPr="00F45224" w:rsidRDefault="00C17576" w:rsidP="00F45224">
      <w:pPr>
        <w:pStyle w:val="ListParagraph"/>
        <w:numPr>
          <w:ilvl w:val="0"/>
          <w:numId w:val="37"/>
        </w:numPr>
        <w:spacing w:line="276" w:lineRule="auto"/>
        <w:ind w:left="1077" w:hanging="357"/>
        <w:rPr>
          <w:rFonts w:ascii="Proxima Nova" w:hAnsi="Proxima Nova" w:cstheme="minorHAnsi"/>
          <w:sz w:val="22"/>
          <w:szCs w:val="22"/>
        </w:rPr>
      </w:pPr>
      <w:r w:rsidRPr="00F45224">
        <w:rPr>
          <w:rFonts w:ascii="Proxima Nova" w:hAnsi="Proxima Nova" w:cstheme="minorHAnsi"/>
          <w:sz w:val="22"/>
          <w:szCs w:val="22"/>
        </w:rPr>
        <w:t>Specific ‘sex’, ‘gender’ and ‘age’ references are included throughout the CRPD.</w:t>
      </w:r>
      <w:r w:rsidRPr="00F45224">
        <w:rPr>
          <w:rStyle w:val="EndnoteReference"/>
          <w:rFonts w:ascii="Proxima Nova" w:hAnsi="Proxima Nova" w:cstheme="minorHAnsi"/>
          <w:sz w:val="22"/>
          <w:szCs w:val="22"/>
        </w:rPr>
        <w:endnoteReference w:id="371"/>
      </w:r>
    </w:p>
    <w:p w14:paraId="2E1FF52C" w14:textId="77777777" w:rsidR="00C17576" w:rsidRPr="00F45224" w:rsidRDefault="00C17576" w:rsidP="00F45224">
      <w:pPr>
        <w:spacing w:line="276" w:lineRule="auto"/>
        <w:ind w:left="720" w:hanging="720"/>
        <w:rPr>
          <w:rFonts w:ascii="Proxima Nova" w:hAnsi="Proxima Nova" w:cstheme="minorHAnsi"/>
          <w:sz w:val="22"/>
          <w:szCs w:val="22"/>
        </w:rPr>
      </w:pPr>
    </w:p>
    <w:p w14:paraId="1B0D64BD" w14:textId="583999E6"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General Comment 3 (</w:t>
      </w:r>
      <w:r w:rsidR="003255FC" w:rsidRPr="00F45224">
        <w:rPr>
          <w:rFonts w:ascii="Proxima Nova" w:hAnsi="Proxima Nova" w:cstheme="minorHAnsi"/>
          <w:sz w:val="22"/>
          <w:szCs w:val="22"/>
        </w:rPr>
        <w:t>Women and Girls with D</w:t>
      </w:r>
      <w:r w:rsidRPr="00F45224">
        <w:rPr>
          <w:rFonts w:ascii="Proxima Nova" w:hAnsi="Proxima Nova" w:cstheme="minorHAnsi"/>
          <w:sz w:val="22"/>
          <w:szCs w:val="22"/>
        </w:rPr>
        <w:t>isabilities) clarifies that Article 6 is a binding non-discrimination and equality provision that unequivocally obligates Governments to outlaw discrimination against women with disability and promotes equality of opportunity and equality of outcomes. In order to combat multiple discrimination against women and girls with disability, States Parties must abolish laws and introduce other laws:</w:t>
      </w:r>
    </w:p>
    <w:p w14:paraId="6BDE72A3" w14:textId="77777777" w:rsidR="00C17576" w:rsidRPr="00F45224" w:rsidRDefault="00C17576" w:rsidP="00F45224">
      <w:pPr>
        <w:pStyle w:val="ListParagraph"/>
        <w:spacing w:line="276" w:lineRule="auto"/>
        <w:ind w:hanging="720"/>
        <w:contextualSpacing w:val="0"/>
        <w:rPr>
          <w:rFonts w:ascii="Proxima Nova" w:hAnsi="Proxima Nova" w:cstheme="minorHAnsi"/>
          <w:sz w:val="22"/>
          <w:szCs w:val="22"/>
        </w:rPr>
      </w:pPr>
    </w:p>
    <w:p w14:paraId="4FE0B819" w14:textId="77777777" w:rsidR="00C17576" w:rsidRPr="00F45224" w:rsidRDefault="00C17576" w:rsidP="00F45224">
      <w:pPr>
        <w:pStyle w:val="ListParagraph"/>
        <w:spacing w:line="276" w:lineRule="auto"/>
        <w:ind w:left="1134"/>
        <w:contextualSpacing w:val="0"/>
        <w:rPr>
          <w:rFonts w:ascii="Proxima Nova" w:hAnsi="Proxima Nova"/>
          <w:i/>
          <w:iCs/>
          <w:sz w:val="22"/>
          <w:szCs w:val="22"/>
        </w:rPr>
      </w:pPr>
      <w:r w:rsidRPr="00F45224">
        <w:rPr>
          <w:rFonts w:ascii="Proxima Nova" w:hAnsi="Proxima Nova"/>
          <w:i/>
          <w:iCs/>
          <w:sz w:val="22"/>
          <w:szCs w:val="22"/>
        </w:rPr>
        <w:t>Repealing discriminatory laws, policies and practices that prevent women with disabilities from enjoying all the rights enshrined in the Convention, outlawing gender- and disability-based discrimination and its intersectional forms, criminalizing sexual violence against girls and women with disabilities, prohibiting all forms of forced sterilization, forced abortion and non-consensual birth control, prohibiting all forms of forced gender- and/or disability-related medical treatment and taking all appropriate legislative steps to protect women with disabilities against discrimination.</w:t>
      </w:r>
    </w:p>
    <w:p w14:paraId="7B036BAC" w14:textId="77777777" w:rsidR="00C17576" w:rsidRPr="00F45224" w:rsidRDefault="00C17576" w:rsidP="00F45224">
      <w:pPr>
        <w:pStyle w:val="ListParagraph"/>
        <w:spacing w:line="276" w:lineRule="auto"/>
        <w:ind w:left="1134"/>
        <w:contextualSpacing w:val="0"/>
        <w:rPr>
          <w:rFonts w:ascii="Proxima Nova" w:hAnsi="Proxima Nova"/>
          <w:i/>
          <w:iCs/>
          <w:sz w:val="22"/>
          <w:szCs w:val="22"/>
        </w:rPr>
      </w:pPr>
    </w:p>
    <w:p w14:paraId="4D46A875" w14:textId="77777777" w:rsidR="00C17576" w:rsidRPr="00F45224" w:rsidRDefault="00C17576" w:rsidP="00F45224">
      <w:pPr>
        <w:pStyle w:val="ListParagraph"/>
        <w:spacing w:line="276" w:lineRule="auto"/>
        <w:ind w:left="1134"/>
        <w:contextualSpacing w:val="0"/>
        <w:rPr>
          <w:rFonts w:ascii="Proxima Nova" w:hAnsi="Proxima Nova"/>
          <w:sz w:val="22"/>
          <w:szCs w:val="22"/>
        </w:rPr>
      </w:pPr>
      <w:r w:rsidRPr="00F45224">
        <w:rPr>
          <w:rFonts w:ascii="Proxima Nova" w:hAnsi="Proxima Nova"/>
          <w:i/>
          <w:iCs/>
          <w:sz w:val="22"/>
          <w:szCs w:val="22"/>
        </w:rPr>
        <w:t>Adopting appropriate laws, policies and actions to ensure that the rights of women with disabilities are included in all policies, especially in policies related to women in general and policies on disability.</w:t>
      </w:r>
      <w:r w:rsidRPr="00F45224">
        <w:rPr>
          <w:rStyle w:val="EndnoteReference"/>
          <w:rFonts w:ascii="Proxima Nova" w:hAnsi="Proxima Nova"/>
          <w:sz w:val="22"/>
          <w:szCs w:val="22"/>
        </w:rPr>
        <w:endnoteReference w:id="372"/>
      </w:r>
    </w:p>
    <w:p w14:paraId="2AB97DD3" w14:textId="77777777" w:rsidR="00C17576" w:rsidRPr="00F45224" w:rsidRDefault="00C17576" w:rsidP="00F45224">
      <w:pPr>
        <w:spacing w:line="276" w:lineRule="auto"/>
        <w:ind w:left="720" w:hanging="720"/>
        <w:rPr>
          <w:rFonts w:ascii="Proxima Nova" w:hAnsi="Proxima Nova" w:cstheme="minorHAnsi"/>
          <w:sz w:val="22"/>
          <w:szCs w:val="22"/>
        </w:rPr>
      </w:pPr>
    </w:p>
    <w:p w14:paraId="291CE205"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The UN CRPD Committee also emphasises the importance of recognising and addressing stigma and stereotypes pertaining to women with disability, even though they might seem ‘benign’:</w:t>
      </w:r>
    </w:p>
    <w:p w14:paraId="54178F8A" w14:textId="77777777" w:rsidR="00C17576" w:rsidRPr="00F45224" w:rsidRDefault="00C17576" w:rsidP="00F45224">
      <w:pPr>
        <w:pStyle w:val="ListParagraph"/>
        <w:spacing w:line="276" w:lineRule="auto"/>
        <w:ind w:hanging="720"/>
        <w:contextualSpacing w:val="0"/>
        <w:rPr>
          <w:rFonts w:ascii="Proxima Nova" w:hAnsi="Proxima Nova" w:cstheme="minorHAnsi"/>
          <w:sz w:val="22"/>
          <w:szCs w:val="22"/>
        </w:rPr>
      </w:pPr>
    </w:p>
    <w:p w14:paraId="26EA840A" w14:textId="77777777" w:rsidR="00C17576" w:rsidRPr="00F45224" w:rsidRDefault="00C17576" w:rsidP="00F45224">
      <w:pPr>
        <w:autoSpaceDE w:val="0"/>
        <w:autoSpaceDN w:val="0"/>
        <w:adjustRightInd w:val="0"/>
        <w:spacing w:line="276" w:lineRule="auto"/>
        <w:ind w:left="1134"/>
        <w:rPr>
          <w:rFonts w:ascii="Proxima Nova" w:hAnsi="Proxima Nova" w:cstheme="minorHAnsi"/>
          <w:sz w:val="22"/>
          <w:szCs w:val="22"/>
        </w:rPr>
      </w:pPr>
      <w:r w:rsidRPr="00F45224">
        <w:rPr>
          <w:rFonts w:ascii="Proxima Nova" w:eastAsiaTheme="minorHAnsi" w:hAnsi="Proxima Nova" w:cstheme="minorHAnsi"/>
          <w:i/>
          <w:iCs/>
          <w:color w:val="000000"/>
          <w:sz w:val="22"/>
          <w:szCs w:val="22"/>
        </w:rPr>
        <w:t>Ensuring the human rights of women requires, first and foremost, a comprehensive understanding of the social structures and power relations that frame laws and policies, as well as of economic and social dynamics, family and community life, and cultural beliefs. Gender stereotypes can limit women’s capacity to develop their own abilities, pursue professional careers and make choices about their lives and life plans. Both hostile/negative and seemingly benign s</w:t>
      </w:r>
      <w:r w:rsidRPr="00F45224">
        <w:rPr>
          <w:rFonts w:ascii="Proxima Nova" w:hAnsi="Proxima Nova" w:cstheme="minorHAnsi"/>
          <w:i/>
          <w:iCs/>
          <w:sz w:val="22"/>
          <w:szCs w:val="22"/>
        </w:rPr>
        <w:t>tereotypes can be harmful. Harmful gender stereotypes need to be recognized and addressed in order to promote gender equality. The Convention enshrines an obligation to combat stereotypes, prejudices and harmful practices relating to persons with disabilities, including those based on sex and age, in all areas of life.</w:t>
      </w:r>
      <w:r w:rsidRPr="00F45224">
        <w:rPr>
          <w:rStyle w:val="EndnoteReference"/>
          <w:rFonts w:ascii="Proxima Nova" w:hAnsi="Proxima Nova" w:cstheme="minorHAnsi"/>
          <w:sz w:val="22"/>
          <w:szCs w:val="22"/>
        </w:rPr>
        <w:endnoteReference w:id="373"/>
      </w:r>
    </w:p>
    <w:p w14:paraId="0DD8447C" w14:textId="77777777" w:rsidR="00C17576" w:rsidRPr="00F45224" w:rsidRDefault="00C17576" w:rsidP="00F45224">
      <w:pPr>
        <w:autoSpaceDE w:val="0"/>
        <w:autoSpaceDN w:val="0"/>
        <w:adjustRightInd w:val="0"/>
        <w:spacing w:line="276" w:lineRule="auto"/>
        <w:rPr>
          <w:rFonts w:ascii="Proxima Nova" w:hAnsi="Proxima Nova" w:cstheme="minorHAnsi"/>
          <w:sz w:val="22"/>
          <w:szCs w:val="22"/>
        </w:rPr>
      </w:pPr>
    </w:p>
    <w:p w14:paraId="2C25CE45" w14:textId="77777777" w:rsidR="00B757AE" w:rsidRPr="00F45224" w:rsidRDefault="00B757AE" w:rsidP="00F45224">
      <w:pPr>
        <w:numPr>
          <w:ilvl w:val="1"/>
          <w:numId w:val="36"/>
        </w:numPr>
        <w:snapToGrid w:val="0"/>
        <w:spacing w:line="276" w:lineRule="auto"/>
        <w:ind w:left="720" w:hanging="720"/>
        <w:contextualSpacing/>
        <w:rPr>
          <w:rFonts w:ascii="Proxima Nova" w:eastAsia="Calibri" w:hAnsi="Proxima Nova" w:cstheme="minorHAnsi"/>
          <w:sz w:val="22"/>
          <w:szCs w:val="22"/>
          <w:bdr w:val="none" w:sz="0" w:space="0" w:color="auto" w:frame="1"/>
          <w:lang w:val="en-GB"/>
        </w:rPr>
      </w:pPr>
      <w:r w:rsidRPr="00F45224">
        <w:rPr>
          <w:rFonts w:ascii="Proxima Nova" w:eastAsia="Calibri" w:hAnsi="Proxima Nova" w:cstheme="minorHAnsi"/>
          <w:sz w:val="22"/>
          <w:szCs w:val="22"/>
          <w:bdr w:val="none" w:sz="0" w:space="0" w:color="auto" w:frame="1"/>
          <w:lang w:val="en-GB"/>
        </w:rPr>
        <w:t xml:space="preserve">The importance of ageism in relation to older women with disability warrants further attention. The Special Rapporteur on Disabilities explains ageism and ableism as follows: </w:t>
      </w:r>
    </w:p>
    <w:p w14:paraId="4167082E" w14:textId="77777777" w:rsidR="00B757AE" w:rsidRPr="00F45224" w:rsidRDefault="00B757AE" w:rsidP="00F45224">
      <w:pPr>
        <w:spacing w:line="276" w:lineRule="auto"/>
        <w:contextualSpacing/>
        <w:rPr>
          <w:rFonts w:ascii="Proxima Nova" w:eastAsia="Calibri" w:hAnsi="Proxima Nova" w:cstheme="minorHAnsi"/>
          <w:sz w:val="22"/>
          <w:szCs w:val="22"/>
          <w:bdr w:val="none" w:sz="0" w:space="0" w:color="auto" w:frame="1"/>
          <w:lang w:val="en-GB"/>
        </w:rPr>
      </w:pPr>
    </w:p>
    <w:p w14:paraId="28B1A1C2" w14:textId="77777777" w:rsidR="00B757AE" w:rsidRPr="00F45224" w:rsidRDefault="00B757AE" w:rsidP="00F45224">
      <w:pPr>
        <w:snapToGrid w:val="0"/>
        <w:spacing w:line="276" w:lineRule="auto"/>
        <w:ind w:left="1134"/>
        <w:contextualSpacing/>
        <w:rPr>
          <w:rFonts w:ascii="Proxima Nova" w:eastAsia="Calibri" w:hAnsi="Proxima Nova" w:cstheme="minorHAnsi"/>
          <w:sz w:val="22"/>
          <w:szCs w:val="22"/>
          <w:lang w:val="en-GB"/>
        </w:rPr>
      </w:pPr>
      <w:r w:rsidRPr="00F45224">
        <w:rPr>
          <w:rFonts w:ascii="Proxima Nova" w:eastAsia="Calibri" w:hAnsi="Proxima Nova" w:cstheme="minorHAnsi"/>
          <w:i/>
          <w:iCs/>
          <w:sz w:val="22"/>
          <w:szCs w:val="22"/>
          <w:lang w:val="en-GB"/>
        </w:rPr>
        <w:lastRenderedPageBreak/>
        <w:t>Although ageism and ableism share common roots and consequences, inequality in older age is not the mere result of ableist biases. Ageism – the stereotyping of, and prejudice and discrimination towards, older people and older age – is a distinct form of oppression that affects older persons, including older persons with disabilities. Older persons are often perceived as a burden, dependent, unproductive, undeserving or helpless. While disability is increasingly understood as a social construct, inequalities due to old age are predominantly seen as “natural” or “inevitable.” Therefore, older persons with disabilities are discriminated against and disadvantaged not just because they have a disability, but also because of stereotypes about older people.</w:t>
      </w:r>
      <w:r w:rsidRPr="00F45224">
        <w:rPr>
          <w:rStyle w:val="EndnoteReference"/>
          <w:rFonts w:ascii="Proxima Nova" w:eastAsia="Calibri" w:hAnsi="Proxima Nova" w:cstheme="minorHAnsi"/>
          <w:sz w:val="22"/>
          <w:szCs w:val="22"/>
          <w:lang w:val="en-GB"/>
        </w:rPr>
        <w:endnoteReference w:id="374"/>
      </w:r>
    </w:p>
    <w:p w14:paraId="4197492C" w14:textId="77777777" w:rsidR="00B757AE" w:rsidRPr="00F45224" w:rsidRDefault="00B757AE" w:rsidP="00F45224">
      <w:pPr>
        <w:spacing w:line="276" w:lineRule="auto"/>
        <w:contextualSpacing/>
        <w:rPr>
          <w:rFonts w:ascii="Proxima Nova" w:eastAsia="Calibri" w:hAnsi="Proxima Nova" w:cstheme="minorHAnsi"/>
          <w:sz w:val="22"/>
          <w:szCs w:val="22"/>
          <w:bdr w:val="none" w:sz="0" w:space="0" w:color="auto" w:frame="1"/>
          <w:lang w:val="en-GB"/>
        </w:rPr>
      </w:pPr>
    </w:p>
    <w:p w14:paraId="63DEF194" w14:textId="77777777" w:rsidR="00B757AE" w:rsidRPr="00F45224" w:rsidRDefault="00B757AE" w:rsidP="00F45224">
      <w:pPr>
        <w:numPr>
          <w:ilvl w:val="1"/>
          <w:numId w:val="36"/>
        </w:numPr>
        <w:snapToGrid w:val="0"/>
        <w:spacing w:line="276" w:lineRule="auto"/>
        <w:ind w:left="720" w:hanging="720"/>
        <w:contextualSpacing/>
        <w:rPr>
          <w:rFonts w:ascii="Proxima Nova" w:eastAsia="Calibri" w:hAnsi="Proxima Nova" w:cstheme="minorHAnsi"/>
          <w:sz w:val="22"/>
          <w:szCs w:val="22"/>
          <w:bdr w:val="none" w:sz="0" w:space="0" w:color="auto" w:frame="1"/>
          <w:lang w:val="en-GB"/>
        </w:rPr>
      </w:pPr>
      <w:r w:rsidRPr="00F45224">
        <w:rPr>
          <w:rFonts w:ascii="Proxima Nova" w:eastAsia="Calibri" w:hAnsi="Proxima Nova" w:cstheme="minorHAnsi"/>
          <w:sz w:val="22"/>
          <w:szCs w:val="22"/>
          <w:bdr w:val="none" w:sz="0" w:space="0" w:color="auto" w:frame="1"/>
          <w:lang w:val="en-GB"/>
        </w:rPr>
        <w:t>She notes that older women with disability are particularly impacted:</w:t>
      </w:r>
    </w:p>
    <w:p w14:paraId="7AE69760" w14:textId="77777777" w:rsidR="00B757AE" w:rsidRPr="00F45224" w:rsidRDefault="00B757AE" w:rsidP="00F45224">
      <w:pPr>
        <w:snapToGrid w:val="0"/>
        <w:spacing w:line="276" w:lineRule="auto"/>
        <w:rPr>
          <w:rFonts w:ascii="Proxima Nova" w:hAnsi="Proxima Nova" w:cstheme="minorHAnsi"/>
          <w:sz w:val="22"/>
          <w:szCs w:val="22"/>
          <w:bdr w:val="none" w:sz="0" w:space="0" w:color="auto" w:frame="1"/>
        </w:rPr>
      </w:pPr>
    </w:p>
    <w:p w14:paraId="7B4A2B31" w14:textId="77777777" w:rsidR="00B757AE" w:rsidRPr="00F45224" w:rsidRDefault="00B757AE" w:rsidP="00F45224">
      <w:pPr>
        <w:snapToGrid w:val="0"/>
        <w:spacing w:line="276" w:lineRule="auto"/>
        <w:ind w:left="1134"/>
        <w:rPr>
          <w:rFonts w:ascii="Proxima Nova" w:hAnsi="Proxima Nova" w:cstheme="minorHAnsi"/>
          <w:sz w:val="22"/>
          <w:szCs w:val="22"/>
          <w:bdr w:val="none" w:sz="0" w:space="0" w:color="auto" w:frame="1"/>
        </w:rPr>
      </w:pPr>
      <w:r w:rsidRPr="00F45224">
        <w:rPr>
          <w:rFonts w:ascii="Proxima Nova" w:hAnsi="Proxima Nova" w:cstheme="minorHAnsi"/>
          <w:i/>
          <w:iCs/>
          <w:sz w:val="22"/>
          <w:szCs w:val="22"/>
        </w:rPr>
        <w:t>Older women with disabilities have consistently worse life prospects and outcomes than older women without disabilities and older men with disabilities. Gender roles and expectations often push these women into economic dependency. As a result, older women with disabilities are considerably poorer; are likely to be subject to violence, abuse and neglect; and have higher chances of facing unmet needs and human rights violations. In addition, older women with disabilities are more likely to be institutionalized or incapacitated owing to the higher life expectancy of women compared with men.</w:t>
      </w:r>
      <w:r w:rsidRPr="00F45224">
        <w:rPr>
          <w:rStyle w:val="EndnoteReference"/>
          <w:rFonts w:ascii="Proxima Nova" w:hAnsi="Proxima Nova" w:cstheme="minorHAnsi"/>
          <w:sz w:val="22"/>
          <w:szCs w:val="22"/>
        </w:rPr>
        <w:endnoteReference w:id="375"/>
      </w:r>
    </w:p>
    <w:p w14:paraId="6767F79A" w14:textId="77777777" w:rsidR="00B757AE" w:rsidRPr="00F45224" w:rsidRDefault="00B757AE" w:rsidP="00F45224">
      <w:pPr>
        <w:widowControl w:val="0"/>
        <w:autoSpaceDE w:val="0"/>
        <w:autoSpaceDN w:val="0"/>
        <w:adjustRightInd w:val="0"/>
        <w:spacing w:line="276" w:lineRule="auto"/>
        <w:ind w:left="720" w:hanging="720"/>
        <w:rPr>
          <w:rFonts w:ascii="Proxima Nova" w:hAnsi="Proxima Nova" w:cstheme="minorHAnsi"/>
          <w:color w:val="000000"/>
          <w:sz w:val="22"/>
          <w:szCs w:val="22"/>
        </w:rPr>
      </w:pPr>
    </w:p>
    <w:p w14:paraId="1A92B214" w14:textId="77777777" w:rsidR="00B757AE" w:rsidRPr="00F45224" w:rsidRDefault="00B757AE" w:rsidP="00F45224">
      <w:pPr>
        <w:widowControl w:val="0"/>
        <w:numPr>
          <w:ilvl w:val="1"/>
          <w:numId w:val="36"/>
        </w:numPr>
        <w:autoSpaceDE w:val="0"/>
        <w:autoSpaceDN w:val="0"/>
        <w:adjustRightInd w:val="0"/>
        <w:spacing w:line="276" w:lineRule="auto"/>
        <w:ind w:left="720" w:hanging="720"/>
        <w:rPr>
          <w:rFonts w:ascii="Proxima Nova" w:eastAsia="Calibri" w:hAnsi="Proxima Nova" w:cstheme="minorHAnsi"/>
          <w:color w:val="000000"/>
          <w:sz w:val="22"/>
          <w:szCs w:val="22"/>
          <w:lang w:val="en-GB"/>
        </w:rPr>
      </w:pPr>
      <w:r w:rsidRPr="00F45224">
        <w:rPr>
          <w:rFonts w:ascii="Proxima Nova" w:eastAsia="Calibri" w:hAnsi="Proxima Nova" w:cstheme="minorHAnsi"/>
          <w:color w:val="000000"/>
          <w:sz w:val="22"/>
          <w:szCs w:val="22"/>
          <w:lang w:val="en-GB"/>
        </w:rPr>
        <w:t xml:space="preserve">The Special Rapporteur on Disabilities identifies </w:t>
      </w:r>
      <w:proofErr w:type="gramStart"/>
      <w:r w:rsidRPr="00F45224">
        <w:rPr>
          <w:rFonts w:ascii="Proxima Nova" w:eastAsia="Calibri" w:hAnsi="Proxima Nova" w:cstheme="minorHAnsi"/>
          <w:color w:val="000000"/>
          <w:sz w:val="22"/>
          <w:szCs w:val="22"/>
          <w:lang w:val="en-GB"/>
        </w:rPr>
        <w:t>a number of</w:t>
      </w:r>
      <w:proofErr w:type="gramEnd"/>
      <w:r w:rsidRPr="00F45224">
        <w:rPr>
          <w:rFonts w:ascii="Proxima Nova" w:eastAsia="Calibri" w:hAnsi="Proxima Nova" w:cstheme="minorHAnsi"/>
          <w:color w:val="000000"/>
          <w:sz w:val="22"/>
          <w:szCs w:val="22"/>
          <w:lang w:val="en-GB"/>
        </w:rPr>
        <w:t xml:space="preserve"> </w:t>
      </w:r>
      <w:r w:rsidRPr="00F45224">
        <w:rPr>
          <w:rFonts w:ascii="Proxima Nova" w:eastAsia="Calibri" w:hAnsi="Proxima Nova" w:cstheme="minorHAnsi"/>
          <w:sz w:val="22"/>
          <w:szCs w:val="22"/>
          <w:lang w:val="en-GB"/>
        </w:rPr>
        <w:t>human rights challenges affecting older persons with disabilities: ‘stigma and stereotypes; direct and indirect discrimination; denial of autonomy and legal capacity; institutionalization and lack of community support; violence and abuse; and lack of adequate social protection.’</w:t>
      </w:r>
      <w:r w:rsidRPr="00F45224">
        <w:rPr>
          <w:rStyle w:val="EndnoteReference"/>
          <w:rFonts w:ascii="Proxima Nova" w:eastAsia="Calibri" w:hAnsi="Proxima Nova" w:cstheme="minorHAnsi"/>
          <w:sz w:val="22"/>
          <w:szCs w:val="22"/>
          <w:lang w:val="en-GB"/>
        </w:rPr>
        <w:endnoteReference w:id="376"/>
      </w:r>
    </w:p>
    <w:p w14:paraId="08C668A9" w14:textId="77777777" w:rsidR="00B757AE" w:rsidRPr="00F45224" w:rsidRDefault="00B757AE" w:rsidP="00F45224">
      <w:pPr>
        <w:widowControl w:val="0"/>
        <w:autoSpaceDE w:val="0"/>
        <w:autoSpaceDN w:val="0"/>
        <w:adjustRightInd w:val="0"/>
        <w:spacing w:line="276" w:lineRule="auto"/>
        <w:ind w:left="720" w:hanging="720"/>
        <w:rPr>
          <w:rFonts w:ascii="Proxima Nova" w:hAnsi="Proxima Nova" w:cstheme="minorHAnsi"/>
          <w:color w:val="000000"/>
          <w:sz w:val="22"/>
          <w:szCs w:val="22"/>
        </w:rPr>
      </w:pPr>
    </w:p>
    <w:p w14:paraId="3EA9C222" w14:textId="77777777" w:rsidR="00B757AE" w:rsidRPr="00F45224" w:rsidRDefault="00B757AE" w:rsidP="00F45224">
      <w:pPr>
        <w:widowControl w:val="0"/>
        <w:numPr>
          <w:ilvl w:val="1"/>
          <w:numId w:val="36"/>
        </w:numPr>
        <w:autoSpaceDE w:val="0"/>
        <w:autoSpaceDN w:val="0"/>
        <w:adjustRightInd w:val="0"/>
        <w:spacing w:line="276" w:lineRule="auto"/>
        <w:ind w:left="720" w:hanging="720"/>
        <w:rPr>
          <w:rFonts w:ascii="Proxima Nova" w:eastAsia="Calibri" w:hAnsi="Proxima Nova" w:cstheme="minorHAnsi"/>
          <w:color w:val="000000"/>
          <w:sz w:val="22"/>
          <w:szCs w:val="22"/>
          <w:lang w:val="en-GB"/>
        </w:rPr>
      </w:pPr>
      <w:r w:rsidRPr="00F45224">
        <w:rPr>
          <w:rFonts w:ascii="Proxima Nova" w:eastAsia="Calibri" w:hAnsi="Proxima Nova" w:cstheme="minorHAnsi"/>
          <w:color w:val="000000"/>
          <w:sz w:val="22"/>
          <w:szCs w:val="22"/>
          <w:lang w:val="en-GB"/>
        </w:rPr>
        <w:t>A key issue in relation to restrictive practices is the denial of legal capacity in relation to older people with disability:</w:t>
      </w:r>
    </w:p>
    <w:p w14:paraId="118968AC" w14:textId="77777777" w:rsidR="00B757AE" w:rsidRPr="00F45224" w:rsidRDefault="00B757AE" w:rsidP="00F45224">
      <w:pPr>
        <w:spacing w:line="276" w:lineRule="auto"/>
        <w:ind w:left="720" w:hanging="720"/>
        <w:contextualSpacing/>
        <w:rPr>
          <w:rFonts w:ascii="Proxima Nova" w:eastAsia="Calibri" w:hAnsi="Proxima Nova" w:cstheme="minorHAnsi"/>
          <w:color w:val="000000"/>
          <w:sz w:val="22"/>
          <w:szCs w:val="22"/>
          <w:lang w:val="en-GB"/>
        </w:rPr>
      </w:pPr>
    </w:p>
    <w:p w14:paraId="5F814B8D" w14:textId="77777777" w:rsidR="00B757AE" w:rsidRPr="00F45224" w:rsidRDefault="00B757AE" w:rsidP="00F45224">
      <w:pPr>
        <w:autoSpaceDE w:val="0"/>
        <w:autoSpaceDN w:val="0"/>
        <w:adjustRightInd w:val="0"/>
        <w:spacing w:line="276" w:lineRule="auto"/>
        <w:ind w:left="1134"/>
        <w:rPr>
          <w:rFonts w:ascii="Proxima Nova" w:eastAsia="Calibri" w:hAnsi="Proxima Nova" w:cstheme="minorHAnsi"/>
          <w:i/>
          <w:iCs/>
          <w:sz w:val="22"/>
          <w:szCs w:val="22"/>
          <w:lang w:val="en-US"/>
        </w:rPr>
      </w:pPr>
      <w:r w:rsidRPr="00F45224">
        <w:rPr>
          <w:rFonts w:ascii="Proxima Nova" w:eastAsia="Calibri" w:hAnsi="Proxima Nova" w:cstheme="minorHAnsi"/>
          <w:i/>
          <w:iCs/>
          <w:color w:val="000000"/>
          <w:sz w:val="22"/>
          <w:szCs w:val="22"/>
          <w:lang w:val="en-US"/>
        </w:rPr>
        <w:t xml:space="preserve">Given the intersection between disability and age, older persons with disabilities experience an increased risk of limitations on their right to autonomy and on the exercise of their legal capacity. Grounds for the denial of legal capacity are not limited to the existence or perception of an impairment but include other factors such as </w:t>
      </w:r>
      <w:r w:rsidRPr="00F45224">
        <w:rPr>
          <w:rFonts w:ascii="Proxima Nova" w:eastAsia="Calibri" w:hAnsi="Proxima Nova" w:cstheme="minorHAnsi"/>
          <w:i/>
          <w:iCs/>
          <w:sz w:val="22"/>
          <w:szCs w:val="22"/>
          <w:lang w:val="en-US"/>
        </w:rPr>
        <w:t>negative perceptions (</w:t>
      </w:r>
      <w:proofErr w:type="gramStart"/>
      <w:r w:rsidRPr="00F45224">
        <w:rPr>
          <w:rFonts w:ascii="Proxima Nova" w:eastAsia="Calibri" w:hAnsi="Proxima Nova" w:cstheme="minorHAnsi"/>
          <w:i/>
          <w:iCs/>
          <w:sz w:val="22"/>
          <w:szCs w:val="22"/>
          <w:lang w:val="en-US"/>
        </w:rPr>
        <w:t>e.g.</w:t>
      </w:r>
      <w:proofErr w:type="gramEnd"/>
      <w:r w:rsidRPr="00F45224">
        <w:rPr>
          <w:rFonts w:ascii="Proxima Nova" w:eastAsia="Calibri" w:hAnsi="Proxima Nova" w:cstheme="minorHAnsi"/>
          <w:i/>
          <w:iCs/>
          <w:sz w:val="22"/>
          <w:szCs w:val="22"/>
          <w:lang w:val="en-US"/>
        </w:rPr>
        <w:t xml:space="preserve"> being perceived as “frail and senile”), loss of income and family abandonment. As a result, older persons with disabilities are more likely to be subject to guardianship, institutionalization, home confinement and involuntary treatment than those without disabilities. Persons with dementia </w:t>
      </w:r>
      <w:proofErr w:type="gramStart"/>
      <w:r w:rsidRPr="00F45224">
        <w:rPr>
          <w:rFonts w:ascii="Proxima Nova" w:eastAsia="Calibri" w:hAnsi="Proxima Nova" w:cstheme="minorHAnsi"/>
          <w:i/>
          <w:iCs/>
          <w:sz w:val="22"/>
          <w:szCs w:val="22"/>
          <w:lang w:val="en-US"/>
        </w:rPr>
        <w:t>in particular have</w:t>
      </w:r>
      <w:proofErr w:type="gramEnd"/>
      <w:r w:rsidRPr="00F45224">
        <w:rPr>
          <w:rFonts w:ascii="Proxima Nova" w:eastAsia="Calibri" w:hAnsi="Proxima Nova" w:cstheme="minorHAnsi"/>
          <w:i/>
          <w:iCs/>
          <w:sz w:val="22"/>
          <w:szCs w:val="22"/>
          <w:lang w:val="en-US"/>
        </w:rPr>
        <w:t xml:space="preserve"> been assumed to possess weak or even no agency. The diagnosis of Alzheimer’s disease or dementia alone is often the justification for the denial of the exercise of rights such as the right to marry or to make a will. Persons with psychosocial disabilities continue to be exposed to forced treatment as they age, with increased vulnerability to guardianship and permanent institutionalization and with less access to alternative mental health services or to social support under the independent living model. </w:t>
      </w:r>
    </w:p>
    <w:p w14:paraId="7E3C3B7B" w14:textId="77777777" w:rsidR="00B757AE" w:rsidRPr="00F45224" w:rsidRDefault="00B757AE" w:rsidP="00F45224">
      <w:pPr>
        <w:autoSpaceDE w:val="0"/>
        <w:autoSpaceDN w:val="0"/>
        <w:adjustRightInd w:val="0"/>
        <w:spacing w:line="276" w:lineRule="auto"/>
        <w:ind w:left="1134"/>
        <w:rPr>
          <w:rFonts w:ascii="Proxima Nova" w:eastAsia="Calibri" w:hAnsi="Proxima Nova" w:cstheme="minorHAnsi"/>
          <w:i/>
          <w:iCs/>
          <w:sz w:val="22"/>
          <w:szCs w:val="22"/>
          <w:lang w:val="en-US"/>
        </w:rPr>
      </w:pPr>
    </w:p>
    <w:p w14:paraId="67C2E706" w14:textId="77777777" w:rsidR="00B757AE" w:rsidRPr="00F45224" w:rsidRDefault="00B757AE" w:rsidP="00F45224">
      <w:pPr>
        <w:widowControl w:val="0"/>
        <w:autoSpaceDE w:val="0"/>
        <w:autoSpaceDN w:val="0"/>
        <w:adjustRightInd w:val="0"/>
        <w:spacing w:line="276" w:lineRule="auto"/>
        <w:ind w:left="1134"/>
        <w:rPr>
          <w:rFonts w:ascii="Proxima Nova" w:hAnsi="Proxima Nova" w:cstheme="minorHAnsi"/>
          <w:color w:val="000000"/>
          <w:sz w:val="22"/>
          <w:szCs w:val="22"/>
        </w:rPr>
      </w:pPr>
      <w:r w:rsidRPr="00F45224">
        <w:rPr>
          <w:rFonts w:ascii="Proxima Nova" w:hAnsi="Proxima Nova" w:cstheme="minorHAnsi"/>
          <w:i/>
          <w:iCs/>
          <w:sz w:val="22"/>
          <w:szCs w:val="22"/>
        </w:rPr>
        <w:t xml:space="preserve">Even when there is no substitute decision-making regime in place, in practice many older persons with disabilities are de facto deprived of their legal capacity. For example, they are often restricted from making autonomous decisions without the consent of their family members, or their informed consent is not sought for medical treatment and social care, including palliative care and end-of-life decisions. The will and preferences of older persons with disabilities regarding daily living arrangements, such as what to eat, what to wear, what time to go to bed or even whether and when to use the bathroom, are sometimes completely disregarded. Older women with disabilities face </w:t>
      </w:r>
      <w:proofErr w:type="gramStart"/>
      <w:r w:rsidRPr="00F45224">
        <w:rPr>
          <w:rFonts w:ascii="Proxima Nova" w:hAnsi="Proxima Nova" w:cstheme="minorHAnsi"/>
          <w:i/>
          <w:iCs/>
          <w:sz w:val="22"/>
          <w:szCs w:val="22"/>
        </w:rPr>
        <w:t>particular challenges</w:t>
      </w:r>
      <w:proofErr w:type="gramEnd"/>
      <w:r w:rsidRPr="00F45224">
        <w:rPr>
          <w:rFonts w:ascii="Proxima Nova" w:hAnsi="Proxima Nova" w:cstheme="minorHAnsi"/>
          <w:i/>
          <w:iCs/>
          <w:sz w:val="22"/>
          <w:szCs w:val="22"/>
        </w:rPr>
        <w:t xml:space="preserve"> in relation to their legal capacity. They may not have the right to inherit and administer marital property upon the death of their spouse, or their legal capacity is deferred by law or de facto to lawyers or family members without their consent.</w:t>
      </w:r>
      <w:r w:rsidRPr="00F45224">
        <w:rPr>
          <w:rStyle w:val="EndnoteReference"/>
          <w:rFonts w:ascii="Proxima Nova" w:hAnsi="Proxima Nova" w:cstheme="minorHAnsi"/>
          <w:sz w:val="22"/>
          <w:szCs w:val="22"/>
        </w:rPr>
        <w:endnoteReference w:id="377"/>
      </w:r>
    </w:p>
    <w:p w14:paraId="3B25CF6F" w14:textId="77777777" w:rsidR="00B757AE" w:rsidRPr="00F45224" w:rsidRDefault="00B757AE" w:rsidP="00F45224">
      <w:pPr>
        <w:widowControl w:val="0"/>
        <w:autoSpaceDE w:val="0"/>
        <w:autoSpaceDN w:val="0"/>
        <w:adjustRightInd w:val="0"/>
        <w:spacing w:line="276" w:lineRule="auto"/>
        <w:ind w:left="720" w:hanging="720"/>
        <w:rPr>
          <w:rFonts w:ascii="Proxima Nova" w:hAnsi="Proxima Nova" w:cstheme="minorHAnsi"/>
          <w:color w:val="000000"/>
          <w:sz w:val="22"/>
          <w:szCs w:val="22"/>
        </w:rPr>
      </w:pPr>
    </w:p>
    <w:p w14:paraId="3493B1A3" w14:textId="23BB79D9" w:rsidR="00B757AE" w:rsidRPr="00F45224" w:rsidRDefault="00B757AE" w:rsidP="00F45224">
      <w:pPr>
        <w:widowControl w:val="0"/>
        <w:numPr>
          <w:ilvl w:val="1"/>
          <w:numId w:val="36"/>
        </w:numPr>
        <w:autoSpaceDE w:val="0"/>
        <w:autoSpaceDN w:val="0"/>
        <w:adjustRightInd w:val="0"/>
        <w:spacing w:line="276" w:lineRule="auto"/>
        <w:ind w:left="720" w:hanging="720"/>
        <w:rPr>
          <w:rFonts w:ascii="Proxima Nova" w:eastAsia="Calibri" w:hAnsi="Proxima Nova" w:cstheme="minorHAnsi"/>
          <w:color w:val="000000"/>
          <w:sz w:val="22"/>
          <w:szCs w:val="22"/>
          <w:lang w:val="en-GB"/>
        </w:rPr>
      </w:pPr>
      <w:r w:rsidRPr="00F45224">
        <w:rPr>
          <w:rFonts w:ascii="Proxima Nova" w:eastAsia="Calibri" w:hAnsi="Proxima Nova" w:cstheme="minorHAnsi"/>
          <w:color w:val="000000"/>
          <w:sz w:val="22"/>
          <w:szCs w:val="22"/>
          <w:lang w:val="en-GB"/>
        </w:rPr>
        <w:lastRenderedPageBreak/>
        <w:t xml:space="preserve">The Special Rapporteur on Disabilities notes that violence, including </w:t>
      </w:r>
      <w:r w:rsidRPr="00F45224">
        <w:rPr>
          <w:rFonts w:ascii="Proxima Nova" w:eastAsia="Calibri" w:hAnsi="Proxima Nova" w:cstheme="minorHAnsi"/>
          <w:sz w:val="22"/>
          <w:szCs w:val="22"/>
          <w:lang w:val="en-GB"/>
        </w:rPr>
        <w:t>physical, psychological and sexual abuse, caregiver neglect and financial exploitation,</w:t>
      </w:r>
      <w:r w:rsidRPr="00F45224">
        <w:rPr>
          <w:rFonts w:ascii="Proxima Nova" w:eastAsia="Calibri" w:hAnsi="Proxima Nova" w:cstheme="minorHAnsi"/>
          <w:color w:val="000000"/>
          <w:sz w:val="22"/>
          <w:szCs w:val="22"/>
          <w:lang w:val="en-GB"/>
        </w:rPr>
        <w:t xml:space="preserve"> is another key human rights issue for</w:t>
      </w:r>
      <w:r w:rsidRPr="00F45224">
        <w:rPr>
          <w:rFonts w:ascii="Proxima Nova" w:eastAsia="Calibri" w:hAnsi="Proxima Nova" w:cstheme="minorHAnsi"/>
          <w:sz w:val="22"/>
          <w:szCs w:val="22"/>
          <w:lang w:val="en-GB"/>
        </w:rPr>
        <w:t xml:space="preserve"> older persons with disability.</w:t>
      </w:r>
      <w:r w:rsidRPr="00F45224">
        <w:rPr>
          <w:rStyle w:val="EndnoteReference"/>
          <w:rFonts w:ascii="Proxima Nova" w:eastAsia="Calibri" w:hAnsi="Proxima Nova" w:cstheme="minorHAnsi"/>
          <w:sz w:val="22"/>
          <w:szCs w:val="22"/>
          <w:lang w:val="en-GB"/>
        </w:rPr>
        <w:endnoteReference w:id="378"/>
      </w:r>
      <w:r w:rsidRPr="00F45224">
        <w:rPr>
          <w:rFonts w:ascii="Proxima Nova" w:eastAsia="Calibri" w:hAnsi="Proxima Nova" w:cstheme="minorHAnsi"/>
          <w:sz w:val="22"/>
          <w:szCs w:val="22"/>
          <w:lang w:val="en-GB"/>
        </w:rPr>
        <w:t xml:space="preserve"> This is particularly significant in ‘long-term care’ contexts.</w:t>
      </w:r>
      <w:r w:rsidRPr="00F45224">
        <w:rPr>
          <w:rStyle w:val="EndnoteReference"/>
          <w:rFonts w:ascii="Proxima Nova" w:eastAsia="Calibri" w:hAnsi="Proxima Nova" w:cstheme="minorHAnsi"/>
          <w:sz w:val="22"/>
          <w:szCs w:val="22"/>
          <w:lang w:val="en-GB"/>
        </w:rPr>
        <w:endnoteReference w:id="379"/>
      </w:r>
    </w:p>
    <w:p w14:paraId="64CFD611" w14:textId="77777777" w:rsidR="00B757AE" w:rsidRPr="00F45224" w:rsidRDefault="00B757AE" w:rsidP="00F45224">
      <w:pPr>
        <w:autoSpaceDE w:val="0"/>
        <w:autoSpaceDN w:val="0"/>
        <w:adjustRightInd w:val="0"/>
        <w:spacing w:line="276" w:lineRule="auto"/>
        <w:ind w:left="720" w:hanging="720"/>
        <w:rPr>
          <w:rFonts w:ascii="Proxima Nova" w:hAnsi="Proxima Nova" w:cstheme="minorHAnsi"/>
          <w:sz w:val="22"/>
          <w:szCs w:val="22"/>
        </w:rPr>
      </w:pPr>
    </w:p>
    <w:p w14:paraId="3CC7FC26" w14:textId="3EA43252" w:rsidR="00C17576" w:rsidRPr="00F45224" w:rsidRDefault="0012566C" w:rsidP="00F45224">
      <w:pPr>
        <w:pStyle w:val="ListParagraph"/>
        <w:numPr>
          <w:ilvl w:val="1"/>
          <w:numId w:val="36"/>
        </w:numPr>
        <w:autoSpaceDE w:val="0"/>
        <w:autoSpaceDN w:val="0"/>
        <w:adjustRightInd w:val="0"/>
        <w:spacing w:line="276" w:lineRule="auto"/>
        <w:ind w:left="720" w:hanging="720"/>
        <w:rPr>
          <w:rFonts w:ascii="Proxima Nova" w:hAnsi="Proxima Nova" w:cstheme="minorHAnsi"/>
          <w:sz w:val="22"/>
          <w:szCs w:val="22"/>
        </w:rPr>
      </w:pPr>
      <w:r w:rsidRPr="00F45224">
        <w:rPr>
          <w:rFonts w:ascii="Proxima Nova" w:hAnsi="Proxima Nova" w:cstheme="minorHAnsi"/>
          <w:sz w:val="22"/>
          <w:szCs w:val="22"/>
        </w:rPr>
        <w:t>For women and girls with disability to be treated equally to be treated equally to others, live free from violence and make meaningful choices about their health, where they live, their mobility, their sexual and reproductive activity, and their social, familial and intimate relationships, including living free from the violence of restrictive practices,</w:t>
      </w:r>
      <w:r w:rsidR="00C17576" w:rsidRPr="00F45224">
        <w:rPr>
          <w:rFonts w:ascii="Proxima Nova" w:hAnsi="Proxima Nova" w:cstheme="minorHAnsi"/>
          <w:sz w:val="22"/>
          <w:szCs w:val="22"/>
        </w:rPr>
        <w:t xml:space="preserve"> Australia needs to meet its obligations under Articles 5 and 6 of the CRPD and abolish discriminatory laws that regulate restrictive practices, as well as introducing laws prohibiting and redressing discrimination through restrictive practices.</w:t>
      </w:r>
    </w:p>
    <w:p w14:paraId="5F2112FF" w14:textId="1F79A07B" w:rsidR="00C17576" w:rsidRPr="00F45224" w:rsidRDefault="00C17576" w:rsidP="00F45224">
      <w:pPr>
        <w:spacing w:line="276" w:lineRule="auto"/>
        <w:ind w:left="720" w:hanging="720"/>
        <w:rPr>
          <w:rFonts w:ascii="Proxima Nova" w:hAnsi="Proxima Nova" w:cstheme="minorHAnsi"/>
          <w:sz w:val="22"/>
          <w:szCs w:val="22"/>
        </w:rPr>
      </w:pPr>
    </w:p>
    <w:p w14:paraId="4FA858A8" w14:textId="0039FE13" w:rsidR="006518B5" w:rsidRPr="00CD1BE6" w:rsidRDefault="006518B5" w:rsidP="006518B5">
      <w:pPr>
        <w:spacing w:line="276" w:lineRule="auto"/>
        <w:rPr>
          <w:rFonts w:ascii="Proxima Nova" w:hAnsi="Proxima Nova" w:cstheme="minorHAnsi"/>
        </w:rPr>
      </w:pPr>
      <w:r w:rsidRPr="00CD1BE6">
        <w:rPr>
          <w:rFonts w:ascii="Proxima Nova" w:hAnsi="Proxima Nova"/>
          <w:b/>
          <w:color w:val="AC1F79"/>
        </w:rPr>
        <w:t>Freedom from Violence, Abuse, Neglect and Exploitation</w:t>
      </w:r>
    </w:p>
    <w:p w14:paraId="180E4648" w14:textId="028E618D" w:rsidR="006518B5" w:rsidRPr="00F45224" w:rsidRDefault="006518B5" w:rsidP="00F45224">
      <w:pPr>
        <w:spacing w:line="276" w:lineRule="auto"/>
        <w:ind w:left="720" w:hanging="720"/>
        <w:rPr>
          <w:rFonts w:ascii="Proxima Nova" w:hAnsi="Proxima Nova" w:cstheme="minorHAnsi"/>
          <w:sz w:val="22"/>
          <w:szCs w:val="22"/>
        </w:rPr>
      </w:pPr>
    </w:p>
    <w:p w14:paraId="78CF2D40" w14:textId="77777777" w:rsidR="00C17576" w:rsidRPr="00F45224" w:rsidRDefault="00C17576" w:rsidP="00F45224">
      <w:pPr>
        <w:pStyle w:val="ListParagraph"/>
        <w:numPr>
          <w:ilvl w:val="1"/>
          <w:numId w:val="36"/>
        </w:numPr>
        <w:spacing w:line="276" w:lineRule="auto"/>
        <w:ind w:left="720" w:hanging="720"/>
        <w:rPr>
          <w:rFonts w:ascii="Proxima Nova" w:hAnsi="Proxima Nova"/>
          <w:sz w:val="22"/>
          <w:szCs w:val="22"/>
          <w:lang w:eastAsia="en-AU"/>
        </w:rPr>
      </w:pPr>
      <w:bookmarkStart w:id="62" w:name="_Toc61349491"/>
      <w:r w:rsidRPr="00F45224">
        <w:rPr>
          <w:rFonts w:ascii="Proxima Nova" w:hAnsi="Proxima Nova" w:cstheme="minorHAnsi"/>
          <w:sz w:val="22"/>
          <w:szCs w:val="22"/>
        </w:rPr>
        <w:t>Restrictive practices are a form of violence that violate the right to freedom from violence. In order to prevent this violence, laws that regulate restrictive practices must be abolished and replaced with laws prohibiting and redressing restrictive practices.</w:t>
      </w:r>
    </w:p>
    <w:p w14:paraId="3F07D687" w14:textId="77777777" w:rsidR="00C17576" w:rsidRPr="00F45224" w:rsidRDefault="00C17576" w:rsidP="00F45224">
      <w:pPr>
        <w:spacing w:line="276" w:lineRule="auto"/>
        <w:ind w:left="720" w:hanging="720"/>
        <w:rPr>
          <w:rFonts w:ascii="Proxima Nova" w:hAnsi="Proxima Nova"/>
          <w:sz w:val="22"/>
          <w:szCs w:val="22"/>
          <w:lang w:eastAsia="en-AU"/>
        </w:rPr>
      </w:pPr>
    </w:p>
    <w:p w14:paraId="0623CCC3" w14:textId="77777777" w:rsidR="007E59CC" w:rsidRPr="00F45224" w:rsidRDefault="00C17576" w:rsidP="00F45224">
      <w:pPr>
        <w:pStyle w:val="ListParagraph"/>
        <w:numPr>
          <w:ilvl w:val="1"/>
          <w:numId w:val="36"/>
        </w:numPr>
        <w:spacing w:line="276" w:lineRule="auto"/>
        <w:ind w:left="720" w:hanging="720"/>
        <w:contextualSpacing w:val="0"/>
        <w:rPr>
          <w:rFonts w:ascii="Proxima Nova" w:hAnsi="Proxima Nova"/>
          <w:sz w:val="22"/>
          <w:szCs w:val="22"/>
          <w:lang w:eastAsia="en-AU"/>
        </w:rPr>
      </w:pPr>
      <w:r w:rsidRPr="00F45224">
        <w:rPr>
          <w:rFonts w:ascii="Proxima Nova" w:hAnsi="Proxima Nova" w:cstheme="minorHAnsi"/>
          <w:sz w:val="22"/>
          <w:szCs w:val="22"/>
        </w:rPr>
        <w:t xml:space="preserve">Article 16 of the CRPD requires Governments: </w:t>
      </w:r>
    </w:p>
    <w:p w14:paraId="26730984" w14:textId="77777777" w:rsidR="007E59CC" w:rsidRPr="00F45224" w:rsidRDefault="007E59CC" w:rsidP="00F45224">
      <w:pPr>
        <w:pStyle w:val="ListParagraph"/>
        <w:spacing w:line="276" w:lineRule="auto"/>
        <w:rPr>
          <w:rFonts w:ascii="Proxima Nova" w:hAnsi="Proxima Nova" w:cstheme="minorHAnsi"/>
          <w:sz w:val="22"/>
          <w:szCs w:val="22"/>
        </w:rPr>
      </w:pPr>
    </w:p>
    <w:p w14:paraId="1D75FAB4" w14:textId="0F4419AA" w:rsidR="007E59CC" w:rsidRPr="00F45224" w:rsidRDefault="00C17576" w:rsidP="00F45224">
      <w:pPr>
        <w:spacing w:line="276" w:lineRule="auto"/>
        <w:ind w:left="1440" w:hanging="720"/>
        <w:rPr>
          <w:rFonts w:ascii="Proxima Nova" w:hAnsi="Proxima Nova"/>
          <w:sz w:val="22"/>
          <w:szCs w:val="22"/>
          <w:lang w:eastAsia="en-AU"/>
        </w:rPr>
      </w:pPr>
      <w:r w:rsidRPr="00F45224">
        <w:rPr>
          <w:rFonts w:ascii="Proxima Nova" w:hAnsi="Proxima Nova" w:cstheme="minorHAnsi"/>
          <w:sz w:val="22"/>
          <w:szCs w:val="22"/>
        </w:rPr>
        <w:t>(a)</w:t>
      </w:r>
      <w:r w:rsidR="003E6AF9" w:rsidRPr="00F45224">
        <w:rPr>
          <w:rFonts w:ascii="Proxima Nova" w:hAnsi="Proxima Nova" w:cstheme="minorHAnsi"/>
          <w:sz w:val="22"/>
          <w:szCs w:val="22"/>
        </w:rPr>
        <w:tab/>
      </w:r>
      <w:r w:rsidRPr="00F45224">
        <w:rPr>
          <w:rFonts w:ascii="Proxima Nova" w:hAnsi="Proxima Nova" w:cstheme="minorHAnsi"/>
          <w:sz w:val="22"/>
          <w:szCs w:val="22"/>
        </w:rPr>
        <w:t>‘</w:t>
      </w:r>
      <w:r w:rsidRPr="00F45224">
        <w:rPr>
          <w:rFonts w:ascii="Proxima Nova" w:hAnsi="Proxima Nova"/>
          <w:sz w:val="22"/>
          <w:szCs w:val="22"/>
          <w:lang w:eastAsia="en-AU"/>
        </w:rPr>
        <w:t xml:space="preserve">protect persons with disabilities, both within and outside the home, from all forms of exploitation, violence and abuse, including their gender-based </w:t>
      </w:r>
      <w:proofErr w:type="gramStart"/>
      <w:r w:rsidRPr="00F45224">
        <w:rPr>
          <w:rFonts w:ascii="Proxima Nova" w:hAnsi="Proxima Nova"/>
          <w:sz w:val="22"/>
          <w:szCs w:val="22"/>
          <w:lang w:eastAsia="en-AU"/>
        </w:rPr>
        <w:t>aspects’;</w:t>
      </w:r>
      <w:proofErr w:type="gramEnd"/>
      <w:r w:rsidRPr="00F45224">
        <w:rPr>
          <w:rFonts w:ascii="Proxima Nova" w:hAnsi="Proxima Nova"/>
          <w:sz w:val="22"/>
          <w:szCs w:val="22"/>
          <w:lang w:eastAsia="en-AU"/>
        </w:rPr>
        <w:t xml:space="preserve"> </w:t>
      </w:r>
    </w:p>
    <w:p w14:paraId="223823F0" w14:textId="42993DE3" w:rsidR="007E59CC" w:rsidRPr="00F45224" w:rsidRDefault="00C17576" w:rsidP="00F45224">
      <w:pPr>
        <w:spacing w:line="276" w:lineRule="auto"/>
        <w:ind w:left="720"/>
        <w:rPr>
          <w:rFonts w:ascii="Proxima Nova" w:hAnsi="Proxima Nova"/>
          <w:sz w:val="22"/>
          <w:szCs w:val="22"/>
          <w:lang w:eastAsia="en-AU"/>
        </w:rPr>
      </w:pPr>
      <w:r w:rsidRPr="00F45224">
        <w:rPr>
          <w:rFonts w:ascii="Proxima Nova" w:hAnsi="Proxima Nova"/>
          <w:sz w:val="22"/>
          <w:szCs w:val="22"/>
          <w:lang w:eastAsia="en-AU"/>
        </w:rPr>
        <w:t>(b)</w:t>
      </w:r>
      <w:r w:rsidR="003E6AF9" w:rsidRPr="00F45224">
        <w:rPr>
          <w:rFonts w:ascii="Proxima Nova" w:hAnsi="Proxima Nova"/>
          <w:sz w:val="22"/>
          <w:szCs w:val="22"/>
          <w:lang w:eastAsia="en-AU"/>
        </w:rPr>
        <w:tab/>
      </w:r>
      <w:r w:rsidRPr="00F45224">
        <w:rPr>
          <w:rFonts w:ascii="Proxima Nova" w:hAnsi="Proxima Nova"/>
          <w:sz w:val="22"/>
          <w:szCs w:val="22"/>
          <w:lang w:eastAsia="en-AU"/>
        </w:rPr>
        <w:t>‘prevent all forms of exploitation, violence and abuse</w:t>
      </w:r>
      <w:proofErr w:type="gramStart"/>
      <w:r w:rsidRPr="00F45224">
        <w:rPr>
          <w:rFonts w:ascii="Proxima Nova" w:hAnsi="Proxima Nova"/>
          <w:sz w:val="22"/>
          <w:szCs w:val="22"/>
          <w:lang w:eastAsia="en-AU"/>
        </w:rPr>
        <w:t>’;</w:t>
      </w:r>
      <w:proofErr w:type="gramEnd"/>
      <w:r w:rsidRPr="00F45224">
        <w:rPr>
          <w:rFonts w:ascii="Proxima Nova" w:hAnsi="Proxima Nova"/>
          <w:sz w:val="22"/>
          <w:szCs w:val="22"/>
          <w:lang w:eastAsia="en-AU"/>
        </w:rPr>
        <w:t xml:space="preserve"> </w:t>
      </w:r>
    </w:p>
    <w:p w14:paraId="22DABE58" w14:textId="0BE810F9" w:rsidR="007E59CC" w:rsidRPr="00F45224" w:rsidRDefault="00C17576" w:rsidP="00F45224">
      <w:pPr>
        <w:spacing w:line="276" w:lineRule="auto"/>
        <w:ind w:left="1440" w:hanging="720"/>
        <w:rPr>
          <w:rFonts w:ascii="Proxima Nova" w:hAnsi="Proxima Nova"/>
          <w:sz w:val="22"/>
          <w:szCs w:val="22"/>
          <w:lang w:eastAsia="en-AU"/>
        </w:rPr>
      </w:pPr>
      <w:r w:rsidRPr="00F45224">
        <w:rPr>
          <w:rFonts w:ascii="Proxima Nova" w:hAnsi="Proxima Nova"/>
          <w:sz w:val="22"/>
          <w:szCs w:val="22"/>
          <w:lang w:eastAsia="en-AU"/>
        </w:rPr>
        <w:t>(c)</w:t>
      </w:r>
      <w:r w:rsidR="003E6AF9" w:rsidRPr="00F45224">
        <w:rPr>
          <w:rFonts w:ascii="Proxima Nova" w:hAnsi="Proxima Nova"/>
          <w:sz w:val="22"/>
          <w:szCs w:val="22"/>
          <w:lang w:eastAsia="en-AU"/>
        </w:rPr>
        <w:tab/>
      </w:r>
      <w:r w:rsidRPr="00F45224">
        <w:rPr>
          <w:rFonts w:ascii="Proxima Nova" w:hAnsi="Proxima Nova"/>
          <w:sz w:val="22"/>
          <w:szCs w:val="22"/>
          <w:lang w:eastAsia="en-AU"/>
        </w:rPr>
        <w:t xml:space="preserve">‘promote the physical, cognitive and psychological recovery, rehabilitation and social reintegration of persons with disabilities who become victims of any form of exploitation, violence or abuse’; and </w:t>
      </w:r>
    </w:p>
    <w:p w14:paraId="2ABDD0A3" w14:textId="60DFDC53" w:rsidR="00C17576" w:rsidRPr="00F45224" w:rsidRDefault="00C17576" w:rsidP="00F45224">
      <w:pPr>
        <w:spacing w:line="276" w:lineRule="auto"/>
        <w:ind w:left="1440" w:hanging="720"/>
        <w:rPr>
          <w:rFonts w:ascii="Proxima Nova" w:hAnsi="Proxima Nova"/>
          <w:sz w:val="22"/>
          <w:szCs w:val="22"/>
          <w:lang w:eastAsia="en-AU"/>
        </w:rPr>
      </w:pPr>
      <w:r w:rsidRPr="00F45224">
        <w:rPr>
          <w:rFonts w:ascii="Proxima Nova" w:hAnsi="Proxima Nova"/>
          <w:sz w:val="22"/>
          <w:szCs w:val="22"/>
          <w:lang w:eastAsia="en-AU"/>
        </w:rPr>
        <w:t>(d)</w:t>
      </w:r>
      <w:r w:rsidR="003E6AF9" w:rsidRPr="00F45224">
        <w:rPr>
          <w:rFonts w:ascii="Proxima Nova" w:hAnsi="Proxima Nova"/>
          <w:sz w:val="22"/>
          <w:szCs w:val="22"/>
          <w:lang w:eastAsia="en-AU"/>
        </w:rPr>
        <w:tab/>
      </w:r>
      <w:r w:rsidRPr="00F45224">
        <w:rPr>
          <w:rFonts w:ascii="Proxima Nova" w:hAnsi="Proxima Nova"/>
          <w:sz w:val="22"/>
          <w:szCs w:val="22"/>
          <w:lang w:eastAsia="en-AU"/>
        </w:rPr>
        <w:t>‘put in place effective legislation and policies, including women- and child-focused legislation and policies, to ensure that instances of exploitation, violence and abuse against persons with disabilities are identified, investigated and, where appropriate, prosecuted.’</w:t>
      </w:r>
    </w:p>
    <w:p w14:paraId="4EF9BDA7" w14:textId="77777777" w:rsidR="00C17576" w:rsidRPr="00F45224" w:rsidRDefault="00C17576" w:rsidP="00F45224">
      <w:pPr>
        <w:spacing w:line="276" w:lineRule="auto"/>
        <w:ind w:left="720" w:hanging="720"/>
        <w:rPr>
          <w:rFonts w:ascii="Proxima Nova" w:hAnsi="Proxima Nova"/>
          <w:sz w:val="22"/>
          <w:szCs w:val="22"/>
          <w:lang w:eastAsia="en-AU"/>
        </w:rPr>
      </w:pPr>
    </w:p>
    <w:p w14:paraId="5DED9199"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sz w:val="22"/>
          <w:szCs w:val="22"/>
          <w:lang w:eastAsia="en-AU"/>
        </w:rPr>
      </w:pPr>
      <w:r w:rsidRPr="00F45224">
        <w:rPr>
          <w:rFonts w:ascii="Proxima Nova" w:hAnsi="Proxima Nova"/>
          <w:sz w:val="22"/>
          <w:szCs w:val="22"/>
          <w:lang w:eastAsia="en-AU"/>
        </w:rPr>
        <w:t xml:space="preserve">Article 6 makes clear the importance of Governments taking a proactive approach to violence prevention and redress, and one that is both attentive to both the gendered dimensions of violence and the specific circumstances and needs of women and girls with disability. </w:t>
      </w:r>
    </w:p>
    <w:p w14:paraId="7DF783EE" w14:textId="77777777" w:rsidR="00C17576" w:rsidRPr="00F45224" w:rsidRDefault="00C17576" w:rsidP="00F45224">
      <w:pPr>
        <w:pStyle w:val="ListParagraph"/>
        <w:spacing w:line="276" w:lineRule="auto"/>
        <w:ind w:hanging="720"/>
        <w:rPr>
          <w:rFonts w:ascii="Proxima Nova" w:hAnsi="Proxima Nova"/>
          <w:sz w:val="22"/>
          <w:szCs w:val="22"/>
          <w:lang w:eastAsia="en-AU"/>
        </w:rPr>
      </w:pPr>
    </w:p>
    <w:p w14:paraId="1B8D2A23" w14:textId="2F20291F"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lang w:val="en-AU"/>
        </w:rPr>
      </w:pPr>
      <w:r w:rsidRPr="00F45224">
        <w:rPr>
          <w:rFonts w:ascii="Proxima Nova" w:hAnsi="Proxima Nova"/>
          <w:sz w:val="22"/>
          <w:szCs w:val="22"/>
          <w:lang w:eastAsia="en-AU"/>
        </w:rPr>
        <w:t>In relation to women and girls with disability, the UN CRPD Committee has defined violence as being ‘interpersonal’ or ‘institutional and/or structural v</w:t>
      </w:r>
      <w:r w:rsidR="00C357E1" w:rsidRPr="00F45224">
        <w:rPr>
          <w:rFonts w:ascii="Proxima Nova" w:hAnsi="Proxima Nova"/>
          <w:sz w:val="22"/>
          <w:szCs w:val="22"/>
          <w:lang w:eastAsia="en-AU"/>
        </w:rPr>
        <w:t>iolence.’ The latter is defined</w:t>
      </w:r>
      <w:r w:rsidRPr="00F45224">
        <w:rPr>
          <w:rFonts w:ascii="Proxima Nova" w:hAnsi="Proxima Nova"/>
          <w:sz w:val="22"/>
          <w:szCs w:val="22"/>
          <w:lang w:eastAsia="en-AU"/>
        </w:rPr>
        <w:t xml:space="preserve"> as </w:t>
      </w:r>
      <w:r w:rsidRPr="00F45224">
        <w:rPr>
          <w:rFonts w:ascii="Proxima Nova" w:hAnsi="Proxima Nova" w:cstheme="minorHAnsi"/>
          <w:sz w:val="22"/>
          <w:szCs w:val="22"/>
          <w:lang w:eastAsia="en-AU"/>
        </w:rPr>
        <w:t>‘</w:t>
      </w:r>
      <w:r w:rsidRPr="00F45224">
        <w:rPr>
          <w:rFonts w:ascii="Proxima Nova" w:hAnsi="Proxima Nova" w:cstheme="minorHAnsi"/>
          <w:sz w:val="22"/>
          <w:szCs w:val="22"/>
        </w:rPr>
        <w:t>any form of structural inequality or institutional discrimination that keeps a woman in a subordinate position, whether physically or ideologically, compared with other people in her family, household or community</w:t>
      </w:r>
      <w:r w:rsidR="00C357E1" w:rsidRPr="00F45224">
        <w:rPr>
          <w:rFonts w:ascii="Proxima Nova" w:hAnsi="Proxima Nova" w:cstheme="minorHAnsi"/>
          <w:sz w:val="22"/>
          <w:szCs w:val="22"/>
        </w:rPr>
        <w:t>’.</w:t>
      </w:r>
      <w:r w:rsidRPr="00F45224">
        <w:rPr>
          <w:rStyle w:val="EndnoteReference"/>
          <w:rFonts w:ascii="Proxima Nova" w:hAnsi="Proxima Nova" w:cstheme="minorHAnsi"/>
          <w:sz w:val="22"/>
          <w:szCs w:val="22"/>
        </w:rPr>
        <w:endnoteReference w:id="380"/>
      </w:r>
      <w:r w:rsidRPr="00F45224">
        <w:rPr>
          <w:rFonts w:ascii="Proxima Nova" w:hAnsi="Proxima Nova" w:cstheme="minorHAnsi"/>
          <w:sz w:val="22"/>
          <w:szCs w:val="22"/>
        </w:rPr>
        <w:t xml:space="preserve"> According to th</w:t>
      </w:r>
      <w:r w:rsidRPr="00F45224">
        <w:rPr>
          <w:rFonts w:ascii="Proxima Nova" w:hAnsi="Proxima Nova" w:cstheme="minorHAnsi"/>
          <w:sz w:val="22"/>
          <w:szCs w:val="22"/>
          <w:lang w:eastAsia="en-AU"/>
        </w:rPr>
        <w:t>e</w:t>
      </w:r>
      <w:r w:rsidRPr="00F45224">
        <w:rPr>
          <w:rFonts w:ascii="Proxima Nova" w:hAnsi="Proxima Nova"/>
          <w:sz w:val="22"/>
          <w:szCs w:val="22"/>
          <w:lang w:eastAsia="en-AU"/>
        </w:rPr>
        <w:t xml:space="preserve"> UN CRPD Committee, </w:t>
      </w:r>
      <w:r w:rsidRPr="00F45224">
        <w:rPr>
          <w:rFonts w:ascii="Proxima Nova" w:hAnsi="Proxima Nova" w:cstheme="minorHAnsi"/>
          <w:sz w:val="22"/>
          <w:szCs w:val="22"/>
          <w:lang w:eastAsia="en-AU"/>
        </w:rPr>
        <w:t>s</w:t>
      </w:r>
      <w:r w:rsidRPr="00F45224">
        <w:rPr>
          <w:rFonts w:ascii="Proxima Nova" w:hAnsi="Proxima Nova" w:cstheme="minorHAnsi"/>
          <w:sz w:val="22"/>
          <w:szCs w:val="22"/>
        </w:rPr>
        <w:t>pecific examples of</w:t>
      </w:r>
      <w:r w:rsidRPr="00F45224">
        <w:rPr>
          <w:rFonts w:ascii="Proxima Nova" w:hAnsi="Proxima Nova" w:cstheme="minorHAnsi"/>
          <w:sz w:val="22"/>
          <w:szCs w:val="22"/>
          <w:lang w:eastAsia="en-AU"/>
        </w:rPr>
        <w:t xml:space="preserve"> </w:t>
      </w:r>
      <w:r w:rsidRPr="00F45224">
        <w:rPr>
          <w:rFonts w:ascii="Proxima Nova" w:hAnsi="Proxima Nova"/>
          <w:sz w:val="22"/>
          <w:szCs w:val="22"/>
          <w:lang w:eastAsia="en-AU"/>
        </w:rPr>
        <w:t>violence against women and girls with disability that will violate Article 16 include those relevant to restrictive practices: ‘</w:t>
      </w:r>
      <w:r w:rsidRPr="00F45224">
        <w:rPr>
          <w:rFonts w:ascii="Proxima Nova" w:hAnsi="Proxima Nova" w:cstheme="minorHAnsi"/>
          <w:sz w:val="22"/>
          <w:szCs w:val="22"/>
        </w:rPr>
        <w:t>the absence of free and informed consent and legal compulsion’; ‘the removal or control of communication aids and the refusal to assist in communicating’; ‘the denial of personal mobility and accessibility by, for example, removing or destroying accessibility features such as ramps, assistive devices such as white canes or mobility devices such as wheelchairs’; ‘the refusal by caregivers to assist with daily activities such as bathing, menstrual and/or sanitation management, dressing and eating’; ‘the withholding of food or water’; and ‘</w:t>
      </w:r>
      <w:r w:rsidRPr="00F45224">
        <w:rPr>
          <w:rFonts w:ascii="Proxima Nova" w:hAnsi="Proxima Nova" w:cstheme="minorHAnsi"/>
          <w:sz w:val="22"/>
          <w:szCs w:val="22"/>
          <w:lang w:val="en-AU"/>
        </w:rPr>
        <w:t>the exercise of control, for example by restricting face-to-face or virtual access to family, friends or others.’</w:t>
      </w:r>
      <w:r w:rsidRPr="00F45224">
        <w:rPr>
          <w:rStyle w:val="EndnoteReference"/>
          <w:rFonts w:ascii="Proxima Nova" w:hAnsi="Proxima Nova" w:cstheme="minorHAnsi"/>
          <w:sz w:val="22"/>
          <w:szCs w:val="22"/>
          <w:lang w:val="en-AU"/>
        </w:rPr>
        <w:endnoteReference w:id="381"/>
      </w:r>
      <w:r w:rsidRPr="00F45224">
        <w:rPr>
          <w:rFonts w:ascii="Proxima Nova" w:hAnsi="Proxima Nova" w:cstheme="minorHAnsi"/>
          <w:sz w:val="22"/>
          <w:szCs w:val="22"/>
          <w:lang w:val="en-AU"/>
        </w:rPr>
        <w:t xml:space="preserve"> Moreover, certain forms of violence (relevant to restrictive practices) can constitute ‘cruel, inhuman or degrading treatment or punishment and as breaching a number of international human rights treaties’, including:</w:t>
      </w:r>
    </w:p>
    <w:p w14:paraId="1196511E" w14:textId="77777777" w:rsidR="00C17576" w:rsidRPr="00F45224" w:rsidRDefault="00C17576" w:rsidP="00F45224">
      <w:pPr>
        <w:spacing w:line="276" w:lineRule="auto"/>
        <w:ind w:left="720" w:hanging="720"/>
        <w:rPr>
          <w:rFonts w:ascii="Proxima Nova" w:hAnsi="Proxima Nova" w:cstheme="minorHAnsi"/>
          <w:sz w:val="22"/>
          <w:szCs w:val="22"/>
        </w:rPr>
      </w:pPr>
    </w:p>
    <w:p w14:paraId="4EB29B8D" w14:textId="77777777" w:rsidR="00C17576" w:rsidRPr="00F45224" w:rsidRDefault="00C17576" w:rsidP="00F45224">
      <w:pPr>
        <w:pStyle w:val="ListParagraph"/>
        <w:spacing w:line="276" w:lineRule="auto"/>
        <w:ind w:left="1134"/>
        <w:contextualSpacing w:val="0"/>
        <w:rPr>
          <w:rFonts w:ascii="Proxima Nova" w:hAnsi="Proxima Nova" w:cstheme="minorHAnsi"/>
          <w:sz w:val="22"/>
          <w:szCs w:val="22"/>
          <w:lang w:val="en-AU"/>
        </w:rPr>
      </w:pPr>
      <w:r w:rsidRPr="00F45224">
        <w:rPr>
          <w:rFonts w:ascii="Proxima Nova" w:hAnsi="Proxima Nova" w:cstheme="minorHAnsi"/>
          <w:i/>
          <w:iCs/>
          <w:sz w:val="22"/>
          <w:szCs w:val="22"/>
          <w:lang w:val="en-AU"/>
        </w:rPr>
        <w:t xml:space="preserve">… forced, coerced and otherwise involuntary pregnancy or sterilization; any medical procedure or intervention performed without free and informed consent, including </w:t>
      </w:r>
      <w:r w:rsidRPr="00F45224">
        <w:rPr>
          <w:rFonts w:ascii="Proxima Nova" w:hAnsi="Proxima Nova" w:cstheme="minorHAnsi"/>
          <w:i/>
          <w:iCs/>
          <w:sz w:val="22"/>
          <w:szCs w:val="22"/>
          <w:lang w:val="en-AU"/>
        </w:rPr>
        <w:lastRenderedPageBreak/>
        <w:t>procedures and interventions related to contraception and abortion; invasive and irreversible surgical practices such as psychosurgery, female genital mutilation and surgery or treatment performed on intersex children without their informed consent; the administration of electroshock treatment and the use of chemical, physical or mechanical restraints; and isolation or seclusion.</w:t>
      </w:r>
      <w:r w:rsidRPr="00F45224">
        <w:rPr>
          <w:rStyle w:val="EndnoteReference"/>
          <w:rFonts w:ascii="Proxima Nova" w:hAnsi="Proxima Nova" w:cstheme="minorHAnsi"/>
          <w:sz w:val="22"/>
          <w:szCs w:val="22"/>
          <w:lang w:val="en-AU"/>
        </w:rPr>
        <w:endnoteReference w:id="382"/>
      </w:r>
    </w:p>
    <w:p w14:paraId="35065E25" w14:textId="77777777" w:rsidR="00C17576" w:rsidRPr="00F45224" w:rsidRDefault="00C17576" w:rsidP="00F45224">
      <w:pPr>
        <w:spacing w:line="276" w:lineRule="auto"/>
        <w:rPr>
          <w:rFonts w:ascii="Proxima Nova" w:hAnsi="Proxima Nova" w:cstheme="minorBidi"/>
          <w:sz w:val="22"/>
          <w:szCs w:val="22"/>
          <w:lang w:eastAsia="en-AU"/>
        </w:rPr>
      </w:pPr>
    </w:p>
    <w:p w14:paraId="505676D3" w14:textId="56E3B553" w:rsidR="00C17576" w:rsidRPr="00F45224" w:rsidRDefault="00C17576" w:rsidP="00F45224">
      <w:pPr>
        <w:pStyle w:val="ListParagraph"/>
        <w:numPr>
          <w:ilvl w:val="1"/>
          <w:numId w:val="36"/>
        </w:numPr>
        <w:autoSpaceDE w:val="0"/>
        <w:autoSpaceDN w:val="0"/>
        <w:adjustRightInd w:val="0"/>
        <w:spacing w:line="276" w:lineRule="auto"/>
        <w:ind w:left="720" w:hanging="720"/>
        <w:contextualSpacing w:val="0"/>
        <w:rPr>
          <w:rFonts w:ascii="Proxima Nova" w:hAnsi="Proxima Nova" w:cstheme="minorHAnsi"/>
          <w:sz w:val="22"/>
          <w:szCs w:val="22"/>
          <w:lang w:val="en"/>
        </w:rPr>
      </w:pPr>
      <w:r w:rsidRPr="00F45224">
        <w:rPr>
          <w:rFonts w:ascii="Proxima Nova" w:hAnsi="Proxima Nova" w:cstheme="minorHAnsi"/>
          <w:sz w:val="22"/>
          <w:szCs w:val="22"/>
        </w:rPr>
        <w:t xml:space="preserve">On her mission to Australia, the Special Rapporteur </w:t>
      </w:r>
      <w:r w:rsidRPr="00F45224">
        <w:rPr>
          <w:rFonts w:ascii="Proxima Nova" w:hAnsi="Proxima Nova"/>
          <w:sz w:val="22"/>
          <w:szCs w:val="22"/>
        </w:rPr>
        <w:t xml:space="preserve">on Violence </w:t>
      </w:r>
      <w:r w:rsidR="001E15F7" w:rsidRPr="00F45224">
        <w:rPr>
          <w:rFonts w:ascii="Proxima Nova" w:hAnsi="Proxima Nova"/>
          <w:sz w:val="22"/>
          <w:szCs w:val="22"/>
        </w:rPr>
        <w:t xml:space="preserve">Against Women </w:t>
      </w:r>
      <w:r w:rsidRPr="00F45224">
        <w:rPr>
          <w:rFonts w:ascii="Proxima Nova" w:hAnsi="Proxima Nova"/>
          <w:sz w:val="22"/>
          <w:szCs w:val="22"/>
        </w:rPr>
        <w:t>has noted the high incidence of women with disability in the criminal justice system, including prison, and the lifelong violence they have experienced:</w:t>
      </w:r>
    </w:p>
    <w:p w14:paraId="20195E23" w14:textId="77777777" w:rsidR="00C17576" w:rsidRPr="00F45224" w:rsidRDefault="00C17576" w:rsidP="00F45224">
      <w:pPr>
        <w:spacing w:line="276" w:lineRule="auto"/>
        <w:ind w:left="720" w:hanging="720"/>
        <w:rPr>
          <w:rFonts w:ascii="Proxima Nova" w:hAnsi="Proxima Nova"/>
          <w:sz w:val="22"/>
          <w:szCs w:val="22"/>
        </w:rPr>
      </w:pPr>
    </w:p>
    <w:p w14:paraId="083D2442" w14:textId="77777777" w:rsidR="00C17576" w:rsidRPr="00F45224" w:rsidRDefault="00C17576" w:rsidP="00F45224">
      <w:pPr>
        <w:pStyle w:val="Default0"/>
        <w:spacing w:line="276" w:lineRule="auto"/>
        <w:ind w:left="1134"/>
        <w:rPr>
          <w:rFonts w:ascii="Proxima Nova" w:hAnsi="Proxima Nova" w:cstheme="minorHAnsi"/>
          <w:i/>
          <w:iCs/>
          <w:sz w:val="22"/>
          <w:szCs w:val="22"/>
        </w:rPr>
      </w:pPr>
      <w:r w:rsidRPr="00F45224">
        <w:rPr>
          <w:rFonts w:ascii="Proxima Nova" w:hAnsi="Proxima Nova" w:cstheme="minorHAnsi"/>
          <w:i/>
          <w:iCs/>
          <w:sz w:val="22"/>
          <w:szCs w:val="22"/>
        </w:rPr>
        <w:t xml:space="preserve">Criminalized women and girls have exceptionally high levels of mental and cognitive disability compared with the general population. They will have experienced very high rates of sexual and physical violence, most from their childhood or youth, and imprisonment and youth detention exacerbate their trauma. </w:t>
      </w:r>
    </w:p>
    <w:p w14:paraId="2CA4ACA7" w14:textId="77777777" w:rsidR="00C17576" w:rsidRPr="00F45224" w:rsidRDefault="00C17576" w:rsidP="00F45224">
      <w:pPr>
        <w:pStyle w:val="Default0"/>
        <w:spacing w:line="276" w:lineRule="auto"/>
        <w:ind w:left="1134"/>
        <w:rPr>
          <w:rFonts w:ascii="Proxima Nova" w:hAnsi="Proxima Nova" w:cstheme="minorHAnsi"/>
          <w:i/>
          <w:iCs/>
          <w:sz w:val="22"/>
          <w:szCs w:val="22"/>
        </w:rPr>
      </w:pPr>
    </w:p>
    <w:p w14:paraId="448050BE" w14:textId="77777777" w:rsidR="00C17576" w:rsidRPr="00F45224" w:rsidRDefault="00C17576" w:rsidP="00F45224">
      <w:pPr>
        <w:pStyle w:val="Default0"/>
        <w:spacing w:line="276" w:lineRule="auto"/>
        <w:ind w:left="1134"/>
        <w:rPr>
          <w:rFonts w:ascii="Proxima Nova" w:hAnsi="Proxima Nova" w:cstheme="minorHAnsi"/>
          <w:sz w:val="22"/>
          <w:szCs w:val="22"/>
        </w:rPr>
      </w:pPr>
      <w:r w:rsidRPr="00F45224">
        <w:rPr>
          <w:rFonts w:ascii="Proxima Nova" w:hAnsi="Proxima Nova" w:cstheme="minorHAnsi"/>
          <w:i/>
          <w:iCs/>
          <w:sz w:val="22"/>
          <w:szCs w:val="22"/>
        </w:rPr>
        <w:t>Women with disabilities represent more than 50 per cent of the female prison population. More than half of all women incarcerated have a diagnosed psychosocial disability and a history of sexual victimization. The rate of incarceration of indigenous women with disabilities is higher than the equivalent figures for men. Indigenous women with disabilities are at risk of being detained, often without conviction, in prisons and forensic psychiatric units throughout Australia, enduring periods of indefinite detention, in some cases for years. Women with psychosocial disabilities and intellectual or learning disabilities are disproportionately classified as high-security prisoners and are more likely to be in high-security facilities than other prisoners.</w:t>
      </w:r>
      <w:r w:rsidRPr="00F45224">
        <w:rPr>
          <w:rStyle w:val="EndnoteReference"/>
          <w:rFonts w:ascii="Proxima Nova" w:hAnsi="Proxima Nova" w:cstheme="minorHAnsi"/>
          <w:sz w:val="22"/>
          <w:szCs w:val="22"/>
        </w:rPr>
        <w:endnoteReference w:id="383"/>
      </w:r>
    </w:p>
    <w:p w14:paraId="09A66D35" w14:textId="77777777" w:rsidR="00C17576" w:rsidRPr="00F45224" w:rsidRDefault="00C17576" w:rsidP="00F45224">
      <w:pPr>
        <w:pStyle w:val="Default0"/>
        <w:spacing w:line="276" w:lineRule="auto"/>
        <w:ind w:left="720" w:hanging="720"/>
        <w:rPr>
          <w:rFonts w:ascii="Proxima Nova" w:hAnsi="Proxima Nova" w:cstheme="minorHAnsi"/>
          <w:sz w:val="22"/>
          <w:szCs w:val="22"/>
          <w:lang w:eastAsia="en-AU"/>
        </w:rPr>
      </w:pPr>
    </w:p>
    <w:p w14:paraId="50B8381C" w14:textId="77777777" w:rsidR="00C17576" w:rsidRPr="00F45224" w:rsidRDefault="00C17576" w:rsidP="00F45224">
      <w:pPr>
        <w:pStyle w:val="Default0"/>
        <w:numPr>
          <w:ilvl w:val="1"/>
          <w:numId w:val="36"/>
        </w:numPr>
        <w:spacing w:line="276" w:lineRule="auto"/>
        <w:ind w:left="720" w:hanging="720"/>
        <w:rPr>
          <w:rFonts w:ascii="Proxima Nova" w:hAnsi="Proxima Nova" w:cstheme="minorHAnsi"/>
          <w:sz w:val="22"/>
          <w:szCs w:val="22"/>
          <w:lang w:eastAsia="en-AU"/>
        </w:rPr>
      </w:pPr>
      <w:r w:rsidRPr="00F45224">
        <w:rPr>
          <w:rFonts w:ascii="Proxima Nova" w:hAnsi="Proxima Nova" w:cstheme="minorHAnsi"/>
          <w:sz w:val="22"/>
          <w:szCs w:val="22"/>
        </w:rPr>
        <w:t xml:space="preserve">Following its two reviews of Australia in 2013, the UN CRPD Committee expressed concern at ‘reports of high rates of violence perpetrated against women and girls living in institutions and other segregated settings’ and recommended the Australian Government ‘investigate without delay the situations of violence, exploitation and abuse experienced by women and girls with disabilities in institutional settings, and that it </w:t>
      </w:r>
      <w:proofErr w:type="gramStart"/>
      <w:r w:rsidRPr="00F45224">
        <w:rPr>
          <w:rFonts w:ascii="Proxima Nova" w:hAnsi="Proxima Nova" w:cstheme="minorHAnsi"/>
          <w:sz w:val="22"/>
          <w:szCs w:val="22"/>
        </w:rPr>
        <w:t>take</w:t>
      </w:r>
      <w:proofErr w:type="gramEnd"/>
      <w:r w:rsidRPr="00F45224">
        <w:rPr>
          <w:rFonts w:ascii="Proxima Nova" w:hAnsi="Proxima Nova" w:cstheme="minorHAnsi"/>
          <w:sz w:val="22"/>
          <w:szCs w:val="22"/>
        </w:rPr>
        <w:t xml:space="preserve"> appropriate measures on the findings.’</w:t>
      </w:r>
      <w:r w:rsidRPr="00F45224">
        <w:rPr>
          <w:rStyle w:val="EndnoteReference"/>
          <w:rFonts w:ascii="Proxima Nova" w:hAnsi="Proxima Nova" w:cstheme="minorHAnsi"/>
          <w:sz w:val="22"/>
          <w:szCs w:val="22"/>
        </w:rPr>
        <w:endnoteReference w:id="384"/>
      </w:r>
    </w:p>
    <w:p w14:paraId="464D6A4E" w14:textId="77777777" w:rsidR="00C17576" w:rsidRPr="00F45224" w:rsidRDefault="00C17576" w:rsidP="00F45224">
      <w:pPr>
        <w:pStyle w:val="Default0"/>
        <w:spacing w:line="276" w:lineRule="auto"/>
        <w:ind w:left="720" w:hanging="720"/>
        <w:rPr>
          <w:rFonts w:ascii="Proxima Nova" w:hAnsi="Proxima Nova" w:cstheme="minorHAnsi"/>
          <w:sz w:val="22"/>
          <w:szCs w:val="22"/>
          <w:lang w:eastAsia="en-AU"/>
        </w:rPr>
      </w:pPr>
    </w:p>
    <w:p w14:paraId="22F40DE7" w14:textId="77777777" w:rsidR="00C17576" w:rsidRPr="00F45224" w:rsidRDefault="00C17576" w:rsidP="00F45224">
      <w:pPr>
        <w:pStyle w:val="Default0"/>
        <w:numPr>
          <w:ilvl w:val="1"/>
          <w:numId w:val="36"/>
        </w:numPr>
        <w:spacing w:line="276" w:lineRule="auto"/>
        <w:ind w:left="720" w:hanging="720"/>
        <w:rPr>
          <w:rFonts w:ascii="Proxima Nova" w:hAnsi="Proxima Nova" w:cstheme="minorHAnsi"/>
          <w:sz w:val="22"/>
          <w:szCs w:val="22"/>
          <w:lang w:eastAsia="en-AU"/>
        </w:rPr>
      </w:pPr>
      <w:r w:rsidRPr="00F45224">
        <w:rPr>
          <w:rFonts w:ascii="Proxima Nova" w:hAnsi="Proxima Nova" w:cstheme="minorHAnsi"/>
          <w:sz w:val="22"/>
          <w:szCs w:val="22"/>
          <w:lang w:eastAsia="en-AU"/>
        </w:rPr>
        <w:t>In its 2019 review, the UN CRPD Committee expressed concern about the ‘</w:t>
      </w:r>
      <w:r w:rsidRPr="00F45224">
        <w:rPr>
          <w:rFonts w:ascii="Proxima Nova" w:hAnsi="Proxima Nova" w:cstheme="minorHAnsi"/>
          <w:sz w:val="22"/>
          <w:szCs w:val="22"/>
        </w:rPr>
        <w:t>lack of additional oversight, complaint and redress mechanisms needed for persons with disabilities who are not eligible for the National Disability Insurance Scheme, older persons with disabilities and, particularly, women with disabilities’ and the ‘lack of resources and redress mechanisms available to the Royal Commission into Violence, Abuse, Neglect and Exploitation of Persons with Disabilities.’</w:t>
      </w:r>
      <w:r w:rsidRPr="00F45224">
        <w:rPr>
          <w:rStyle w:val="EndnoteReference"/>
          <w:rFonts w:ascii="Proxima Nova" w:hAnsi="Proxima Nova" w:cstheme="minorHAnsi"/>
          <w:sz w:val="22"/>
          <w:szCs w:val="22"/>
        </w:rPr>
        <w:endnoteReference w:id="385"/>
      </w:r>
      <w:r w:rsidRPr="00F45224">
        <w:rPr>
          <w:rFonts w:ascii="Proxima Nova" w:hAnsi="Proxima Nova" w:cstheme="minorHAnsi"/>
          <w:sz w:val="22"/>
          <w:szCs w:val="22"/>
        </w:rPr>
        <w:t xml:space="preserve"> It recommended the Australian Government ‘[e]stablish a national accessible oversight, complaint and redress mechanism for persons with disabilities who have experienced violence, abuse, exploitation and neglect in all settings, including all those not eligible for the National Disability Insurance Scheme and, particularly, older women with disabilities’ and ‘[e]nsure adequate resources and a redress mechanism for the Royal Commission into Violence, Abuse, Neglect and Exploitation of Persons with Disabilities.’</w:t>
      </w:r>
      <w:r w:rsidRPr="00F45224">
        <w:rPr>
          <w:rStyle w:val="EndnoteReference"/>
          <w:rFonts w:ascii="Proxima Nova" w:hAnsi="Proxima Nova" w:cstheme="minorHAnsi"/>
          <w:sz w:val="22"/>
          <w:szCs w:val="22"/>
        </w:rPr>
        <w:endnoteReference w:id="386"/>
      </w:r>
    </w:p>
    <w:p w14:paraId="07C6090C" w14:textId="77777777" w:rsidR="00C17576" w:rsidRPr="00F45224" w:rsidRDefault="00C17576" w:rsidP="00F45224">
      <w:pPr>
        <w:pStyle w:val="ListParagraph"/>
        <w:spacing w:line="276" w:lineRule="auto"/>
        <w:ind w:hanging="720"/>
        <w:rPr>
          <w:rFonts w:ascii="Proxima Nova" w:hAnsi="Proxima Nova" w:cstheme="minorHAnsi"/>
          <w:sz w:val="22"/>
          <w:szCs w:val="22"/>
          <w:lang w:eastAsia="en-AU"/>
        </w:rPr>
      </w:pPr>
    </w:p>
    <w:p w14:paraId="5355D8B1" w14:textId="3188D179" w:rsidR="00C17576" w:rsidRPr="00F45224" w:rsidRDefault="00C17576" w:rsidP="00F45224">
      <w:pPr>
        <w:pStyle w:val="Default0"/>
        <w:numPr>
          <w:ilvl w:val="1"/>
          <w:numId w:val="36"/>
        </w:numPr>
        <w:spacing w:line="276" w:lineRule="auto"/>
        <w:ind w:left="720" w:hanging="720"/>
        <w:rPr>
          <w:rFonts w:ascii="Proxima Nova" w:hAnsi="Proxima Nova" w:cstheme="minorHAnsi"/>
          <w:sz w:val="22"/>
          <w:szCs w:val="22"/>
          <w:lang w:eastAsia="en-AU"/>
        </w:rPr>
      </w:pPr>
      <w:r w:rsidRPr="00F45224">
        <w:rPr>
          <w:rFonts w:ascii="Proxima Nova" w:hAnsi="Proxima Nova" w:cstheme="minorHAnsi"/>
          <w:sz w:val="22"/>
          <w:szCs w:val="22"/>
          <w:lang w:eastAsia="en-AU"/>
        </w:rPr>
        <w:t xml:space="preserve">The text and interpretation of this article of the CRPD makes clear that restrictive practices are </w:t>
      </w:r>
      <w:r w:rsidR="006C6852" w:rsidRPr="00F45224">
        <w:rPr>
          <w:rFonts w:ascii="Proxima Nova" w:hAnsi="Proxima Nova" w:cstheme="minorHAnsi"/>
          <w:sz w:val="22"/>
          <w:szCs w:val="22"/>
          <w:lang w:eastAsia="en-AU"/>
        </w:rPr>
        <w:t xml:space="preserve">a form of interpersonal and structural </w:t>
      </w:r>
      <w:r w:rsidRPr="00F45224">
        <w:rPr>
          <w:rFonts w:ascii="Proxima Nova" w:hAnsi="Proxima Nova" w:cstheme="minorHAnsi"/>
          <w:sz w:val="22"/>
          <w:szCs w:val="22"/>
          <w:lang w:eastAsia="en-AU"/>
        </w:rPr>
        <w:t>violence and violate the human right to freedom from violence, and thus that this should not be up for debate in the Royal Commission.</w:t>
      </w:r>
    </w:p>
    <w:p w14:paraId="2A173BAD" w14:textId="77777777" w:rsidR="00CF0BFC" w:rsidRPr="00F45224" w:rsidRDefault="00CF0BFC" w:rsidP="00F45224">
      <w:pPr>
        <w:spacing w:line="276" w:lineRule="auto"/>
        <w:ind w:left="720" w:hanging="720"/>
        <w:rPr>
          <w:rFonts w:ascii="Proxima Nova" w:hAnsi="Proxima Nova" w:cstheme="minorHAnsi"/>
          <w:sz w:val="22"/>
          <w:szCs w:val="22"/>
        </w:rPr>
      </w:pPr>
    </w:p>
    <w:p w14:paraId="585931DD" w14:textId="78488E25" w:rsidR="00CF0BFC" w:rsidRPr="00CD1BE6" w:rsidRDefault="00CF0BFC" w:rsidP="00CF0BFC">
      <w:pPr>
        <w:spacing w:line="276" w:lineRule="auto"/>
        <w:rPr>
          <w:rFonts w:ascii="Proxima Nova" w:hAnsi="Proxima Nova" w:cstheme="minorHAnsi"/>
        </w:rPr>
      </w:pPr>
      <w:r w:rsidRPr="00CD1BE6">
        <w:rPr>
          <w:rFonts w:ascii="Proxima Nova" w:hAnsi="Proxima Nova"/>
          <w:b/>
          <w:color w:val="AC1F79"/>
        </w:rPr>
        <w:t>Equal Recognition Before The Law</w:t>
      </w:r>
    </w:p>
    <w:p w14:paraId="27024984" w14:textId="77777777" w:rsidR="00C17576" w:rsidRPr="00F45224" w:rsidRDefault="00C17576" w:rsidP="00F45224">
      <w:pPr>
        <w:spacing w:line="276" w:lineRule="auto"/>
        <w:ind w:left="720" w:hanging="720"/>
        <w:rPr>
          <w:rFonts w:ascii="Proxima Nova" w:hAnsi="Proxima Nova" w:cstheme="minorHAnsi"/>
          <w:sz w:val="22"/>
          <w:szCs w:val="22"/>
        </w:rPr>
      </w:pPr>
    </w:p>
    <w:p w14:paraId="1DCB0C32"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Laws that regulate restrictive practices, including substituted decision-making and compulsory treatment laws, violate the right to equal recognition before the law. Governments are required to abolish discriminatory laws that regulate restrictive practices and to introduce supported decision-making laws that enable people with disability to have their choices about their bodies and lives legally recognised.</w:t>
      </w:r>
    </w:p>
    <w:p w14:paraId="119F9955" w14:textId="77777777" w:rsidR="00C17576" w:rsidRPr="00F45224" w:rsidRDefault="00C17576" w:rsidP="00F45224">
      <w:pPr>
        <w:spacing w:line="276" w:lineRule="auto"/>
        <w:ind w:left="720" w:hanging="720"/>
        <w:rPr>
          <w:rFonts w:ascii="Proxima Nova" w:hAnsi="Proxima Nova" w:cstheme="minorHAnsi"/>
          <w:sz w:val="22"/>
          <w:szCs w:val="22"/>
        </w:rPr>
      </w:pPr>
    </w:p>
    <w:p w14:paraId="32CA0A14"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lastRenderedPageBreak/>
        <w:t>Article 12 of the CRPD provides that Governments: ‘reaffirm</w:t>
      </w:r>
      <w:r w:rsidRPr="00F45224">
        <w:rPr>
          <w:rFonts w:ascii="Proxima Nova" w:hAnsi="Proxima Nova"/>
          <w:sz w:val="22"/>
          <w:szCs w:val="22"/>
        </w:rPr>
        <w:t xml:space="preserve"> that persons with disabilities have the right to recognition everywhere as persons before the law’; ‘shall recognize that persons with disabilities enjoy legal capacity on an equal basis with others in all aspects of life’; ‘shall take appropriate measures to provide access by persons with disabilities to the support they may require in exercising their legal capacity’; and ‘shall ensure that all measures that relate to the exercise of legal capacity provide for appropriate and effective safeguards to prevent abuse in accordance with international human rights law.’</w:t>
      </w:r>
    </w:p>
    <w:p w14:paraId="0BF15D96" w14:textId="77777777" w:rsidR="00C17576" w:rsidRPr="00F45224" w:rsidRDefault="00C17576" w:rsidP="00F45224">
      <w:pPr>
        <w:pStyle w:val="ListParagraph"/>
        <w:spacing w:line="276" w:lineRule="auto"/>
        <w:ind w:hanging="720"/>
        <w:rPr>
          <w:rFonts w:ascii="Proxima Nova" w:hAnsi="Proxima Nova" w:cstheme="minorHAnsi"/>
          <w:sz w:val="22"/>
          <w:szCs w:val="22"/>
        </w:rPr>
      </w:pPr>
    </w:p>
    <w:p w14:paraId="459FFF6F"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Article 12 of the CRPD is premised on the CRPD’s general principles, namely: respect for the inherent dignity, individual autonomy (including the freedom to make one’s own choices), and independence of persons; non-discrimination; full and effective participation and inclusion in society; respect for difference and acceptance of persons with disability as part of human diversity and humanity; equality of opportunity; accessibility; equality between men and women; and respect for the evolving capacities of children with disability and respect for the right of children with disability to preserve their identities.</w:t>
      </w:r>
    </w:p>
    <w:p w14:paraId="26172B27" w14:textId="77777777" w:rsidR="00C17576" w:rsidRPr="00F45224" w:rsidRDefault="00C17576" w:rsidP="00F45224">
      <w:pPr>
        <w:pStyle w:val="ListParagraph"/>
        <w:spacing w:line="276" w:lineRule="auto"/>
        <w:ind w:hanging="720"/>
        <w:rPr>
          <w:rFonts w:ascii="Proxima Nova" w:hAnsi="Proxima Nova" w:cstheme="minorHAnsi"/>
          <w:sz w:val="22"/>
          <w:szCs w:val="22"/>
        </w:rPr>
      </w:pPr>
    </w:p>
    <w:p w14:paraId="61DF4B3C" w14:textId="77777777" w:rsidR="00C17576" w:rsidRPr="00F45224" w:rsidRDefault="00C17576" w:rsidP="00F45224">
      <w:pPr>
        <w:pStyle w:val="ListParagraph"/>
        <w:numPr>
          <w:ilvl w:val="1"/>
          <w:numId w:val="36"/>
        </w:numPr>
        <w:autoSpaceDE w:val="0"/>
        <w:autoSpaceDN w:val="0"/>
        <w:adjustRightInd w:val="0"/>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 xml:space="preserve">The effect of Article 12 is to recognise universal legal capacity and focus on the provision of support to ensure people with disability have their decisions legally recognised and are not abused </w:t>
      </w:r>
      <w:proofErr w:type="gramStart"/>
      <w:r w:rsidRPr="00F45224">
        <w:rPr>
          <w:rFonts w:ascii="Proxima Nova" w:hAnsi="Proxima Nova" w:cstheme="minorHAnsi"/>
          <w:sz w:val="22"/>
          <w:szCs w:val="22"/>
        </w:rPr>
        <w:t>in the course of</w:t>
      </w:r>
      <w:proofErr w:type="gramEnd"/>
      <w:r w:rsidRPr="00F45224">
        <w:rPr>
          <w:rFonts w:ascii="Proxima Nova" w:hAnsi="Proxima Nova" w:cstheme="minorHAnsi"/>
          <w:sz w:val="22"/>
          <w:szCs w:val="22"/>
        </w:rPr>
        <w:t xml:space="preserve"> exercising their legal capacity. As explained by the UN CRPD Committee, ‘</w:t>
      </w:r>
      <w:r w:rsidRPr="00F45224">
        <w:rPr>
          <w:rFonts w:ascii="Proxima Nova" w:hAnsi="Proxima Nova"/>
          <w:sz w:val="22"/>
          <w:szCs w:val="22"/>
        </w:rPr>
        <w:t>Article 12 does not permit such discriminatory denial of legal capacity, but, rather, requires that support be provided in the exercise of legal capacity.’</w:t>
      </w:r>
      <w:r w:rsidRPr="00F45224">
        <w:rPr>
          <w:rStyle w:val="EndnoteReference"/>
          <w:rFonts w:ascii="Proxima Nova" w:hAnsi="Proxima Nova"/>
          <w:sz w:val="22"/>
          <w:szCs w:val="22"/>
        </w:rPr>
        <w:endnoteReference w:id="387"/>
      </w:r>
      <w:r w:rsidRPr="00F45224">
        <w:rPr>
          <w:rFonts w:ascii="Proxima Nova" w:hAnsi="Proxima Nova"/>
          <w:sz w:val="22"/>
          <w:szCs w:val="22"/>
        </w:rPr>
        <w:t xml:space="preserve"> </w:t>
      </w:r>
      <w:r w:rsidRPr="00F45224">
        <w:rPr>
          <w:rFonts w:ascii="Proxima Nova" w:hAnsi="Proxima Nova" w:cstheme="minorHAnsi"/>
          <w:sz w:val="22"/>
          <w:szCs w:val="22"/>
        </w:rPr>
        <w:t>The right to equal recognition before the law implies that legal capacity is a universal attribute inherent in all persons by virtue of their humanity and must be upheld for persons with disability on an equal basis with others. The UN CRPD Committee acknowledges the problematic nature of ‘mental capacity’, being the basis on which legal capacity is conventionally denied:</w:t>
      </w:r>
    </w:p>
    <w:p w14:paraId="4E56355B" w14:textId="77777777" w:rsidR="00C17576" w:rsidRPr="00F45224" w:rsidRDefault="00C17576" w:rsidP="00F45224">
      <w:pPr>
        <w:autoSpaceDE w:val="0"/>
        <w:autoSpaceDN w:val="0"/>
        <w:adjustRightInd w:val="0"/>
        <w:spacing w:line="276" w:lineRule="auto"/>
        <w:rPr>
          <w:rFonts w:ascii="Proxima Nova" w:hAnsi="Proxima Nova" w:cstheme="minorHAnsi"/>
          <w:sz w:val="22"/>
          <w:szCs w:val="22"/>
        </w:rPr>
      </w:pPr>
    </w:p>
    <w:p w14:paraId="5C49C7DD" w14:textId="77777777" w:rsidR="00C17576" w:rsidRPr="00F45224" w:rsidRDefault="00C17576" w:rsidP="00F45224">
      <w:pPr>
        <w:autoSpaceDE w:val="0"/>
        <w:autoSpaceDN w:val="0"/>
        <w:adjustRightInd w:val="0"/>
        <w:spacing w:line="276" w:lineRule="auto"/>
        <w:ind w:left="1134"/>
        <w:rPr>
          <w:rFonts w:ascii="Proxima Nova" w:eastAsiaTheme="minorHAnsi" w:hAnsi="Proxima Nova" w:cstheme="minorHAnsi"/>
          <w:sz w:val="22"/>
          <w:szCs w:val="22"/>
        </w:rPr>
      </w:pPr>
      <w:r w:rsidRPr="00F45224">
        <w:rPr>
          <w:rFonts w:ascii="Proxima Nova" w:eastAsiaTheme="minorHAnsi" w:hAnsi="Proxima Nova" w:cstheme="minorHAnsi"/>
          <w:i/>
          <w:iCs/>
          <w:sz w:val="22"/>
          <w:szCs w:val="22"/>
        </w:rPr>
        <w:t>The concept of mental capacity is highly controversial in and of itself. Mental capacity is not, as is commonly presented, an objective, scientific and naturally occurring phenomenon. Mental capacity is contingent on social and political contexts, as are the disciplines, professions and practices which play a dominant role in assessing mental capacity.</w:t>
      </w:r>
      <w:r w:rsidRPr="00F45224">
        <w:rPr>
          <w:rStyle w:val="EndnoteReference"/>
          <w:rFonts w:ascii="Proxima Nova" w:eastAsiaTheme="minorHAnsi" w:hAnsi="Proxima Nova" w:cstheme="minorHAnsi"/>
          <w:sz w:val="22"/>
          <w:szCs w:val="22"/>
        </w:rPr>
        <w:endnoteReference w:id="388"/>
      </w:r>
    </w:p>
    <w:p w14:paraId="15854107" w14:textId="77777777" w:rsidR="00C17576" w:rsidRPr="00F45224" w:rsidRDefault="00C17576" w:rsidP="00F45224">
      <w:pPr>
        <w:spacing w:line="276" w:lineRule="auto"/>
        <w:ind w:left="720" w:hanging="720"/>
        <w:rPr>
          <w:rFonts w:ascii="Proxima Nova" w:hAnsi="Proxima Nova" w:cstheme="minorHAnsi"/>
          <w:sz w:val="22"/>
          <w:szCs w:val="22"/>
        </w:rPr>
      </w:pPr>
    </w:p>
    <w:p w14:paraId="341C77EB"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Legal capacity underpins personhood,</w:t>
      </w:r>
      <w:r w:rsidRPr="00F45224">
        <w:rPr>
          <w:rStyle w:val="EndnoteReference"/>
          <w:rFonts w:ascii="Proxima Nova" w:hAnsi="Proxima Nova" w:cstheme="minorHAnsi"/>
          <w:sz w:val="22"/>
          <w:szCs w:val="22"/>
        </w:rPr>
        <w:endnoteReference w:id="389"/>
      </w:r>
      <w:r w:rsidRPr="00F45224">
        <w:rPr>
          <w:rFonts w:ascii="Proxima Nova" w:hAnsi="Proxima Nova" w:cstheme="minorHAnsi"/>
          <w:sz w:val="22"/>
          <w:szCs w:val="22"/>
        </w:rPr>
        <w:t xml:space="preserve"> and is central to the realisation of other human rights, as noted by the UN CRPD Committee:</w:t>
      </w:r>
    </w:p>
    <w:p w14:paraId="43314C0F" w14:textId="77777777" w:rsidR="00C17576" w:rsidRPr="00F45224" w:rsidRDefault="00C17576" w:rsidP="00F45224">
      <w:pPr>
        <w:spacing w:line="276" w:lineRule="auto"/>
        <w:rPr>
          <w:rFonts w:ascii="Proxima Nova" w:hAnsi="Proxima Nova" w:cstheme="minorHAnsi"/>
          <w:sz w:val="22"/>
          <w:szCs w:val="22"/>
        </w:rPr>
      </w:pPr>
    </w:p>
    <w:p w14:paraId="553FC58C" w14:textId="77777777" w:rsidR="00C17576" w:rsidRPr="00F45224" w:rsidRDefault="00C17576" w:rsidP="00F45224">
      <w:pPr>
        <w:pStyle w:val="ListParagraph"/>
        <w:spacing w:line="276" w:lineRule="auto"/>
        <w:ind w:left="1134"/>
        <w:contextualSpacing w:val="0"/>
        <w:rPr>
          <w:rFonts w:ascii="Proxima Nova" w:hAnsi="Proxima Nova" w:cstheme="minorHAnsi"/>
          <w:sz w:val="22"/>
          <w:szCs w:val="22"/>
        </w:rPr>
      </w:pPr>
      <w:r w:rsidRPr="00F45224">
        <w:rPr>
          <w:rFonts w:ascii="Proxima Nova" w:hAnsi="Proxima Nova"/>
          <w:i/>
          <w:iCs/>
          <w:sz w:val="22"/>
          <w:szCs w:val="22"/>
        </w:rPr>
        <w:t>The right to legal capacity is a threshold right, that is, it is required for the enjoyment of almost all other rights in the Convention, including the right to equality and non-discrimination.</w:t>
      </w:r>
      <w:r w:rsidRPr="00F45224">
        <w:rPr>
          <w:rStyle w:val="EndnoteReference"/>
          <w:rFonts w:ascii="Proxima Nova" w:hAnsi="Proxima Nova"/>
          <w:sz w:val="22"/>
          <w:szCs w:val="22"/>
        </w:rPr>
        <w:endnoteReference w:id="390"/>
      </w:r>
    </w:p>
    <w:p w14:paraId="0A8A6D7F" w14:textId="77777777" w:rsidR="00C17576" w:rsidRPr="00F45224" w:rsidRDefault="00C17576" w:rsidP="00F45224">
      <w:pPr>
        <w:spacing w:line="276" w:lineRule="auto"/>
        <w:ind w:left="720" w:hanging="720"/>
        <w:rPr>
          <w:rFonts w:ascii="Proxima Nova" w:hAnsi="Proxima Nova" w:cstheme="minorHAnsi"/>
          <w:sz w:val="22"/>
          <w:szCs w:val="22"/>
        </w:rPr>
      </w:pPr>
    </w:p>
    <w:p w14:paraId="7B97483F" w14:textId="77777777" w:rsidR="00C17576" w:rsidRPr="00F45224" w:rsidRDefault="00C17576" w:rsidP="00F45224">
      <w:pPr>
        <w:pStyle w:val="ListParagraph"/>
        <w:numPr>
          <w:ilvl w:val="1"/>
          <w:numId w:val="36"/>
        </w:numPr>
        <w:autoSpaceDE w:val="0"/>
        <w:autoSpaceDN w:val="0"/>
        <w:adjustRightInd w:val="0"/>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The UN CRPD Committee identifies discriminatory laws as central to the denial of legal capacity to people with disability:</w:t>
      </w:r>
    </w:p>
    <w:p w14:paraId="75BB920B" w14:textId="77777777" w:rsidR="00C17576" w:rsidRPr="00F45224" w:rsidRDefault="00C17576" w:rsidP="00F45224">
      <w:pPr>
        <w:autoSpaceDE w:val="0"/>
        <w:autoSpaceDN w:val="0"/>
        <w:adjustRightInd w:val="0"/>
        <w:spacing w:line="276" w:lineRule="auto"/>
        <w:ind w:left="720" w:hanging="720"/>
        <w:rPr>
          <w:rFonts w:ascii="Proxima Nova" w:hAnsi="Proxima Nova"/>
          <w:sz w:val="22"/>
          <w:szCs w:val="22"/>
        </w:rPr>
      </w:pPr>
    </w:p>
    <w:p w14:paraId="37DEA542" w14:textId="77777777" w:rsidR="00C17576" w:rsidRPr="00F45224" w:rsidRDefault="00C17576" w:rsidP="00F45224">
      <w:pPr>
        <w:autoSpaceDE w:val="0"/>
        <w:autoSpaceDN w:val="0"/>
        <w:adjustRightInd w:val="0"/>
        <w:spacing w:line="276" w:lineRule="auto"/>
        <w:ind w:left="1134"/>
        <w:rPr>
          <w:rFonts w:ascii="Proxima Nova" w:eastAsiaTheme="minorHAnsi" w:hAnsi="Proxima Nova"/>
          <w:sz w:val="22"/>
          <w:szCs w:val="22"/>
        </w:rPr>
      </w:pPr>
      <w:r w:rsidRPr="00F45224">
        <w:rPr>
          <w:rFonts w:ascii="Proxima Nova" w:eastAsiaTheme="minorHAnsi" w:hAnsi="Proxima Nova" w:cstheme="minorHAnsi"/>
          <w:i/>
          <w:iCs/>
          <w:sz w:val="22"/>
          <w:szCs w:val="22"/>
        </w:rPr>
        <w:t>States parties must holistically examine all areas of law to ensure that the right of persons with disabilities to legal capacity is not restricted on an unequal basis with others. Historically, persons with disabilities have been denied their right to legal capacity in many areas in a discriminatory manner under substitute decision-making regimes such as guardianship, conservatorship and mental health laws that permit forced treatment. These practices must be abolished in order to ensure that full legal capacity is restored to persons with disabilities on an equal basis with others.</w:t>
      </w:r>
      <w:r w:rsidRPr="00F45224">
        <w:rPr>
          <w:rStyle w:val="EndnoteReference"/>
          <w:rFonts w:ascii="Proxima Nova" w:eastAsiaTheme="minorHAnsi" w:hAnsi="Proxima Nova" w:cstheme="minorHAnsi"/>
          <w:sz w:val="22"/>
          <w:szCs w:val="22"/>
        </w:rPr>
        <w:endnoteReference w:id="391"/>
      </w:r>
    </w:p>
    <w:p w14:paraId="7376B927" w14:textId="77777777" w:rsidR="00C17576" w:rsidRPr="00F45224" w:rsidRDefault="00C17576" w:rsidP="00F45224">
      <w:pPr>
        <w:autoSpaceDE w:val="0"/>
        <w:autoSpaceDN w:val="0"/>
        <w:adjustRightInd w:val="0"/>
        <w:spacing w:line="276" w:lineRule="auto"/>
        <w:ind w:left="720" w:hanging="720"/>
        <w:rPr>
          <w:rFonts w:ascii="Proxima Nova" w:hAnsi="Proxima Nova" w:cstheme="minorHAnsi"/>
          <w:sz w:val="22"/>
          <w:szCs w:val="22"/>
        </w:rPr>
      </w:pPr>
    </w:p>
    <w:p w14:paraId="2CAA07C1" w14:textId="77777777" w:rsidR="00C17576" w:rsidRPr="00F45224" w:rsidRDefault="00C17576" w:rsidP="00F45224">
      <w:pPr>
        <w:pStyle w:val="ListParagraph"/>
        <w:numPr>
          <w:ilvl w:val="1"/>
          <w:numId w:val="36"/>
        </w:numPr>
        <w:autoSpaceDE w:val="0"/>
        <w:autoSpaceDN w:val="0"/>
        <w:adjustRightInd w:val="0"/>
        <w:spacing w:line="276" w:lineRule="auto"/>
        <w:ind w:left="720" w:hanging="720"/>
        <w:rPr>
          <w:rFonts w:ascii="Proxima Nova" w:hAnsi="Proxima Nova" w:cstheme="minorHAnsi"/>
          <w:sz w:val="22"/>
          <w:szCs w:val="22"/>
        </w:rPr>
      </w:pPr>
      <w:r w:rsidRPr="00F45224">
        <w:rPr>
          <w:rFonts w:ascii="Proxima Nova" w:hAnsi="Proxima Nova" w:cstheme="minorHAnsi"/>
          <w:sz w:val="22"/>
          <w:szCs w:val="22"/>
        </w:rPr>
        <w:t xml:space="preserve">The UN CRPD Committee states that abolishing laws that deny legal capacity is central to realisation of Article 12: ‘In order to fully recognize “universal legal capacity,” whereby all persons, regardless of disability or decision-making skills, inherently possess legal capacity, States parties must abolish denials of legal capacity that are discriminatory </w:t>
      </w:r>
      <w:proofErr w:type="gramStart"/>
      <w:r w:rsidRPr="00F45224">
        <w:rPr>
          <w:rFonts w:ascii="Proxima Nova" w:hAnsi="Proxima Nova" w:cstheme="minorHAnsi"/>
          <w:sz w:val="22"/>
          <w:szCs w:val="22"/>
        </w:rPr>
        <w:t>on the basis of</w:t>
      </w:r>
      <w:proofErr w:type="gramEnd"/>
      <w:r w:rsidRPr="00F45224">
        <w:rPr>
          <w:rFonts w:ascii="Proxima Nova" w:hAnsi="Proxima Nova" w:cstheme="minorHAnsi"/>
          <w:sz w:val="22"/>
          <w:szCs w:val="22"/>
        </w:rPr>
        <w:t xml:space="preserve"> disability in purpose or effect.’</w:t>
      </w:r>
      <w:r w:rsidRPr="00F45224">
        <w:rPr>
          <w:rStyle w:val="EndnoteReference"/>
          <w:rFonts w:ascii="Proxima Nova" w:hAnsi="Proxima Nova" w:cstheme="minorHAnsi"/>
          <w:sz w:val="22"/>
          <w:szCs w:val="22"/>
        </w:rPr>
        <w:endnoteReference w:id="392"/>
      </w:r>
      <w:r w:rsidRPr="00F45224">
        <w:rPr>
          <w:rFonts w:ascii="Proxima Nova" w:hAnsi="Proxima Nova" w:cstheme="minorHAnsi"/>
          <w:sz w:val="22"/>
          <w:szCs w:val="22"/>
        </w:rPr>
        <w:t xml:space="preserve"> Thus, in implementing Article 12, States Parties should:</w:t>
      </w:r>
    </w:p>
    <w:p w14:paraId="11F830E3" w14:textId="77777777" w:rsidR="00C17576" w:rsidRPr="00F45224" w:rsidRDefault="00C17576" w:rsidP="00F45224">
      <w:pPr>
        <w:pStyle w:val="ListParagraph"/>
        <w:autoSpaceDE w:val="0"/>
        <w:autoSpaceDN w:val="0"/>
        <w:adjustRightInd w:val="0"/>
        <w:spacing w:line="276" w:lineRule="auto"/>
        <w:ind w:hanging="720"/>
        <w:contextualSpacing w:val="0"/>
        <w:rPr>
          <w:rFonts w:ascii="Proxima Nova" w:hAnsi="Proxima Nova" w:cstheme="minorHAnsi"/>
          <w:sz w:val="22"/>
          <w:szCs w:val="22"/>
        </w:rPr>
      </w:pPr>
    </w:p>
    <w:p w14:paraId="797829A9" w14:textId="77777777" w:rsidR="00C17576" w:rsidRPr="00F45224" w:rsidRDefault="00C17576" w:rsidP="00F45224">
      <w:pPr>
        <w:pStyle w:val="ListParagraph"/>
        <w:autoSpaceDE w:val="0"/>
        <w:autoSpaceDN w:val="0"/>
        <w:adjustRightInd w:val="0"/>
        <w:spacing w:line="276" w:lineRule="auto"/>
        <w:ind w:left="1134"/>
        <w:contextualSpacing w:val="0"/>
        <w:rPr>
          <w:rFonts w:ascii="Proxima Nova" w:hAnsi="Proxima Nova" w:cstheme="minorHAnsi"/>
          <w:sz w:val="22"/>
          <w:szCs w:val="22"/>
        </w:rPr>
      </w:pPr>
      <w:r w:rsidRPr="00F45224">
        <w:rPr>
          <w:rFonts w:ascii="Proxima Nova" w:hAnsi="Proxima Nova" w:cstheme="minorHAnsi"/>
          <w:i/>
          <w:iCs/>
          <w:sz w:val="22"/>
          <w:szCs w:val="22"/>
        </w:rPr>
        <w:lastRenderedPageBreak/>
        <w:t xml:space="preserve">Recognize persons with disabilities as persons before the law, having legal personality and legal capacity in all aspects of life, on an equal basis with others. This requires the abolition of substitute decision-making regimes and mechanisms that deny legal </w:t>
      </w:r>
      <w:proofErr w:type="gramStart"/>
      <w:r w:rsidRPr="00F45224">
        <w:rPr>
          <w:rFonts w:ascii="Proxima Nova" w:hAnsi="Proxima Nova" w:cstheme="minorHAnsi"/>
          <w:i/>
          <w:iCs/>
          <w:sz w:val="22"/>
          <w:szCs w:val="22"/>
        </w:rPr>
        <w:t>capacity</w:t>
      </w:r>
      <w:proofErr w:type="gramEnd"/>
      <w:r w:rsidRPr="00F45224">
        <w:rPr>
          <w:rFonts w:ascii="Proxima Nova" w:hAnsi="Proxima Nova" w:cstheme="minorHAnsi"/>
          <w:i/>
          <w:iCs/>
          <w:sz w:val="22"/>
          <w:szCs w:val="22"/>
        </w:rPr>
        <w:t xml:space="preserve"> and which discriminate in purpose or effect against persons with disabilities.</w:t>
      </w:r>
      <w:r w:rsidRPr="00F45224">
        <w:rPr>
          <w:rStyle w:val="EndnoteReference"/>
          <w:rFonts w:ascii="Proxima Nova" w:hAnsi="Proxima Nova" w:cstheme="minorHAnsi"/>
          <w:sz w:val="22"/>
          <w:szCs w:val="22"/>
        </w:rPr>
        <w:endnoteReference w:id="393"/>
      </w:r>
      <w:r w:rsidRPr="00F45224">
        <w:rPr>
          <w:rStyle w:val="EndnoteReference"/>
          <w:rFonts w:ascii="Proxima Nova" w:hAnsi="Proxima Nova"/>
          <w:color w:val="000000"/>
          <w:sz w:val="22"/>
          <w:szCs w:val="22"/>
        </w:rPr>
        <w:t xml:space="preserve"> </w:t>
      </w:r>
    </w:p>
    <w:p w14:paraId="11E33740" w14:textId="77777777" w:rsidR="00C17576" w:rsidRPr="00F45224" w:rsidRDefault="00C17576" w:rsidP="00F45224">
      <w:pPr>
        <w:autoSpaceDE w:val="0"/>
        <w:autoSpaceDN w:val="0"/>
        <w:adjustRightInd w:val="0"/>
        <w:spacing w:line="276" w:lineRule="auto"/>
        <w:ind w:left="720" w:hanging="720"/>
        <w:rPr>
          <w:rFonts w:ascii="Proxima Nova" w:hAnsi="Proxima Nova" w:cstheme="minorHAnsi"/>
          <w:sz w:val="22"/>
          <w:szCs w:val="22"/>
        </w:rPr>
      </w:pPr>
    </w:p>
    <w:p w14:paraId="54CB59A8"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The UN CRPD Committee has made it clear that Governments’ obligation to replace substitute decision-making regimes by supported decision-making requires both the abolition of substitute decision-making regimes and the development of supported decision-making alternatives.</w:t>
      </w:r>
      <w:r w:rsidRPr="00F45224">
        <w:rPr>
          <w:rStyle w:val="EndnoteReference"/>
          <w:rFonts w:ascii="Proxima Nova" w:hAnsi="Proxima Nova" w:cstheme="minorHAnsi"/>
          <w:sz w:val="22"/>
          <w:szCs w:val="22"/>
        </w:rPr>
        <w:endnoteReference w:id="394"/>
      </w:r>
      <w:r w:rsidRPr="00F45224">
        <w:rPr>
          <w:rFonts w:ascii="Proxima Nova" w:hAnsi="Proxima Nova" w:cstheme="minorHAnsi"/>
          <w:sz w:val="22"/>
          <w:szCs w:val="22"/>
        </w:rPr>
        <w:t xml:space="preserve"> Support in the exercise of legal capacity must respect the rights, will and preferences of persons with disability and should never amount to substitute decision-making. Importantly, abolition must occur simultaneously to the introduction and development of supported decision-making:</w:t>
      </w:r>
    </w:p>
    <w:p w14:paraId="183B5FD8" w14:textId="77777777" w:rsidR="00C17576" w:rsidRPr="00F45224" w:rsidRDefault="00C17576" w:rsidP="00F45224">
      <w:pPr>
        <w:autoSpaceDE w:val="0"/>
        <w:autoSpaceDN w:val="0"/>
        <w:adjustRightInd w:val="0"/>
        <w:spacing w:line="276" w:lineRule="auto"/>
        <w:ind w:left="720" w:hanging="720"/>
        <w:rPr>
          <w:rFonts w:ascii="Proxima Nova" w:hAnsi="Proxima Nova" w:cstheme="minorHAnsi"/>
          <w:sz w:val="22"/>
          <w:szCs w:val="22"/>
        </w:rPr>
      </w:pPr>
    </w:p>
    <w:p w14:paraId="38D8A4D4" w14:textId="77777777" w:rsidR="00C17576" w:rsidRPr="00F45224" w:rsidRDefault="00C17576" w:rsidP="00F45224">
      <w:pPr>
        <w:autoSpaceDE w:val="0"/>
        <w:autoSpaceDN w:val="0"/>
        <w:adjustRightInd w:val="0"/>
        <w:spacing w:line="276" w:lineRule="auto"/>
        <w:ind w:left="1134"/>
        <w:rPr>
          <w:rFonts w:ascii="Proxima Nova" w:hAnsi="Proxima Nova" w:cstheme="minorHAnsi"/>
          <w:sz w:val="22"/>
          <w:szCs w:val="22"/>
        </w:rPr>
      </w:pPr>
      <w:r w:rsidRPr="00F45224">
        <w:rPr>
          <w:rFonts w:ascii="Proxima Nova" w:eastAsiaTheme="minorHAnsi" w:hAnsi="Proxima Nova" w:cstheme="minorHAnsi"/>
          <w:i/>
          <w:iCs/>
          <w:sz w:val="22"/>
          <w:szCs w:val="22"/>
        </w:rPr>
        <w:t>States parties’ obligation to replace substitute decision-making regimes by supported decision-making requires both the abolition of substitute decision-making regimes and the development of supported decision-making alternatives. The development of supported decision-making systems in parallel with the maintenance of substitute decision-making regimes is not sufficient to comply with article 12 of the Convention.</w:t>
      </w:r>
      <w:r w:rsidRPr="00F45224">
        <w:rPr>
          <w:rStyle w:val="EndnoteReference"/>
          <w:rFonts w:ascii="Proxima Nova" w:eastAsiaTheme="minorHAnsi" w:hAnsi="Proxima Nova" w:cstheme="minorHAnsi"/>
          <w:sz w:val="22"/>
          <w:szCs w:val="22"/>
        </w:rPr>
        <w:endnoteReference w:id="395"/>
      </w:r>
    </w:p>
    <w:p w14:paraId="6A383E2B" w14:textId="77777777" w:rsidR="00C17576" w:rsidRPr="00F45224" w:rsidRDefault="00C17576" w:rsidP="00F45224">
      <w:pPr>
        <w:autoSpaceDE w:val="0"/>
        <w:autoSpaceDN w:val="0"/>
        <w:adjustRightInd w:val="0"/>
        <w:spacing w:line="276" w:lineRule="auto"/>
        <w:rPr>
          <w:rFonts w:ascii="Proxima Nova" w:hAnsi="Proxima Nova" w:cstheme="minorHAnsi"/>
          <w:sz w:val="22"/>
          <w:szCs w:val="22"/>
        </w:rPr>
      </w:pPr>
    </w:p>
    <w:p w14:paraId="0AB5D9B5" w14:textId="77777777" w:rsidR="00C17576" w:rsidRPr="00F45224" w:rsidRDefault="00C17576" w:rsidP="00F45224">
      <w:pPr>
        <w:pStyle w:val="ListParagraph"/>
        <w:autoSpaceDE w:val="0"/>
        <w:autoSpaceDN w:val="0"/>
        <w:adjustRightInd w:val="0"/>
        <w:spacing w:line="276" w:lineRule="auto"/>
        <w:contextualSpacing w:val="0"/>
        <w:rPr>
          <w:rFonts w:ascii="Proxima Nova" w:hAnsi="Proxima Nova" w:cstheme="minorHAnsi"/>
          <w:sz w:val="22"/>
          <w:szCs w:val="22"/>
        </w:rPr>
      </w:pPr>
      <w:r w:rsidRPr="00F45224">
        <w:rPr>
          <w:rFonts w:ascii="Proxima Nova" w:hAnsi="Proxima Nova" w:cstheme="minorHAnsi"/>
          <w:sz w:val="22"/>
          <w:szCs w:val="22"/>
        </w:rPr>
        <w:t>This is particularly significant in an Australian context, where some States and Territories have had law reform projects on guardianship which have proposed the partial introduction of supported decision-making, while retaining substituted decision-making.</w:t>
      </w:r>
      <w:r w:rsidRPr="00F45224">
        <w:rPr>
          <w:rStyle w:val="EndnoteReference"/>
          <w:rFonts w:ascii="Proxima Nova" w:hAnsi="Proxima Nova" w:cstheme="minorHAnsi"/>
          <w:sz w:val="22"/>
          <w:szCs w:val="22"/>
        </w:rPr>
        <w:endnoteReference w:id="396"/>
      </w:r>
    </w:p>
    <w:p w14:paraId="7D6D9F4F" w14:textId="77777777" w:rsidR="00C17576" w:rsidRPr="00F45224" w:rsidRDefault="00C17576" w:rsidP="00F45224">
      <w:pPr>
        <w:autoSpaceDE w:val="0"/>
        <w:autoSpaceDN w:val="0"/>
        <w:adjustRightInd w:val="0"/>
        <w:spacing w:line="276" w:lineRule="auto"/>
        <w:ind w:left="720" w:hanging="720"/>
        <w:rPr>
          <w:rFonts w:ascii="Proxima Nova" w:hAnsi="Proxima Nova" w:cstheme="minorHAnsi"/>
          <w:sz w:val="22"/>
          <w:szCs w:val="22"/>
        </w:rPr>
      </w:pPr>
    </w:p>
    <w:p w14:paraId="7185A07E" w14:textId="77777777" w:rsidR="00C17576" w:rsidRPr="00F45224" w:rsidRDefault="00C17576" w:rsidP="00F45224">
      <w:pPr>
        <w:pStyle w:val="ListParagraph"/>
        <w:numPr>
          <w:ilvl w:val="1"/>
          <w:numId w:val="36"/>
        </w:numPr>
        <w:autoSpaceDE w:val="0"/>
        <w:autoSpaceDN w:val="0"/>
        <w:adjustRightInd w:val="0"/>
        <w:spacing w:line="276" w:lineRule="auto"/>
        <w:ind w:left="720" w:hanging="720"/>
        <w:contextualSpacing w:val="0"/>
        <w:rPr>
          <w:rFonts w:ascii="Proxima Nova" w:hAnsi="Proxima Nova" w:cstheme="minorHAnsi"/>
          <w:sz w:val="22"/>
          <w:szCs w:val="22"/>
          <w:lang w:eastAsia="en-AU"/>
        </w:rPr>
      </w:pPr>
      <w:r w:rsidRPr="00F45224">
        <w:rPr>
          <w:rFonts w:ascii="Proxima Nova" w:hAnsi="Proxima Nova"/>
          <w:sz w:val="22"/>
          <w:szCs w:val="22"/>
          <w:lang w:eastAsia="en-AU"/>
        </w:rPr>
        <w:t>The UN CRPD Committee recognises forced psychiatric, medical and health treatment as a violation of the right to equal recognition before the law because ‘[t]</w:t>
      </w:r>
      <w:r w:rsidRPr="00F45224">
        <w:rPr>
          <w:rFonts w:ascii="Proxima Nova" w:hAnsi="Proxima Nova" w:cstheme="minorHAnsi"/>
          <w:sz w:val="22"/>
          <w:szCs w:val="22"/>
        </w:rPr>
        <w:t>his practice denies the legal capacity of a person to choose medical treatment.’ Instead, Governments are required to ‘respect the legal capacity of persons with disabilities to make decisions at all times, including in crisis situations’ and provide them with accessible information and supports to make decisions.</w:t>
      </w:r>
      <w:r w:rsidRPr="00F45224">
        <w:rPr>
          <w:rStyle w:val="EndnoteReference"/>
          <w:rFonts w:ascii="Proxima Nova" w:hAnsi="Proxima Nova" w:cstheme="minorHAnsi"/>
          <w:sz w:val="22"/>
          <w:szCs w:val="22"/>
        </w:rPr>
        <w:endnoteReference w:id="397"/>
      </w:r>
      <w:r w:rsidRPr="00F45224">
        <w:rPr>
          <w:rFonts w:ascii="Proxima Nova" w:hAnsi="Proxima Nova" w:cstheme="minorHAnsi"/>
          <w:sz w:val="22"/>
          <w:szCs w:val="22"/>
        </w:rPr>
        <w:t xml:space="preserve"> States Parties must abolish policies and legislative provisions that allow or perpetrate forced treatment, as it is an ongoing violation found in mental health laws across the globe, despite empirical evidence indicating its lack of effectiveness and the views of people using mental health systems who have experienced deep pain and trauma as a result of forced treatment. The UN CRPD Committee recommends that States Parties ensure that decisions relating to a person’s physical or mental integrity can only be taken with the free and informed consent of the person concerned.</w:t>
      </w:r>
      <w:r w:rsidRPr="00F45224">
        <w:rPr>
          <w:rStyle w:val="EndnoteReference"/>
          <w:rFonts w:ascii="Proxima Nova" w:hAnsi="Proxima Nova" w:cstheme="minorHAnsi"/>
          <w:sz w:val="22"/>
          <w:szCs w:val="22"/>
        </w:rPr>
        <w:endnoteReference w:id="398"/>
      </w:r>
    </w:p>
    <w:p w14:paraId="2E6AF949" w14:textId="77777777" w:rsidR="00C17576" w:rsidRPr="00F45224" w:rsidRDefault="00C17576" w:rsidP="00F45224">
      <w:pPr>
        <w:pStyle w:val="ListParagraph"/>
        <w:autoSpaceDE w:val="0"/>
        <w:autoSpaceDN w:val="0"/>
        <w:adjustRightInd w:val="0"/>
        <w:spacing w:line="276" w:lineRule="auto"/>
        <w:ind w:hanging="720"/>
        <w:contextualSpacing w:val="0"/>
        <w:rPr>
          <w:rFonts w:ascii="Proxima Nova" w:hAnsi="Proxima Nova" w:cstheme="minorHAnsi"/>
          <w:sz w:val="22"/>
          <w:szCs w:val="22"/>
        </w:rPr>
      </w:pPr>
    </w:p>
    <w:p w14:paraId="58EA3491"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 xml:space="preserve">In relation to older people with disability, who might be considered to ‘naturally’ relinquish their legal capacity as they age, the Special Rapporteur on Disabilities has stated that: </w:t>
      </w:r>
    </w:p>
    <w:p w14:paraId="2BEF90B8" w14:textId="77777777" w:rsidR="00C17576" w:rsidRPr="00F45224" w:rsidRDefault="00C17576" w:rsidP="00F45224">
      <w:pPr>
        <w:pStyle w:val="ListParagraph"/>
        <w:spacing w:line="276" w:lineRule="auto"/>
        <w:ind w:hanging="720"/>
        <w:contextualSpacing w:val="0"/>
        <w:rPr>
          <w:rFonts w:ascii="Proxima Nova" w:hAnsi="Proxima Nova" w:cstheme="minorHAnsi"/>
          <w:sz w:val="22"/>
          <w:szCs w:val="22"/>
        </w:rPr>
      </w:pPr>
    </w:p>
    <w:p w14:paraId="208FA7DB" w14:textId="77777777" w:rsidR="00C17576" w:rsidRPr="00F45224" w:rsidRDefault="00C17576" w:rsidP="00F45224">
      <w:pPr>
        <w:widowControl w:val="0"/>
        <w:autoSpaceDE w:val="0"/>
        <w:autoSpaceDN w:val="0"/>
        <w:adjustRightInd w:val="0"/>
        <w:spacing w:line="276" w:lineRule="auto"/>
        <w:ind w:left="1134"/>
        <w:rPr>
          <w:rFonts w:ascii="Proxima Nova" w:hAnsi="Proxima Nova" w:cstheme="minorHAnsi"/>
          <w:color w:val="000000" w:themeColor="text1"/>
          <w:sz w:val="22"/>
          <w:szCs w:val="22"/>
        </w:rPr>
      </w:pPr>
      <w:r w:rsidRPr="00F45224">
        <w:rPr>
          <w:rFonts w:ascii="Proxima Nova" w:hAnsi="Proxima Nova" w:cstheme="minorHAnsi"/>
          <w:i/>
          <w:iCs/>
          <w:sz w:val="22"/>
          <w:szCs w:val="22"/>
        </w:rPr>
        <w:t xml:space="preserve">Having high support needs cannot justify the denial of autonomy and legal capacity. Loss of autonomy is not a natural process, but a social process that results from the failure of society to respect and support the will and preferences of all people. Older persons with disabilities have the right to maintain their legal capacity and to have access to supported decision-making, and their agency needs to be recognized and facilitated. Furthermore, all health and social care services should be based on the free and informed consent of the individual concerned, and all laws that allow involuntary treatment or placement in residential care upon the authorization of third parties, such as family members, or </w:t>
      </w:r>
      <w:proofErr w:type="gramStart"/>
      <w:r w:rsidRPr="00F45224">
        <w:rPr>
          <w:rFonts w:ascii="Proxima Nova" w:hAnsi="Proxima Nova" w:cstheme="minorHAnsi"/>
          <w:i/>
          <w:iCs/>
          <w:sz w:val="22"/>
          <w:szCs w:val="22"/>
        </w:rPr>
        <w:t>on the basis of</w:t>
      </w:r>
      <w:proofErr w:type="gramEnd"/>
      <w:r w:rsidRPr="00F45224">
        <w:rPr>
          <w:rFonts w:ascii="Proxima Nova" w:hAnsi="Proxima Nova" w:cstheme="minorHAnsi"/>
          <w:i/>
          <w:iCs/>
          <w:sz w:val="22"/>
          <w:szCs w:val="22"/>
        </w:rPr>
        <w:t xml:space="preserve"> an actual or perceived mental health condition or other impairment, should be repealed.</w:t>
      </w:r>
      <w:r w:rsidRPr="00F45224">
        <w:rPr>
          <w:rStyle w:val="EndnoteReference"/>
          <w:rFonts w:ascii="Proxima Nova" w:hAnsi="Proxima Nova" w:cstheme="minorHAnsi"/>
          <w:sz w:val="22"/>
          <w:szCs w:val="22"/>
        </w:rPr>
        <w:endnoteReference w:id="399"/>
      </w:r>
    </w:p>
    <w:p w14:paraId="42273B33" w14:textId="77777777" w:rsidR="00C17576" w:rsidRPr="00F45224" w:rsidRDefault="00C17576" w:rsidP="00F45224">
      <w:pPr>
        <w:spacing w:line="276" w:lineRule="auto"/>
        <w:ind w:left="720" w:hanging="720"/>
        <w:rPr>
          <w:rFonts w:ascii="Proxima Nova" w:hAnsi="Proxima Nova" w:cstheme="minorHAnsi"/>
          <w:sz w:val="22"/>
          <w:szCs w:val="22"/>
        </w:rPr>
      </w:pPr>
    </w:p>
    <w:p w14:paraId="7616E7AB"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The UN CRPD Committee recognises that women with disability are subject to multiple and intersectional forms of discrimination and thus are more likely to be denied their right to legal capacity. This has significant impacts on other rights – including the right to maintain sexual and reproductive autonomy, to found a family, to choose where and with whom to live, to be free from violence, to maintain bodily and mental integrity, and to realise their right to work in the open labour market, in work that is freely chosen, and that provides just, favourable conditions of work on an equal basis with others.</w:t>
      </w:r>
      <w:r w:rsidRPr="00F45224">
        <w:rPr>
          <w:rStyle w:val="EndnoteReference"/>
          <w:rFonts w:ascii="Proxima Nova" w:hAnsi="Proxima Nova" w:cstheme="minorHAnsi"/>
          <w:sz w:val="22"/>
          <w:szCs w:val="22"/>
        </w:rPr>
        <w:endnoteReference w:id="400"/>
      </w:r>
      <w:r w:rsidRPr="00F45224">
        <w:rPr>
          <w:rFonts w:ascii="Proxima Nova" w:hAnsi="Proxima Nova" w:cstheme="minorHAnsi"/>
          <w:sz w:val="22"/>
          <w:szCs w:val="22"/>
        </w:rPr>
        <w:t xml:space="preserve"> It recognises that: </w:t>
      </w:r>
      <w:r w:rsidRPr="00F45224">
        <w:rPr>
          <w:rFonts w:ascii="Proxima Nova" w:hAnsi="Proxima Nova" w:cstheme="minorHAnsi"/>
          <w:sz w:val="22"/>
          <w:szCs w:val="22"/>
        </w:rPr>
        <w:lastRenderedPageBreak/>
        <w:t>‘</w:t>
      </w:r>
      <w:r w:rsidRPr="00F45224">
        <w:rPr>
          <w:rFonts w:ascii="Proxima Nova" w:hAnsi="Proxima Nova" w:cstheme="minorHAnsi"/>
          <w:color w:val="000000"/>
          <w:sz w:val="22"/>
          <w:szCs w:val="22"/>
        </w:rPr>
        <w:t>[r]estricting or removing legal capacity can facilitate forced interventions, such as sterilization, abortion, contraception, female genital mutilation, surgery or treatment performed on intersex children without their informed consent and forced detention in institutions.’</w:t>
      </w:r>
      <w:r w:rsidRPr="00F45224">
        <w:rPr>
          <w:rStyle w:val="EndnoteReference"/>
          <w:rFonts w:ascii="Proxima Nova" w:hAnsi="Proxima Nova" w:cstheme="minorHAnsi"/>
          <w:color w:val="000000"/>
          <w:sz w:val="22"/>
          <w:szCs w:val="22"/>
        </w:rPr>
        <w:endnoteReference w:id="401"/>
      </w:r>
      <w:r w:rsidRPr="00F45224">
        <w:rPr>
          <w:rFonts w:ascii="Proxima Nova" w:hAnsi="Proxima Nova" w:cstheme="minorHAnsi"/>
          <w:color w:val="000000"/>
          <w:sz w:val="22"/>
          <w:szCs w:val="22"/>
        </w:rPr>
        <w:t xml:space="preserve"> Moreover, it notes that: ‘[f]orced contraception and sterilization can also result in sexual violence without the consequence of pregnancy, especially for women with psychosocial or intellectual disabilities, women in psychiatric or other institutions and women in custody.’</w:t>
      </w:r>
      <w:r w:rsidRPr="00F45224">
        <w:rPr>
          <w:rStyle w:val="EndnoteReference"/>
          <w:rFonts w:ascii="Proxima Nova" w:hAnsi="Proxima Nova" w:cstheme="minorHAnsi"/>
          <w:color w:val="000000"/>
          <w:sz w:val="22"/>
          <w:szCs w:val="22"/>
        </w:rPr>
        <w:endnoteReference w:id="402"/>
      </w:r>
      <w:r w:rsidRPr="00F45224">
        <w:rPr>
          <w:rFonts w:ascii="Proxima Nova" w:hAnsi="Proxima Nova" w:cstheme="minorHAnsi"/>
          <w:color w:val="000000"/>
          <w:sz w:val="22"/>
          <w:szCs w:val="22"/>
        </w:rPr>
        <w:t xml:space="preserve"> </w:t>
      </w:r>
    </w:p>
    <w:p w14:paraId="67C28AA6" w14:textId="77777777" w:rsidR="00C17576" w:rsidRPr="00F45224" w:rsidRDefault="00C17576" w:rsidP="00F45224">
      <w:pPr>
        <w:spacing w:line="276" w:lineRule="auto"/>
        <w:ind w:left="720" w:hanging="720"/>
        <w:rPr>
          <w:rFonts w:ascii="Proxima Nova" w:hAnsi="Proxima Nova" w:cstheme="minorHAnsi"/>
          <w:sz w:val="22"/>
          <w:szCs w:val="22"/>
        </w:rPr>
      </w:pPr>
    </w:p>
    <w:p w14:paraId="2D4DE224"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 xml:space="preserve"> Many women with disability are not afforded the right to make their own decisions because others determine that they ‘lack capacity’ to do so. Such judgements often lead to substitute decision-making processes whereby others </w:t>
      </w:r>
      <w:proofErr w:type="gramStart"/>
      <w:r w:rsidRPr="00F45224">
        <w:rPr>
          <w:rFonts w:ascii="Proxima Nova" w:hAnsi="Proxima Nova" w:cstheme="minorHAnsi"/>
          <w:sz w:val="22"/>
          <w:szCs w:val="22"/>
        </w:rPr>
        <w:t>decide,</w:t>
      </w:r>
      <w:proofErr w:type="gramEnd"/>
      <w:r w:rsidRPr="00F45224">
        <w:rPr>
          <w:rFonts w:ascii="Proxima Nova" w:hAnsi="Proxima Nova" w:cstheme="minorHAnsi"/>
          <w:sz w:val="22"/>
          <w:szCs w:val="22"/>
        </w:rPr>
        <w:t xml:space="preserve"> on behalf of a woman or girl, what is in her ‘best interest.’ This is particularly the case for women and girls with intellectual disability – where the diagnosis of intellectual disability is assumed to equate with a lack of capacity to make decisions.</w:t>
      </w:r>
      <w:r w:rsidRPr="00F45224">
        <w:rPr>
          <w:rStyle w:val="EndnoteReference"/>
          <w:rFonts w:ascii="Proxima Nova" w:hAnsi="Proxima Nova" w:cstheme="minorHAnsi"/>
          <w:sz w:val="22"/>
          <w:szCs w:val="22"/>
        </w:rPr>
        <w:endnoteReference w:id="403"/>
      </w:r>
      <w:r w:rsidRPr="00F45224">
        <w:rPr>
          <w:rFonts w:ascii="Proxima Nova" w:hAnsi="Proxima Nova" w:cstheme="minorHAnsi"/>
          <w:sz w:val="22"/>
          <w:szCs w:val="22"/>
        </w:rPr>
        <w:t xml:space="preserve"> Substitute decision-making and ‘best interest’ approaches have been thoroughly criticised as fundamentally contravening the CRPD and as intrinsically value-laden.</w:t>
      </w:r>
      <w:r w:rsidRPr="00F45224">
        <w:rPr>
          <w:rStyle w:val="EndnoteReference"/>
          <w:rFonts w:ascii="Proxima Nova" w:hAnsi="Proxima Nova" w:cstheme="minorHAnsi"/>
          <w:sz w:val="22"/>
          <w:szCs w:val="22"/>
        </w:rPr>
        <w:endnoteReference w:id="404"/>
      </w:r>
      <w:r w:rsidRPr="00F45224">
        <w:rPr>
          <w:rFonts w:ascii="Proxima Nova" w:hAnsi="Proxima Nova" w:cstheme="minorHAnsi"/>
          <w:sz w:val="22"/>
          <w:szCs w:val="22"/>
        </w:rPr>
        <w:t xml:space="preserve"> In practice, the ‘best interest’ approach most often serves the interests of guardians, families, carers and service providers.</w:t>
      </w:r>
      <w:r w:rsidRPr="00F45224">
        <w:rPr>
          <w:rStyle w:val="EndnoteReference"/>
          <w:rFonts w:ascii="Proxima Nova" w:hAnsi="Proxima Nova" w:cstheme="minorHAnsi"/>
          <w:sz w:val="22"/>
          <w:szCs w:val="22"/>
        </w:rPr>
        <w:endnoteReference w:id="405"/>
      </w:r>
      <w:r w:rsidRPr="00F45224">
        <w:rPr>
          <w:rFonts w:ascii="Proxima Nova" w:hAnsi="Proxima Nova" w:cstheme="minorHAnsi"/>
          <w:sz w:val="22"/>
          <w:szCs w:val="22"/>
        </w:rPr>
        <w:t xml:space="preserve"> </w:t>
      </w:r>
    </w:p>
    <w:p w14:paraId="1FE93EC5" w14:textId="77777777" w:rsidR="00C17576" w:rsidRPr="00F45224" w:rsidRDefault="00C17576" w:rsidP="00F45224">
      <w:pPr>
        <w:pStyle w:val="ListParagraph"/>
        <w:spacing w:line="276" w:lineRule="auto"/>
        <w:ind w:hanging="720"/>
        <w:contextualSpacing w:val="0"/>
        <w:rPr>
          <w:rFonts w:ascii="Proxima Nova" w:hAnsi="Proxima Nova" w:cstheme="minorHAnsi"/>
          <w:sz w:val="22"/>
          <w:szCs w:val="22"/>
        </w:rPr>
      </w:pPr>
    </w:p>
    <w:p w14:paraId="5219CE2D"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Australia continues to maintain that the CRPD ‘[a]llows for fully supported or substituted decision-making where necessary, as a last resort and subject to safeguards.’</w:t>
      </w:r>
      <w:r w:rsidRPr="00F45224">
        <w:rPr>
          <w:rStyle w:val="EndnoteReference"/>
          <w:rFonts w:ascii="Proxima Nova" w:hAnsi="Proxima Nova" w:cstheme="minorHAnsi"/>
          <w:sz w:val="22"/>
          <w:szCs w:val="22"/>
        </w:rPr>
        <w:endnoteReference w:id="406"/>
      </w:r>
      <w:r w:rsidRPr="00F45224">
        <w:rPr>
          <w:rFonts w:ascii="Proxima Nova" w:hAnsi="Proxima Nova" w:cstheme="minorHAnsi"/>
          <w:sz w:val="22"/>
          <w:szCs w:val="22"/>
        </w:rPr>
        <w:t xml:space="preserve"> This is the basis of the interpretative declaration</w:t>
      </w:r>
      <w:r w:rsidRPr="00F45224">
        <w:rPr>
          <w:rStyle w:val="EndnoteReference"/>
          <w:rFonts w:ascii="Proxima Nova" w:hAnsi="Proxima Nova" w:cstheme="minorHAnsi"/>
          <w:sz w:val="22"/>
          <w:szCs w:val="22"/>
        </w:rPr>
        <w:endnoteReference w:id="407"/>
      </w:r>
      <w:r w:rsidRPr="00F45224">
        <w:rPr>
          <w:rFonts w:ascii="Proxima Nova" w:hAnsi="Proxima Nova" w:cstheme="minorHAnsi"/>
          <w:sz w:val="22"/>
          <w:szCs w:val="22"/>
        </w:rPr>
        <w:t xml:space="preserve"> that Australia made at the time of ratification of the CRPD in 2008. This position has been maintained over the past 12 years, </w:t>
      </w:r>
      <w:proofErr w:type="gramStart"/>
      <w:r w:rsidRPr="00F45224">
        <w:rPr>
          <w:rFonts w:ascii="Proxima Nova" w:hAnsi="Proxima Nova" w:cstheme="minorHAnsi"/>
          <w:sz w:val="22"/>
          <w:szCs w:val="22"/>
        </w:rPr>
        <w:t>despite the fact that</w:t>
      </w:r>
      <w:proofErr w:type="gramEnd"/>
      <w:r w:rsidRPr="00F45224">
        <w:rPr>
          <w:rFonts w:ascii="Proxima Nova" w:hAnsi="Proxima Nova" w:cstheme="minorHAnsi"/>
          <w:sz w:val="22"/>
          <w:szCs w:val="22"/>
        </w:rPr>
        <w:t xml:space="preserve"> there has been consistent jurisprudence from the UN CRPD Committee that formal and informal substitute decision-making mechanisms are not compliant with the CRPD, and that these mechanisms must be replaced with fully supported decision-making mechanisms.</w:t>
      </w:r>
      <w:r w:rsidRPr="00F45224">
        <w:rPr>
          <w:rStyle w:val="EndnoteReference"/>
          <w:rFonts w:ascii="Proxima Nova" w:hAnsi="Proxima Nova" w:cstheme="minorHAnsi"/>
          <w:sz w:val="22"/>
          <w:szCs w:val="22"/>
        </w:rPr>
        <w:endnoteReference w:id="408"/>
      </w:r>
      <w:r w:rsidRPr="00F45224">
        <w:rPr>
          <w:rFonts w:ascii="Proxima Nova" w:hAnsi="Proxima Nova" w:cstheme="minorHAnsi"/>
          <w:sz w:val="22"/>
          <w:szCs w:val="22"/>
        </w:rPr>
        <w:t xml:space="preserve"> </w:t>
      </w:r>
    </w:p>
    <w:p w14:paraId="4307808B" w14:textId="77777777" w:rsidR="00C17576" w:rsidRPr="00F45224" w:rsidRDefault="00C17576" w:rsidP="00F45224">
      <w:pPr>
        <w:pStyle w:val="ListParagraph"/>
        <w:spacing w:line="276" w:lineRule="auto"/>
        <w:ind w:hanging="720"/>
        <w:contextualSpacing w:val="0"/>
        <w:rPr>
          <w:rFonts w:ascii="Proxima Nova" w:hAnsi="Proxima Nova" w:cstheme="minorHAnsi"/>
          <w:sz w:val="22"/>
          <w:szCs w:val="22"/>
        </w:rPr>
      </w:pPr>
    </w:p>
    <w:p w14:paraId="11DB396D"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In a joint statement, the UN CRPD Committee and the UN CEDAW Committee state that decisions by women with disability about sexual and reproductive health ‘a</w:t>
      </w:r>
      <w:r w:rsidRPr="00F45224">
        <w:rPr>
          <w:rFonts w:ascii="Proxima Nova" w:hAnsi="Proxima Nova" w:cstheme="minorHAnsi"/>
          <w:sz w:val="22"/>
          <w:szCs w:val="22"/>
          <w:lang w:val="en-US"/>
        </w:rPr>
        <w:t>re made freely’ and they are ‘against forced abortion, contraception or sterilization against their will or without their informed consent.’</w:t>
      </w:r>
      <w:r w:rsidRPr="00F45224">
        <w:rPr>
          <w:rStyle w:val="EndnoteReference"/>
          <w:rFonts w:ascii="Proxima Nova" w:hAnsi="Proxima Nova" w:cstheme="minorHAnsi"/>
          <w:sz w:val="22"/>
          <w:szCs w:val="22"/>
          <w:lang w:val="en-US"/>
        </w:rPr>
        <w:endnoteReference w:id="409"/>
      </w:r>
    </w:p>
    <w:p w14:paraId="2236D7C7" w14:textId="77777777" w:rsidR="00C17576" w:rsidRPr="00F45224" w:rsidRDefault="00C17576" w:rsidP="00F45224">
      <w:pPr>
        <w:pStyle w:val="ListParagraph"/>
        <w:spacing w:line="276" w:lineRule="auto"/>
        <w:ind w:hanging="720"/>
        <w:contextualSpacing w:val="0"/>
        <w:rPr>
          <w:rFonts w:ascii="Proxima Nova" w:hAnsi="Proxima Nova" w:cstheme="minorHAnsi"/>
          <w:sz w:val="22"/>
          <w:szCs w:val="22"/>
        </w:rPr>
      </w:pPr>
    </w:p>
    <w:p w14:paraId="2D00A438"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Following its two reviews of Australia in 2013 and 2019, the UN CRPD Committee recommended the withdrawal of the interpretative declaration on Article 12 and the replacement of substitute decision-making with supported decision-making.</w:t>
      </w:r>
      <w:r w:rsidRPr="00F45224">
        <w:rPr>
          <w:rStyle w:val="EndnoteReference"/>
          <w:rFonts w:ascii="Proxima Nova" w:hAnsi="Proxima Nova" w:cstheme="minorHAnsi"/>
          <w:sz w:val="22"/>
          <w:szCs w:val="22"/>
        </w:rPr>
        <w:endnoteReference w:id="410"/>
      </w:r>
      <w:r w:rsidRPr="00F45224">
        <w:rPr>
          <w:rFonts w:ascii="Proxima Nova" w:hAnsi="Proxima Nova" w:cstheme="minorHAnsi"/>
          <w:sz w:val="22"/>
          <w:szCs w:val="22"/>
        </w:rPr>
        <w:t xml:space="preserve"> During its 2019 review of Australia, the UN CRPD Committee noted it:</w:t>
      </w:r>
    </w:p>
    <w:p w14:paraId="0CA8B14B" w14:textId="77777777" w:rsidR="00C17576" w:rsidRPr="00F45224" w:rsidRDefault="00C17576" w:rsidP="00F45224">
      <w:pPr>
        <w:spacing w:line="276" w:lineRule="auto"/>
        <w:rPr>
          <w:rFonts w:ascii="Proxima Nova" w:hAnsi="Proxima Nova" w:cstheme="minorHAnsi"/>
          <w:sz w:val="22"/>
          <w:szCs w:val="22"/>
        </w:rPr>
      </w:pPr>
    </w:p>
    <w:p w14:paraId="3EA63F85" w14:textId="77777777" w:rsidR="00C17576" w:rsidRPr="00F45224" w:rsidRDefault="00C17576" w:rsidP="00F45224">
      <w:pPr>
        <w:spacing w:line="276" w:lineRule="auto"/>
        <w:ind w:left="1134"/>
        <w:rPr>
          <w:rFonts w:ascii="Proxima Nova" w:hAnsi="Proxima Nova" w:cstheme="minorHAnsi"/>
          <w:sz w:val="22"/>
          <w:szCs w:val="22"/>
        </w:rPr>
      </w:pPr>
      <w:r w:rsidRPr="00F45224">
        <w:rPr>
          <w:rFonts w:ascii="Proxima Nova" w:hAnsi="Proxima Nova" w:cstheme="minorHAnsi"/>
          <w:i/>
          <w:iCs/>
          <w:sz w:val="22"/>
          <w:szCs w:val="22"/>
        </w:rPr>
        <w:t>… regretted the continued denial of decision-making capacity to persons with disabilities, which… affected all other areas of life and led to the ongoing practices of forced institutionalisation…, involuntary medical treatments including forced sterilisation and surgery…</w:t>
      </w:r>
      <w:r w:rsidRPr="00F45224">
        <w:rPr>
          <w:rFonts w:ascii="Proxima Nova" w:hAnsi="Proxima Nova" w:cstheme="minorHAnsi"/>
          <w:sz w:val="22"/>
          <w:szCs w:val="22"/>
        </w:rPr>
        <w:t>.</w:t>
      </w:r>
      <w:r w:rsidRPr="00F45224">
        <w:rPr>
          <w:rStyle w:val="EndnoteReference"/>
          <w:rFonts w:ascii="Proxima Nova" w:hAnsi="Proxima Nova" w:cstheme="minorHAnsi"/>
          <w:sz w:val="22"/>
          <w:szCs w:val="22"/>
        </w:rPr>
        <w:endnoteReference w:id="411"/>
      </w:r>
      <w:r w:rsidRPr="00F45224">
        <w:rPr>
          <w:rFonts w:ascii="Proxima Nova" w:hAnsi="Proxima Nova" w:cstheme="minorHAnsi"/>
          <w:sz w:val="22"/>
          <w:szCs w:val="22"/>
        </w:rPr>
        <w:t xml:space="preserve"> </w:t>
      </w:r>
    </w:p>
    <w:p w14:paraId="0ADFB0C7" w14:textId="77777777" w:rsidR="00C17576" w:rsidRPr="00F45224" w:rsidRDefault="00C17576" w:rsidP="00F45224">
      <w:pPr>
        <w:spacing w:line="276" w:lineRule="auto"/>
        <w:rPr>
          <w:rFonts w:ascii="Proxima Nova" w:hAnsi="Proxima Nova" w:cstheme="minorHAnsi"/>
          <w:sz w:val="22"/>
          <w:szCs w:val="22"/>
        </w:rPr>
      </w:pPr>
    </w:p>
    <w:p w14:paraId="428D8581" w14:textId="220CA001" w:rsidR="00C17576" w:rsidRPr="00F45224" w:rsidRDefault="007141E2" w:rsidP="00F45224">
      <w:pPr>
        <w:pStyle w:val="ListParagraph"/>
        <w:numPr>
          <w:ilvl w:val="1"/>
          <w:numId w:val="36"/>
        </w:numPr>
        <w:spacing w:line="276" w:lineRule="auto"/>
        <w:ind w:left="720" w:hanging="720"/>
        <w:contextualSpacing w:val="0"/>
        <w:rPr>
          <w:rFonts w:ascii="Proxima Nova" w:hAnsi="Proxima Nova" w:cstheme="minorHAnsi"/>
          <w:sz w:val="22"/>
          <w:szCs w:val="22"/>
          <w:lang w:val="en-US"/>
        </w:rPr>
      </w:pPr>
      <w:r w:rsidRPr="00F45224">
        <w:rPr>
          <w:rFonts w:ascii="Proxima Nova" w:hAnsi="Proxima Nova" w:cstheme="minorHAnsi"/>
          <w:sz w:val="22"/>
          <w:szCs w:val="22"/>
        </w:rPr>
        <w:t>As discussed in Section 2, in 2014</w:t>
      </w:r>
      <w:r w:rsidR="00C17576" w:rsidRPr="00F45224">
        <w:rPr>
          <w:rFonts w:ascii="Proxima Nova" w:hAnsi="Proxima Nova" w:cstheme="minorHAnsi"/>
          <w:sz w:val="22"/>
          <w:szCs w:val="22"/>
        </w:rPr>
        <w:t xml:space="preserve"> the </w:t>
      </w:r>
      <w:r w:rsidR="00C17576" w:rsidRPr="00F45224">
        <w:rPr>
          <w:rFonts w:ascii="Proxima Nova" w:hAnsi="Proxima Nova" w:cstheme="minorHAnsi"/>
          <w:sz w:val="22"/>
          <w:szCs w:val="22"/>
          <w:lang w:val="en-US"/>
        </w:rPr>
        <w:t>ALRC provided its final report from its inquiry into barriers to equal recognition before the law and legal capacity for people with disability.</w:t>
      </w:r>
      <w:r w:rsidR="00C17576" w:rsidRPr="00F45224">
        <w:rPr>
          <w:rStyle w:val="EndnoteReference"/>
          <w:rFonts w:ascii="Proxima Nova" w:hAnsi="Proxima Nova" w:cstheme="minorHAnsi"/>
          <w:sz w:val="22"/>
          <w:szCs w:val="22"/>
          <w:lang w:val="en-US"/>
        </w:rPr>
        <w:endnoteReference w:id="412"/>
      </w:r>
      <w:r w:rsidR="00C17576" w:rsidRPr="00F45224">
        <w:rPr>
          <w:rFonts w:ascii="Proxima Nova" w:hAnsi="Proxima Nova" w:cstheme="minorHAnsi"/>
          <w:sz w:val="22"/>
          <w:szCs w:val="22"/>
          <w:lang w:val="en-US"/>
        </w:rPr>
        <w:t xml:space="preserve"> It made 55 recommendations for reform, with its key recommendation focused on the establishment of National Decision-Making Principles and Guidelines to guide reform of Commonwealth, State and Territory laws and legal frameworks. Following its 2019 review, the UN CRPD Committee recommended that Australia implement a ‘nationally consistent supported decision-making framework’, as highlighted by the ALRC. Six years on from the ALRC Report, the Australian Government has still not provided its response to the Report or taken steps to implement the UN CRPD Committee recommendation.</w:t>
      </w:r>
    </w:p>
    <w:p w14:paraId="4A477D14" w14:textId="77777777" w:rsidR="00C17576" w:rsidRPr="00F45224" w:rsidRDefault="00C17576" w:rsidP="00F45224">
      <w:pPr>
        <w:spacing w:line="276" w:lineRule="auto"/>
        <w:ind w:left="720" w:hanging="720"/>
        <w:rPr>
          <w:rFonts w:ascii="Proxima Nova" w:hAnsi="Proxima Nova" w:cstheme="minorHAnsi"/>
          <w:sz w:val="22"/>
          <w:szCs w:val="22"/>
          <w:lang w:val="en-US"/>
        </w:rPr>
      </w:pPr>
    </w:p>
    <w:p w14:paraId="33965297" w14:textId="5F40292A" w:rsidR="00C17576" w:rsidRPr="00F45224" w:rsidRDefault="0012566C" w:rsidP="00F45224">
      <w:pPr>
        <w:pStyle w:val="ListParagraph"/>
        <w:numPr>
          <w:ilvl w:val="1"/>
          <w:numId w:val="36"/>
        </w:numPr>
        <w:spacing w:line="276" w:lineRule="auto"/>
        <w:ind w:left="720" w:hanging="720"/>
        <w:contextualSpacing w:val="0"/>
        <w:rPr>
          <w:rFonts w:ascii="Proxima Nova" w:hAnsi="Proxima Nova" w:cstheme="minorHAnsi"/>
          <w:sz w:val="22"/>
          <w:szCs w:val="22"/>
          <w:lang w:val="en-US"/>
        </w:rPr>
      </w:pPr>
      <w:r w:rsidRPr="00F45224">
        <w:rPr>
          <w:rFonts w:ascii="Proxima Nova" w:hAnsi="Proxima Nova" w:cstheme="minorHAnsi"/>
          <w:sz w:val="22"/>
          <w:szCs w:val="22"/>
        </w:rPr>
        <w:t xml:space="preserve">For women and girls with disability to be treated equally to be  treated equally to others, live free from violence and make meaningful choices about their health, where they live, their mobility, their sexual and reproductive activity, and their social, familial and intimate relationships, </w:t>
      </w:r>
      <w:r w:rsidR="00C17576" w:rsidRPr="00F45224">
        <w:rPr>
          <w:rFonts w:ascii="Proxima Nova" w:hAnsi="Proxima Nova" w:cstheme="minorHAnsi"/>
          <w:sz w:val="22"/>
          <w:szCs w:val="22"/>
        </w:rPr>
        <w:t xml:space="preserve">including living free from the violence of restrictive practices, Australia needs to replace substitute decision-making with supported decision-making that respects the </w:t>
      </w:r>
      <w:r w:rsidR="00C17576" w:rsidRPr="00F45224">
        <w:rPr>
          <w:rFonts w:ascii="Proxima Nova" w:hAnsi="Proxima Nova" w:cstheme="minorHAnsi"/>
          <w:sz w:val="22"/>
          <w:szCs w:val="22"/>
        </w:rPr>
        <w:lastRenderedPageBreak/>
        <w:t xml:space="preserve">rights, will and preferences of all women with disability. Abolition of laws regulating restrictive practices </w:t>
      </w:r>
      <w:r w:rsidR="00C17576" w:rsidRPr="00F45224">
        <w:rPr>
          <w:rFonts w:ascii="Proxima Nova" w:hAnsi="Proxima Nova" w:cstheme="minorHAnsi"/>
          <w:sz w:val="22"/>
          <w:szCs w:val="22"/>
          <w:lang w:eastAsia="en-AU"/>
        </w:rPr>
        <w:t>should not be up for debate in the Royal Commission.</w:t>
      </w:r>
      <w:r w:rsidR="00C17576" w:rsidRPr="00F45224">
        <w:rPr>
          <w:rFonts w:ascii="Proxima Nova" w:hAnsi="Proxima Nova" w:cstheme="minorHAnsi"/>
          <w:sz w:val="22"/>
          <w:szCs w:val="22"/>
        </w:rPr>
        <w:t xml:space="preserve"> </w:t>
      </w:r>
    </w:p>
    <w:p w14:paraId="28EB3B08" w14:textId="77777777" w:rsidR="00C17576" w:rsidRPr="00F45224" w:rsidRDefault="00C17576" w:rsidP="00F45224">
      <w:pPr>
        <w:pStyle w:val="ListParagraph"/>
        <w:spacing w:line="276" w:lineRule="auto"/>
        <w:ind w:hanging="720"/>
        <w:rPr>
          <w:rFonts w:ascii="Proxima Nova" w:hAnsi="Proxima Nova" w:cstheme="minorHAnsi"/>
          <w:sz w:val="22"/>
          <w:szCs w:val="22"/>
          <w:lang w:val="en-US"/>
        </w:rPr>
      </w:pPr>
    </w:p>
    <w:p w14:paraId="3643E020" w14:textId="77777777" w:rsidR="007546B1"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lang w:val="en-US"/>
        </w:rPr>
      </w:pPr>
      <w:r w:rsidRPr="00F45224">
        <w:rPr>
          <w:rFonts w:ascii="Proxima Nova" w:hAnsi="Proxima Nova" w:cstheme="minorHAnsi"/>
          <w:sz w:val="22"/>
          <w:szCs w:val="22"/>
          <w:lang w:val="en-US"/>
        </w:rPr>
        <w:t xml:space="preserve">While it is recognised that Australia has an interpretive declaration in relation to Article 12, this does not prevent the Royal Commission from: </w:t>
      </w:r>
    </w:p>
    <w:p w14:paraId="64FA071C" w14:textId="77777777" w:rsidR="007546B1" w:rsidRPr="00F45224" w:rsidRDefault="007546B1" w:rsidP="00F45224">
      <w:pPr>
        <w:pStyle w:val="ListParagraph"/>
        <w:spacing w:line="276" w:lineRule="auto"/>
        <w:rPr>
          <w:rFonts w:ascii="Proxima Nova" w:hAnsi="Proxima Nova" w:cstheme="minorHAnsi"/>
          <w:sz w:val="22"/>
          <w:szCs w:val="22"/>
          <w:lang w:val="en-US"/>
        </w:rPr>
      </w:pPr>
    </w:p>
    <w:p w14:paraId="09B301B1" w14:textId="07143B04" w:rsidR="007546B1" w:rsidRPr="00F45224" w:rsidRDefault="00C17576" w:rsidP="00F45224">
      <w:pPr>
        <w:pStyle w:val="ListParagraph"/>
        <w:spacing w:line="276" w:lineRule="auto"/>
        <w:ind w:left="1440" w:hanging="720"/>
        <w:contextualSpacing w:val="0"/>
        <w:rPr>
          <w:rFonts w:ascii="Proxima Nova" w:hAnsi="Proxima Nova" w:cstheme="minorHAnsi"/>
          <w:sz w:val="22"/>
          <w:szCs w:val="22"/>
          <w:lang w:val="en-US"/>
        </w:rPr>
      </w:pPr>
      <w:r w:rsidRPr="00F45224">
        <w:rPr>
          <w:rFonts w:ascii="Proxima Nova" w:hAnsi="Proxima Nova" w:cstheme="minorHAnsi"/>
          <w:sz w:val="22"/>
          <w:szCs w:val="22"/>
          <w:lang w:val="en-US"/>
        </w:rPr>
        <w:t>(a)</w:t>
      </w:r>
      <w:r w:rsidR="007546B1" w:rsidRPr="00F45224">
        <w:rPr>
          <w:rFonts w:ascii="Proxima Nova" w:hAnsi="Proxima Nova" w:cstheme="minorHAnsi"/>
          <w:sz w:val="22"/>
          <w:szCs w:val="22"/>
          <w:lang w:val="en-US"/>
        </w:rPr>
        <w:tab/>
      </w:r>
      <w:r w:rsidRPr="00F45224">
        <w:rPr>
          <w:rFonts w:ascii="Proxima Nova" w:hAnsi="Proxima Nova" w:cstheme="minorHAnsi"/>
          <w:sz w:val="22"/>
          <w:szCs w:val="22"/>
          <w:lang w:val="en-US"/>
        </w:rPr>
        <w:t xml:space="preserve">making recommendations the Australian Government and State and Territory Governments abolish substituted decision-making and compulsory treatment laws on the understanding restrictive practices in general violate the right to legal capacity; and </w:t>
      </w:r>
    </w:p>
    <w:p w14:paraId="63446304" w14:textId="2E28BA48" w:rsidR="00C17576" w:rsidRPr="00F45224" w:rsidRDefault="00C17576" w:rsidP="00F45224">
      <w:pPr>
        <w:pStyle w:val="ListParagraph"/>
        <w:spacing w:line="276" w:lineRule="auto"/>
        <w:ind w:left="1440" w:hanging="720"/>
        <w:contextualSpacing w:val="0"/>
        <w:rPr>
          <w:rFonts w:ascii="Proxima Nova" w:hAnsi="Proxima Nova" w:cstheme="minorHAnsi"/>
          <w:sz w:val="22"/>
          <w:szCs w:val="22"/>
          <w:lang w:val="en-US"/>
        </w:rPr>
      </w:pPr>
      <w:r w:rsidRPr="00F45224">
        <w:rPr>
          <w:rFonts w:ascii="Proxima Nova" w:hAnsi="Proxima Nova" w:cstheme="minorHAnsi"/>
          <w:sz w:val="22"/>
          <w:szCs w:val="22"/>
          <w:lang w:val="en-US"/>
        </w:rPr>
        <w:t>(b)</w:t>
      </w:r>
      <w:r w:rsidR="007546B1" w:rsidRPr="00F45224">
        <w:rPr>
          <w:rFonts w:ascii="Proxima Nova" w:hAnsi="Proxima Nova" w:cstheme="minorHAnsi"/>
          <w:sz w:val="22"/>
          <w:szCs w:val="22"/>
          <w:lang w:val="en-US"/>
        </w:rPr>
        <w:tab/>
      </w:r>
      <w:r w:rsidRPr="00F45224">
        <w:rPr>
          <w:rFonts w:ascii="Proxima Nova" w:hAnsi="Proxima Nova" w:cstheme="minorHAnsi"/>
          <w:sz w:val="22"/>
          <w:szCs w:val="22"/>
          <w:lang w:val="en-US"/>
        </w:rPr>
        <w:t>recommending the Australian Government withdraw its interpretive declaration so that it assumes a formal obligation under the CRPD to take such action (though absence of such formal obligation does not prevent abolition of laws – there is much legislative reform that takes place in the absence of specific human rights obligations).</w:t>
      </w:r>
    </w:p>
    <w:p w14:paraId="6CC0A9EB" w14:textId="77777777" w:rsidR="00452A0C" w:rsidRPr="00F45224" w:rsidRDefault="00452A0C" w:rsidP="00F45224">
      <w:pPr>
        <w:spacing w:line="276" w:lineRule="auto"/>
        <w:ind w:left="720" w:hanging="720"/>
        <w:rPr>
          <w:rFonts w:ascii="Proxima Nova" w:hAnsi="Proxima Nova" w:cstheme="minorHAnsi"/>
          <w:sz w:val="22"/>
          <w:szCs w:val="22"/>
        </w:rPr>
      </w:pPr>
    </w:p>
    <w:p w14:paraId="3643844C" w14:textId="343E6F33" w:rsidR="00452A0C" w:rsidRPr="00CD1BE6" w:rsidRDefault="00452A0C" w:rsidP="00452A0C">
      <w:pPr>
        <w:spacing w:line="276" w:lineRule="auto"/>
        <w:rPr>
          <w:rFonts w:ascii="Proxima Nova" w:hAnsi="Proxima Nova" w:cstheme="minorHAnsi"/>
        </w:rPr>
      </w:pPr>
      <w:r w:rsidRPr="00CD1BE6">
        <w:rPr>
          <w:rFonts w:ascii="Proxima Nova" w:hAnsi="Proxima Nova"/>
          <w:b/>
          <w:color w:val="AC1F79"/>
        </w:rPr>
        <w:t>Liberty</w:t>
      </w:r>
    </w:p>
    <w:p w14:paraId="57372F0D" w14:textId="77777777" w:rsidR="00452A0C" w:rsidRPr="00F45224" w:rsidRDefault="00452A0C" w:rsidP="00452A0C">
      <w:pPr>
        <w:spacing w:line="276" w:lineRule="auto"/>
        <w:ind w:left="720" w:hanging="720"/>
        <w:rPr>
          <w:rFonts w:ascii="Proxima Nova" w:hAnsi="Proxima Nova" w:cstheme="minorHAnsi"/>
          <w:sz w:val="22"/>
          <w:szCs w:val="22"/>
        </w:rPr>
      </w:pPr>
    </w:p>
    <w:bookmarkEnd w:id="62"/>
    <w:p w14:paraId="6D118EDC" w14:textId="18EE16C2" w:rsidR="00C17576" w:rsidRPr="00F45224" w:rsidRDefault="00C17576" w:rsidP="00452A0C">
      <w:pPr>
        <w:pStyle w:val="ListParagraph"/>
        <w:numPr>
          <w:ilvl w:val="1"/>
          <w:numId w:val="36"/>
        </w:numPr>
        <w:spacing w:line="276" w:lineRule="auto"/>
        <w:ind w:left="720" w:hanging="720"/>
        <w:contextualSpacing w:val="0"/>
        <w:rPr>
          <w:rFonts w:ascii="Proxima Nova" w:hAnsi="Proxima Nova"/>
          <w:sz w:val="22"/>
          <w:szCs w:val="22"/>
          <w:lang w:eastAsia="en-AU"/>
        </w:rPr>
      </w:pPr>
      <w:r w:rsidRPr="00F45224">
        <w:rPr>
          <w:rFonts w:ascii="Proxima Nova" w:hAnsi="Proxima Nova" w:cstheme="minorHAnsi"/>
          <w:sz w:val="22"/>
          <w:szCs w:val="22"/>
        </w:rPr>
        <w:t>Depriving people with disability of their liberty through restrictive practices violates the right to liberty on an equal basis with others. This is either on the basis that the restrictive practices are unlawful, as there is no</w:t>
      </w:r>
      <w:r w:rsidR="007141E2" w:rsidRPr="00F45224">
        <w:rPr>
          <w:rFonts w:ascii="Proxima Nova" w:hAnsi="Proxima Nova" w:cstheme="minorHAnsi"/>
          <w:sz w:val="22"/>
          <w:szCs w:val="22"/>
        </w:rPr>
        <w:t xml:space="preserve"> legal authority pursuant to</w:t>
      </w:r>
      <w:r w:rsidRPr="00F45224">
        <w:rPr>
          <w:rFonts w:ascii="Proxima Nova" w:hAnsi="Proxima Nova" w:cstheme="minorHAnsi"/>
          <w:sz w:val="22"/>
          <w:szCs w:val="22"/>
        </w:rPr>
        <w:t xml:space="preserve"> existing regulatory frameworks, or, if there is legal authority, the lawfulness is justified by disability. </w:t>
      </w:r>
    </w:p>
    <w:p w14:paraId="55A289C7" w14:textId="77777777" w:rsidR="00C17576" w:rsidRPr="00F45224" w:rsidRDefault="00C17576" w:rsidP="00452A0C">
      <w:pPr>
        <w:spacing w:line="276" w:lineRule="auto"/>
        <w:ind w:left="720" w:hanging="720"/>
        <w:rPr>
          <w:rFonts w:ascii="Proxima Nova" w:hAnsi="Proxima Nova"/>
          <w:sz w:val="22"/>
          <w:szCs w:val="22"/>
          <w:lang w:eastAsia="en-AU"/>
        </w:rPr>
      </w:pPr>
    </w:p>
    <w:p w14:paraId="578C7ADF" w14:textId="77777777" w:rsidR="00C17576" w:rsidRPr="00F45224" w:rsidRDefault="00C17576" w:rsidP="00452A0C">
      <w:pPr>
        <w:pStyle w:val="ListParagraph"/>
        <w:numPr>
          <w:ilvl w:val="1"/>
          <w:numId w:val="36"/>
        </w:numPr>
        <w:spacing w:line="276" w:lineRule="auto"/>
        <w:ind w:left="720" w:hanging="720"/>
        <w:contextualSpacing w:val="0"/>
        <w:rPr>
          <w:rFonts w:ascii="Proxima Nova" w:hAnsi="Proxima Nova"/>
          <w:sz w:val="22"/>
          <w:szCs w:val="22"/>
          <w:lang w:eastAsia="en-AU"/>
        </w:rPr>
      </w:pPr>
      <w:r w:rsidRPr="00F45224">
        <w:rPr>
          <w:rFonts w:ascii="Proxima Nova" w:hAnsi="Proxima Nova" w:cstheme="minorHAnsi"/>
          <w:sz w:val="22"/>
          <w:szCs w:val="22"/>
        </w:rPr>
        <w:t xml:space="preserve">Article 14 of the CRPD provides that </w:t>
      </w:r>
      <w:r w:rsidRPr="00F45224">
        <w:rPr>
          <w:rFonts w:ascii="Proxima Nova" w:hAnsi="Proxima Nova"/>
          <w:sz w:val="22"/>
          <w:szCs w:val="22"/>
        </w:rPr>
        <w:t>Governments shall ensure that persons with disabilities, ‘on an equal basis with others’, ‘e</w:t>
      </w:r>
      <w:r w:rsidRPr="00F45224">
        <w:rPr>
          <w:rFonts w:ascii="Proxima Nova" w:hAnsi="Proxima Nova"/>
          <w:sz w:val="22"/>
          <w:szCs w:val="22"/>
          <w:lang w:eastAsia="en-AU"/>
        </w:rPr>
        <w:t>njoy the right to liberty and security of person’ and ‘are not deprived of their liberty unlawfully or arbitrarily, and that any deprivation of liberty is in conformity with the law, and that the existence of a disability shall in no case justify a deprivation of liberty.’</w:t>
      </w:r>
    </w:p>
    <w:p w14:paraId="4352A636" w14:textId="77777777" w:rsidR="00C17576" w:rsidRPr="00F45224" w:rsidRDefault="00C17576" w:rsidP="00452A0C">
      <w:pPr>
        <w:pStyle w:val="ListParagraph"/>
        <w:spacing w:line="276" w:lineRule="auto"/>
        <w:ind w:hanging="720"/>
        <w:contextualSpacing w:val="0"/>
        <w:rPr>
          <w:rFonts w:ascii="Proxima Nova" w:hAnsi="Proxima Nova"/>
          <w:sz w:val="22"/>
          <w:szCs w:val="22"/>
          <w:lang w:eastAsia="en-AU"/>
        </w:rPr>
      </w:pPr>
    </w:p>
    <w:p w14:paraId="54BF405B" w14:textId="77777777" w:rsidR="00C17576" w:rsidRPr="00F45224" w:rsidRDefault="00C17576" w:rsidP="00452A0C">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 xml:space="preserve">This Article makes clear that Governments must ensure women and girls with disability are not deprived of their liberty through restrictive practices if this is done </w:t>
      </w:r>
      <w:proofErr w:type="gramStart"/>
      <w:r w:rsidRPr="00F45224">
        <w:rPr>
          <w:rFonts w:ascii="Proxima Nova" w:hAnsi="Proxima Nova" w:cstheme="minorHAnsi"/>
          <w:sz w:val="22"/>
          <w:szCs w:val="22"/>
        </w:rPr>
        <w:t>on the basis of</w:t>
      </w:r>
      <w:proofErr w:type="gramEnd"/>
      <w:r w:rsidRPr="00F45224">
        <w:rPr>
          <w:rFonts w:ascii="Proxima Nova" w:hAnsi="Proxima Nova" w:cstheme="minorHAnsi"/>
          <w:sz w:val="22"/>
          <w:szCs w:val="22"/>
        </w:rPr>
        <w:t xml:space="preserve"> their disability.</w:t>
      </w:r>
    </w:p>
    <w:p w14:paraId="4814BBA0" w14:textId="77777777" w:rsidR="00C17576" w:rsidRPr="00F45224" w:rsidRDefault="00C17576" w:rsidP="00452A0C">
      <w:pPr>
        <w:pStyle w:val="ListParagraph"/>
        <w:spacing w:line="276" w:lineRule="auto"/>
        <w:ind w:hanging="720"/>
        <w:contextualSpacing w:val="0"/>
        <w:rPr>
          <w:rFonts w:ascii="Proxima Nova" w:hAnsi="Proxima Nova" w:cstheme="minorHAnsi"/>
          <w:sz w:val="22"/>
          <w:szCs w:val="22"/>
        </w:rPr>
      </w:pPr>
    </w:p>
    <w:p w14:paraId="5E6EB76C" w14:textId="77777777" w:rsidR="00C17576" w:rsidRPr="00F45224" w:rsidRDefault="00C17576" w:rsidP="00452A0C">
      <w:pPr>
        <w:pStyle w:val="ListParagraph"/>
        <w:numPr>
          <w:ilvl w:val="1"/>
          <w:numId w:val="36"/>
        </w:numPr>
        <w:autoSpaceDE w:val="0"/>
        <w:autoSpaceDN w:val="0"/>
        <w:adjustRightInd w:val="0"/>
        <w:spacing w:line="276" w:lineRule="auto"/>
        <w:ind w:left="720" w:hanging="720"/>
        <w:contextualSpacing w:val="0"/>
        <w:rPr>
          <w:rFonts w:ascii="Proxima Nova" w:hAnsi="Proxima Nova" w:cstheme="minorHAnsi"/>
          <w:sz w:val="22"/>
          <w:szCs w:val="22"/>
        </w:rPr>
      </w:pPr>
      <w:r w:rsidRPr="00F45224">
        <w:rPr>
          <w:rFonts w:ascii="Proxima Nova" w:hAnsi="Proxima Nova"/>
          <w:sz w:val="22"/>
          <w:szCs w:val="22"/>
          <w:lang w:eastAsia="en-AU"/>
        </w:rPr>
        <w:t>The UN CRPD Com</w:t>
      </w:r>
      <w:r w:rsidRPr="00F45224">
        <w:rPr>
          <w:rFonts w:ascii="Proxima Nova" w:hAnsi="Proxima Nova" w:cstheme="minorHAnsi"/>
          <w:sz w:val="22"/>
          <w:szCs w:val="22"/>
          <w:lang w:eastAsia="en-AU"/>
        </w:rPr>
        <w:t>mittee, in summarising its jurisprudence on Article 14, has stated that it requires ‘</w:t>
      </w:r>
      <w:r w:rsidRPr="00F45224">
        <w:rPr>
          <w:rFonts w:ascii="Proxima Nova" w:hAnsi="Proxima Nova" w:cstheme="minorHAnsi"/>
          <w:sz w:val="22"/>
          <w:szCs w:val="22"/>
        </w:rPr>
        <w:t xml:space="preserve">absolute prohibition of detention </w:t>
      </w:r>
      <w:proofErr w:type="gramStart"/>
      <w:r w:rsidRPr="00F45224">
        <w:rPr>
          <w:rFonts w:ascii="Proxima Nova" w:hAnsi="Proxima Nova" w:cstheme="minorHAnsi"/>
          <w:sz w:val="22"/>
          <w:szCs w:val="22"/>
        </w:rPr>
        <w:t>on the basis of</w:t>
      </w:r>
      <w:proofErr w:type="gramEnd"/>
      <w:r w:rsidRPr="00F45224">
        <w:rPr>
          <w:rFonts w:ascii="Proxima Nova" w:hAnsi="Proxima Nova" w:cstheme="minorHAnsi"/>
          <w:sz w:val="22"/>
          <w:szCs w:val="22"/>
        </w:rPr>
        <w:t xml:space="preserve"> disability.’ It has also stated that ‘[m]ental health laws that authorize detention of persons with disabilities based on the alleged danger of persons for themselves or for others’ and ‘declarations of unfitness to stand trial and the detention of persons based on that declaration’ are contrary to Article 14.</w:t>
      </w:r>
      <w:r w:rsidRPr="00F45224">
        <w:rPr>
          <w:rStyle w:val="EndnoteReference"/>
          <w:rFonts w:ascii="Proxima Nova" w:hAnsi="Proxima Nova" w:cstheme="minorHAnsi"/>
          <w:sz w:val="22"/>
          <w:szCs w:val="22"/>
        </w:rPr>
        <w:endnoteReference w:id="413"/>
      </w:r>
    </w:p>
    <w:p w14:paraId="587FA351" w14:textId="77777777" w:rsidR="00C17576" w:rsidRPr="00F45224" w:rsidRDefault="00C17576" w:rsidP="00452A0C">
      <w:pPr>
        <w:pStyle w:val="ListParagraph"/>
        <w:spacing w:line="276" w:lineRule="auto"/>
        <w:ind w:hanging="720"/>
        <w:rPr>
          <w:rFonts w:ascii="Proxima Nova" w:hAnsi="Proxima Nova" w:cstheme="minorHAnsi"/>
          <w:sz w:val="22"/>
          <w:szCs w:val="22"/>
        </w:rPr>
      </w:pPr>
    </w:p>
    <w:p w14:paraId="33A948A5" w14:textId="75355F8E" w:rsidR="00C17576" w:rsidRPr="00F45224" w:rsidRDefault="00C17576" w:rsidP="00452A0C">
      <w:pPr>
        <w:pStyle w:val="ListParagraph"/>
        <w:numPr>
          <w:ilvl w:val="1"/>
          <w:numId w:val="36"/>
        </w:numPr>
        <w:autoSpaceDE w:val="0"/>
        <w:autoSpaceDN w:val="0"/>
        <w:adjustRightInd w:val="0"/>
        <w:spacing w:line="276" w:lineRule="auto"/>
        <w:ind w:left="720" w:hanging="720"/>
        <w:contextualSpacing w:val="0"/>
        <w:rPr>
          <w:rFonts w:ascii="Proxima Nova" w:hAnsi="Proxima Nova"/>
          <w:sz w:val="22"/>
          <w:szCs w:val="22"/>
          <w:lang w:eastAsia="en-AU"/>
        </w:rPr>
      </w:pPr>
      <w:r w:rsidRPr="00F45224">
        <w:rPr>
          <w:rFonts w:ascii="Proxima Nova" w:hAnsi="Proxima Nova"/>
          <w:sz w:val="22"/>
          <w:szCs w:val="22"/>
          <w:lang w:eastAsia="en-AU"/>
        </w:rPr>
        <w:t xml:space="preserve">In its General Comment 3 (Women and </w:t>
      </w:r>
      <w:r w:rsidR="007141E2" w:rsidRPr="00F45224">
        <w:rPr>
          <w:rFonts w:ascii="Proxima Nova" w:hAnsi="Proxima Nova"/>
          <w:sz w:val="22"/>
          <w:szCs w:val="22"/>
          <w:lang w:eastAsia="en-AU"/>
        </w:rPr>
        <w:t>Girls with D</w:t>
      </w:r>
      <w:r w:rsidRPr="00F45224">
        <w:rPr>
          <w:rFonts w:ascii="Proxima Nova" w:hAnsi="Proxima Nova"/>
          <w:sz w:val="22"/>
          <w:szCs w:val="22"/>
          <w:lang w:eastAsia="en-AU"/>
        </w:rPr>
        <w:t xml:space="preserve">isabilities), the UN CRPD Committee has stated that: </w:t>
      </w:r>
    </w:p>
    <w:p w14:paraId="0054C334" w14:textId="77777777" w:rsidR="00C17576" w:rsidRPr="00F45224" w:rsidRDefault="00C17576" w:rsidP="00452A0C">
      <w:pPr>
        <w:spacing w:line="276" w:lineRule="auto"/>
        <w:rPr>
          <w:rFonts w:ascii="Proxima Nova" w:hAnsi="Proxima Nova"/>
          <w:sz w:val="22"/>
          <w:szCs w:val="22"/>
        </w:rPr>
      </w:pPr>
    </w:p>
    <w:p w14:paraId="4ED14C86" w14:textId="77777777" w:rsidR="00C17576" w:rsidRPr="00F45224" w:rsidRDefault="00C17576" w:rsidP="00452A0C">
      <w:pPr>
        <w:pStyle w:val="ListParagraph"/>
        <w:spacing w:line="276" w:lineRule="auto"/>
        <w:ind w:left="1134"/>
        <w:contextualSpacing w:val="0"/>
        <w:rPr>
          <w:rFonts w:ascii="Proxima Nova" w:hAnsi="Proxima Nova"/>
          <w:sz w:val="22"/>
          <w:szCs w:val="22"/>
        </w:rPr>
      </w:pPr>
      <w:r w:rsidRPr="00F45224">
        <w:rPr>
          <w:rFonts w:ascii="Proxima Nova" w:hAnsi="Proxima Nova"/>
          <w:i/>
          <w:iCs/>
          <w:sz w:val="22"/>
          <w:szCs w:val="22"/>
        </w:rPr>
        <w:t xml:space="preserve">Violations relating to deprivation of liberty disproportionately affect women with intellectual or psychosocial disabilities and those in institutional settings. Those deprived of their liberty in places such as psychiatric institutions, </w:t>
      </w:r>
      <w:proofErr w:type="gramStart"/>
      <w:r w:rsidRPr="00F45224">
        <w:rPr>
          <w:rFonts w:ascii="Proxima Nova" w:hAnsi="Proxima Nova"/>
          <w:i/>
          <w:iCs/>
          <w:sz w:val="22"/>
          <w:szCs w:val="22"/>
        </w:rPr>
        <w:t>on the basis of</w:t>
      </w:r>
      <w:proofErr w:type="gramEnd"/>
      <w:r w:rsidRPr="00F45224">
        <w:rPr>
          <w:rFonts w:ascii="Proxima Nova" w:hAnsi="Proxima Nova"/>
          <w:i/>
          <w:iCs/>
          <w:sz w:val="22"/>
          <w:szCs w:val="22"/>
        </w:rPr>
        <w:t xml:space="preserve"> actual or perceived impairment, are subject to higher levels of violence, as well as to cruel, inhuman or degrading treatment or punishment and are segregated and exposed to the risk of sexual violence and trafficking within care and special education institutions. Violence against women with disabilities in institutions </w:t>
      </w:r>
      <w:proofErr w:type="gramStart"/>
      <w:r w:rsidRPr="00F45224">
        <w:rPr>
          <w:rFonts w:ascii="Proxima Nova" w:hAnsi="Proxima Nova"/>
          <w:i/>
          <w:iCs/>
          <w:sz w:val="22"/>
          <w:szCs w:val="22"/>
        </w:rPr>
        <w:t>includes:</w:t>
      </w:r>
      <w:proofErr w:type="gramEnd"/>
      <w:r w:rsidRPr="00F45224">
        <w:rPr>
          <w:rFonts w:ascii="Proxima Nova" w:hAnsi="Proxima Nova"/>
          <w:i/>
          <w:iCs/>
          <w:sz w:val="22"/>
          <w:szCs w:val="22"/>
        </w:rPr>
        <w:t xml:space="preserve"> involuntary undressing by male staff against the will of the woman concerned; forced administration of psychiatric medication; and overmedication, which can reduce the ability to describe and/or remember sexual violence. Perpetrators may act with impunity because they perceive little risk of discovery or punishment given that access to judicial remedies is severely restricted, and women with disabilities subjected to such violence are unlikely to be able to access helplines or other forms of support to report such violations.</w:t>
      </w:r>
      <w:r w:rsidRPr="00F45224">
        <w:rPr>
          <w:rStyle w:val="EndnoteReference"/>
          <w:rFonts w:ascii="Proxima Nova" w:hAnsi="Proxima Nova"/>
          <w:sz w:val="22"/>
          <w:szCs w:val="22"/>
        </w:rPr>
        <w:endnoteReference w:id="414"/>
      </w:r>
    </w:p>
    <w:p w14:paraId="4E719815" w14:textId="77777777" w:rsidR="00C17576" w:rsidRPr="00F45224" w:rsidRDefault="00C17576" w:rsidP="00EF557A">
      <w:pPr>
        <w:spacing w:line="276" w:lineRule="auto"/>
        <w:ind w:left="720" w:hanging="720"/>
        <w:rPr>
          <w:rFonts w:ascii="Proxima Nova" w:hAnsi="Proxima Nova" w:cstheme="minorHAnsi"/>
          <w:sz w:val="22"/>
          <w:szCs w:val="22"/>
        </w:rPr>
      </w:pPr>
    </w:p>
    <w:p w14:paraId="76E438F7" w14:textId="59CB318A" w:rsidR="00C17576" w:rsidRPr="00F45224" w:rsidRDefault="00C17576" w:rsidP="00EF557A">
      <w:pPr>
        <w:pStyle w:val="ListParagraph"/>
        <w:numPr>
          <w:ilvl w:val="1"/>
          <w:numId w:val="36"/>
        </w:numPr>
        <w:spacing w:line="276" w:lineRule="auto"/>
        <w:ind w:left="720" w:hanging="720"/>
        <w:contextualSpacing w:val="0"/>
        <w:rPr>
          <w:rFonts w:ascii="Proxima Nova" w:hAnsi="Proxima Nova"/>
          <w:sz w:val="22"/>
          <w:szCs w:val="22"/>
          <w:lang w:eastAsia="en-AU"/>
        </w:rPr>
      </w:pPr>
      <w:r w:rsidRPr="00F45224">
        <w:rPr>
          <w:rFonts w:ascii="Proxima Nova" w:hAnsi="Proxima Nova" w:cstheme="minorHAnsi"/>
          <w:sz w:val="22"/>
          <w:szCs w:val="22"/>
        </w:rPr>
        <w:lastRenderedPageBreak/>
        <w:t>Following its periodic review of Australia in 2013, the UN CRPD Committee recommended the Australian Government ‘</w:t>
      </w:r>
      <w:r w:rsidRPr="00F45224">
        <w:rPr>
          <w:rFonts w:ascii="Proxima Nova" w:hAnsi="Proxima Nova"/>
          <w:sz w:val="22"/>
          <w:szCs w:val="22"/>
        </w:rPr>
        <w:t>repeal all legislation that authorizes medical intervention without the free and informed consent of the persons with disabilities concerned, committal of individuals to detention in mental health facilities, or imposition of compulsory treatment, either in institutions or in the community, by means of Community Treatment Orders.’</w:t>
      </w:r>
      <w:r w:rsidRPr="00F45224">
        <w:rPr>
          <w:rStyle w:val="EndnoteReference"/>
          <w:rFonts w:ascii="Proxima Nova" w:hAnsi="Proxima Nova"/>
          <w:sz w:val="22"/>
          <w:szCs w:val="22"/>
        </w:rPr>
        <w:endnoteReference w:id="415"/>
      </w:r>
      <w:r w:rsidRPr="00F45224">
        <w:rPr>
          <w:rFonts w:ascii="Proxima Nova" w:hAnsi="Proxima Nova"/>
          <w:sz w:val="22"/>
          <w:szCs w:val="22"/>
        </w:rPr>
        <w:t xml:space="preserve"> It also </w:t>
      </w:r>
      <w:r w:rsidRPr="00F45224">
        <w:rPr>
          <w:rFonts w:ascii="Proxima Nova" w:hAnsi="Proxima Nova" w:cstheme="minorHAnsi"/>
          <w:sz w:val="22"/>
          <w:szCs w:val="22"/>
        </w:rPr>
        <w:t>recommended ending incarceration in prison of un</w:t>
      </w:r>
      <w:r w:rsidR="000262D1" w:rsidRPr="00F45224">
        <w:rPr>
          <w:rFonts w:ascii="Proxima Nova" w:hAnsi="Proxima Nova" w:cstheme="minorHAnsi"/>
          <w:sz w:val="22"/>
          <w:szCs w:val="22"/>
        </w:rPr>
        <w:t>-</w:t>
      </w:r>
      <w:r w:rsidRPr="00F45224">
        <w:rPr>
          <w:rFonts w:ascii="Proxima Nova" w:hAnsi="Proxima Nova" w:cstheme="minorHAnsi"/>
          <w:sz w:val="22"/>
          <w:szCs w:val="22"/>
        </w:rPr>
        <w:t>convicted people with disability, particularly First Nations people with disability, and ‘r</w:t>
      </w:r>
      <w:r w:rsidRPr="00F45224">
        <w:rPr>
          <w:rFonts w:ascii="Proxima Nova" w:hAnsi="Proxima Nova"/>
          <w:sz w:val="22"/>
          <w:szCs w:val="22"/>
        </w:rPr>
        <w:t>eview its laws that allow for the deprivation of liberty on the basis of disability, including psychosocial or intellectual disabilities, and repeal provisions that authorize involuntary internment linked to an apparent or diagnosed disability.’</w:t>
      </w:r>
      <w:r w:rsidRPr="00F45224">
        <w:rPr>
          <w:rStyle w:val="EndnoteReference"/>
          <w:rFonts w:ascii="Proxima Nova" w:hAnsi="Proxima Nova"/>
          <w:sz w:val="22"/>
          <w:szCs w:val="22"/>
        </w:rPr>
        <w:endnoteReference w:id="416"/>
      </w:r>
      <w:r w:rsidRPr="00F45224">
        <w:rPr>
          <w:rFonts w:ascii="Proxima Nova" w:hAnsi="Proxima Nova"/>
          <w:sz w:val="22"/>
          <w:szCs w:val="22"/>
        </w:rPr>
        <w:t xml:space="preserve"> </w:t>
      </w:r>
    </w:p>
    <w:p w14:paraId="2C6A45AE" w14:textId="77777777" w:rsidR="00C17576" w:rsidRPr="00F45224" w:rsidRDefault="00C17576" w:rsidP="00EF557A">
      <w:pPr>
        <w:pStyle w:val="ListParagraph"/>
        <w:spacing w:line="276" w:lineRule="auto"/>
        <w:ind w:hanging="720"/>
        <w:contextualSpacing w:val="0"/>
        <w:rPr>
          <w:rFonts w:ascii="Proxima Nova" w:hAnsi="Proxima Nova"/>
          <w:sz w:val="22"/>
          <w:szCs w:val="22"/>
          <w:lang w:eastAsia="en-AU"/>
        </w:rPr>
      </w:pPr>
    </w:p>
    <w:p w14:paraId="03FFF80F" w14:textId="77777777" w:rsidR="00C17576" w:rsidRPr="00F45224" w:rsidRDefault="00C17576" w:rsidP="00EF557A">
      <w:pPr>
        <w:pStyle w:val="ListParagraph"/>
        <w:numPr>
          <w:ilvl w:val="1"/>
          <w:numId w:val="36"/>
        </w:numPr>
        <w:spacing w:line="276" w:lineRule="auto"/>
        <w:ind w:left="720" w:hanging="720"/>
        <w:contextualSpacing w:val="0"/>
        <w:rPr>
          <w:rFonts w:ascii="Proxima Nova" w:hAnsi="Proxima Nova"/>
          <w:sz w:val="22"/>
          <w:szCs w:val="22"/>
          <w:lang w:eastAsia="en-AU"/>
        </w:rPr>
      </w:pPr>
      <w:r w:rsidRPr="00F45224">
        <w:rPr>
          <w:rFonts w:ascii="Proxima Nova" w:hAnsi="Proxima Nova"/>
          <w:sz w:val="22"/>
          <w:szCs w:val="22"/>
          <w:lang w:eastAsia="en-AU"/>
        </w:rPr>
        <w:t>In its subsequent 2019 report on its second and third reviews of Australia, the UN CRPD Committee expressed concern about: ‘</w:t>
      </w:r>
      <w:r w:rsidRPr="00F45224">
        <w:rPr>
          <w:rFonts w:ascii="Proxima Nova" w:hAnsi="Proxima Nova"/>
          <w:sz w:val="22"/>
          <w:szCs w:val="22"/>
        </w:rPr>
        <w:t>[l]egislative frameworks, policies and practices that result in the arbitrary and indefinite detention and forced treatment of persons with disabilities, and that such frameworks, policies and practices disproportionately affect Aboriginal and Torres Strait Islander persons with disabilities and persons with intellectual or psychosocial disabilities.’</w:t>
      </w:r>
      <w:r w:rsidRPr="00F45224">
        <w:rPr>
          <w:rStyle w:val="EndnoteReference"/>
          <w:rFonts w:ascii="Proxima Nova" w:hAnsi="Proxima Nova"/>
          <w:sz w:val="22"/>
          <w:szCs w:val="22"/>
        </w:rPr>
        <w:endnoteReference w:id="417"/>
      </w:r>
      <w:r w:rsidRPr="00F45224">
        <w:rPr>
          <w:rFonts w:ascii="Proxima Nova" w:hAnsi="Proxima Nova"/>
          <w:sz w:val="22"/>
          <w:szCs w:val="22"/>
        </w:rPr>
        <w:t xml:space="preserve"> The Committee recommended the Australian Government ‘[r]epeal any law or policy and cease any practice or custom that enables the deprivation of liberty on the basis of impairment and that enables forced medical interventions on persons with disabilities, particularly Aboriginal and Torres Strait Islander persons with disabilities.’</w:t>
      </w:r>
      <w:r w:rsidRPr="00F45224">
        <w:rPr>
          <w:rStyle w:val="EndnoteReference"/>
          <w:rFonts w:ascii="Proxima Nova" w:hAnsi="Proxima Nova"/>
          <w:sz w:val="22"/>
          <w:szCs w:val="22"/>
        </w:rPr>
        <w:endnoteReference w:id="418"/>
      </w:r>
    </w:p>
    <w:p w14:paraId="0DDC14BE" w14:textId="77777777" w:rsidR="00C17576" w:rsidRPr="00F45224" w:rsidRDefault="00C17576" w:rsidP="00EF557A">
      <w:pPr>
        <w:pStyle w:val="ListParagraph"/>
        <w:spacing w:line="276" w:lineRule="auto"/>
        <w:ind w:hanging="720"/>
        <w:rPr>
          <w:rFonts w:ascii="Proxima Nova" w:hAnsi="Proxima Nova"/>
          <w:sz w:val="22"/>
          <w:szCs w:val="22"/>
          <w:lang w:eastAsia="en-AU"/>
        </w:rPr>
      </w:pPr>
    </w:p>
    <w:p w14:paraId="4F1486D4" w14:textId="73CDBC92" w:rsidR="00C17576" w:rsidRPr="00F45224" w:rsidRDefault="0012566C" w:rsidP="00EF557A">
      <w:pPr>
        <w:pStyle w:val="ListParagraph"/>
        <w:numPr>
          <w:ilvl w:val="1"/>
          <w:numId w:val="36"/>
        </w:numPr>
        <w:spacing w:line="276" w:lineRule="auto"/>
        <w:ind w:left="720" w:hanging="720"/>
        <w:contextualSpacing w:val="0"/>
        <w:rPr>
          <w:rFonts w:ascii="Proxima Nova" w:hAnsi="Proxima Nova" w:cstheme="minorHAnsi"/>
          <w:sz w:val="22"/>
          <w:szCs w:val="22"/>
          <w:lang w:val="en-US"/>
        </w:rPr>
      </w:pPr>
      <w:r w:rsidRPr="00F45224">
        <w:rPr>
          <w:rFonts w:ascii="Proxima Nova" w:hAnsi="Proxima Nova" w:cstheme="minorHAnsi"/>
          <w:sz w:val="22"/>
          <w:szCs w:val="22"/>
        </w:rPr>
        <w:t xml:space="preserve">For women and girls with disability to be treated equally to </w:t>
      </w:r>
      <w:r w:rsidR="00335AD1" w:rsidRPr="00F45224">
        <w:rPr>
          <w:rFonts w:ascii="Proxima Nova" w:hAnsi="Proxima Nova" w:cstheme="minorHAnsi"/>
          <w:sz w:val="22"/>
          <w:szCs w:val="22"/>
        </w:rPr>
        <w:t>be treated</w:t>
      </w:r>
      <w:r w:rsidRPr="00F45224">
        <w:rPr>
          <w:rFonts w:ascii="Proxima Nova" w:hAnsi="Proxima Nova" w:cstheme="minorHAnsi"/>
          <w:sz w:val="22"/>
          <w:szCs w:val="22"/>
        </w:rPr>
        <w:t xml:space="preserve"> equally to others, live free from violence and make meaningful choices about their health, where they live, their mobility, their sexual and reproductive activity, and their social, familial and intimate relationships</w:t>
      </w:r>
      <w:r w:rsidR="00C17576" w:rsidRPr="00F45224">
        <w:rPr>
          <w:rFonts w:ascii="Proxima Nova" w:hAnsi="Proxima Nova" w:cstheme="minorHAnsi"/>
          <w:sz w:val="22"/>
          <w:szCs w:val="22"/>
        </w:rPr>
        <w:t>, they need to be free from restrictive practices that deprive them of their liberty and keep them segregated and isolated from the community. Australia needs to prevent unlawful restrictive practices and abolish laws regulating restrictive practices</w:t>
      </w:r>
      <w:r w:rsidR="00C17576" w:rsidRPr="00F45224">
        <w:rPr>
          <w:rFonts w:ascii="Proxima Nova" w:hAnsi="Proxima Nova" w:cstheme="minorHAnsi"/>
          <w:sz w:val="22"/>
          <w:szCs w:val="22"/>
          <w:lang w:eastAsia="en-AU"/>
        </w:rPr>
        <w:t>.</w:t>
      </w:r>
      <w:r w:rsidR="00C17576" w:rsidRPr="00F45224">
        <w:rPr>
          <w:rFonts w:ascii="Proxima Nova" w:hAnsi="Proxima Nova" w:cstheme="minorHAnsi"/>
          <w:sz w:val="22"/>
          <w:szCs w:val="22"/>
        </w:rPr>
        <w:t xml:space="preserve"> </w:t>
      </w:r>
    </w:p>
    <w:p w14:paraId="478C3CA7" w14:textId="77777777" w:rsidR="00E123DC" w:rsidRPr="00F45224" w:rsidRDefault="00E123DC" w:rsidP="00E123DC">
      <w:pPr>
        <w:spacing w:line="276" w:lineRule="auto"/>
        <w:ind w:left="720" w:hanging="720"/>
        <w:rPr>
          <w:rFonts w:ascii="Proxima Nova" w:hAnsi="Proxima Nova" w:cstheme="minorHAnsi"/>
          <w:sz w:val="22"/>
          <w:szCs w:val="22"/>
        </w:rPr>
      </w:pPr>
    </w:p>
    <w:p w14:paraId="69FF9F05" w14:textId="430E1B08" w:rsidR="00E123DC" w:rsidRPr="00DE0511" w:rsidRDefault="00E123DC" w:rsidP="00E123DC">
      <w:pPr>
        <w:spacing w:line="276" w:lineRule="auto"/>
        <w:rPr>
          <w:rFonts w:ascii="Proxima Nova" w:hAnsi="Proxima Nova" w:cstheme="minorHAnsi"/>
        </w:rPr>
      </w:pPr>
      <w:r w:rsidRPr="00DE0511">
        <w:rPr>
          <w:rFonts w:ascii="Proxima Nova" w:hAnsi="Proxima Nova"/>
          <w:b/>
          <w:color w:val="AC1F79"/>
        </w:rPr>
        <w:t>Personal Integrity</w:t>
      </w:r>
    </w:p>
    <w:p w14:paraId="4BEF76BB" w14:textId="60460521" w:rsidR="00452A0C" w:rsidRPr="00F45224" w:rsidRDefault="00452A0C" w:rsidP="00F45224">
      <w:pPr>
        <w:spacing w:line="276" w:lineRule="auto"/>
        <w:ind w:left="720" w:hanging="720"/>
        <w:rPr>
          <w:rFonts w:ascii="Proxima Nova" w:hAnsi="Proxima Nova" w:cstheme="minorHAnsi"/>
          <w:sz w:val="22"/>
          <w:szCs w:val="22"/>
        </w:rPr>
      </w:pPr>
    </w:p>
    <w:p w14:paraId="70825B28"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bookmarkStart w:id="63" w:name="_Toc61349492"/>
      <w:r w:rsidRPr="00F45224">
        <w:rPr>
          <w:rFonts w:ascii="Proxima Nova" w:hAnsi="Proxima Nova" w:cstheme="minorHAnsi"/>
          <w:sz w:val="22"/>
          <w:szCs w:val="22"/>
        </w:rPr>
        <w:t>Restrictive practices intervene in the bodies and minds of people with disability, violating their right to personal integrity.</w:t>
      </w:r>
    </w:p>
    <w:p w14:paraId="53EFFDA0" w14:textId="77777777" w:rsidR="00C17576" w:rsidRPr="00F45224" w:rsidRDefault="00C17576" w:rsidP="00F45224">
      <w:pPr>
        <w:spacing w:line="276" w:lineRule="auto"/>
        <w:ind w:left="720" w:hanging="720"/>
        <w:rPr>
          <w:rFonts w:ascii="Proxima Nova" w:hAnsi="Proxima Nova" w:cstheme="minorHAnsi"/>
          <w:sz w:val="22"/>
          <w:szCs w:val="22"/>
        </w:rPr>
      </w:pPr>
    </w:p>
    <w:p w14:paraId="38E1B2C6"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Article 17 provides: ‘</w:t>
      </w:r>
      <w:r w:rsidRPr="00F45224">
        <w:rPr>
          <w:rFonts w:ascii="Proxima Nova" w:hAnsi="Proxima Nova"/>
          <w:sz w:val="22"/>
          <w:szCs w:val="22"/>
        </w:rPr>
        <w:t>[e]very person with disabilities has a right to respect for his or her physical and mental integrity on an equal basis with others.’</w:t>
      </w:r>
    </w:p>
    <w:p w14:paraId="459432FE" w14:textId="77777777" w:rsidR="00C17576" w:rsidRPr="00F45224" w:rsidRDefault="00C17576" w:rsidP="00F45224">
      <w:pPr>
        <w:spacing w:line="276" w:lineRule="auto"/>
        <w:ind w:left="720" w:hanging="720"/>
        <w:rPr>
          <w:rFonts w:ascii="Proxima Nova" w:hAnsi="Proxima Nova" w:cstheme="minorHAnsi"/>
          <w:sz w:val="22"/>
          <w:szCs w:val="22"/>
        </w:rPr>
      </w:pPr>
    </w:p>
    <w:p w14:paraId="617504AD"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The UN CRPD Committee has stated that ‘[w]</w:t>
      </w:r>
      <w:r w:rsidRPr="00F45224">
        <w:rPr>
          <w:rFonts w:ascii="Proxima Nova" w:hAnsi="Proxima Nova"/>
          <w:sz w:val="22"/>
          <w:szCs w:val="22"/>
        </w:rPr>
        <w:t xml:space="preserve">omen with disabilities </w:t>
      </w:r>
      <w:proofErr w:type="gramStart"/>
      <w:r w:rsidRPr="00F45224">
        <w:rPr>
          <w:rFonts w:ascii="Proxima Nova" w:hAnsi="Proxima Nova"/>
          <w:sz w:val="22"/>
          <w:szCs w:val="22"/>
        </w:rPr>
        <w:t>are</w:t>
      </w:r>
      <w:proofErr w:type="gramEnd"/>
      <w:r w:rsidRPr="00F45224">
        <w:rPr>
          <w:rFonts w:ascii="Proxima Nova" w:hAnsi="Proxima Nova"/>
          <w:sz w:val="22"/>
          <w:szCs w:val="22"/>
        </w:rPr>
        <w:t xml:space="preserve"> more likely to be subjected to forced interventions than are women in general and men with disabilities’ and these interventions ‘are wrongfully justified by theories of incapacity and therapeutic necessity, are legitimized under national laws and may enjoy wide public support for being in the alleged best interest of the person concerned.’ However, it states that such forced interventions ‘violate the right to personal integrity.’</w:t>
      </w:r>
      <w:r w:rsidRPr="00F45224">
        <w:rPr>
          <w:rStyle w:val="EndnoteReference"/>
          <w:rFonts w:ascii="Proxima Nova" w:hAnsi="Proxima Nova"/>
          <w:sz w:val="22"/>
          <w:szCs w:val="22"/>
        </w:rPr>
        <w:endnoteReference w:id="419"/>
      </w:r>
    </w:p>
    <w:p w14:paraId="614148D9" w14:textId="77777777" w:rsidR="00C17576" w:rsidRPr="00F45224" w:rsidRDefault="00C17576" w:rsidP="00F45224">
      <w:pPr>
        <w:spacing w:line="276" w:lineRule="auto"/>
        <w:ind w:left="720" w:hanging="720"/>
        <w:rPr>
          <w:rFonts w:ascii="Proxima Nova" w:hAnsi="Proxima Nova" w:cstheme="minorHAnsi"/>
          <w:sz w:val="22"/>
          <w:szCs w:val="22"/>
        </w:rPr>
      </w:pPr>
    </w:p>
    <w:p w14:paraId="20948B2B" w14:textId="77777777" w:rsidR="00C17576" w:rsidRPr="00F45224" w:rsidRDefault="00C17576" w:rsidP="00F45224">
      <w:pPr>
        <w:pStyle w:val="Default0"/>
        <w:numPr>
          <w:ilvl w:val="1"/>
          <w:numId w:val="36"/>
        </w:numPr>
        <w:spacing w:line="276" w:lineRule="auto"/>
        <w:ind w:left="720" w:hanging="720"/>
        <w:rPr>
          <w:rFonts w:ascii="Proxima Nova" w:hAnsi="Proxima Nova" w:cstheme="minorHAnsi"/>
          <w:sz w:val="22"/>
          <w:szCs w:val="22"/>
          <w:lang w:eastAsia="en-AU"/>
        </w:rPr>
      </w:pPr>
      <w:r w:rsidRPr="00F45224">
        <w:rPr>
          <w:rFonts w:ascii="Proxima Nova" w:hAnsi="Proxima Nova" w:cstheme="minorHAnsi"/>
          <w:sz w:val="22"/>
          <w:szCs w:val="22"/>
        </w:rPr>
        <w:t>Following its two reviews of Australia in 2013, the UN CRPD Committee urged the Australian Government ‘to adopt uniform national legislation prohibiting the sterilization of boys and girls with disabilities, and adults with disabilities, in the absence of their prior, fully informed and free consent.’</w:t>
      </w:r>
      <w:r w:rsidRPr="00F45224">
        <w:rPr>
          <w:rStyle w:val="EndnoteReference"/>
          <w:rFonts w:ascii="Proxima Nova" w:hAnsi="Proxima Nova" w:cstheme="minorHAnsi"/>
          <w:sz w:val="22"/>
          <w:szCs w:val="22"/>
        </w:rPr>
        <w:endnoteReference w:id="420"/>
      </w:r>
    </w:p>
    <w:p w14:paraId="7DABBE65" w14:textId="77777777" w:rsidR="00C17576" w:rsidRPr="00F45224" w:rsidRDefault="00C17576" w:rsidP="00F45224">
      <w:pPr>
        <w:pStyle w:val="ListParagraph"/>
        <w:spacing w:line="276" w:lineRule="auto"/>
        <w:ind w:hanging="720"/>
        <w:contextualSpacing w:val="0"/>
        <w:rPr>
          <w:rFonts w:ascii="Proxima Nova" w:hAnsi="Proxima Nova" w:cstheme="minorHAnsi"/>
          <w:sz w:val="22"/>
          <w:szCs w:val="22"/>
          <w:lang w:eastAsia="en-AU"/>
        </w:rPr>
      </w:pPr>
    </w:p>
    <w:p w14:paraId="40B4175C" w14:textId="451FCE2A" w:rsidR="00C17576" w:rsidRPr="00F45224" w:rsidRDefault="00C17576" w:rsidP="00F45224">
      <w:pPr>
        <w:pStyle w:val="Default0"/>
        <w:numPr>
          <w:ilvl w:val="1"/>
          <w:numId w:val="36"/>
        </w:numPr>
        <w:spacing w:line="276" w:lineRule="auto"/>
        <w:ind w:left="720" w:hanging="720"/>
        <w:rPr>
          <w:rFonts w:ascii="Proxima Nova" w:hAnsi="Proxima Nova" w:cstheme="minorHAnsi"/>
          <w:sz w:val="22"/>
          <w:szCs w:val="22"/>
          <w:lang w:eastAsia="en-AU"/>
        </w:rPr>
      </w:pPr>
      <w:r w:rsidRPr="00F45224">
        <w:rPr>
          <w:rFonts w:ascii="Proxima Nova" w:hAnsi="Proxima Nova" w:cstheme="minorHAnsi"/>
          <w:sz w:val="22"/>
          <w:szCs w:val="22"/>
          <w:lang w:eastAsia="en-AU"/>
        </w:rPr>
        <w:t>In its subsequent 2019 review, the UN CRPD Committee expressed concern about t</w:t>
      </w:r>
      <w:r w:rsidR="0012566C" w:rsidRPr="00F45224">
        <w:rPr>
          <w:rFonts w:ascii="Proxima Nova" w:hAnsi="Proxima Nova" w:cstheme="minorHAnsi"/>
          <w:sz w:val="22"/>
          <w:szCs w:val="22"/>
          <w:lang w:eastAsia="en-AU"/>
        </w:rPr>
        <w:t>he legal non-consensual sterilis</w:t>
      </w:r>
      <w:r w:rsidRPr="00F45224">
        <w:rPr>
          <w:rFonts w:ascii="Proxima Nova" w:hAnsi="Proxima Nova" w:cstheme="minorHAnsi"/>
          <w:sz w:val="22"/>
          <w:szCs w:val="22"/>
          <w:lang w:eastAsia="en-AU"/>
        </w:rPr>
        <w:t>ation, abortion and contraception of women and girls with disability and non-consensual surgery on intersex infants and children.</w:t>
      </w:r>
      <w:r w:rsidRPr="00F45224">
        <w:rPr>
          <w:rStyle w:val="EndnoteReference"/>
          <w:rFonts w:ascii="Proxima Nova" w:hAnsi="Proxima Nova" w:cstheme="minorHAnsi"/>
          <w:sz w:val="22"/>
          <w:szCs w:val="22"/>
          <w:lang w:eastAsia="en-AU"/>
        </w:rPr>
        <w:endnoteReference w:id="421"/>
      </w:r>
      <w:r w:rsidRPr="00F45224">
        <w:rPr>
          <w:rFonts w:ascii="Proxima Nova" w:hAnsi="Proxima Nova" w:cstheme="minorHAnsi"/>
          <w:sz w:val="22"/>
          <w:szCs w:val="22"/>
          <w:lang w:eastAsia="en-AU"/>
        </w:rPr>
        <w:t xml:space="preserve"> It recommended the Australian Government review and amend laws to prohibit these practices.</w:t>
      </w:r>
      <w:r w:rsidRPr="00F45224">
        <w:rPr>
          <w:rStyle w:val="EndnoteReference"/>
          <w:rFonts w:ascii="Proxima Nova" w:hAnsi="Proxima Nova" w:cstheme="minorHAnsi"/>
          <w:sz w:val="22"/>
          <w:szCs w:val="22"/>
          <w:lang w:eastAsia="en-AU"/>
        </w:rPr>
        <w:endnoteReference w:id="422"/>
      </w:r>
      <w:r w:rsidRPr="00F45224">
        <w:rPr>
          <w:rFonts w:ascii="Proxima Nova" w:hAnsi="Proxima Nova" w:cstheme="minorHAnsi"/>
          <w:sz w:val="22"/>
          <w:szCs w:val="22"/>
          <w:lang w:eastAsia="en-AU"/>
        </w:rPr>
        <w:t xml:space="preserve"> It also recommended the Australian Government ‘</w:t>
      </w:r>
      <w:r w:rsidRPr="00F45224">
        <w:rPr>
          <w:rFonts w:ascii="Proxima Nova" w:hAnsi="Proxima Nova" w:cstheme="minorHAnsi"/>
          <w:sz w:val="22"/>
          <w:szCs w:val="22"/>
        </w:rPr>
        <w:t xml:space="preserve">[p]rohibit the use of non-consensual electroconvulsive therapy </w:t>
      </w:r>
      <w:proofErr w:type="gramStart"/>
      <w:r w:rsidRPr="00F45224">
        <w:rPr>
          <w:rFonts w:ascii="Proxima Nova" w:hAnsi="Proxima Nova" w:cstheme="minorHAnsi"/>
          <w:sz w:val="22"/>
          <w:szCs w:val="22"/>
        </w:rPr>
        <w:t>on the basis of</w:t>
      </w:r>
      <w:proofErr w:type="gramEnd"/>
      <w:r w:rsidRPr="00F45224">
        <w:rPr>
          <w:rFonts w:ascii="Proxima Nova" w:hAnsi="Proxima Nova" w:cstheme="minorHAnsi"/>
          <w:sz w:val="22"/>
          <w:szCs w:val="22"/>
        </w:rPr>
        <w:t xml:space="preserve"> any form of impairment.’</w:t>
      </w:r>
      <w:r w:rsidRPr="00F45224">
        <w:rPr>
          <w:rStyle w:val="EndnoteReference"/>
          <w:rFonts w:ascii="Proxima Nova" w:hAnsi="Proxima Nova" w:cstheme="minorHAnsi"/>
          <w:sz w:val="22"/>
          <w:szCs w:val="22"/>
        </w:rPr>
        <w:endnoteReference w:id="423"/>
      </w:r>
    </w:p>
    <w:p w14:paraId="57F10933" w14:textId="77777777" w:rsidR="00C17576" w:rsidRPr="00F45224" w:rsidRDefault="00C17576" w:rsidP="00F45224">
      <w:pPr>
        <w:pStyle w:val="ListParagraph"/>
        <w:spacing w:line="276" w:lineRule="auto"/>
        <w:ind w:hanging="720"/>
        <w:rPr>
          <w:rFonts w:ascii="Proxima Nova" w:hAnsi="Proxima Nova" w:cstheme="minorHAnsi"/>
          <w:sz w:val="22"/>
          <w:szCs w:val="22"/>
          <w:lang w:val="en-US"/>
        </w:rPr>
      </w:pPr>
    </w:p>
    <w:p w14:paraId="54FACF21" w14:textId="397F29A2" w:rsidR="00C17576" w:rsidRPr="00F45224" w:rsidRDefault="0012566C" w:rsidP="00F45224">
      <w:pPr>
        <w:pStyle w:val="ListParagraph"/>
        <w:numPr>
          <w:ilvl w:val="1"/>
          <w:numId w:val="36"/>
        </w:numPr>
        <w:spacing w:line="276" w:lineRule="auto"/>
        <w:ind w:left="720" w:hanging="720"/>
        <w:contextualSpacing w:val="0"/>
        <w:rPr>
          <w:rFonts w:ascii="Proxima Nova" w:hAnsi="Proxima Nova" w:cstheme="minorHAnsi"/>
          <w:sz w:val="22"/>
          <w:szCs w:val="22"/>
          <w:lang w:val="en-US"/>
        </w:rPr>
      </w:pPr>
      <w:r w:rsidRPr="00F45224">
        <w:rPr>
          <w:rFonts w:ascii="Proxima Nova" w:hAnsi="Proxima Nova" w:cstheme="minorHAnsi"/>
          <w:sz w:val="22"/>
          <w:szCs w:val="22"/>
        </w:rPr>
        <w:t xml:space="preserve">For women and girls with disability to be treated equally to </w:t>
      </w:r>
      <w:r w:rsidR="00335AD1" w:rsidRPr="00F45224">
        <w:rPr>
          <w:rFonts w:ascii="Proxima Nova" w:hAnsi="Proxima Nova" w:cstheme="minorHAnsi"/>
          <w:sz w:val="22"/>
          <w:szCs w:val="22"/>
        </w:rPr>
        <w:t>be treated</w:t>
      </w:r>
      <w:r w:rsidRPr="00F45224">
        <w:rPr>
          <w:rFonts w:ascii="Proxima Nova" w:hAnsi="Proxima Nova" w:cstheme="minorHAnsi"/>
          <w:sz w:val="22"/>
          <w:szCs w:val="22"/>
        </w:rPr>
        <w:t xml:space="preserve"> equally to others, live free from violence and make meaningful choices about their health, where they live, their </w:t>
      </w:r>
      <w:r w:rsidRPr="00F45224">
        <w:rPr>
          <w:rFonts w:ascii="Proxima Nova" w:hAnsi="Proxima Nova" w:cstheme="minorHAnsi"/>
          <w:sz w:val="22"/>
          <w:szCs w:val="22"/>
        </w:rPr>
        <w:lastRenderedPageBreak/>
        <w:t>mobility, their sexual and reproductive activity, and their social, familial and intimate relationships, including living free from the violence of restrictive practices</w:t>
      </w:r>
      <w:r w:rsidR="00C17576" w:rsidRPr="00F45224">
        <w:rPr>
          <w:rFonts w:ascii="Proxima Nova" w:hAnsi="Proxima Nova" w:cstheme="minorHAnsi"/>
          <w:sz w:val="22"/>
          <w:szCs w:val="22"/>
        </w:rPr>
        <w:t>, they need to be free from restrictive practices that violate their personal integrity. Australia needs to introduce laws to prohibit restrictive practices</w:t>
      </w:r>
      <w:r w:rsidR="00C17576" w:rsidRPr="00F45224">
        <w:rPr>
          <w:rFonts w:ascii="Proxima Nova" w:hAnsi="Proxima Nova" w:cstheme="minorHAnsi"/>
          <w:sz w:val="22"/>
          <w:szCs w:val="22"/>
          <w:lang w:eastAsia="en-AU"/>
        </w:rPr>
        <w:t>.</w:t>
      </w:r>
    </w:p>
    <w:p w14:paraId="34E90A84" w14:textId="77777777" w:rsidR="00C17576" w:rsidRPr="00F45224" w:rsidRDefault="00C17576" w:rsidP="00F45224">
      <w:pPr>
        <w:pStyle w:val="ListParagraph"/>
        <w:spacing w:line="276" w:lineRule="auto"/>
        <w:ind w:hanging="720"/>
        <w:rPr>
          <w:rFonts w:ascii="Proxima Nova" w:hAnsi="Proxima Nova" w:cstheme="minorHAnsi"/>
          <w:sz w:val="22"/>
          <w:szCs w:val="22"/>
          <w:lang w:val="en-US"/>
        </w:rPr>
      </w:pPr>
    </w:p>
    <w:p w14:paraId="6B454883"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lang w:val="en-US"/>
        </w:rPr>
      </w:pPr>
      <w:r w:rsidRPr="00F45224">
        <w:rPr>
          <w:rFonts w:ascii="Proxima Nova" w:hAnsi="Proxima Nova" w:cstheme="minorHAnsi"/>
          <w:sz w:val="22"/>
          <w:szCs w:val="22"/>
          <w:lang w:val="en-US"/>
        </w:rPr>
        <w:t>While it is recognised that Australia has an interpretive declaration in relation to Article 17, this does not prevent the Royal Commission from: (a) making recommendations the Australian Government and State and Territory Governments abolish laws on restrictive practices that deprive people with disability of their liberty on the understanding restrictive practices in general violate the right to legal capacity; and (b) recommending the Australian Government withdraw its interpretive declaration so that it assumes a formal obligation under the CRPD to take such action (though absence of such formal obligation does not prevent abolition of laws – there is much legislative reform that takes place in the absence of specific human rights obligations).</w:t>
      </w:r>
    </w:p>
    <w:p w14:paraId="53727A14" w14:textId="77777777" w:rsidR="00F51A8E" w:rsidRPr="00F45224" w:rsidRDefault="00F51A8E" w:rsidP="00F45224">
      <w:pPr>
        <w:spacing w:line="276" w:lineRule="auto"/>
        <w:ind w:left="720" w:hanging="720"/>
        <w:rPr>
          <w:rFonts w:ascii="Proxima Nova" w:hAnsi="Proxima Nova" w:cstheme="minorHAnsi"/>
          <w:sz w:val="22"/>
          <w:szCs w:val="22"/>
        </w:rPr>
      </w:pPr>
    </w:p>
    <w:p w14:paraId="69C23405" w14:textId="6AFA6C51" w:rsidR="00F51A8E" w:rsidRPr="00DE0511" w:rsidRDefault="00F51A8E" w:rsidP="00F51A8E">
      <w:pPr>
        <w:spacing w:line="276" w:lineRule="auto"/>
        <w:rPr>
          <w:rFonts w:ascii="Proxima Nova" w:hAnsi="Proxima Nova" w:cstheme="minorHAnsi"/>
        </w:rPr>
      </w:pPr>
      <w:r w:rsidRPr="00DE0511">
        <w:rPr>
          <w:rFonts w:ascii="Proxima Nova" w:hAnsi="Proxima Nova"/>
          <w:b/>
          <w:color w:val="AC1F79"/>
        </w:rPr>
        <w:t>Freedom from Torture</w:t>
      </w:r>
    </w:p>
    <w:p w14:paraId="5A528D17" w14:textId="77777777" w:rsidR="00F51A8E" w:rsidRPr="00F45224" w:rsidRDefault="00F51A8E" w:rsidP="00F45224">
      <w:pPr>
        <w:spacing w:line="276" w:lineRule="auto"/>
        <w:ind w:left="720" w:hanging="720"/>
        <w:rPr>
          <w:rFonts w:ascii="Proxima Nova" w:hAnsi="Proxima Nova" w:cstheme="minorHAnsi"/>
          <w:sz w:val="22"/>
          <w:szCs w:val="22"/>
        </w:rPr>
      </w:pPr>
    </w:p>
    <w:p w14:paraId="08E2BE92"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sz w:val="22"/>
          <w:szCs w:val="22"/>
          <w:lang w:eastAsia="en-AU"/>
        </w:rPr>
      </w:pPr>
      <w:bookmarkStart w:id="64" w:name="_Toc61349495"/>
      <w:bookmarkEnd w:id="63"/>
      <w:r w:rsidRPr="00F45224">
        <w:rPr>
          <w:rFonts w:ascii="Proxima Nova" w:hAnsi="Proxima Nova"/>
          <w:sz w:val="22"/>
          <w:szCs w:val="22"/>
          <w:lang w:eastAsia="en-AU"/>
        </w:rPr>
        <w:t>Restrictive practices can violate the right to freedom from torture, because law and the State regulate these interventions, along with cruel, inhuman and degrading treatment, to the extent they inflict severe pain and suffering.</w:t>
      </w:r>
    </w:p>
    <w:p w14:paraId="7DB5933E" w14:textId="77777777" w:rsidR="00C17576" w:rsidRPr="00F45224" w:rsidRDefault="00C17576" w:rsidP="00F45224">
      <w:pPr>
        <w:spacing w:line="276" w:lineRule="auto"/>
        <w:ind w:left="720" w:hanging="720"/>
        <w:rPr>
          <w:rFonts w:ascii="Proxima Nova" w:hAnsi="Proxima Nova"/>
          <w:sz w:val="22"/>
          <w:szCs w:val="22"/>
          <w:lang w:eastAsia="en-AU"/>
        </w:rPr>
      </w:pPr>
    </w:p>
    <w:p w14:paraId="39DEB82C"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sz w:val="22"/>
          <w:szCs w:val="22"/>
          <w:lang w:eastAsia="en-AU"/>
        </w:rPr>
      </w:pPr>
      <w:r w:rsidRPr="00F45224">
        <w:rPr>
          <w:rFonts w:ascii="Proxima Nova" w:hAnsi="Proxima Nova"/>
          <w:sz w:val="22"/>
          <w:szCs w:val="22"/>
          <w:lang w:eastAsia="en-AU"/>
        </w:rPr>
        <w:t>Article 15 provides that ‘[n]o one shall be subjected to torture or to cruel, inhuman or degrading treatment or punishment’ and that ‘States Parties shall take all effective legislative, administrative, judicial or other measures to prevent persons with disabilities, on an equal basis with others, from being subjected to torture or cruel, inhuman or degrading treatment or punishment.’</w:t>
      </w:r>
    </w:p>
    <w:p w14:paraId="304C3332" w14:textId="77777777" w:rsidR="00C17576" w:rsidRPr="00F45224" w:rsidRDefault="00C17576" w:rsidP="00F45224">
      <w:pPr>
        <w:spacing w:line="276" w:lineRule="auto"/>
        <w:ind w:left="720" w:hanging="720"/>
        <w:rPr>
          <w:rFonts w:ascii="Proxima Nova" w:hAnsi="Proxima Nova"/>
          <w:sz w:val="22"/>
          <w:szCs w:val="22"/>
          <w:lang w:eastAsia="en-AU"/>
        </w:rPr>
      </w:pPr>
    </w:p>
    <w:p w14:paraId="7654DC61"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sz w:val="22"/>
          <w:szCs w:val="22"/>
          <w:lang w:eastAsia="en-AU"/>
        </w:rPr>
        <w:t xml:space="preserve">The </w:t>
      </w:r>
      <w:r w:rsidRPr="00F45224">
        <w:rPr>
          <w:rFonts w:ascii="Proxima Nova" w:hAnsi="Proxima Nova" w:cstheme="minorHAnsi"/>
          <w:sz w:val="22"/>
          <w:szCs w:val="22"/>
        </w:rPr>
        <w:t xml:space="preserve">Special Rapporteur on Disabilities provides examples of torture </w:t>
      </w:r>
      <w:r w:rsidRPr="00F45224">
        <w:rPr>
          <w:rFonts w:ascii="Proxima Nova" w:hAnsi="Proxima Nova"/>
          <w:sz w:val="22"/>
          <w:szCs w:val="22"/>
          <w:lang w:eastAsia="en-AU"/>
        </w:rPr>
        <w:t>and cruel, inhuman and degrading treatment</w:t>
      </w:r>
      <w:r w:rsidRPr="00F45224">
        <w:rPr>
          <w:rFonts w:ascii="Proxima Nova" w:hAnsi="Proxima Nova" w:cstheme="minorHAnsi"/>
          <w:sz w:val="22"/>
          <w:szCs w:val="22"/>
        </w:rPr>
        <w:t>, including: ‘forced sterilization, contraception and abortion; forced medical procedures or interventions aimed at correcting or alleviating a disability, including invasive and irreversible surgeries, electroconvulsive therapy and the administration of psychotropic medication; the use of chemical, physical or mechanical restraints; and isolation or seclusion.’</w:t>
      </w:r>
      <w:r w:rsidRPr="00F45224">
        <w:rPr>
          <w:rStyle w:val="EndnoteReference"/>
          <w:rFonts w:ascii="Proxima Nova" w:hAnsi="Proxima Nova" w:cstheme="minorHAnsi"/>
          <w:sz w:val="22"/>
          <w:szCs w:val="22"/>
        </w:rPr>
        <w:endnoteReference w:id="424"/>
      </w:r>
      <w:r w:rsidRPr="00F45224">
        <w:rPr>
          <w:rFonts w:ascii="Proxima Nova" w:hAnsi="Proxima Nova" w:cstheme="minorHAnsi"/>
          <w:sz w:val="22"/>
          <w:szCs w:val="22"/>
        </w:rPr>
        <w:t xml:space="preserve"> All of these examples constitute restrictive practices.</w:t>
      </w:r>
      <w:r w:rsidRPr="00F45224">
        <w:rPr>
          <w:rFonts w:ascii="Proxima Nova" w:hAnsi="Proxima Nova"/>
          <w:sz w:val="22"/>
          <w:szCs w:val="22"/>
          <w:lang w:eastAsia="en-AU"/>
        </w:rPr>
        <w:t xml:space="preserve"> </w:t>
      </w:r>
    </w:p>
    <w:p w14:paraId="30975F90" w14:textId="77777777" w:rsidR="00C17576" w:rsidRPr="00F45224" w:rsidRDefault="00C17576" w:rsidP="00F45224">
      <w:pPr>
        <w:pStyle w:val="ListParagraph"/>
        <w:spacing w:line="276" w:lineRule="auto"/>
        <w:ind w:hanging="720"/>
        <w:rPr>
          <w:rFonts w:ascii="Proxima Nova" w:hAnsi="Proxima Nova"/>
          <w:sz w:val="22"/>
          <w:szCs w:val="22"/>
          <w:lang w:eastAsia="en-AU"/>
        </w:rPr>
      </w:pPr>
    </w:p>
    <w:p w14:paraId="3A39E790" w14:textId="3991DEDD"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sz w:val="22"/>
          <w:szCs w:val="22"/>
          <w:lang w:eastAsia="en-AU"/>
        </w:rPr>
        <w:t xml:space="preserve">The </w:t>
      </w:r>
      <w:r w:rsidRPr="00F45224">
        <w:rPr>
          <w:rFonts w:ascii="Proxima Nova" w:hAnsi="Proxima Nova"/>
          <w:sz w:val="22"/>
          <w:szCs w:val="22"/>
        </w:rPr>
        <w:t>Special Rapporteur on Torture and Other Cruel, Inhuman or Degrading Treatment or Punishment (Special Rapporteur on Torture)</w:t>
      </w:r>
      <w:r w:rsidRPr="00F45224">
        <w:rPr>
          <w:rFonts w:ascii="Proxima Nova" w:hAnsi="Proxima Nova"/>
          <w:sz w:val="22"/>
          <w:szCs w:val="22"/>
          <w:lang w:eastAsia="en-AU"/>
        </w:rPr>
        <w:t xml:space="preserve"> states in the context of persons with psychosocial disability that </w:t>
      </w:r>
      <w:r w:rsidRPr="00F45224">
        <w:rPr>
          <w:rFonts w:ascii="Proxima Nova" w:hAnsi="Proxima Nova" w:cstheme="minorHAnsi"/>
          <w:sz w:val="22"/>
          <w:szCs w:val="22"/>
          <w:lang w:eastAsia="en-AU"/>
        </w:rPr>
        <w:t>‘</w:t>
      </w:r>
      <w:r w:rsidRPr="00F45224">
        <w:rPr>
          <w:rFonts w:ascii="Proxima Nova" w:hAnsi="Proxima Nova" w:cstheme="minorHAnsi"/>
          <w:sz w:val="22"/>
          <w:szCs w:val="22"/>
        </w:rPr>
        <w:t>both prolonged seclusion and restraint may constitute torture and ill-treatment.’</w:t>
      </w:r>
      <w:r w:rsidRPr="00F45224">
        <w:rPr>
          <w:rStyle w:val="EndnoteReference"/>
          <w:rFonts w:ascii="Proxima Nova" w:hAnsi="Proxima Nova" w:cstheme="minorHAnsi"/>
          <w:sz w:val="22"/>
          <w:szCs w:val="22"/>
        </w:rPr>
        <w:endnoteReference w:id="425"/>
      </w:r>
      <w:r w:rsidRPr="00F45224">
        <w:rPr>
          <w:rFonts w:ascii="Proxima Nova" w:hAnsi="Proxima Nova" w:cstheme="minorHAnsi"/>
          <w:sz w:val="22"/>
          <w:szCs w:val="22"/>
        </w:rPr>
        <w:t xml:space="preserve"> He has also stated that solitary confinement ‘of any duration, on persons with mental disabilities is cruel, inhuman or degrading treatment.’</w:t>
      </w:r>
      <w:r w:rsidRPr="00F45224">
        <w:rPr>
          <w:rStyle w:val="EndnoteReference"/>
          <w:rFonts w:ascii="Proxima Nova" w:hAnsi="Proxima Nova" w:cstheme="minorHAnsi"/>
          <w:sz w:val="22"/>
          <w:szCs w:val="22"/>
        </w:rPr>
        <w:endnoteReference w:id="426"/>
      </w:r>
      <w:r w:rsidRPr="00F45224">
        <w:rPr>
          <w:rFonts w:ascii="Proxima Nova" w:hAnsi="Proxima Nova" w:cstheme="minorHAnsi"/>
          <w:sz w:val="22"/>
          <w:szCs w:val="22"/>
        </w:rPr>
        <w:t xml:space="preserve"> And, that restraint ‘for even a short period of time may constitute torture and ill-treatment.’</w:t>
      </w:r>
      <w:r w:rsidRPr="00F45224">
        <w:rPr>
          <w:rStyle w:val="EndnoteReference"/>
          <w:rFonts w:ascii="Proxima Nova" w:hAnsi="Proxima Nova" w:cstheme="minorHAnsi"/>
          <w:sz w:val="22"/>
          <w:szCs w:val="22"/>
        </w:rPr>
        <w:endnoteReference w:id="427"/>
      </w:r>
      <w:r w:rsidRPr="00F45224">
        <w:rPr>
          <w:rFonts w:ascii="Proxima Nova" w:hAnsi="Proxima Nova" w:cstheme="minorHAnsi"/>
          <w:sz w:val="22"/>
          <w:szCs w:val="22"/>
        </w:rPr>
        <w:t xml:space="preserve"> </w:t>
      </w:r>
      <w:r w:rsidRPr="00F45224">
        <w:rPr>
          <w:rFonts w:ascii="Proxima Nova" w:hAnsi="Proxima Nova"/>
          <w:sz w:val="22"/>
          <w:szCs w:val="22"/>
          <w:lang w:eastAsia="en-AU"/>
        </w:rPr>
        <w:t>The Special Rapporteur on Torture also identifies ‘i</w:t>
      </w:r>
      <w:r w:rsidRPr="00F45224">
        <w:rPr>
          <w:rFonts w:ascii="Proxima Nova" w:hAnsi="Proxima Nova"/>
          <w:sz w:val="22"/>
          <w:szCs w:val="22"/>
        </w:rPr>
        <w:t>nvoluntary treatment and other psychiatric interventions in health-care facilities are forms of torture and ill-treatment’, ‘to the extent that they inflict severe pain and suffering’ even when done pursuant to law and on the basis of best interests.</w:t>
      </w:r>
      <w:r w:rsidRPr="00F45224">
        <w:rPr>
          <w:rStyle w:val="EndnoteReference"/>
          <w:rFonts w:ascii="Proxima Nova" w:hAnsi="Proxima Nova"/>
          <w:sz w:val="22"/>
          <w:szCs w:val="22"/>
        </w:rPr>
        <w:endnoteReference w:id="428"/>
      </w:r>
    </w:p>
    <w:p w14:paraId="5A754764" w14:textId="77777777" w:rsidR="00C17576" w:rsidRPr="00F45224" w:rsidRDefault="00C17576" w:rsidP="00F45224">
      <w:pPr>
        <w:pStyle w:val="ListParagraph"/>
        <w:spacing w:line="276" w:lineRule="auto"/>
        <w:ind w:hanging="720"/>
        <w:rPr>
          <w:rFonts w:ascii="Proxima Nova" w:hAnsi="Proxima Nova" w:cstheme="minorHAnsi"/>
          <w:sz w:val="22"/>
          <w:szCs w:val="22"/>
        </w:rPr>
      </w:pPr>
    </w:p>
    <w:p w14:paraId="6040BD7D"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The Special Rapporteur on Torture has also described as torture or ill-treatment ‘medical treatments of an intrusive and irreversible nature, when lacking a therapeutic purpose [and] when enforced or administered without the free and informed consent of the person concerned’, 'notwithstanding claims of good intentions or medical necessity.’</w:t>
      </w:r>
      <w:r w:rsidRPr="00F45224">
        <w:rPr>
          <w:rStyle w:val="EndnoteReference"/>
          <w:rFonts w:ascii="Proxima Nova" w:hAnsi="Proxima Nova" w:cstheme="minorHAnsi"/>
          <w:sz w:val="22"/>
          <w:szCs w:val="22"/>
        </w:rPr>
        <w:endnoteReference w:id="429"/>
      </w:r>
      <w:r w:rsidRPr="00F45224">
        <w:rPr>
          <w:rFonts w:ascii="Proxima Nova" w:hAnsi="Proxima Nova" w:cstheme="minorHAnsi"/>
          <w:sz w:val="22"/>
          <w:szCs w:val="22"/>
        </w:rPr>
        <w:t xml:space="preserve"> </w:t>
      </w:r>
    </w:p>
    <w:p w14:paraId="2EB24F69" w14:textId="77777777" w:rsidR="00C17576" w:rsidRPr="00F45224" w:rsidRDefault="00C17576" w:rsidP="00F45224">
      <w:pPr>
        <w:pStyle w:val="ListParagraph"/>
        <w:spacing w:line="276" w:lineRule="auto"/>
        <w:ind w:hanging="720"/>
        <w:rPr>
          <w:rFonts w:ascii="Proxima Nova" w:hAnsi="Proxima Nova"/>
          <w:sz w:val="22"/>
          <w:szCs w:val="22"/>
        </w:rPr>
      </w:pPr>
    </w:p>
    <w:p w14:paraId="099D314F"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The  Special Rapporteur on Torture calls for an absolute ban on all forced and non-consensual medical interventions against persons with disabilities, including: ‘the non-consensual administration of psychosurgery, electroshock and mind-altering drugs such as neuroleptics’;</w:t>
      </w:r>
      <w:r w:rsidRPr="00F45224">
        <w:rPr>
          <w:rStyle w:val="EndnoteReference"/>
          <w:rFonts w:ascii="Proxima Nova" w:hAnsi="Proxima Nova" w:cstheme="minorHAnsi"/>
          <w:sz w:val="22"/>
          <w:szCs w:val="22"/>
        </w:rPr>
        <w:endnoteReference w:id="430"/>
      </w:r>
      <w:r w:rsidRPr="00F45224">
        <w:rPr>
          <w:rFonts w:ascii="Proxima Nova" w:hAnsi="Proxima Nova" w:cstheme="minorHAnsi"/>
          <w:sz w:val="22"/>
          <w:szCs w:val="22"/>
        </w:rPr>
        <w:t xml:space="preserve"> ‘all coercive and non-consensual measures, including restraint and solitary confinement of people with psychological or intellectual disabilities, … in all places of deprivation of liberty, including in psychiatric and social care institutions’;</w:t>
      </w:r>
      <w:r w:rsidRPr="00F45224">
        <w:rPr>
          <w:rStyle w:val="EndnoteReference"/>
          <w:rFonts w:ascii="Proxima Nova" w:hAnsi="Proxima Nova" w:cstheme="minorHAnsi"/>
          <w:sz w:val="22"/>
          <w:szCs w:val="22"/>
        </w:rPr>
        <w:endnoteReference w:id="431"/>
      </w:r>
      <w:r w:rsidRPr="00F45224">
        <w:rPr>
          <w:rFonts w:ascii="Proxima Nova" w:hAnsi="Proxima Nova" w:cstheme="minorHAnsi"/>
          <w:sz w:val="22"/>
          <w:szCs w:val="22"/>
        </w:rPr>
        <w:t xml:space="preserve"> and the </w:t>
      </w:r>
      <w:r w:rsidRPr="00F45224">
        <w:rPr>
          <w:rFonts w:ascii="Proxima Nova" w:hAnsi="Proxima Nova" w:cstheme="minorHAnsi"/>
          <w:sz w:val="22"/>
          <w:szCs w:val="22"/>
        </w:rPr>
        <w:lastRenderedPageBreak/>
        <w:t xml:space="preserve">‘institutionalisation </w:t>
      </w:r>
      <w:r w:rsidRPr="00F45224">
        <w:rPr>
          <w:rFonts w:ascii="Proxima Nova" w:hAnsi="Proxima Nova"/>
          <w:sz w:val="22"/>
          <w:szCs w:val="22"/>
        </w:rPr>
        <w:t>of persons with disabilities on the grounds of their disability without their free and informed consent.’</w:t>
      </w:r>
      <w:r w:rsidRPr="00F45224">
        <w:rPr>
          <w:rStyle w:val="EndnoteReference"/>
          <w:rFonts w:ascii="Proxima Nova" w:hAnsi="Proxima Nova"/>
          <w:sz w:val="22"/>
          <w:szCs w:val="22"/>
        </w:rPr>
        <w:endnoteReference w:id="432"/>
      </w:r>
    </w:p>
    <w:p w14:paraId="6E796615" w14:textId="77777777" w:rsidR="00C17576" w:rsidRPr="00F45224" w:rsidRDefault="00C17576" w:rsidP="00F45224">
      <w:pPr>
        <w:pStyle w:val="ListParagraph"/>
        <w:spacing w:line="276" w:lineRule="auto"/>
        <w:ind w:hanging="720"/>
        <w:rPr>
          <w:rFonts w:ascii="Proxima Nova" w:hAnsi="Proxima Nova" w:cstheme="minorHAnsi"/>
          <w:sz w:val="22"/>
          <w:szCs w:val="22"/>
        </w:rPr>
      </w:pPr>
    </w:p>
    <w:p w14:paraId="424E3149" w14:textId="14A329F4"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sz w:val="22"/>
          <w:szCs w:val="22"/>
        </w:rPr>
        <w:t>The prohibition of torture is an ‘absolute and non-derogable human right’, such that scarce financial resources cannot justify postponement of its implementation.</w:t>
      </w:r>
      <w:r w:rsidRPr="00F45224">
        <w:rPr>
          <w:rStyle w:val="EndnoteReference"/>
          <w:rFonts w:ascii="Proxima Nova" w:hAnsi="Proxima Nova"/>
          <w:sz w:val="22"/>
          <w:szCs w:val="22"/>
        </w:rPr>
        <w:endnoteReference w:id="433"/>
      </w:r>
      <w:r w:rsidRPr="00F45224">
        <w:rPr>
          <w:rFonts w:ascii="Proxima Nova" w:hAnsi="Proxima Nova"/>
          <w:sz w:val="22"/>
          <w:szCs w:val="22"/>
        </w:rPr>
        <w:t xml:space="preserve"> Thus, understanding restrictive practices as torture gives rise to a significant expectation that Australia will </w:t>
      </w:r>
      <w:r w:rsidR="00335AD1" w:rsidRPr="00F45224">
        <w:rPr>
          <w:rFonts w:ascii="Proxima Nova" w:hAnsi="Proxima Nova"/>
          <w:sz w:val="22"/>
          <w:szCs w:val="22"/>
        </w:rPr>
        <w:t>act</w:t>
      </w:r>
      <w:r w:rsidRPr="00F45224">
        <w:rPr>
          <w:rFonts w:ascii="Proxima Nova" w:hAnsi="Proxima Nova"/>
          <w:sz w:val="22"/>
          <w:szCs w:val="22"/>
        </w:rPr>
        <w:t xml:space="preserve"> to prevent and redress these practices. The Special Rapporteur on Torture explains this distinction from other human rights in the context of healthcare:</w:t>
      </w:r>
    </w:p>
    <w:p w14:paraId="4CC58886" w14:textId="77777777" w:rsidR="00C17576" w:rsidRPr="00F45224" w:rsidRDefault="00C17576" w:rsidP="00F45224">
      <w:pPr>
        <w:pStyle w:val="ListParagraph"/>
        <w:spacing w:line="276" w:lineRule="auto"/>
        <w:ind w:hanging="720"/>
        <w:rPr>
          <w:rFonts w:ascii="Proxima Nova" w:hAnsi="Proxima Nova"/>
          <w:sz w:val="22"/>
          <w:szCs w:val="22"/>
          <w:lang w:eastAsia="en-AU"/>
        </w:rPr>
      </w:pPr>
    </w:p>
    <w:p w14:paraId="51134FB3" w14:textId="77777777" w:rsidR="00C17576" w:rsidRPr="00F45224" w:rsidRDefault="00C17576" w:rsidP="00F45224">
      <w:pPr>
        <w:pStyle w:val="Default0"/>
        <w:spacing w:line="276" w:lineRule="auto"/>
        <w:ind w:left="1134"/>
        <w:rPr>
          <w:rFonts w:ascii="Proxima Nova" w:hAnsi="Proxima Nova" w:cstheme="minorHAnsi"/>
          <w:sz w:val="22"/>
          <w:szCs w:val="22"/>
        </w:rPr>
      </w:pPr>
      <w:r w:rsidRPr="00F45224">
        <w:rPr>
          <w:rFonts w:ascii="Proxima Nova" w:hAnsi="Proxima Nova" w:cstheme="minorHAnsi"/>
          <w:i/>
          <w:iCs/>
          <w:sz w:val="22"/>
          <w:szCs w:val="22"/>
        </w:rPr>
        <w:t>The right to an adequate standard of health care (“right to health”) determines the States’ obligations towards persons suffering from illness. In turn, the absolute and non-derogable nature of the right to protection from torture and ill-treatment establishes objective restrictions on certain therapies. In the context of health-related abuses, the focus on the prohibition of torture strengthens the call for accountability and strikes a proper balance between individual freedom and dignity and public health concerns. In that fashion, attention to the torture framework ensures that system inadequacies, lack of resources or services will not justify ill-treatment. Although resource constraints may justify only partial fulfilment of some aspects of the right to health, a State cannot justify its non-compliance with core obligations, such as the absolute prohibition of torture, under any circumstances.</w:t>
      </w:r>
      <w:r w:rsidRPr="00F45224">
        <w:rPr>
          <w:rStyle w:val="EndnoteReference"/>
          <w:rFonts w:ascii="Proxima Nova" w:hAnsi="Proxima Nova" w:cstheme="minorHAnsi"/>
          <w:sz w:val="22"/>
          <w:szCs w:val="22"/>
        </w:rPr>
        <w:endnoteReference w:id="434"/>
      </w:r>
      <w:r w:rsidRPr="00F45224">
        <w:rPr>
          <w:rFonts w:ascii="Proxima Nova" w:hAnsi="Proxima Nova" w:cstheme="minorHAnsi"/>
          <w:sz w:val="22"/>
          <w:szCs w:val="22"/>
        </w:rPr>
        <w:t xml:space="preserve"> </w:t>
      </w:r>
    </w:p>
    <w:p w14:paraId="6CE569C1" w14:textId="77777777" w:rsidR="00C17576" w:rsidRPr="00F45224" w:rsidRDefault="00C17576" w:rsidP="00F45224">
      <w:pPr>
        <w:spacing w:line="276" w:lineRule="auto"/>
        <w:ind w:left="720" w:hanging="720"/>
        <w:rPr>
          <w:rFonts w:ascii="Proxima Nova" w:hAnsi="Proxima Nova"/>
          <w:sz w:val="22"/>
          <w:szCs w:val="22"/>
          <w:lang w:eastAsia="en-AU"/>
        </w:rPr>
      </w:pPr>
    </w:p>
    <w:p w14:paraId="38170840" w14:textId="77777777" w:rsidR="00C17576" w:rsidRPr="00F45224" w:rsidRDefault="00C17576" w:rsidP="00F45224">
      <w:pPr>
        <w:pStyle w:val="ListParagraph"/>
        <w:numPr>
          <w:ilvl w:val="1"/>
          <w:numId w:val="36"/>
        </w:numPr>
        <w:spacing w:line="276" w:lineRule="auto"/>
        <w:ind w:left="720" w:hanging="720"/>
        <w:rPr>
          <w:rFonts w:ascii="Proxima Nova" w:hAnsi="Proxima Nova"/>
          <w:sz w:val="22"/>
          <w:szCs w:val="22"/>
          <w:lang w:eastAsia="en-AU"/>
        </w:rPr>
      </w:pPr>
      <w:r w:rsidRPr="00F45224">
        <w:rPr>
          <w:rFonts w:ascii="Proxima Nova" w:hAnsi="Proxima Nova"/>
          <w:sz w:val="22"/>
          <w:szCs w:val="22"/>
          <w:lang w:eastAsia="en-AU"/>
        </w:rPr>
        <w:t>Furthermore, conduct that amounts to torture or ill-treatment gives rise to a duty to provide remedy and reparation.</w:t>
      </w:r>
      <w:r w:rsidRPr="00F45224">
        <w:rPr>
          <w:rStyle w:val="EndnoteReference"/>
          <w:rFonts w:ascii="Proxima Nova" w:hAnsi="Proxima Nova"/>
          <w:sz w:val="22"/>
          <w:szCs w:val="22"/>
          <w:lang w:eastAsia="en-AU"/>
        </w:rPr>
        <w:endnoteReference w:id="435"/>
      </w:r>
      <w:r w:rsidRPr="00F45224">
        <w:rPr>
          <w:rFonts w:ascii="Proxima Nova" w:hAnsi="Proxima Nova"/>
          <w:sz w:val="22"/>
          <w:szCs w:val="22"/>
          <w:lang w:eastAsia="en-AU"/>
        </w:rPr>
        <w:t xml:space="preserve"> </w:t>
      </w:r>
      <w:r w:rsidRPr="00F45224">
        <w:rPr>
          <w:rFonts w:ascii="Proxima Nova" w:hAnsi="Proxima Nova"/>
          <w:sz w:val="22"/>
          <w:szCs w:val="22"/>
        </w:rPr>
        <w:t>The right to redress includes restitution, compensation, rehabilitation, satisfaction, guarantees of non-repetition and the right to truth.</w:t>
      </w:r>
      <w:r w:rsidRPr="00F45224">
        <w:rPr>
          <w:rStyle w:val="EndnoteReference"/>
          <w:rFonts w:ascii="Proxima Nova" w:hAnsi="Proxima Nova"/>
          <w:sz w:val="22"/>
          <w:szCs w:val="22"/>
        </w:rPr>
        <w:endnoteReference w:id="436"/>
      </w:r>
      <w:r w:rsidRPr="00F45224">
        <w:rPr>
          <w:rFonts w:ascii="Proxima Nova" w:hAnsi="Proxima Nova"/>
          <w:sz w:val="22"/>
          <w:szCs w:val="22"/>
        </w:rPr>
        <w:t xml:space="preserve"> </w:t>
      </w:r>
    </w:p>
    <w:p w14:paraId="66A451E5" w14:textId="77777777" w:rsidR="00C17576" w:rsidRPr="00F45224" w:rsidRDefault="00C17576" w:rsidP="00F45224">
      <w:pPr>
        <w:spacing w:line="276" w:lineRule="auto"/>
        <w:ind w:left="720" w:hanging="720"/>
        <w:rPr>
          <w:rFonts w:ascii="Proxima Nova" w:hAnsi="Proxima Nova"/>
          <w:sz w:val="22"/>
          <w:szCs w:val="22"/>
          <w:lang w:eastAsia="en-AU"/>
        </w:rPr>
      </w:pPr>
    </w:p>
    <w:p w14:paraId="48E6A571"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sz w:val="22"/>
          <w:szCs w:val="22"/>
          <w:lang w:eastAsia="en-AU"/>
        </w:rPr>
        <w:t>Torture specifically extends to non-consensual and coercive sterilisation and abortion. The Special Rapporteur on Torture has stated ‘[f]</w:t>
      </w:r>
      <w:r w:rsidRPr="00F45224">
        <w:rPr>
          <w:rFonts w:ascii="Proxima Nova" w:hAnsi="Proxima Nova" w:cstheme="minorHAnsi"/>
          <w:sz w:val="22"/>
          <w:szCs w:val="22"/>
        </w:rPr>
        <w:t>orced sterilization is an act of violence, a form of social control, and a violation of the right to be free from torture and other cruel, inhuman, or degrading treatment or punishment.’</w:t>
      </w:r>
      <w:r w:rsidRPr="00F45224">
        <w:rPr>
          <w:rStyle w:val="EndnoteReference"/>
          <w:rFonts w:ascii="Proxima Nova" w:hAnsi="Proxima Nova" w:cstheme="minorHAnsi"/>
          <w:sz w:val="22"/>
          <w:szCs w:val="22"/>
        </w:rPr>
        <w:endnoteReference w:id="437"/>
      </w:r>
    </w:p>
    <w:p w14:paraId="5365C56E" w14:textId="77777777" w:rsidR="00C17576" w:rsidRPr="00F45224" w:rsidRDefault="00C17576" w:rsidP="00F45224">
      <w:pPr>
        <w:pStyle w:val="ListParagraph"/>
        <w:spacing w:line="276" w:lineRule="auto"/>
        <w:ind w:hanging="720"/>
        <w:rPr>
          <w:rFonts w:ascii="Proxima Nova" w:hAnsi="Proxima Nova" w:cstheme="minorHAnsi"/>
          <w:sz w:val="22"/>
          <w:szCs w:val="22"/>
          <w:lang w:eastAsia="en-AU"/>
        </w:rPr>
      </w:pPr>
    </w:p>
    <w:p w14:paraId="0253DD96"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lang w:eastAsia="en-AU"/>
        </w:rPr>
        <w:t xml:space="preserve">The Australian Government recently ratified the OPCAT. This requires the Australian Government to introduce a system of NPM monitoring in ‘places of detention.’ </w:t>
      </w:r>
      <w:r w:rsidRPr="00F45224">
        <w:rPr>
          <w:rFonts w:ascii="Proxima Nova" w:hAnsi="Proxima Nova" w:cstheme="minorHAnsi"/>
          <w:sz w:val="22"/>
          <w:szCs w:val="22"/>
        </w:rPr>
        <w:t>Article 4 of OPCAT defines places of detention as places ‘where persons are or may be deprived of their liberty.’</w:t>
      </w:r>
      <w:r w:rsidRPr="00F45224">
        <w:rPr>
          <w:rStyle w:val="EndnoteReference"/>
          <w:rFonts w:ascii="Proxima Nova" w:hAnsi="Proxima Nova" w:cstheme="minorHAnsi"/>
          <w:sz w:val="22"/>
          <w:szCs w:val="22"/>
        </w:rPr>
        <w:endnoteReference w:id="438"/>
      </w:r>
      <w:r w:rsidRPr="00F45224">
        <w:rPr>
          <w:rFonts w:ascii="Proxima Nova" w:hAnsi="Proxima Nova" w:cstheme="minorHAnsi"/>
          <w:sz w:val="22"/>
          <w:szCs w:val="22"/>
        </w:rPr>
        <w:t xml:space="preserve"> </w:t>
      </w:r>
      <w:r w:rsidRPr="00F45224">
        <w:rPr>
          <w:rFonts w:ascii="Proxima Nova" w:hAnsi="Proxima Nova" w:cstheme="minorHAnsi"/>
          <w:sz w:val="22"/>
          <w:szCs w:val="22"/>
          <w:lang w:eastAsia="en-AU"/>
        </w:rPr>
        <w:t>Concerns have been raised that the Australian Government is not including disability and aged care sites of confinement in the scope of its NPM monitoring. There are also concerns that ‘torture’ in places of detention will not include non-consensual and coercive interventions in people with disability that can be framed as ‘therapeutic’ and ‘supportive.’</w:t>
      </w:r>
      <w:r w:rsidRPr="00F45224">
        <w:rPr>
          <w:rStyle w:val="EndnoteReference"/>
          <w:rFonts w:ascii="Proxima Nova" w:hAnsi="Proxima Nova" w:cstheme="minorHAnsi"/>
          <w:sz w:val="22"/>
          <w:szCs w:val="22"/>
          <w:lang w:eastAsia="en-AU"/>
        </w:rPr>
        <w:endnoteReference w:id="439"/>
      </w:r>
    </w:p>
    <w:p w14:paraId="6668880D" w14:textId="77777777" w:rsidR="00C17576" w:rsidRPr="00F45224" w:rsidRDefault="00C17576" w:rsidP="00F45224">
      <w:pPr>
        <w:pStyle w:val="ListParagraph"/>
        <w:spacing w:line="276" w:lineRule="auto"/>
        <w:ind w:hanging="720"/>
        <w:rPr>
          <w:rFonts w:ascii="Proxima Nova" w:hAnsi="Proxima Nova" w:cstheme="minorHAnsi"/>
          <w:sz w:val="22"/>
          <w:szCs w:val="22"/>
        </w:rPr>
      </w:pPr>
    </w:p>
    <w:p w14:paraId="53383C48"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Following its two reviews of Australia in 2013, the UN CRPD Committee recommended the Australian Government take immediate steps to end the use of restrictive practices, including in schools, mental health facilities and hospitals and establish ‘an independent national preventive mechanism to monitor places of detention – such as mental health facilities, special schools, hospitals, disability justice centres and prisons.’</w:t>
      </w:r>
      <w:r w:rsidRPr="00F45224">
        <w:rPr>
          <w:rStyle w:val="EndnoteReference"/>
          <w:rFonts w:ascii="Proxima Nova" w:hAnsi="Proxima Nova" w:cstheme="minorHAnsi"/>
          <w:sz w:val="22"/>
          <w:szCs w:val="22"/>
        </w:rPr>
        <w:endnoteReference w:id="440"/>
      </w:r>
      <w:r w:rsidRPr="00F45224">
        <w:rPr>
          <w:rFonts w:ascii="Proxima Nova" w:hAnsi="Proxima Nova" w:cstheme="minorHAnsi"/>
          <w:sz w:val="22"/>
          <w:szCs w:val="22"/>
        </w:rPr>
        <w:t xml:space="preserve"> </w:t>
      </w:r>
    </w:p>
    <w:p w14:paraId="2F6D73AB" w14:textId="77777777" w:rsidR="00C17576" w:rsidRPr="00F45224" w:rsidRDefault="00C17576" w:rsidP="00F45224">
      <w:pPr>
        <w:pStyle w:val="ListParagraph"/>
        <w:spacing w:line="276" w:lineRule="auto"/>
        <w:ind w:hanging="720"/>
        <w:rPr>
          <w:rFonts w:ascii="Proxima Nova" w:hAnsi="Proxima Nova" w:cstheme="minorHAnsi"/>
          <w:sz w:val="22"/>
          <w:szCs w:val="22"/>
          <w:lang w:eastAsia="en-AU"/>
        </w:rPr>
      </w:pPr>
    </w:p>
    <w:p w14:paraId="14FB34F9"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lang w:eastAsia="en-AU"/>
        </w:rPr>
        <w:t>In its subsequent 2019 review, the UN CRPD Committee expressed serious concern about: ‘</w:t>
      </w:r>
      <w:r w:rsidRPr="00F45224">
        <w:rPr>
          <w:rFonts w:ascii="Proxima Nova" w:hAnsi="Proxima Nova" w:cstheme="minorHAnsi"/>
          <w:sz w:val="22"/>
          <w:szCs w:val="22"/>
        </w:rPr>
        <w:t>[l]egislation, po</w:t>
      </w:r>
      <w:r w:rsidRPr="00F45224">
        <w:rPr>
          <w:rFonts w:ascii="Proxima Nova" w:hAnsi="Proxima Nova"/>
          <w:sz w:val="22"/>
          <w:szCs w:val="22"/>
        </w:rPr>
        <w:t>licies and practices that permit the use of psychotropic medications, physical restraints and seclusion under the guise of “behaviour modification” and restrictive practices against persons with disabilities, including children, in any setting, including in justice, education, health, psychosocial and aged care facilities.’</w:t>
      </w:r>
      <w:r w:rsidRPr="00F45224">
        <w:rPr>
          <w:rStyle w:val="EndnoteReference"/>
          <w:rFonts w:ascii="Proxima Nova" w:hAnsi="Proxima Nova"/>
          <w:sz w:val="22"/>
          <w:szCs w:val="22"/>
        </w:rPr>
        <w:endnoteReference w:id="441"/>
      </w:r>
      <w:r w:rsidRPr="00F45224">
        <w:rPr>
          <w:rFonts w:ascii="Proxima Nova" w:hAnsi="Proxima Nova"/>
          <w:sz w:val="22"/>
          <w:szCs w:val="22"/>
        </w:rPr>
        <w:t xml:space="preserve"> It recommended the Australian Government:</w:t>
      </w:r>
    </w:p>
    <w:p w14:paraId="042C03BC" w14:textId="77777777" w:rsidR="00C17576" w:rsidRPr="00F45224" w:rsidRDefault="00C17576" w:rsidP="00F45224">
      <w:pPr>
        <w:pStyle w:val="ListParagraph"/>
        <w:spacing w:line="276" w:lineRule="auto"/>
        <w:ind w:hanging="720"/>
        <w:contextualSpacing w:val="0"/>
        <w:rPr>
          <w:rFonts w:ascii="Proxima Nova" w:hAnsi="Proxima Nova"/>
          <w:sz w:val="22"/>
          <w:szCs w:val="22"/>
          <w:lang w:eastAsia="en-AU"/>
        </w:rPr>
      </w:pPr>
    </w:p>
    <w:p w14:paraId="2797FD85" w14:textId="77777777" w:rsidR="00C17576" w:rsidRPr="00F45224" w:rsidRDefault="00C17576" w:rsidP="00F45224">
      <w:pPr>
        <w:pStyle w:val="ListParagraph"/>
        <w:spacing w:line="276" w:lineRule="auto"/>
        <w:ind w:left="1134"/>
        <w:contextualSpacing w:val="0"/>
        <w:rPr>
          <w:rFonts w:ascii="Proxima Nova" w:hAnsi="Proxima Nova"/>
          <w:sz w:val="22"/>
          <w:szCs w:val="22"/>
          <w:lang w:eastAsia="en-AU"/>
        </w:rPr>
      </w:pPr>
      <w:r w:rsidRPr="00F45224">
        <w:rPr>
          <w:rFonts w:ascii="Proxima Nova" w:hAnsi="Proxima Nova"/>
          <w:i/>
          <w:iCs/>
          <w:sz w:val="22"/>
          <w:szCs w:val="22"/>
        </w:rPr>
        <w:t>Establish a nationally consistent legislative and administrative framework for the protection of all persons with disabilities, including children, from the use of psychotropic medications, physical restraints and seclusion under the guise of “behaviour modification” and the elimination of restrictive practices, including corporal punishment, in all settings, including the home.</w:t>
      </w:r>
      <w:r w:rsidRPr="00F45224">
        <w:rPr>
          <w:rStyle w:val="EndnoteReference"/>
          <w:rFonts w:ascii="Proxima Nova" w:hAnsi="Proxima Nova"/>
          <w:sz w:val="22"/>
          <w:szCs w:val="22"/>
        </w:rPr>
        <w:endnoteReference w:id="442"/>
      </w:r>
    </w:p>
    <w:p w14:paraId="0CE58FF7" w14:textId="77777777" w:rsidR="00C17576" w:rsidRPr="00F45224" w:rsidRDefault="00C17576" w:rsidP="00F45224">
      <w:pPr>
        <w:spacing w:line="276" w:lineRule="auto"/>
        <w:rPr>
          <w:rFonts w:ascii="Proxima Nova" w:hAnsi="Proxima Nova"/>
          <w:sz w:val="22"/>
          <w:szCs w:val="22"/>
          <w:lang w:eastAsia="en-AU"/>
        </w:rPr>
      </w:pPr>
    </w:p>
    <w:p w14:paraId="5DD0B67E" w14:textId="77777777" w:rsidR="00C17576" w:rsidRPr="00F45224" w:rsidRDefault="00C17576" w:rsidP="00F45224">
      <w:pPr>
        <w:pStyle w:val="ListParagraph"/>
        <w:spacing w:line="276" w:lineRule="auto"/>
        <w:contextualSpacing w:val="0"/>
        <w:rPr>
          <w:rFonts w:ascii="Proxima Nova" w:hAnsi="Proxima Nova"/>
          <w:sz w:val="22"/>
          <w:szCs w:val="22"/>
          <w:lang w:eastAsia="en-AU"/>
        </w:rPr>
      </w:pPr>
      <w:r w:rsidRPr="00F45224">
        <w:rPr>
          <w:rFonts w:ascii="Proxima Nova" w:hAnsi="Proxima Nova"/>
          <w:sz w:val="22"/>
          <w:szCs w:val="22"/>
          <w:lang w:eastAsia="en-AU"/>
        </w:rPr>
        <w:t>It also recommended the Australian Government ensure people with disability cannot be detained in solitary confinement.</w:t>
      </w:r>
    </w:p>
    <w:p w14:paraId="2AF5EFB8" w14:textId="77777777" w:rsidR="00C17576" w:rsidRPr="00F45224" w:rsidRDefault="00C17576" w:rsidP="00F45224">
      <w:pPr>
        <w:spacing w:line="276" w:lineRule="auto"/>
        <w:rPr>
          <w:rFonts w:ascii="Proxima Nova" w:hAnsi="Proxima Nova"/>
          <w:sz w:val="22"/>
          <w:szCs w:val="22"/>
          <w:lang w:eastAsia="en-AU"/>
        </w:rPr>
      </w:pPr>
    </w:p>
    <w:p w14:paraId="37FA278F" w14:textId="0E9FBC5B" w:rsidR="00C17576" w:rsidRPr="00F45224" w:rsidRDefault="0012566C" w:rsidP="00F45224">
      <w:pPr>
        <w:pStyle w:val="ListParagraph"/>
        <w:numPr>
          <w:ilvl w:val="1"/>
          <w:numId w:val="36"/>
        </w:numPr>
        <w:spacing w:line="276" w:lineRule="auto"/>
        <w:ind w:left="720" w:hanging="720"/>
        <w:contextualSpacing w:val="0"/>
        <w:rPr>
          <w:rFonts w:ascii="Proxima Nova" w:hAnsi="Proxima Nova" w:cstheme="minorHAnsi"/>
          <w:sz w:val="22"/>
          <w:szCs w:val="22"/>
          <w:lang w:val="en-US"/>
        </w:rPr>
      </w:pPr>
      <w:r w:rsidRPr="00F45224">
        <w:rPr>
          <w:rFonts w:ascii="Proxima Nova" w:hAnsi="Proxima Nova" w:cstheme="minorHAnsi"/>
          <w:sz w:val="22"/>
          <w:szCs w:val="22"/>
        </w:rPr>
        <w:t xml:space="preserve">For women and girls with disability to be treated equally to </w:t>
      </w:r>
      <w:r w:rsidR="00335AD1" w:rsidRPr="00F45224">
        <w:rPr>
          <w:rFonts w:ascii="Proxima Nova" w:hAnsi="Proxima Nova" w:cstheme="minorHAnsi"/>
          <w:sz w:val="22"/>
          <w:szCs w:val="22"/>
        </w:rPr>
        <w:t>be treated</w:t>
      </w:r>
      <w:r w:rsidRPr="00F45224">
        <w:rPr>
          <w:rFonts w:ascii="Proxima Nova" w:hAnsi="Proxima Nova" w:cstheme="minorHAnsi"/>
          <w:sz w:val="22"/>
          <w:szCs w:val="22"/>
        </w:rPr>
        <w:t xml:space="preserve"> equally to others, live free from violence and make meaningful choices about their health, where they live, their mobility, their sexual and reproductive activity, and their social, familial and intimate relationships, including living free from the violence of restrictive practices</w:t>
      </w:r>
      <w:r w:rsidR="00C17576" w:rsidRPr="00F45224">
        <w:rPr>
          <w:rFonts w:ascii="Proxima Nova" w:hAnsi="Proxima Nova" w:cstheme="minorHAnsi"/>
          <w:sz w:val="22"/>
          <w:szCs w:val="22"/>
        </w:rPr>
        <w:t>, they need to be free from restrictive practices that give rise to torture and other ill-treatment. Australia needs to immediately introduce laws to prohibit and redress restrictive practices that amount to torture and other ill-treatment</w:t>
      </w:r>
      <w:r w:rsidR="00C17576" w:rsidRPr="00F45224">
        <w:rPr>
          <w:rFonts w:ascii="Proxima Nova" w:hAnsi="Proxima Nova" w:cstheme="minorHAnsi"/>
          <w:sz w:val="22"/>
          <w:szCs w:val="22"/>
          <w:lang w:eastAsia="en-AU"/>
        </w:rPr>
        <w:t>.</w:t>
      </w:r>
    </w:p>
    <w:p w14:paraId="05EF5ED1" w14:textId="77777777" w:rsidR="009E72B6" w:rsidRPr="00F45224" w:rsidRDefault="009E72B6" w:rsidP="00F45224">
      <w:pPr>
        <w:spacing w:line="276" w:lineRule="auto"/>
        <w:ind w:left="720" w:hanging="720"/>
        <w:rPr>
          <w:rFonts w:ascii="Proxima Nova" w:hAnsi="Proxima Nova" w:cstheme="minorHAnsi"/>
          <w:sz w:val="22"/>
          <w:szCs w:val="22"/>
        </w:rPr>
      </w:pPr>
    </w:p>
    <w:p w14:paraId="4B153990" w14:textId="603E9733" w:rsidR="009E72B6" w:rsidRPr="00DE0511" w:rsidRDefault="009E72B6" w:rsidP="009E72B6">
      <w:pPr>
        <w:spacing w:line="276" w:lineRule="auto"/>
        <w:rPr>
          <w:rFonts w:ascii="Proxima Nova" w:hAnsi="Proxima Nova" w:cstheme="minorHAnsi"/>
        </w:rPr>
      </w:pPr>
      <w:r w:rsidRPr="00DE0511">
        <w:rPr>
          <w:rFonts w:ascii="Proxima Nova" w:hAnsi="Proxima Nova"/>
          <w:b/>
          <w:color w:val="AC1F79"/>
        </w:rPr>
        <w:t>Living Independently and Being Included in the Community</w:t>
      </w:r>
    </w:p>
    <w:p w14:paraId="084E27A7" w14:textId="77777777" w:rsidR="009E72B6" w:rsidRPr="00F45224" w:rsidRDefault="009E72B6" w:rsidP="00F45224">
      <w:pPr>
        <w:spacing w:line="276" w:lineRule="auto"/>
        <w:ind w:left="720" w:hanging="720"/>
        <w:rPr>
          <w:rFonts w:ascii="Proxima Nova" w:hAnsi="Proxima Nova" w:cstheme="minorHAnsi"/>
          <w:sz w:val="22"/>
          <w:szCs w:val="22"/>
        </w:rPr>
      </w:pPr>
    </w:p>
    <w:bookmarkEnd w:id="64"/>
    <w:p w14:paraId="6252D0C0" w14:textId="30617280" w:rsidR="00C17576" w:rsidRPr="00F45224" w:rsidRDefault="00C17576" w:rsidP="00F45224">
      <w:pPr>
        <w:pStyle w:val="ListParagraph"/>
        <w:numPr>
          <w:ilvl w:val="1"/>
          <w:numId w:val="36"/>
        </w:numPr>
        <w:spacing w:line="276" w:lineRule="auto"/>
        <w:ind w:left="720" w:hanging="720"/>
        <w:rPr>
          <w:rFonts w:ascii="Proxima Nova" w:hAnsi="Proxima Nova"/>
          <w:sz w:val="22"/>
          <w:szCs w:val="22"/>
          <w:lang w:eastAsia="en-AU"/>
        </w:rPr>
      </w:pPr>
      <w:r w:rsidRPr="00F45224">
        <w:rPr>
          <w:rFonts w:ascii="Proxima Nova" w:hAnsi="Proxima Nova"/>
          <w:sz w:val="22"/>
          <w:szCs w:val="22"/>
          <w:lang w:eastAsia="en-AU"/>
        </w:rPr>
        <w:t>Restrictive practices that result in institutionalisation and/or deny people with disability the opportunity to live independently and be included in the community v</w:t>
      </w:r>
      <w:r w:rsidR="003F5FFC" w:rsidRPr="00F45224">
        <w:rPr>
          <w:rFonts w:ascii="Proxima Nova" w:hAnsi="Proxima Nova"/>
          <w:sz w:val="22"/>
          <w:szCs w:val="22"/>
          <w:lang w:eastAsia="en-AU"/>
        </w:rPr>
        <w:t>iolate Article 19 of the CRPD. Given the routine use of restrictive practices is a key dynamic in warehousing by disability services which we discussed in Section 5, deinstitutionalisation would remove one of the key contexts and drivers for use of restrictive practices.</w:t>
      </w:r>
    </w:p>
    <w:p w14:paraId="1E1F4638" w14:textId="77777777" w:rsidR="00C17576" w:rsidRPr="00F45224" w:rsidRDefault="00C17576" w:rsidP="00F45224">
      <w:pPr>
        <w:spacing w:line="276" w:lineRule="auto"/>
        <w:ind w:left="720" w:hanging="720"/>
        <w:rPr>
          <w:rFonts w:ascii="Proxima Nova" w:hAnsi="Proxima Nova" w:cstheme="minorHAnsi"/>
          <w:sz w:val="22"/>
          <w:szCs w:val="22"/>
          <w:lang w:eastAsia="en-AU"/>
        </w:rPr>
      </w:pPr>
    </w:p>
    <w:p w14:paraId="30D59E79" w14:textId="77777777" w:rsidR="00C17576" w:rsidRPr="00F45224" w:rsidRDefault="00C17576" w:rsidP="00F45224">
      <w:pPr>
        <w:pStyle w:val="ListParagraph"/>
        <w:numPr>
          <w:ilvl w:val="1"/>
          <w:numId w:val="36"/>
        </w:numPr>
        <w:spacing w:line="276" w:lineRule="auto"/>
        <w:ind w:left="720" w:hanging="720"/>
        <w:rPr>
          <w:rFonts w:ascii="Proxima Nova" w:hAnsi="Proxima Nova" w:cstheme="minorHAnsi"/>
          <w:sz w:val="22"/>
          <w:szCs w:val="22"/>
          <w:lang w:eastAsia="en-AU"/>
        </w:rPr>
      </w:pPr>
      <w:r w:rsidRPr="00F45224">
        <w:rPr>
          <w:rFonts w:ascii="Proxima Nova" w:hAnsi="Proxima Nova" w:cstheme="minorHAnsi"/>
          <w:sz w:val="22"/>
          <w:szCs w:val="22"/>
        </w:rPr>
        <w:t>Article 19 of the CRPD recognises the equal right of people with disability to live in the community, to be fully included and to participate in community life, with choices equal to others. It means that people with disability have the same right as everyone else to exercise ‘freedom of choice and control over decisions affecting one’s life with the maximum level of self-determination and interdependence within society.’</w:t>
      </w:r>
      <w:r w:rsidRPr="00F45224">
        <w:rPr>
          <w:rStyle w:val="EndnoteReference"/>
          <w:rFonts w:ascii="Proxima Nova" w:hAnsi="Proxima Nova" w:cstheme="minorHAnsi"/>
          <w:sz w:val="22"/>
          <w:szCs w:val="22"/>
        </w:rPr>
        <w:endnoteReference w:id="443"/>
      </w:r>
    </w:p>
    <w:p w14:paraId="0E2D506B" w14:textId="77777777" w:rsidR="00C17576" w:rsidRPr="00F45224" w:rsidRDefault="00C17576" w:rsidP="00F45224">
      <w:pPr>
        <w:spacing w:line="276" w:lineRule="auto"/>
        <w:ind w:left="720" w:hanging="720"/>
        <w:rPr>
          <w:rFonts w:ascii="Proxima Nova" w:hAnsi="Proxima Nova" w:cstheme="minorHAnsi"/>
          <w:sz w:val="22"/>
          <w:szCs w:val="22"/>
          <w:lang w:eastAsia="en-AU"/>
        </w:rPr>
      </w:pPr>
    </w:p>
    <w:p w14:paraId="7B72BEC8" w14:textId="215621B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lang w:eastAsia="en-AU"/>
        </w:rPr>
      </w:pPr>
      <w:r w:rsidRPr="00F45224">
        <w:rPr>
          <w:rFonts w:ascii="Proxima Nova" w:hAnsi="Proxima Nova" w:cstheme="minorHAnsi"/>
          <w:sz w:val="22"/>
          <w:szCs w:val="22"/>
          <w:lang w:eastAsia="en-AU"/>
        </w:rPr>
        <w:t>CRPD General Comment 5 (</w:t>
      </w:r>
      <w:r w:rsidR="00085CD8" w:rsidRPr="00F45224">
        <w:rPr>
          <w:rFonts w:ascii="Proxima Nova" w:hAnsi="Proxima Nova" w:cstheme="minorHAnsi"/>
          <w:sz w:val="22"/>
          <w:szCs w:val="22"/>
          <w:lang w:eastAsia="en-AU"/>
        </w:rPr>
        <w:t>Living In</w:t>
      </w:r>
      <w:r w:rsidRPr="00F45224">
        <w:rPr>
          <w:rFonts w:ascii="Proxima Nova" w:hAnsi="Proxima Nova" w:cstheme="minorHAnsi"/>
          <w:sz w:val="22"/>
          <w:szCs w:val="22"/>
          <w:lang w:eastAsia="en-AU"/>
        </w:rPr>
        <w:t xml:space="preserve">dependently and </w:t>
      </w:r>
      <w:r w:rsidR="00085CD8" w:rsidRPr="00F45224">
        <w:rPr>
          <w:rFonts w:ascii="Proxima Nova" w:hAnsi="Proxima Nova" w:cstheme="minorHAnsi"/>
          <w:sz w:val="22"/>
          <w:szCs w:val="22"/>
          <w:lang w:eastAsia="en-AU"/>
        </w:rPr>
        <w:t>Being Included in the C</w:t>
      </w:r>
      <w:r w:rsidRPr="00F45224">
        <w:rPr>
          <w:rFonts w:ascii="Proxima Nova" w:hAnsi="Proxima Nova" w:cstheme="minorHAnsi"/>
          <w:sz w:val="22"/>
          <w:szCs w:val="22"/>
          <w:lang w:eastAsia="en-AU"/>
        </w:rPr>
        <w:t>ommunity) makes clear that Article 19 is about autonomy and individual choice, liberty and security, freedom of movement and being a full participating member of the community on an equal basis with others. An examination of restrictive practices must be considered within this broader human rights context.</w:t>
      </w:r>
    </w:p>
    <w:p w14:paraId="7C0DFB69" w14:textId="77777777" w:rsidR="00C17576" w:rsidRPr="00F45224" w:rsidRDefault="00C17576" w:rsidP="00F45224">
      <w:pPr>
        <w:spacing w:line="276" w:lineRule="auto"/>
        <w:ind w:left="720" w:hanging="720"/>
        <w:rPr>
          <w:rFonts w:ascii="Proxima Nova" w:hAnsi="Proxima Nova" w:cstheme="minorHAnsi"/>
          <w:sz w:val="22"/>
          <w:szCs w:val="22"/>
          <w:lang w:eastAsia="en-AU"/>
        </w:rPr>
      </w:pPr>
    </w:p>
    <w:p w14:paraId="3F72D59E"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lang w:eastAsia="en-AU"/>
        </w:rPr>
      </w:pPr>
      <w:r w:rsidRPr="00F45224">
        <w:rPr>
          <w:rFonts w:ascii="Proxima Nova" w:hAnsi="Proxima Nova" w:cstheme="minorHAnsi"/>
          <w:sz w:val="22"/>
          <w:szCs w:val="22"/>
          <w:lang w:eastAsia="en-AU"/>
        </w:rPr>
        <w:t>The UN CRPD Committee states that institutionalisation is inherently discriminatory:</w:t>
      </w:r>
    </w:p>
    <w:p w14:paraId="3379EC96" w14:textId="77777777" w:rsidR="00C17576" w:rsidRPr="00F45224" w:rsidRDefault="00C17576" w:rsidP="00F45224">
      <w:pPr>
        <w:spacing w:line="276" w:lineRule="auto"/>
        <w:rPr>
          <w:rFonts w:ascii="Proxima Nova" w:hAnsi="Proxima Nova" w:cstheme="minorHAnsi"/>
          <w:sz w:val="22"/>
          <w:szCs w:val="22"/>
          <w:lang w:eastAsia="en-AU"/>
        </w:rPr>
      </w:pPr>
    </w:p>
    <w:p w14:paraId="6775F654" w14:textId="77777777" w:rsidR="00C17576" w:rsidRPr="00F45224" w:rsidRDefault="00C17576" w:rsidP="00F45224">
      <w:pPr>
        <w:pStyle w:val="ListParagraph"/>
        <w:spacing w:line="276" w:lineRule="auto"/>
        <w:ind w:left="1134"/>
        <w:contextualSpacing w:val="0"/>
        <w:rPr>
          <w:rFonts w:ascii="Proxima Nova" w:hAnsi="Proxima Nova" w:cstheme="minorHAnsi"/>
          <w:sz w:val="22"/>
          <w:szCs w:val="22"/>
          <w:lang w:eastAsia="en-AU"/>
        </w:rPr>
      </w:pPr>
      <w:r w:rsidRPr="00F45224">
        <w:rPr>
          <w:rFonts w:ascii="Proxima Nova" w:hAnsi="Proxima Nova"/>
          <w:i/>
          <w:iCs/>
          <w:sz w:val="22"/>
          <w:szCs w:val="22"/>
        </w:rPr>
        <w:t xml:space="preserve">Institutionalization is discriminatory as it demonstrates a failure to create support and services in the community for persons with disabilities, who are forced to relinquish their participation in community life to receive treatment. The institutionalization of persons with disabilities as a condition to receive public sector mental health services constitutes differential treatment </w:t>
      </w:r>
      <w:proofErr w:type="gramStart"/>
      <w:r w:rsidRPr="00F45224">
        <w:rPr>
          <w:rFonts w:ascii="Proxima Nova" w:hAnsi="Proxima Nova"/>
          <w:i/>
          <w:iCs/>
          <w:sz w:val="22"/>
          <w:szCs w:val="22"/>
        </w:rPr>
        <w:t>on the basis of</w:t>
      </w:r>
      <w:proofErr w:type="gramEnd"/>
      <w:r w:rsidRPr="00F45224">
        <w:rPr>
          <w:rFonts w:ascii="Proxima Nova" w:hAnsi="Proxima Nova"/>
          <w:i/>
          <w:iCs/>
          <w:sz w:val="22"/>
          <w:szCs w:val="22"/>
        </w:rPr>
        <w:t xml:space="preserve"> disability and, as such, is discriminatory.</w:t>
      </w:r>
      <w:r w:rsidRPr="00F45224">
        <w:rPr>
          <w:rStyle w:val="EndnoteReference"/>
          <w:rFonts w:ascii="Proxima Nova" w:hAnsi="Proxima Nova"/>
          <w:sz w:val="22"/>
          <w:szCs w:val="22"/>
        </w:rPr>
        <w:endnoteReference w:id="444"/>
      </w:r>
    </w:p>
    <w:p w14:paraId="3377EB6E" w14:textId="77777777" w:rsidR="00C17576" w:rsidRPr="00F45224" w:rsidRDefault="00C17576" w:rsidP="00F45224">
      <w:pPr>
        <w:spacing w:line="276" w:lineRule="auto"/>
        <w:rPr>
          <w:rFonts w:ascii="Proxima Nova" w:hAnsi="Proxima Nova" w:cstheme="minorHAnsi"/>
          <w:sz w:val="22"/>
          <w:szCs w:val="22"/>
          <w:lang w:eastAsia="en-AU"/>
        </w:rPr>
      </w:pPr>
    </w:p>
    <w:p w14:paraId="1A8F988E" w14:textId="77777777" w:rsidR="00C17576" w:rsidRPr="00F45224" w:rsidRDefault="00C17576" w:rsidP="00F45224">
      <w:pPr>
        <w:pStyle w:val="ListParagraph"/>
        <w:spacing w:line="276" w:lineRule="auto"/>
        <w:contextualSpacing w:val="0"/>
        <w:rPr>
          <w:rFonts w:ascii="Proxima Nova" w:hAnsi="Proxima Nova" w:cstheme="minorHAnsi"/>
          <w:sz w:val="22"/>
          <w:szCs w:val="22"/>
        </w:rPr>
      </w:pPr>
      <w:r w:rsidRPr="00F45224">
        <w:rPr>
          <w:rFonts w:ascii="Proxima Nova" w:hAnsi="Proxima Nova" w:cstheme="minorHAnsi"/>
          <w:sz w:val="22"/>
          <w:szCs w:val="22"/>
          <w:lang w:eastAsia="en-AU"/>
        </w:rPr>
        <w:t>The UN CRPD Committee clarifies</w:t>
      </w:r>
      <w:r w:rsidRPr="00F45224">
        <w:rPr>
          <w:rFonts w:ascii="Proxima Nova" w:hAnsi="Proxima Nova" w:cstheme="minorHAnsi"/>
          <w:sz w:val="22"/>
          <w:szCs w:val="22"/>
        </w:rPr>
        <w:t xml:space="preserve"> that any institutional form of support services which segregates and limits personal autonomy is not permitted by Article 19(b). </w:t>
      </w:r>
    </w:p>
    <w:p w14:paraId="11DC3EE7" w14:textId="77777777" w:rsidR="00C17576" w:rsidRPr="00F45224" w:rsidRDefault="00C17576" w:rsidP="00F45224">
      <w:pPr>
        <w:spacing w:line="276" w:lineRule="auto"/>
        <w:ind w:left="720" w:hanging="720"/>
        <w:rPr>
          <w:rFonts w:ascii="Proxima Nova" w:hAnsi="Proxima Nova" w:cstheme="minorHAnsi"/>
          <w:sz w:val="22"/>
          <w:szCs w:val="22"/>
          <w:lang w:eastAsia="en-AU"/>
        </w:rPr>
      </w:pPr>
    </w:p>
    <w:p w14:paraId="4965EA0D"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sz w:val="22"/>
          <w:szCs w:val="22"/>
          <w:lang w:eastAsia="en-AU"/>
        </w:rPr>
      </w:pPr>
      <w:r w:rsidRPr="00F45224">
        <w:rPr>
          <w:rFonts w:ascii="Proxima Nova" w:hAnsi="Proxima Nova"/>
          <w:sz w:val="22"/>
          <w:szCs w:val="22"/>
          <w:lang w:eastAsia="en-AU"/>
        </w:rPr>
        <w:t>The Special Rapporteur on Disabilities notes the greater use of institutionalisation in relation to older persons with disabilities, particularly at a time when ‘</w:t>
      </w:r>
      <w:r w:rsidRPr="00F45224">
        <w:rPr>
          <w:rFonts w:ascii="Proxima Nova" w:hAnsi="Proxima Nova" w:cstheme="minorHAnsi"/>
          <w:sz w:val="22"/>
          <w:szCs w:val="22"/>
        </w:rPr>
        <w:t>younger persons with disabilities are increasingly encouraged and provided with support to live independently.’</w:t>
      </w:r>
      <w:r w:rsidRPr="00F45224">
        <w:rPr>
          <w:rStyle w:val="EndnoteReference"/>
          <w:rFonts w:ascii="Proxima Nova" w:hAnsi="Proxima Nova" w:cstheme="minorHAnsi"/>
          <w:sz w:val="22"/>
          <w:szCs w:val="22"/>
        </w:rPr>
        <w:endnoteReference w:id="445"/>
      </w:r>
      <w:r w:rsidRPr="00F45224">
        <w:rPr>
          <w:rFonts w:ascii="Proxima Nova" w:hAnsi="Proxima Nova" w:cstheme="minorHAnsi"/>
          <w:sz w:val="22"/>
          <w:szCs w:val="22"/>
        </w:rPr>
        <w:t xml:space="preserve"> </w:t>
      </w:r>
      <w:r w:rsidRPr="00F45224">
        <w:rPr>
          <w:rFonts w:ascii="Proxima Nova" w:hAnsi="Proxima Nova" w:cstheme="minorHAnsi"/>
          <w:sz w:val="22"/>
          <w:szCs w:val="22"/>
          <w:lang w:eastAsia="en-AU"/>
        </w:rPr>
        <w:t>The Special Rapporteur on Disabilities sees the lack of support services in the community for older people with disability as a key driver of institutionalisation, including by reason of age limits on accessing disability supports.</w:t>
      </w:r>
      <w:r w:rsidRPr="00F45224">
        <w:rPr>
          <w:rStyle w:val="EndnoteReference"/>
          <w:rFonts w:ascii="Proxima Nova" w:hAnsi="Proxima Nova" w:cstheme="minorHAnsi"/>
          <w:sz w:val="22"/>
          <w:szCs w:val="22"/>
          <w:lang w:eastAsia="en-AU"/>
        </w:rPr>
        <w:endnoteReference w:id="446"/>
      </w:r>
      <w:r w:rsidRPr="00F45224">
        <w:rPr>
          <w:rFonts w:ascii="Proxima Nova" w:hAnsi="Proxima Nova" w:cstheme="minorHAnsi"/>
          <w:sz w:val="22"/>
          <w:szCs w:val="22"/>
          <w:lang w:eastAsia="en-AU"/>
        </w:rPr>
        <w:t xml:space="preserve"> She states that institutionalisation should not be the solution to an absence of care in the community and that </w:t>
      </w:r>
      <w:r w:rsidRPr="00F45224">
        <w:rPr>
          <w:rFonts w:ascii="Proxima Nova" w:hAnsi="Proxima Nova" w:cstheme="minorHAnsi"/>
          <w:sz w:val="22"/>
          <w:szCs w:val="22"/>
        </w:rPr>
        <w:t>‘</w:t>
      </w:r>
      <w:r w:rsidRPr="00F45224">
        <w:rPr>
          <w:rFonts w:ascii="Proxima Nova" w:hAnsi="Proxima Nova"/>
          <w:sz w:val="22"/>
          <w:szCs w:val="22"/>
        </w:rPr>
        <w:t>States need to transform their institutional forms of care for older persons with disabilities and to provide support and services within the community.’</w:t>
      </w:r>
      <w:r w:rsidRPr="00F45224">
        <w:rPr>
          <w:rStyle w:val="EndnoteReference"/>
          <w:rFonts w:ascii="Proxima Nova" w:hAnsi="Proxima Nova"/>
          <w:sz w:val="22"/>
          <w:szCs w:val="22"/>
        </w:rPr>
        <w:endnoteReference w:id="447"/>
      </w:r>
    </w:p>
    <w:p w14:paraId="65D0CF29" w14:textId="77777777" w:rsidR="00C17576" w:rsidRPr="00F45224" w:rsidRDefault="00C17576" w:rsidP="00F45224">
      <w:pPr>
        <w:spacing w:line="276" w:lineRule="auto"/>
        <w:ind w:left="720" w:hanging="720"/>
        <w:rPr>
          <w:rFonts w:ascii="Proxima Nova" w:hAnsi="Proxima Nova" w:cstheme="minorHAnsi"/>
          <w:sz w:val="22"/>
          <w:szCs w:val="22"/>
        </w:rPr>
      </w:pPr>
    </w:p>
    <w:p w14:paraId="16A83AF4"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rPr>
        <w:t>Following deinstitutionalisation (</w:t>
      </w:r>
      <w:proofErr w:type="gramStart"/>
      <w:r w:rsidRPr="00F45224">
        <w:rPr>
          <w:rFonts w:ascii="Proxima Nova" w:hAnsi="Proxima Nova" w:cstheme="minorHAnsi"/>
          <w:sz w:val="22"/>
          <w:szCs w:val="22"/>
        </w:rPr>
        <w:t>i.e.</w:t>
      </w:r>
      <w:proofErr w:type="gramEnd"/>
      <w:r w:rsidRPr="00F45224">
        <w:rPr>
          <w:rFonts w:ascii="Proxima Nova" w:hAnsi="Proxima Nova" w:cstheme="minorHAnsi"/>
          <w:sz w:val="22"/>
          <w:szCs w:val="22"/>
        </w:rPr>
        <w:t xml:space="preserve"> closure of largescale institutions), groups homes and supported accommodation became an increasingly significant form of housing. The Royal Commission has acknowledged the closed and segregated nature of these alternatives </w:t>
      </w:r>
      <w:r w:rsidRPr="00F45224">
        <w:rPr>
          <w:rFonts w:ascii="Proxima Nova" w:hAnsi="Proxima Nova" w:cstheme="minorHAnsi"/>
          <w:sz w:val="22"/>
          <w:szCs w:val="22"/>
        </w:rPr>
        <w:lastRenderedPageBreak/>
        <w:t xml:space="preserve">forms of housing. However, the UN CRPD Committee has explicitly stated that these forms of accommodation do not meet the right in Article 19: </w:t>
      </w:r>
    </w:p>
    <w:p w14:paraId="4EEA5B10" w14:textId="77777777" w:rsidR="00C17576" w:rsidRPr="00F45224" w:rsidRDefault="00C17576" w:rsidP="00F45224">
      <w:pPr>
        <w:pStyle w:val="ListParagraph"/>
        <w:spacing w:line="276" w:lineRule="auto"/>
        <w:ind w:hanging="720"/>
        <w:contextualSpacing w:val="0"/>
        <w:rPr>
          <w:rFonts w:ascii="Proxima Nova" w:hAnsi="Proxima Nova" w:cstheme="minorHAnsi"/>
          <w:sz w:val="22"/>
          <w:szCs w:val="22"/>
          <w:highlight w:val="yellow"/>
        </w:rPr>
      </w:pPr>
    </w:p>
    <w:p w14:paraId="0FB4460A" w14:textId="77777777" w:rsidR="00C17576" w:rsidRPr="00F45224" w:rsidRDefault="00C17576" w:rsidP="00F45224">
      <w:pPr>
        <w:pStyle w:val="ListParagraph"/>
        <w:spacing w:line="276" w:lineRule="auto"/>
        <w:ind w:left="1134"/>
        <w:contextualSpacing w:val="0"/>
        <w:rPr>
          <w:rFonts w:ascii="Proxima Nova" w:hAnsi="Proxima Nova" w:cstheme="minorHAnsi"/>
          <w:sz w:val="22"/>
          <w:szCs w:val="22"/>
          <w:highlight w:val="yellow"/>
        </w:rPr>
      </w:pPr>
      <w:r w:rsidRPr="00F45224">
        <w:rPr>
          <w:rFonts w:ascii="Proxima Nova" w:hAnsi="Proxima Nova"/>
          <w:i/>
          <w:iCs/>
          <w:sz w:val="22"/>
          <w:szCs w:val="22"/>
        </w:rPr>
        <w:t>Neither large-scale institutions with more than a hundred residents nor smaller group homes with five to eight individuals, nor even individual homes can be called independent living arrangements if they have other defining elements of institutions or institutionalization. Although institutionalized settings can differ in size, name and set-up, there are certain defining elements, such as obligatory sharing of assistants with others and no or limited influence over whom one has to accept assistance from; isolation and segregation from independent life within the community; lack of control over day-to-day decisions; lack of choice over whom to live with; rigidity of routine irrespective of personal will and preferences; identical activities in the same place for a group of persons under a certain authority; a paternalistic approach in service provision; supervision of living arrangements; and usually also a disproportion in the number of persons with disabilities living in the same environment. Institutional settings may offer persons with disabilities a certain degree of choice and control; however, these choices are limited to specific areas of life and do not change the segregating character of institutions.</w:t>
      </w:r>
      <w:r w:rsidRPr="00F45224">
        <w:rPr>
          <w:rStyle w:val="EndnoteReference"/>
          <w:rFonts w:ascii="Proxima Nova" w:hAnsi="Proxima Nova"/>
          <w:sz w:val="22"/>
          <w:szCs w:val="22"/>
        </w:rPr>
        <w:endnoteReference w:id="448"/>
      </w:r>
    </w:p>
    <w:p w14:paraId="11EF9D37" w14:textId="77777777" w:rsidR="00C17576" w:rsidRPr="00F45224" w:rsidRDefault="00C17576" w:rsidP="00F45224">
      <w:pPr>
        <w:spacing w:line="276" w:lineRule="auto"/>
        <w:ind w:left="720" w:hanging="720"/>
        <w:rPr>
          <w:rFonts w:ascii="Proxima Nova" w:hAnsi="Proxima Nova" w:cstheme="minorHAnsi"/>
          <w:sz w:val="22"/>
          <w:szCs w:val="22"/>
        </w:rPr>
      </w:pPr>
    </w:p>
    <w:p w14:paraId="306F0792"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rPr>
      </w:pPr>
      <w:r w:rsidRPr="00F45224">
        <w:rPr>
          <w:rFonts w:ascii="Proxima Nova" w:hAnsi="Proxima Nova" w:cstheme="minorHAnsi"/>
          <w:sz w:val="22"/>
          <w:szCs w:val="22"/>
          <w:lang w:eastAsia="en-AU"/>
        </w:rPr>
        <w:t>The UN CRPD Committee explicitly and unequivocally states that Article 19 requires Governments to ‘</w:t>
      </w:r>
      <w:r w:rsidRPr="00F45224">
        <w:rPr>
          <w:rFonts w:ascii="Proxima Nova" w:hAnsi="Proxima Nova" w:cstheme="minorHAnsi"/>
          <w:sz w:val="22"/>
          <w:szCs w:val="22"/>
        </w:rPr>
        <w:t>to phase out institutionalisation’</w:t>
      </w:r>
      <w:r w:rsidRPr="00F45224">
        <w:rPr>
          <w:rStyle w:val="EndnoteReference"/>
          <w:rFonts w:ascii="Proxima Nova" w:hAnsi="Proxima Nova" w:cstheme="minorHAnsi"/>
          <w:sz w:val="22"/>
          <w:szCs w:val="22"/>
        </w:rPr>
        <w:endnoteReference w:id="449"/>
      </w:r>
      <w:r w:rsidRPr="00F45224">
        <w:rPr>
          <w:rFonts w:ascii="Proxima Nova" w:hAnsi="Proxima Nova" w:cstheme="minorHAnsi"/>
          <w:sz w:val="22"/>
          <w:szCs w:val="22"/>
          <w:lang w:eastAsia="en-AU"/>
        </w:rPr>
        <w:t xml:space="preserve"> through ‘adopt[ing]</w:t>
      </w:r>
      <w:r w:rsidRPr="00F45224">
        <w:rPr>
          <w:rFonts w:ascii="Proxima Nova" w:hAnsi="Proxima Nova" w:cstheme="minorHAnsi"/>
          <w:sz w:val="22"/>
          <w:szCs w:val="22"/>
        </w:rPr>
        <w:t xml:space="preserve"> clear and targeted strategies for deinstitutionalisation, with specific time frames and adequate budgets, in order to eliminate all forms of isolation, segregation and institutionalization of persons with disabilities.’</w:t>
      </w:r>
      <w:r w:rsidRPr="00F45224">
        <w:rPr>
          <w:rStyle w:val="EndnoteReference"/>
          <w:rFonts w:ascii="Proxima Nova" w:hAnsi="Proxima Nova" w:cstheme="minorHAnsi"/>
          <w:sz w:val="22"/>
          <w:szCs w:val="22"/>
        </w:rPr>
        <w:endnoteReference w:id="450"/>
      </w:r>
    </w:p>
    <w:p w14:paraId="2E82358C" w14:textId="77777777" w:rsidR="00C17576" w:rsidRPr="00F45224" w:rsidRDefault="00C17576" w:rsidP="00F45224">
      <w:pPr>
        <w:spacing w:line="276" w:lineRule="auto"/>
        <w:ind w:left="720" w:hanging="720"/>
        <w:rPr>
          <w:rFonts w:ascii="Proxima Nova" w:hAnsi="Proxima Nova" w:cstheme="minorHAnsi"/>
          <w:sz w:val="22"/>
          <w:szCs w:val="22"/>
          <w:lang w:eastAsia="en-AU"/>
        </w:rPr>
      </w:pPr>
    </w:p>
    <w:p w14:paraId="544CF69A"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sz w:val="22"/>
          <w:szCs w:val="22"/>
          <w:lang w:eastAsia="en-AU"/>
        </w:rPr>
      </w:pPr>
      <w:r w:rsidRPr="00F45224">
        <w:rPr>
          <w:rFonts w:ascii="Proxima Nova" w:hAnsi="Proxima Nova"/>
          <w:sz w:val="22"/>
          <w:szCs w:val="22"/>
          <w:lang w:eastAsia="en-AU"/>
        </w:rPr>
        <w:t xml:space="preserve">The UN CRPD Committee recognises the centrality of Article 19 to preventing deprivation of liberty </w:t>
      </w:r>
      <w:proofErr w:type="gramStart"/>
      <w:r w:rsidRPr="00F45224">
        <w:rPr>
          <w:rFonts w:ascii="Proxima Nova" w:hAnsi="Proxima Nova"/>
          <w:sz w:val="22"/>
          <w:szCs w:val="22"/>
          <w:lang w:eastAsia="en-AU"/>
        </w:rPr>
        <w:t>on the basis of</w:t>
      </w:r>
      <w:proofErr w:type="gramEnd"/>
      <w:r w:rsidRPr="00F45224">
        <w:rPr>
          <w:rFonts w:ascii="Proxima Nova" w:hAnsi="Proxima Nova"/>
          <w:sz w:val="22"/>
          <w:szCs w:val="22"/>
          <w:lang w:eastAsia="en-AU"/>
        </w:rPr>
        <w:t xml:space="preserve"> disability.</w:t>
      </w:r>
      <w:r w:rsidRPr="00F45224">
        <w:rPr>
          <w:rStyle w:val="EndnoteReference"/>
          <w:rFonts w:ascii="Proxima Nova" w:hAnsi="Proxima Nova"/>
          <w:sz w:val="22"/>
          <w:szCs w:val="22"/>
          <w:lang w:eastAsia="en-AU"/>
        </w:rPr>
        <w:endnoteReference w:id="451"/>
      </w:r>
      <w:r w:rsidRPr="00F45224">
        <w:rPr>
          <w:rFonts w:ascii="Proxima Nova" w:hAnsi="Proxima Nova"/>
          <w:sz w:val="22"/>
          <w:szCs w:val="22"/>
          <w:lang w:eastAsia="en-AU"/>
        </w:rPr>
        <w:t xml:space="preserve"> This is because deinstitutionalisation and supporting individuals to live in the community will remove many of the sites of confinement in which people are deprived of their liberty.</w:t>
      </w:r>
    </w:p>
    <w:p w14:paraId="279D5B5F" w14:textId="77777777" w:rsidR="00C17576" w:rsidRPr="00F45224" w:rsidRDefault="00C17576" w:rsidP="00F45224">
      <w:pPr>
        <w:spacing w:line="276" w:lineRule="auto"/>
        <w:ind w:left="720" w:hanging="720"/>
        <w:rPr>
          <w:rFonts w:ascii="Proxima Nova" w:hAnsi="Proxima Nova" w:cstheme="minorHAnsi"/>
          <w:sz w:val="22"/>
          <w:szCs w:val="22"/>
          <w:lang w:eastAsia="en-AU"/>
        </w:rPr>
      </w:pPr>
    </w:p>
    <w:p w14:paraId="5AC714CA"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sz w:val="22"/>
          <w:szCs w:val="22"/>
          <w:lang w:eastAsia="en-AU"/>
        </w:rPr>
      </w:pPr>
      <w:r w:rsidRPr="00F45224">
        <w:rPr>
          <w:rFonts w:ascii="Proxima Nova" w:hAnsi="Proxima Nova"/>
          <w:sz w:val="22"/>
          <w:szCs w:val="22"/>
          <w:lang w:eastAsia="en-AU"/>
        </w:rPr>
        <w:t>The UN CRPD Committee has acknowledged that women and girls with disability are particularly disadvantaged in relation to institutionalisation:</w:t>
      </w:r>
    </w:p>
    <w:p w14:paraId="22757BF3" w14:textId="77777777" w:rsidR="00C17576" w:rsidRPr="00F45224" w:rsidRDefault="00C17576" w:rsidP="00F45224">
      <w:pPr>
        <w:pStyle w:val="ListParagraph"/>
        <w:spacing w:line="276" w:lineRule="auto"/>
        <w:ind w:hanging="720"/>
        <w:contextualSpacing w:val="0"/>
        <w:rPr>
          <w:rFonts w:ascii="Proxima Nova" w:hAnsi="Proxima Nova"/>
          <w:sz w:val="22"/>
          <w:szCs w:val="22"/>
          <w:lang w:eastAsia="en-AU"/>
        </w:rPr>
      </w:pPr>
    </w:p>
    <w:p w14:paraId="1020E8B4" w14:textId="77777777" w:rsidR="00C17576" w:rsidRPr="00F45224" w:rsidRDefault="00C17576" w:rsidP="00F45224">
      <w:pPr>
        <w:pStyle w:val="ListParagraph"/>
        <w:spacing w:line="276" w:lineRule="auto"/>
        <w:ind w:left="1134"/>
        <w:contextualSpacing w:val="0"/>
        <w:rPr>
          <w:rFonts w:ascii="Proxima Nova" w:hAnsi="Proxima Nova"/>
          <w:sz w:val="22"/>
          <w:szCs w:val="22"/>
        </w:rPr>
      </w:pPr>
      <w:r w:rsidRPr="00F45224">
        <w:rPr>
          <w:rFonts w:ascii="Proxima Nova" w:hAnsi="Proxima Nova"/>
          <w:i/>
          <w:iCs/>
          <w:sz w:val="22"/>
          <w:szCs w:val="22"/>
        </w:rPr>
        <w:t>Often, women and girls with disabilities (art. 6) are more excluded and isolated and face more restrictions regarding their place of residence as well as their living arrangements owing to paternalistic stereotyping and patriarchal social patterns that discriminate against women in society. Women and girls with disabilities also experience gender-based, multiple and intersectional discrimination, greater risk of institutionalization and violence, including sexual violence, abuse and harassment. … Therefore, when implementing the right to live independently and be included in the community, particular attention should be paid to gender equality, the elimination of gender-based discrimination and patriarchal social patterns.</w:t>
      </w:r>
      <w:r w:rsidRPr="00F45224">
        <w:rPr>
          <w:rStyle w:val="EndnoteReference"/>
          <w:rFonts w:ascii="Proxima Nova" w:hAnsi="Proxima Nova"/>
          <w:sz w:val="22"/>
          <w:szCs w:val="22"/>
        </w:rPr>
        <w:endnoteReference w:id="452"/>
      </w:r>
    </w:p>
    <w:p w14:paraId="598C098C" w14:textId="77777777" w:rsidR="00C17576" w:rsidRPr="00F45224" w:rsidRDefault="00C17576" w:rsidP="00F45224">
      <w:pPr>
        <w:spacing w:line="276" w:lineRule="auto"/>
        <w:ind w:left="720" w:hanging="720"/>
        <w:rPr>
          <w:rFonts w:ascii="Proxima Nova" w:hAnsi="Proxima Nova"/>
          <w:sz w:val="22"/>
          <w:szCs w:val="22"/>
          <w:lang w:eastAsia="en-AU"/>
        </w:rPr>
      </w:pPr>
    </w:p>
    <w:p w14:paraId="6C5716A0" w14:textId="54F1DD0A" w:rsidR="00C17576" w:rsidRPr="00F45224" w:rsidRDefault="00C17576" w:rsidP="00F45224">
      <w:pPr>
        <w:pStyle w:val="ListParagraph"/>
        <w:numPr>
          <w:ilvl w:val="1"/>
          <w:numId w:val="36"/>
        </w:numPr>
        <w:spacing w:line="276" w:lineRule="auto"/>
        <w:ind w:left="720" w:hanging="720"/>
        <w:contextualSpacing w:val="0"/>
        <w:rPr>
          <w:rFonts w:ascii="Proxima Nova" w:hAnsi="Proxima Nova" w:cstheme="minorHAnsi"/>
          <w:sz w:val="22"/>
          <w:szCs w:val="22"/>
          <w:lang w:eastAsia="en-AU"/>
        </w:rPr>
      </w:pPr>
      <w:r w:rsidRPr="00F45224">
        <w:rPr>
          <w:rFonts w:ascii="Proxima Nova" w:hAnsi="Proxima Nova"/>
          <w:sz w:val="22"/>
          <w:szCs w:val="22"/>
          <w:lang w:eastAsia="en-AU"/>
        </w:rPr>
        <w:t xml:space="preserve">In </w:t>
      </w:r>
      <w:r w:rsidRPr="00F45224">
        <w:rPr>
          <w:rFonts w:ascii="Proxima Nova" w:hAnsi="Proxima Nova" w:cstheme="minorHAnsi"/>
          <w:sz w:val="22"/>
          <w:szCs w:val="22"/>
          <w:lang w:eastAsia="en-AU"/>
        </w:rPr>
        <w:t>CRPD General Comment 5 (</w:t>
      </w:r>
      <w:r w:rsidR="00370E62" w:rsidRPr="00F45224">
        <w:rPr>
          <w:rFonts w:ascii="Proxima Nova" w:hAnsi="Proxima Nova" w:cstheme="minorHAnsi"/>
          <w:sz w:val="22"/>
          <w:szCs w:val="22"/>
          <w:lang w:eastAsia="en-AU"/>
        </w:rPr>
        <w:t>Living Independently and Being Included in the C</w:t>
      </w:r>
      <w:r w:rsidRPr="00F45224">
        <w:rPr>
          <w:rFonts w:ascii="Proxima Nova" w:hAnsi="Proxima Nova" w:cstheme="minorHAnsi"/>
          <w:sz w:val="22"/>
          <w:szCs w:val="22"/>
          <w:lang w:eastAsia="en-AU"/>
        </w:rPr>
        <w:t>ommunity), the UN CRPD Committee recognises the inherent risk to women and girls with disability in segregated settings:</w:t>
      </w:r>
    </w:p>
    <w:p w14:paraId="640BDF00" w14:textId="77777777" w:rsidR="00C17576" w:rsidRPr="00F45224" w:rsidRDefault="00C17576" w:rsidP="00F45224">
      <w:pPr>
        <w:spacing w:line="276" w:lineRule="auto"/>
        <w:ind w:left="720" w:hanging="720"/>
        <w:rPr>
          <w:rFonts w:ascii="Proxima Nova" w:hAnsi="Proxima Nova" w:cstheme="minorHAnsi"/>
          <w:sz w:val="22"/>
          <w:szCs w:val="22"/>
        </w:rPr>
      </w:pPr>
    </w:p>
    <w:p w14:paraId="3676EBFA" w14:textId="77777777" w:rsidR="00C17576" w:rsidRPr="00F45224" w:rsidRDefault="00C17576" w:rsidP="00F45224">
      <w:pPr>
        <w:spacing w:line="276" w:lineRule="auto"/>
        <w:ind w:left="1134"/>
        <w:rPr>
          <w:rFonts w:ascii="Proxima Nova" w:hAnsi="Proxima Nova" w:cstheme="minorHAnsi"/>
          <w:sz w:val="22"/>
          <w:szCs w:val="22"/>
        </w:rPr>
      </w:pPr>
      <w:r w:rsidRPr="00F45224">
        <w:rPr>
          <w:rFonts w:ascii="Proxima Nova" w:hAnsi="Proxima Nova" w:cstheme="minorHAnsi"/>
          <w:i/>
          <w:iCs/>
          <w:sz w:val="22"/>
          <w:szCs w:val="22"/>
        </w:rPr>
        <w:t>Since institutions tend to isolate those who reside within them from the rest of the community, institutionalised women and girls with disabilities are further susceptible to gender-based violence, including forced sterilization, sexual and physical abuse, emotional abuse and further isolation. They also face increased barriers to reporting such violence. It is imperative that States include these issues in their monitoring of institutions and ensure access to redress for women with disabilities who are exposed to gender-based violence in institutions.</w:t>
      </w:r>
      <w:r w:rsidRPr="00F45224">
        <w:rPr>
          <w:rStyle w:val="EndnoteReference"/>
          <w:rFonts w:ascii="Proxima Nova" w:hAnsi="Proxima Nova" w:cstheme="minorHAnsi"/>
          <w:sz w:val="22"/>
          <w:szCs w:val="22"/>
        </w:rPr>
        <w:endnoteReference w:id="453"/>
      </w:r>
    </w:p>
    <w:p w14:paraId="0B479BA8" w14:textId="77777777" w:rsidR="00C17576" w:rsidRPr="00F45224" w:rsidRDefault="00C17576" w:rsidP="00F45224">
      <w:pPr>
        <w:spacing w:line="276" w:lineRule="auto"/>
        <w:ind w:left="720" w:hanging="720"/>
        <w:rPr>
          <w:rFonts w:ascii="Proxima Nova" w:hAnsi="Proxima Nova"/>
          <w:sz w:val="22"/>
          <w:szCs w:val="22"/>
          <w:lang w:eastAsia="en-AU"/>
        </w:rPr>
      </w:pPr>
    </w:p>
    <w:p w14:paraId="552B3A98" w14:textId="77777777" w:rsidR="00C17576" w:rsidRPr="00F45224" w:rsidRDefault="00C17576" w:rsidP="00F45224">
      <w:pPr>
        <w:pStyle w:val="ListParagraph"/>
        <w:numPr>
          <w:ilvl w:val="1"/>
          <w:numId w:val="36"/>
        </w:numPr>
        <w:spacing w:line="276" w:lineRule="auto"/>
        <w:ind w:left="720" w:hanging="720"/>
        <w:contextualSpacing w:val="0"/>
        <w:rPr>
          <w:rFonts w:ascii="Proxima Nova" w:hAnsi="Proxima Nova"/>
          <w:sz w:val="22"/>
          <w:szCs w:val="22"/>
          <w:lang w:eastAsia="en-AU"/>
        </w:rPr>
      </w:pPr>
      <w:r w:rsidRPr="00F45224">
        <w:rPr>
          <w:rFonts w:ascii="Proxima Nova" w:hAnsi="Proxima Nova"/>
          <w:sz w:val="22"/>
          <w:szCs w:val="22"/>
          <w:lang w:eastAsia="en-AU"/>
        </w:rPr>
        <w:t>Following its periodic review of Australia in 2013, the UN CRPD Committee expressed concern ‘</w:t>
      </w:r>
      <w:r w:rsidRPr="00F45224">
        <w:rPr>
          <w:rFonts w:ascii="Proxima Nova" w:hAnsi="Proxima Nova"/>
          <w:sz w:val="22"/>
          <w:szCs w:val="22"/>
        </w:rPr>
        <w:t xml:space="preserve">that despite the policy to close large residential centres, new initiatives replicate </w:t>
      </w:r>
      <w:r w:rsidRPr="00F45224">
        <w:rPr>
          <w:rFonts w:ascii="Proxima Nova" w:hAnsi="Proxima Nova"/>
          <w:sz w:val="22"/>
          <w:szCs w:val="22"/>
        </w:rPr>
        <w:lastRenderedPageBreak/>
        <w:t>institutional living arrangements, and many persons with disabilities are still obliged to live in residential institutions in order to receive disability support.’ It thus encouraged the Australian Government to ‘develop and implement a national framework for the closure of residential institutions and to allocate the resources necessary for support services that would enable persons with disabilities to live in their communities’ and recommended it ‘take immediate action to ensure that persons with disabilities have a free choice as to where and with whom they want to live, and that they are eligible to receive the necessary support regardless of their place of residence.’</w:t>
      </w:r>
      <w:r w:rsidRPr="00F45224">
        <w:rPr>
          <w:rStyle w:val="EndnoteReference"/>
          <w:rFonts w:ascii="Proxima Nova" w:hAnsi="Proxima Nova"/>
          <w:sz w:val="22"/>
          <w:szCs w:val="22"/>
        </w:rPr>
        <w:endnoteReference w:id="454"/>
      </w:r>
      <w:r w:rsidRPr="00F45224">
        <w:rPr>
          <w:rFonts w:ascii="Proxima Nova" w:hAnsi="Proxima Nova"/>
          <w:sz w:val="22"/>
          <w:szCs w:val="22"/>
        </w:rPr>
        <w:t xml:space="preserve"> </w:t>
      </w:r>
    </w:p>
    <w:p w14:paraId="7673CCC1" w14:textId="77777777" w:rsidR="00C17576" w:rsidRPr="00F45224" w:rsidRDefault="00C17576" w:rsidP="00F45224">
      <w:pPr>
        <w:pStyle w:val="ListParagraph"/>
        <w:spacing w:line="276" w:lineRule="auto"/>
        <w:ind w:hanging="720"/>
        <w:contextualSpacing w:val="0"/>
        <w:rPr>
          <w:rFonts w:ascii="Proxima Nova" w:hAnsi="Proxima Nova"/>
          <w:sz w:val="22"/>
          <w:szCs w:val="22"/>
          <w:lang w:eastAsia="en-AU"/>
        </w:rPr>
      </w:pPr>
    </w:p>
    <w:p w14:paraId="53830BC3" w14:textId="6F9E2EAF" w:rsidR="00C17576" w:rsidRPr="00F45224" w:rsidRDefault="00C17576" w:rsidP="00F45224">
      <w:pPr>
        <w:pStyle w:val="ListParagraph"/>
        <w:numPr>
          <w:ilvl w:val="1"/>
          <w:numId w:val="36"/>
        </w:numPr>
        <w:spacing w:line="276" w:lineRule="auto"/>
        <w:ind w:left="720" w:hanging="720"/>
        <w:contextualSpacing w:val="0"/>
        <w:rPr>
          <w:rFonts w:ascii="Proxima Nova" w:hAnsi="Proxima Nova"/>
          <w:sz w:val="22"/>
          <w:szCs w:val="22"/>
          <w:lang w:eastAsia="en-AU"/>
        </w:rPr>
      </w:pPr>
      <w:r w:rsidRPr="00F45224">
        <w:rPr>
          <w:rFonts w:ascii="Proxima Nova" w:hAnsi="Proxima Nova"/>
          <w:sz w:val="22"/>
          <w:szCs w:val="22"/>
          <w:lang w:eastAsia="en-AU"/>
        </w:rPr>
        <w:t>In its subsequent 2019 review, the UN CRPD Committee recommended the Australian Government: ‘</w:t>
      </w:r>
      <w:r w:rsidRPr="00F45224">
        <w:rPr>
          <w:rFonts w:ascii="Proxima Nova" w:hAnsi="Proxima Nova"/>
          <w:sz w:val="22"/>
          <w:szCs w:val="22"/>
        </w:rPr>
        <w:t>[d]evelop a national framework aimed at closing all disability-specific residential institutions and preventing trans</w:t>
      </w:r>
      <w:r w:rsidR="00E63149" w:rsidRPr="00F45224">
        <w:rPr>
          <w:rFonts w:ascii="Proxima Nova" w:hAnsi="Proxima Nova"/>
          <w:sz w:val="22"/>
          <w:szCs w:val="22"/>
        </w:rPr>
        <w:t>-</w:t>
      </w:r>
      <w:r w:rsidRPr="00F45224">
        <w:rPr>
          <w:rFonts w:ascii="Proxima Nova" w:hAnsi="Proxima Nova"/>
          <w:sz w:val="22"/>
          <w:szCs w:val="22"/>
        </w:rPr>
        <w:t>institutionali</w:t>
      </w:r>
      <w:r w:rsidR="00E63149" w:rsidRPr="00F45224">
        <w:rPr>
          <w:rFonts w:ascii="Proxima Nova" w:hAnsi="Proxima Nova"/>
          <w:sz w:val="22"/>
          <w:szCs w:val="22"/>
        </w:rPr>
        <w:t>s</w:t>
      </w:r>
      <w:r w:rsidRPr="00F45224">
        <w:rPr>
          <w:rFonts w:ascii="Proxima Nova" w:hAnsi="Proxima Nova"/>
          <w:sz w:val="22"/>
          <w:szCs w:val="22"/>
        </w:rPr>
        <w:t>ation, including by addressing how persons with disabilities not eligible for the National Disability Insurance Scheme can be supported to transition from living in an institution to living independently in the community.’</w:t>
      </w:r>
      <w:r w:rsidRPr="00F45224">
        <w:rPr>
          <w:rStyle w:val="EndnoteReference"/>
          <w:rFonts w:ascii="Proxima Nova" w:hAnsi="Proxima Nova"/>
          <w:sz w:val="22"/>
          <w:szCs w:val="22"/>
        </w:rPr>
        <w:endnoteReference w:id="455"/>
      </w:r>
    </w:p>
    <w:p w14:paraId="65671739" w14:textId="77777777" w:rsidR="00C17576" w:rsidRPr="00F45224" w:rsidRDefault="00C17576" w:rsidP="00F45224">
      <w:pPr>
        <w:pStyle w:val="ListParagraph"/>
        <w:spacing w:line="276" w:lineRule="auto"/>
        <w:ind w:hanging="720"/>
        <w:rPr>
          <w:rFonts w:ascii="Proxima Nova" w:hAnsi="Proxima Nova"/>
          <w:sz w:val="22"/>
          <w:szCs w:val="22"/>
          <w:lang w:eastAsia="en-AU"/>
        </w:rPr>
      </w:pPr>
    </w:p>
    <w:p w14:paraId="3EF2C850" w14:textId="60B0A6F2" w:rsidR="00C17576" w:rsidRPr="00F45224" w:rsidRDefault="0012566C" w:rsidP="00F45224">
      <w:pPr>
        <w:pStyle w:val="ListParagraph"/>
        <w:numPr>
          <w:ilvl w:val="1"/>
          <w:numId w:val="36"/>
        </w:numPr>
        <w:spacing w:line="276" w:lineRule="auto"/>
        <w:ind w:left="720" w:hanging="720"/>
        <w:contextualSpacing w:val="0"/>
        <w:rPr>
          <w:rFonts w:ascii="Proxima Nova" w:hAnsi="Proxima Nova"/>
          <w:sz w:val="22"/>
          <w:szCs w:val="22"/>
          <w:lang w:eastAsia="en-AU"/>
        </w:rPr>
      </w:pPr>
      <w:r w:rsidRPr="00F45224">
        <w:rPr>
          <w:rFonts w:ascii="Proxima Nova" w:hAnsi="Proxima Nova" w:cstheme="minorHAnsi"/>
          <w:sz w:val="22"/>
          <w:szCs w:val="22"/>
        </w:rPr>
        <w:t>For women and girls with disability to be treated equally</w:t>
      </w:r>
      <w:r w:rsidR="007A6E88" w:rsidRPr="00F45224">
        <w:rPr>
          <w:rFonts w:ascii="Proxima Nova" w:hAnsi="Proxima Nova" w:cstheme="minorHAnsi"/>
          <w:sz w:val="22"/>
          <w:szCs w:val="22"/>
        </w:rPr>
        <w:t xml:space="preserve"> t</w:t>
      </w:r>
      <w:r w:rsidRPr="00F45224">
        <w:rPr>
          <w:rFonts w:ascii="Proxima Nova" w:hAnsi="Proxima Nova" w:cstheme="minorHAnsi"/>
          <w:sz w:val="22"/>
          <w:szCs w:val="22"/>
        </w:rPr>
        <w:t>o others, live free from violence and make meaningful choices about their health, where they live, their mobility, their sexual and reproductive activity, and their social, familial and intimate relationships, including living free from the violence of restrictive practices,</w:t>
      </w:r>
      <w:r w:rsidR="00C17576" w:rsidRPr="00F45224">
        <w:rPr>
          <w:rFonts w:ascii="Proxima Nova" w:hAnsi="Proxima Nova" w:cstheme="minorHAnsi"/>
          <w:sz w:val="22"/>
          <w:szCs w:val="22"/>
        </w:rPr>
        <w:t xml:space="preserve"> all institutions need to be closed. Further, women must be given the support and resources to choose where they live, and the support and resources to live where they choose, and restrictive practices that deny women the opportunity to live where they choose must be abolished. </w:t>
      </w:r>
    </w:p>
    <w:p w14:paraId="02FB8067" w14:textId="77777777" w:rsidR="00C17576" w:rsidRPr="00F45224" w:rsidRDefault="00C17576" w:rsidP="00F45224">
      <w:pPr>
        <w:pStyle w:val="ListParagraph"/>
        <w:spacing w:line="276" w:lineRule="auto"/>
        <w:ind w:hanging="720"/>
        <w:contextualSpacing w:val="0"/>
        <w:rPr>
          <w:rFonts w:ascii="Proxima Nova" w:hAnsi="Proxima Nova"/>
          <w:sz w:val="22"/>
          <w:szCs w:val="22"/>
          <w:lang w:eastAsia="en-AU"/>
        </w:rPr>
      </w:pPr>
    </w:p>
    <w:p w14:paraId="28D50110" w14:textId="5DF81C63" w:rsidR="00C17576" w:rsidRDefault="00C17576" w:rsidP="00C92D1C">
      <w:pPr>
        <w:rPr>
          <w:rFonts w:ascii="Proxima Nova" w:hAnsi="Proxima Nova"/>
          <w:sz w:val="22"/>
          <w:szCs w:val="22"/>
        </w:rPr>
      </w:pPr>
      <w:r w:rsidRPr="00BD5E1A">
        <w:rPr>
          <w:rFonts w:ascii="Proxima Nova" w:hAnsi="Proxima Nova"/>
          <w:sz w:val="22"/>
          <w:szCs w:val="22"/>
        </w:rPr>
        <w:br w:type="page"/>
      </w:r>
    </w:p>
    <w:p w14:paraId="0A8C319C" w14:textId="55A63867" w:rsidR="00873FF3" w:rsidRPr="00873FF3" w:rsidRDefault="00873FF3" w:rsidP="00873FF3">
      <w:pPr>
        <w:ind w:left="720" w:hanging="720"/>
        <w:rPr>
          <w:rFonts w:ascii="Proxima Nova" w:hAnsi="Proxima Nova"/>
          <w:b/>
          <w:bCs/>
          <w:sz w:val="20"/>
          <w:szCs w:val="20"/>
        </w:rPr>
      </w:pPr>
      <w:r w:rsidRPr="00873FF3">
        <w:rPr>
          <w:rFonts w:ascii="League Spartan" w:hAnsi="League Spartan"/>
          <w:b/>
          <w:bCs/>
          <w:color w:val="004479"/>
          <w:sz w:val="28"/>
          <w:szCs w:val="28"/>
        </w:rPr>
        <w:lastRenderedPageBreak/>
        <w:t>8.</w:t>
      </w:r>
      <w:r w:rsidRPr="00873FF3">
        <w:rPr>
          <w:rFonts w:ascii="League Spartan" w:hAnsi="League Spartan"/>
          <w:b/>
          <w:bCs/>
          <w:color w:val="004479"/>
          <w:sz w:val="28"/>
          <w:szCs w:val="28"/>
        </w:rPr>
        <w:tab/>
        <w:t>RESPONSES TO RESTRICTIVE PRACTICES ISSUES PAPER</w:t>
      </w:r>
    </w:p>
    <w:p w14:paraId="3F57DFCD" w14:textId="77777777" w:rsidR="00873FF3" w:rsidRPr="00A07775" w:rsidRDefault="00873FF3" w:rsidP="001229A2">
      <w:pPr>
        <w:spacing w:line="276" w:lineRule="auto"/>
        <w:rPr>
          <w:rFonts w:ascii="Proxima Nova" w:hAnsi="Proxima Nova"/>
          <w:sz w:val="22"/>
          <w:szCs w:val="22"/>
        </w:rPr>
      </w:pPr>
    </w:p>
    <w:p w14:paraId="5828EBF3" w14:textId="2EE9FF65" w:rsidR="00873FF3" w:rsidRPr="00A07775" w:rsidRDefault="001229A2" w:rsidP="001229A2">
      <w:pPr>
        <w:spacing w:line="276" w:lineRule="auto"/>
        <w:ind w:left="720" w:hanging="720"/>
        <w:rPr>
          <w:rFonts w:ascii="Proxima Nova" w:hAnsi="Proxima Nova"/>
          <w:sz w:val="22"/>
          <w:szCs w:val="22"/>
        </w:rPr>
      </w:pPr>
      <w:r w:rsidRPr="00A07775">
        <w:rPr>
          <w:rFonts w:ascii="Proxima Nova" w:hAnsi="Proxima Nova"/>
          <w:sz w:val="22"/>
          <w:szCs w:val="22"/>
        </w:rPr>
        <w:t>8.1.</w:t>
      </w:r>
      <w:r w:rsidRPr="00A07775">
        <w:rPr>
          <w:rFonts w:ascii="Proxima Nova" w:hAnsi="Proxima Nova"/>
          <w:sz w:val="22"/>
          <w:szCs w:val="22"/>
        </w:rPr>
        <w:tab/>
        <w:t>This section provides brief responses to questions in the</w:t>
      </w:r>
      <w:r w:rsidR="003509C3" w:rsidRPr="00A07775">
        <w:rPr>
          <w:rFonts w:ascii="Proxima Nova" w:hAnsi="Proxima Nova"/>
          <w:sz w:val="22"/>
          <w:szCs w:val="22"/>
        </w:rPr>
        <w:t xml:space="preserve"> </w:t>
      </w:r>
      <w:r w:rsidR="003509C3" w:rsidRPr="00A07775">
        <w:rPr>
          <w:rFonts w:ascii="Proxima Nova" w:hAnsi="Proxima Nova" w:cs="Calibri"/>
          <w:sz w:val="22"/>
          <w:szCs w:val="22"/>
        </w:rPr>
        <w:t>Restrictive Practices</w:t>
      </w:r>
      <w:r w:rsidRPr="00A07775">
        <w:rPr>
          <w:rFonts w:ascii="Proxima Nova" w:hAnsi="Proxima Nova"/>
          <w:sz w:val="22"/>
          <w:szCs w:val="22"/>
        </w:rPr>
        <w:t xml:space="preserve"> Issues Paper. These responses are informed by the more detailed discussion and analysis in Sections 4, 5, 6</w:t>
      </w:r>
      <w:r w:rsidR="0000168C" w:rsidRPr="00A07775">
        <w:rPr>
          <w:rFonts w:ascii="Proxima Nova" w:hAnsi="Proxima Nova"/>
          <w:sz w:val="22"/>
          <w:szCs w:val="22"/>
        </w:rPr>
        <w:t xml:space="preserve"> and 7</w:t>
      </w:r>
      <w:r w:rsidRPr="00A07775">
        <w:rPr>
          <w:rFonts w:ascii="Proxima Nova" w:hAnsi="Proxima Nova"/>
          <w:sz w:val="22"/>
          <w:szCs w:val="22"/>
        </w:rPr>
        <w:t xml:space="preserve"> of this submission.</w:t>
      </w:r>
    </w:p>
    <w:p w14:paraId="50C2ACC0" w14:textId="77777777" w:rsidR="002C4DFD" w:rsidRPr="00A07775" w:rsidRDefault="002C4DFD" w:rsidP="001229A2">
      <w:pPr>
        <w:spacing w:line="276" w:lineRule="auto"/>
        <w:ind w:left="720" w:hanging="720"/>
        <w:rPr>
          <w:rFonts w:ascii="Proxima Nova" w:hAnsi="Proxima Nova"/>
          <w:sz w:val="22"/>
          <w:szCs w:val="22"/>
        </w:rPr>
      </w:pPr>
    </w:p>
    <w:p w14:paraId="169D032A" w14:textId="27769ED9" w:rsidR="002C4DFD" w:rsidRPr="00A07775" w:rsidRDefault="002C4DFD" w:rsidP="001229A2">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At the core of our responses to </w:t>
      </w:r>
      <w:r w:rsidR="003509C3" w:rsidRPr="00A07775">
        <w:rPr>
          <w:rFonts w:ascii="Proxima Nova" w:hAnsi="Proxima Nova" w:cs="Calibri"/>
          <w:sz w:val="22"/>
          <w:szCs w:val="22"/>
        </w:rPr>
        <w:t xml:space="preserve">Restrictive Practices </w:t>
      </w:r>
      <w:r w:rsidRPr="00A07775">
        <w:rPr>
          <w:rFonts w:ascii="Proxima Nova" w:hAnsi="Proxima Nova"/>
          <w:sz w:val="22"/>
          <w:szCs w:val="22"/>
        </w:rPr>
        <w:t xml:space="preserve">Issues Paper questions – and of our submission as a whole – is WWDA’s position that restrictive practices per se, </w:t>
      </w:r>
      <w:r w:rsidRPr="00A07775">
        <w:rPr>
          <w:rFonts w:ascii="Proxima Nova" w:hAnsi="Proxima Nova"/>
          <w:b/>
          <w:bCs/>
          <w:sz w:val="22"/>
          <w:szCs w:val="22"/>
          <w:u w:val="single"/>
        </w:rPr>
        <w:t>whatever context, setting and reason for use</w:t>
      </w:r>
      <w:r w:rsidRPr="00A07775">
        <w:rPr>
          <w:rFonts w:ascii="Proxima Nova" w:hAnsi="Proxima Nova"/>
          <w:sz w:val="22"/>
          <w:szCs w:val="22"/>
        </w:rPr>
        <w:t xml:space="preserve"> are violent and are in violation of human rights. </w:t>
      </w:r>
      <w:r w:rsidR="00B435C2" w:rsidRPr="00A07775">
        <w:rPr>
          <w:rFonts w:ascii="Proxima Nova" w:hAnsi="Proxima Nova"/>
          <w:sz w:val="22"/>
          <w:szCs w:val="22"/>
        </w:rPr>
        <w:t xml:space="preserve">Their use </w:t>
      </w:r>
      <w:r w:rsidRPr="00A07775">
        <w:rPr>
          <w:rFonts w:ascii="Proxima Nova" w:hAnsi="Proxima Nova"/>
          <w:sz w:val="22"/>
          <w:szCs w:val="22"/>
        </w:rPr>
        <w:t xml:space="preserve">must be prohibited and redressed, and legal frameworks for substitute decision-making and compulsory treatment authorising restrictive practices must be abolished. This has been the position of WWDA for </w:t>
      </w:r>
      <w:proofErr w:type="gramStart"/>
      <w:r w:rsidRPr="00A07775">
        <w:rPr>
          <w:rFonts w:ascii="Proxima Nova" w:hAnsi="Proxima Nova"/>
          <w:sz w:val="22"/>
          <w:szCs w:val="22"/>
        </w:rPr>
        <w:t>a number of</w:t>
      </w:r>
      <w:proofErr w:type="gramEnd"/>
      <w:r w:rsidRPr="00A07775">
        <w:rPr>
          <w:rFonts w:ascii="Proxima Nova" w:hAnsi="Proxima Nova"/>
          <w:sz w:val="22"/>
          <w:szCs w:val="22"/>
        </w:rPr>
        <w:t xml:space="preserve"> years, and we continue to hold this position. Regulation, exceptions, minimisation, limitations, reductions etc. are not enough. Ultimately, such approaches still allow restrictive practices – and violence – to continue to be perpetrated on people with disability.</w:t>
      </w:r>
      <w:r w:rsidR="005E49AB" w:rsidRPr="00A07775">
        <w:rPr>
          <w:rFonts w:ascii="Proxima Nova" w:hAnsi="Proxima Nova"/>
          <w:sz w:val="22"/>
          <w:szCs w:val="22"/>
        </w:rPr>
        <w:t xml:space="preserve"> Therefore, many of our responses to the Restrictive Practices Issues Paper are intentionally brief, because </w:t>
      </w:r>
      <w:proofErr w:type="gramStart"/>
      <w:r w:rsidR="005E49AB" w:rsidRPr="00A07775">
        <w:rPr>
          <w:rFonts w:ascii="Proxima Nova" w:hAnsi="Proxima Nova"/>
          <w:sz w:val="22"/>
          <w:szCs w:val="22"/>
        </w:rPr>
        <w:t>in light of</w:t>
      </w:r>
      <w:proofErr w:type="gramEnd"/>
      <w:r w:rsidR="005E49AB" w:rsidRPr="00A07775">
        <w:rPr>
          <w:rFonts w:ascii="Proxima Nova" w:hAnsi="Proxima Nova"/>
          <w:sz w:val="22"/>
          <w:szCs w:val="22"/>
        </w:rPr>
        <w:t xml:space="preserve"> WWDA’s approach to restrictive practices the questions asked are misdirected in not being focused on the ultimate aims of prohibition and redress.</w:t>
      </w:r>
    </w:p>
    <w:p w14:paraId="208F1B6E" w14:textId="77777777" w:rsidR="002C4DFD" w:rsidRPr="00A07775" w:rsidRDefault="002C4DFD" w:rsidP="001229A2">
      <w:pPr>
        <w:pStyle w:val="ListParagraph"/>
        <w:spacing w:line="276" w:lineRule="auto"/>
        <w:ind w:hanging="720"/>
        <w:rPr>
          <w:rFonts w:ascii="Proxima Nova" w:hAnsi="Proxima Nova"/>
          <w:sz w:val="22"/>
          <w:szCs w:val="22"/>
        </w:rPr>
      </w:pPr>
    </w:p>
    <w:p w14:paraId="17AAECAE" w14:textId="183E3F5A" w:rsidR="00196C9C" w:rsidRPr="00A07775" w:rsidRDefault="007C4DE2" w:rsidP="001229A2">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The questions asked in the</w:t>
      </w:r>
      <w:r w:rsidR="003509C3" w:rsidRPr="00A07775">
        <w:rPr>
          <w:rFonts w:ascii="Proxima Nova" w:hAnsi="Proxima Nova"/>
          <w:sz w:val="22"/>
          <w:szCs w:val="22"/>
        </w:rPr>
        <w:t xml:space="preserve"> </w:t>
      </w:r>
      <w:r w:rsidR="003509C3" w:rsidRPr="00A07775">
        <w:rPr>
          <w:rFonts w:ascii="Proxima Nova" w:hAnsi="Proxima Nova" w:cs="Calibri"/>
          <w:sz w:val="22"/>
          <w:szCs w:val="22"/>
        </w:rPr>
        <w:t>Restrictive Practices</w:t>
      </w:r>
      <w:r w:rsidRPr="00A07775">
        <w:rPr>
          <w:rFonts w:ascii="Proxima Nova" w:hAnsi="Proxima Nova"/>
          <w:sz w:val="22"/>
          <w:szCs w:val="22"/>
        </w:rPr>
        <w:t xml:space="preserve"> Issues Paper inform the responses received which in turn informs the findings and recommendations made by the Royal Commission. </w:t>
      </w:r>
      <w:r w:rsidR="002C4DFD" w:rsidRPr="00A07775">
        <w:rPr>
          <w:rFonts w:ascii="Proxima Nova" w:hAnsi="Proxima Nova"/>
          <w:sz w:val="22"/>
          <w:szCs w:val="22"/>
        </w:rPr>
        <w:t xml:space="preserve">The Royal Commission’s structuring of its </w:t>
      </w:r>
      <w:r w:rsidR="003509C3" w:rsidRPr="00A07775">
        <w:rPr>
          <w:rFonts w:ascii="Proxima Nova" w:hAnsi="Proxima Nova" w:cs="Calibri"/>
          <w:sz w:val="22"/>
          <w:szCs w:val="22"/>
        </w:rPr>
        <w:t xml:space="preserve">Restrictive Practices </w:t>
      </w:r>
      <w:r w:rsidR="002C4DFD" w:rsidRPr="00A07775">
        <w:rPr>
          <w:rFonts w:ascii="Proxima Nova" w:hAnsi="Proxima Nova"/>
          <w:sz w:val="22"/>
          <w:szCs w:val="22"/>
        </w:rPr>
        <w:t xml:space="preserve">Issues Paper by reference to a set of questions might be viewed as </w:t>
      </w:r>
      <w:proofErr w:type="gramStart"/>
      <w:r w:rsidR="002C4DFD" w:rsidRPr="00A07775">
        <w:rPr>
          <w:rFonts w:ascii="Proxima Nova" w:hAnsi="Proxima Nova"/>
          <w:sz w:val="22"/>
          <w:szCs w:val="22"/>
        </w:rPr>
        <w:t>opening up</w:t>
      </w:r>
      <w:proofErr w:type="gramEnd"/>
      <w:r w:rsidR="002C4DFD" w:rsidRPr="00A07775">
        <w:rPr>
          <w:rFonts w:ascii="Proxima Nova" w:hAnsi="Proxima Nova"/>
          <w:sz w:val="22"/>
          <w:szCs w:val="22"/>
        </w:rPr>
        <w:t xml:space="preserve"> discussions to a wide variety of topics, and as inviting diverse and provocative perspectives. However, the scope of these questions can also have the counter-effect of limiting the scope of responses and of jus</w:t>
      </w:r>
      <w:r w:rsidRPr="00A07775">
        <w:rPr>
          <w:rFonts w:ascii="Proxima Nova" w:hAnsi="Proxima Nova"/>
          <w:sz w:val="22"/>
          <w:szCs w:val="22"/>
        </w:rPr>
        <w:t xml:space="preserve">tifying the current status quo if </w:t>
      </w:r>
      <w:r w:rsidR="002C4DFD" w:rsidRPr="00A07775">
        <w:rPr>
          <w:rFonts w:ascii="Proxima Nova" w:hAnsi="Proxima Nova"/>
          <w:sz w:val="22"/>
          <w:szCs w:val="22"/>
        </w:rPr>
        <w:t xml:space="preserve">questions </w:t>
      </w:r>
      <w:r w:rsidRPr="00A07775">
        <w:rPr>
          <w:rFonts w:ascii="Proxima Nova" w:hAnsi="Proxima Nova"/>
          <w:sz w:val="22"/>
          <w:szCs w:val="22"/>
        </w:rPr>
        <w:t>are narrowly framed</w:t>
      </w:r>
      <w:r w:rsidR="002C4DFD" w:rsidRPr="00A07775">
        <w:rPr>
          <w:rFonts w:ascii="Proxima Nova" w:hAnsi="Proxima Nova"/>
          <w:sz w:val="22"/>
          <w:szCs w:val="22"/>
        </w:rPr>
        <w:t xml:space="preserve">. </w:t>
      </w:r>
      <w:proofErr w:type="gramStart"/>
      <w:r w:rsidR="002C4DFD" w:rsidRPr="00A07775">
        <w:rPr>
          <w:rFonts w:ascii="Proxima Nova" w:hAnsi="Proxima Nova"/>
          <w:sz w:val="22"/>
          <w:szCs w:val="22"/>
        </w:rPr>
        <w:t>In particular, we</w:t>
      </w:r>
      <w:proofErr w:type="gramEnd"/>
      <w:r w:rsidR="002C4DFD" w:rsidRPr="00A07775">
        <w:rPr>
          <w:rFonts w:ascii="Proxima Nova" w:hAnsi="Proxima Nova"/>
          <w:sz w:val="22"/>
          <w:szCs w:val="22"/>
        </w:rPr>
        <w:t xml:space="preserve"> note the absence</w:t>
      </w:r>
      <w:r w:rsidRPr="00A07775">
        <w:rPr>
          <w:rFonts w:ascii="Proxima Nova" w:hAnsi="Proxima Nova"/>
          <w:sz w:val="22"/>
          <w:szCs w:val="22"/>
        </w:rPr>
        <w:t xml:space="preserve"> in the </w:t>
      </w:r>
      <w:r w:rsidR="003509C3" w:rsidRPr="00A07775">
        <w:rPr>
          <w:rFonts w:ascii="Proxima Nova" w:hAnsi="Proxima Nova" w:cs="Calibri"/>
          <w:sz w:val="22"/>
          <w:szCs w:val="22"/>
        </w:rPr>
        <w:t xml:space="preserve">Restrictive Practices </w:t>
      </w:r>
      <w:r w:rsidRPr="00A07775">
        <w:rPr>
          <w:rFonts w:ascii="Proxima Nova" w:hAnsi="Proxima Nova"/>
          <w:sz w:val="22"/>
          <w:szCs w:val="22"/>
        </w:rPr>
        <w:t>Issues Paper</w:t>
      </w:r>
      <w:r w:rsidR="002C4DFD" w:rsidRPr="00A07775">
        <w:rPr>
          <w:rFonts w:ascii="Proxima Nova" w:hAnsi="Proxima Nova"/>
          <w:sz w:val="22"/>
          <w:szCs w:val="22"/>
        </w:rPr>
        <w:t xml:space="preserve"> of any questions directed towards</w:t>
      </w:r>
      <w:r w:rsidRPr="00A07775">
        <w:rPr>
          <w:rFonts w:ascii="Proxima Nova" w:hAnsi="Proxima Nova"/>
          <w:sz w:val="22"/>
          <w:szCs w:val="22"/>
        </w:rPr>
        <w:t>:</w:t>
      </w:r>
      <w:r w:rsidR="002C4DFD" w:rsidRPr="00A07775">
        <w:rPr>
          <w:rFonts w:ascii="Proxima Nova" w:hAnsi="Proxima Nova"/>
          <w:sz w:val="22"/>
          <w:szCs w:val="22"/>
        </w:rPr>
        <w:t xml:space="preserve"> </w:t>
      </w:r>
    </w:p>
    <w:p w14:paraId="134697E6" w14:textId="77777777" w:rsidR="00196C9C" w:rsidRPr="00A07775" w:rsidRDefault="00196C9C" w:rsidP="000262D1">
      <w:pPr>
        <w:pStyle w:val="ListParagraph"/>
        <w:rPr>
          <w:rFonts w:ascii="Proxima Nova" w:hAnsi="Proxima Nova"/>
          <w:sz w:val="22"/>
          <w:szCs w:val="22"/>
        </w:rPr>
      </w:pPr>
    </w:p>
    <w:p w14:paraId="4D43CE93" w14:textId="2C624876" w:rsidR="00196C9C" w:rsidRPr="00A07775" w:rsidRDefault="007C4DE2" w:rsidP="00196C9C">
      <w:pPr>
        <w:pStyle w:val="ListParagraph"/>
        <w:spacing w:line="276" w:lineRule="auto"/>
        <w:rPr>
          <w:rFonts w:ascii="Proxima Nova" w:hAnsi="Proxima Nova"/>
          <w:sz w:val="22"/>
          <w:szCs w:val="22"/>
        </w:rPr>
      </w:pPr>
      <w:r w:rsidRPr="00A07775">
        <w:rPr>
          <w:rFonts w:ascii="Proxima Nova" w:hAnsi="Proxima Nova"/>
          <w:sz w:val="22"/>
          <w:szCs w:val="22"/>
        </w:rPr>
        <w:t>(a)</w:t>
      </w:r>
      <w:r w:rsidR="00196C9C" w:rsidRPr="00A07775">
        <w:rPr>
          <w:rFonts w:ascii="Proxima Nova" w:hAnsi="Proxima Nova"/>
          <w:sz w:val="22"/>
          <w:szCs w:val="22"/>
        </w:rPr>
        <w:tab/>
      </w:r>
      <w:r w:rsidR="002C4DFD" w:rsidRPr="00A07775">
        <w:rPr>
          <w:rFonts w:ascii="Proxima Nova" w:hAnsi="Proxima Nova"/>
          <w:sz w:val="22"/>
          <w:szCs w:val="22"/>
        </w:rPr>
        <w:t>prohibition and redress</w:t>
      </w:r>
      <w:r w:rsidRPr="00A07775">
        <w:rPr>
          <w:rFonts w:ascii="Proxima Nova" w:hAnsi="Proxima Nova"/>
          <w:sz w:val="22"/>
          <w:szCs w:val="22"/>
        </w:rPr>
        <w:t xml:space="preserve"> of restrictive practices</w:t>
      </w:r>
      <w:r w:rsidR="002C4DFD" w:rsidRPr="00A07775">
        <w:rPr>
          <w:rFonts w:ascii="Proxima Nova" w:hAnsi="Proxima Nova"/>
          <w:sz w:val="22"/>
          <w:szCs w:val="22"/>
        </w:rPr>
        <w:t xml:space="preserve">, </w:t>
      </w:r>
    </w:p>
    <w:p w14:paraId="105DACFB" w14:textId="5182A10C" w:rsidR="00196C9C" w:rsidRPr="00A07775" w:rsidRDefault="007C4DE2" w:rsidP="00196C9C">
      <w:pPr>
        <w:pStyle w:val="ListParagraph"/>
        <w:spacing w:line="276" w:lineRule="auto"/>
        <w:rPr>
          <w:rFonts w:ascii="Proxima Nova" w:hAnsi="Proxima Nova"/>
          <w:sz w:val="22"/>
          <w:szCs w:val="22"/>
        </w:rPr>
      </w:pPr>
      <w:r w:rsidRPr="00A07775">
        <w:rPr>
          <w:rFonts w:ascii="Proxima Nova" w:hAnsi="Proxima Nova"/>
          <w:sz w:val="22"/>
          <w:szCs w:val="22"/>
        </w:rPr>
        <w:t>(b)</w:t>
      </w:r>
      <w:r w:rsidR="00196C9C" w:rsidRPr="00A07775">
        <w:rPr>
          <w:rFonts w:ascii="Proxima Nova" w:hAnsi="Proxima Nova"/>
          <w:sz w:val="22"/>
          <w:szCs w:val="22"/>
        </w:rPr>
        <w:tab/>
      </w:r>
      <w:r w:rsidR="002C4DFD" w:rsidRPr="00A07775">
        <w:rPr>
          <w:rFonts w:ascii="Proxima Nova" w:hAnsi="Proxima Nova"/>
          <w:sz w:val="22"/>
          <w:szCs w:val="22"/>
        </w:rPr>
        <w:t>abolition of the legal frameworks regulating restrictive practices</w:t>
      </w:r>
      <w:r w:rsidRPr="00A07775">
        <w:rPr>
          <w:rFonts w:ascii="Proxima Nova" w:hAnsi="Proxima Nova"/>
          <w:sz w:val="22"/>
          <w:szCs w:val="22"/>
        </w:rPr>
        <w:t xml:space="preserve">, and </w:t>
      </w:r>
    </w:p>
    <w:p w14:paraId="4CB7FFD4" w14:textId="1B691C75" w:rsidR="00196C9C" w:rsidRPr="00A07775" w:rsidRDefault="007C4DE2" w:rsidP="007C1ED7">
      <w:pPr>
        <w:pStyle w:val="ListParagraph"/>
        <w:spacing w:line="276" w:lineRule="auto"/>
        <w:ind w:left="1440" w:hanging="720"/>
        <w:rPr>
          <w:rFonts w:ascii="Proxima Nova" w:hAnsi="Proxima Nova"/>
          <w:sz w:val="22"/>
          <w:szCs w:val="22"/>
        </w:rPr>
      </w:pPr>
      <w:r w:rsidRPr="00A07775">
        <w:rPr>
          <w:rFonts w:ascii="Proxima Nova" w:hAnsi="Proxima Nova"/>
          <w:sz w:val="22"/>
          <w:szCs w:val="22"/>
        </w:rPr>
        <w:t>(c)</w:t>
      </w:r>
      <w:r w:rsidR="00196C9C" w:rsidRPr="00A07775">
        <w:rPr>
          <w:rFonts w:ascii="Proxima Nova" w:hAnsi="Proxima Nova"/>
          <w:sz w:val="22"/>
          <w:szCs w:val="22"/>
        </w:rPr>
        <w:tab/>
      </w:r>
      <w:r w:rsidRPr="00A07775">
        <w:rPr>
          <w:rFonts w:ascii="Proxima Nova" w:hAnsi="Proxima Nova"/>
          <w:sz w:val="22"/>
          <w:szCs w:val="22"/>
        </w:rPr>
        <w:t>the specific issues facing use and legality of restrictive practices in relation to women and girls with disability</w:t>
      </w:r>
      <w:r w:rsidR="002C4DFD" w:rsidRPr="00A07775">
        <w:rPr>
          <w:rFonts w:ascii="Proxima Nova" w:hAnsi="Proxima Nova"/>
          <w:sz w:val="22"/>
          <w:szCs w:val="22"/>
        </w:rPr>
        <w:t xml:space="preserve">. </w:t>
      </w:r>
    </w:p>
    <w:p w14:paraId="70C4A6E1" w14:textId="77777777" w:rsidR="00196C9C" w:rsidRPr="00A07775" w:rsidRDefault="00196C9C" w:rsidP="00196C9C">
      <w:pPr>
        <w:pStyle w:val="ListParagraph"/>
        <w:spacing w:line="276" w:lineRule="auto"/>
        <w:rPr>
          <w:rFonts w:ascii="Proxima Nova" w:hAnsi="Proxima Nova"/>
          <w:sz w:val="22"/>
          <w:szCs w:val="22"/>
        </w:rPr>
      </w:pPr>
    </w:p>
    <w:p w14:paraId="2D1C1524" w14:textId="2C93E039" w:rsidR="002C4DFD" w:rsidRPr="00A07775" w:rsidRDefault="002C4DFD" w:rsidP="007C1ED7">
      <w:pPr>
        <w:pStyle w:val="ListParagraph"/>
        <w:spacing w:line="276" w:lineRule="auto"/>
        <w:rPr>
          <w:rFonts w:ascii="Proxima Nova" w:hAnsi="Proxima Nova"/>
          <w:sz w:val="22"/>
          <w:szCs w:val="22"/>
        </w:rPr>
      </w:pPr>
      <w:r w:rsidRPr="00A07775">
        <w:rPr>
          <w:rFonts w:ascii="Proxima Nova" w:hAnsi="Proxima Nova"/>
          <w:sz w:val="22"/>
          <w:szCs w:val="22"/>
        </w:rPr>
        <w:t>W</w:t>
      </w:r>
      <w:r w:rsidR="007C4DE2" w:rsidRPr="00A07775">
        <w:rPr>
          <w:rFonts w:ascii="Proxima Nova" w:hAnsi="Proxima Nova"/>
          <w:sz w:val="22"/>
          <w:szCs w:val="22"/>
        </w:rPr>
        <w:t>hil</w:t>
      </w:r>
      <w:r w:rsidRPr="00A07775">
        <w:rPr>
          <w:rFonts w:ascii="Proxima Nova" w:hAnsi="Proxima Nova"/>
          <w:sz w:val="22"/>
          <w:szCs w:val="22"/>
        </w:rPr>
        <w:t>e</w:t>
      </w:r>
      <w:r w:rsidR="007C4DE2" w:rsidRPr="00A07775">
        <w:rPr>
          <w:rFonts w:ascii="Proxima Nova" w:hAnsi="Proxima Nova"/>
          <w:sz w:val="22"/>
          <w:szCs w:val="22"/>
        </w:rPr>
        <w:t xml:space="preserve"> we have woven discussion of these issues into our submission and our responses to the questions, we</w:t>
      </w:r>
      <w:r w:rsidRPr="00A07775">
        <w:rPr>
          <w:rFonts w:ascii="Proxima Nova" w:hAnsi="Proxima Nova"/>
          <w:sz w:val="22"/>
          <w:szCs w:val="22"/>
        </w:rPr>
        <w:t xml:space="preserve"> raise</w:t>
      </w:r>
      <w:r w:rsidR="005E49AB" w:rsidRPr="00A07775">
        <w:rPr>
          <w:rFonts w:ascii="Proxima Nova" w:hAnsi="Proxima Nova"/>
          <w:sz w:val="22"/>
          <w:szCs w:val="22"/>
        </w:rPr>
        <w:t xml:space="preserve"> these issues</w:t>
      </w:r>
      <w:r w:rsidRPr="00A07775">
        <w:rPr>
          <w:rFonts w:ascii="Proxima Nova" w:hAnsi="Proxima Nova"/>
          <w:sz w:val="22"/>
          <w:szCs w:val="22"/>
        </w:rPr>
        <w:t xml:space="preserve"> here in order to request that the Royal Commission explicitly address these </w:t>
      </w:r>
      <w:r w:rsidR="005E49AB" w:rsidRPr="00A07775">
        <w:rPr>
          <w:rFonts w:ascii="Proxima Nova" w:hAnsi="Proxima Nova"/>
          <w:sz w:val="22"/>
          <w:szCs w:val="22"/>
        </w:rPr>
        <w:t xml:space="preserve">omitted </w:t>
      </w:r>
      <w:r w:rsidRPr="00A07775">
        <w:rPr>
          <w:rFonts w:ascii="Proxima Nova" w:hAnsi="Proxima Nova"/>
          <w:sz w:val="22"/>
          <w:szCs w:val="22"/>
        </w:rPr>
        <w:t>aspects of restrictive practices in later issues papers and</w:t>
      </w:r>
      <w:r w:rsidR="003509C3" w:rsidRPr="00A07775">
        <w:rPr>
          <w:rFonts w:ascii="Proxima Nova" w:hAnsi="Proxima Nova"/>
          <w:sz w:val="22"/>
          <w:szCs w:val="22"/>
        </w:rPr>
        <w:t xml:space="preserve"> public</w:t>
      </w:r>
      <w:r w:rsidRPr="00A07775">
        <w:rPr>
          <w:rFonts w:ascii="Proxima Nova" w:hAnsi="Proxima Nova"/>
          <w:sz w:val="22"/>
          <w:szCs w:val="22"/>
        </w:rPr>
        <w:t xml:space="preserve"> hearings.</w:t>
      </w:r>
    </w:p>
    <w:p w14:paraId="2963D92D" w14:textId="0BECA4CA" w:rsidR="002C4DFD" w:rsidRPr="00A07775" w:rsidRDefault="002C4DFD" w:rsidP="001229A2">
      <w:pPr>
        <w:spacing w:line="276" w:lineRule="auto"/>
        <w:ind w:left="720" w:hanging="720"/>
        <w:rPr>
          <w:rFonts w:ascii="Proxima Nova" w:hAnsi="Proxima Nova"/>
          <w:sz w:val="22"/>
          <w:szCs w:val="22"/>
        </w:rPr>
      </w:pPr>
    </w:p>
    <w:p w14:paraId="107A8884" w14:textId="18429085" w:rsidR="00037F7F" w:rsidRPr="00037F7F" w:rsidRDefault="00037F7F" w:rsidP="00037F7F">
      <w:pPr>
        <w:spacing w:line="276" w:lineRule="auto"/>
        <w:ind w:left="1440" w:hanging="1440"/>
        <w:rPr>
          <w:rFonts w:ascii="Proxima Nova" w:hAnsi="Proxima Nova"/>
        </w:rPr>
      </w:pPr>
      <w:r w:rsidRPr="00037F7F">
        <w:rPr>
          <w:rFonts w:ascii="Proxima Nova" w:hAnsi="Proxima Nova"/>
          <w:b/>
          <w:color w:val="AC1F79"/>
        </w:rPr>
        <w:t>Question 1:</w:t>
      </w:r>
      <w:r>
        <w:rPr>
          <w:rFonts w:ascii="Proxima Nova" w:hAnsi="Proxima Nova"/>
          <w:b/>
          <w:color w:val="AC1F79"/>
        </w:rPr>
        <w:tab/>
      </w:r>
      <w:r w:rsidRPr="00037F7F">
        <w:rPr>
          <w:rFonts w:ascii="Proxima Nova" w:hAnsi="Proxima Nova"/>
          <w:b/>
          <w:color w:val="AC1F79"/>
        </w:rPr>
        <w:t>What are restrictive practices? Does the explanation in this paper need to change?</w:t>
      </w:r>
    </w:p>
    <w:p w14:paraId="7423A139" w14:textId="77777777" w:rsidR="002C4DFD" w:rsidRPr="00A07775" w:rsidRDefault="002C4DFD" w:rsidP="00A07775">
      <w:pPr>
        <w:spacing w:line="276" w:lineRule="auto"/>
        <w:ind w:left="720" w:hanging="720"/>
        <w:rPr>
          <w:rFonts w:ascii="Proxima Nova" w:hAnsi="Proxima Nova"/>
          <w:color w:val="7030A0"/>
          <w:sz w:val="22"/>
          <w:szCs w:val="22"/>
          <w:u w:val="single"/>
        </w:rPr>
      </w:pPr>
    </w:p>
    <w:p w14:paraId="44E2E890" w14:textId="77777777" w:rsidR="00EB4BC5" w:rsidRPr="00A07775" w:rsidRDefault="00EB4BC5"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Restrictive practices include interventions that are exclusively or primarily perpetrated on women and girls with disability. These </w:t>
      </w:r>
      <w:proofErr w:type="gramStart"/>
      <w:r w:rsidRPr="00A07775">
        <w:rPr>
          <w:rFonts w:ascii="Proxima Nova" w:hAnsi="Proxima Nova"/>
          <w:sz w:val="22"/>
          <w:szCs w:val="22"/>
        </w:rPr>
        <w:t>include:</w:t>
      </w:r>
      <w:proofErr w:type="gramEnd"/>
      <w:r w:rsidRPr="00A07775">
        <w:rPr>
          <w:rFonts w:ascii="Proxima Nova" w:hAnsi="Proxima Nova"/>
          <w:sz w:val="22"/>
          <w:szCs w:val="22"/>
        </w:rPr>
        <w:t xml:space="preserve"> </w:t>
      </w:r>
      <w:r w:rsidRPr="00A07775">
        <w:rPr>
          <w:rFonts w:ascii="Proxima Nova" w:hAnsi="Proxima Nova" w:cstheme="minorHAnsi"/>
          <w:sz w:val="22"/>
          <w:szCs w:val="22"/>
        </w:rPr>
        <w:t>non-consensual and coercive sterilisation, menstrual suppression, contraception and abortion,</w:t>
      </w:r>
      <w:r w:rsidRPr="00A07775">
        <w:rPr>
          <w:rFonts w:ascii="Proxima Nova" w:hAnsi="Proxima Nova"/>
          <w:sz w:val="22"/>
          <w:szCs w:val="22"/>
        </w:rPr>
        <w:t xml:space="preserve"> forced child removal and denial of support for sexual activity and intimate relationships. </w:t>
      </w:r>
    </w:p>
    <w:p w14:paraId="37A8AAEC" w14:textId="77777777" w:rsidR="00EB4BC5" w:rsidRPr="00A07775" w:rsidRDefault="00EB4BC5" w:rsidP="00A07775">
      <w:pPr>
        <w:spacing w:line="276" w:lineRule="auto"/>
        <w:ind w:left="720" w:hanging="720"/>
        <w:rPr>
          <w:rFonts w:ascii="Proxima Nova" w:hAnsi="Proxima Nova"/>
          <w:sz w:val="22"/>
          <w:szCs w:val="22"/>
        </w:rPr>
      </w:pPr>
    </w:p>
    <w:p w14:paraId="06BA14DD" w14:textId="3152CCDE" w:rsidR="00EB4BC5" w:rsidRPr="00A07775" w:rsidRDefault="005E49AB"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R</w:t>
      </w:r>
      <w:r w:rsidR="00EB4BC5" w:rsidRPr="00A07775">
        <w:rPr>
          <w:rFonts w:ascii="Proxima Nova" w:hAnsi="Proxima Nova"/>
          <w:sz w:val="22"/>
          <w:szCs w:val="22"/>
        </w:rPr>
        <w:t xml:space="preserve">estrictive practices also </w:t>
      </w:r>
      <w:proofErr w:type="gramStart"/>
      <w:r w:rsidR="00EB4BC5" w:rsidRPr="00A07775">
        <w:rPr>
          <w:rFonts w:ascii="Proxima Nova" w:hAnsi="Proxima Nova"/>
          <w:sz w:val="22"/>
          <w:szCs w:val="22"/>
        </w:rPr>
        <w:t>include</w:t>
      </w:r>
      <w:r w:rsidRPr="00A07775">
        <w:rPr>
          <w:rFonts w:ascii="Proxima Nova" w:hAnsi="Proxima Nova"/>
          <w:sz w:val="22"/>
          <w:szCs w:val="22"/>
        </w:rPr>
        <w:t>s</w:t>
      </w:r>
      <w:proofErr w:type="gramEnd"/>
      <w:r w:rsidR="00EB4BC5" w:rsidRPr="00A07775">
        <w:rPr>
          <w:rFonts w:ascii="Proxima Nova" w:hAnsi="Proxima Nova"/>
          <w:sz w:val="22"/>
          <w:szCs w:val="22"/>
        </w:rPr>
        <w:t xml:space="preserve"> </w:t>
      </w:r>
      <w:r w:rsidR="00EB4BC5" w:rsidRPr="00A07775">
        <w:rPr>
          <w:rFonts w:ascii="Proxima Nova" w:hAnsi="Proxima Nova" w:cstheme="minorHAnsi"/>
          <w:sz w:val="22"/>
          <w:szCs w:val="22"/>
        </w:rPr>
        <w:t xml:space="preserve">non-consensual and coercive psychotropic medication </w:t>
      </w:r>
      <w:r w:rsidRPr="00A07775">
        <w:rPr>
          <w:rFonts w:ascii="Proxima Nova" w:hAnsi="Proxima Nova" w:cstheme="minorHAnsi"/>
          <w:sz w:val="22"/>
          <w:szCs w:val="22"/>
        </w:rPr>
        <w:t xml:space="preserve">and non-consensual and coercive menstrual suppression and contraception </w:t>
      </w:r>
      <w:r w:rsidR="00EB4BC5" w:rsidRPr="00A07775">
        <w:rPr>
          <w:rFonts w:ascii="Proxima Nova" w:hAnsi="Proxima Nova" w:cstheme="minorHAnsi"/>
          <w:sz w:val="22"/>
          <w:szCs w:val="22"/>
        </w:rPr>
        <w:t>even when th</w:t>
      </w:r>
      <w:r w:rsidRPr="00A07775">
        <w:rPr>
          <w:rFonts w:ascii="Proxima Nova" w:hAnsi="Proxima Nova" w:cstheme="minorHAnsi"/>
          <w:sz w:val="22"/>
          <w:szCs w:val="22"/>
        </w:rPr>
        <w:t>ese are</w:t>
      </w:r>
      <w:r w:rsidR="00EB4BC5" w:rsidRPr="00A07775">
        <w:rPr>
          <w:rFonts w:ascii="Proxima Nova" w:hAnsi="Proxima Nova" w:cstheme="minorHAnsi"/>
          <w:sz w:val="22"/>
          <w:szCs w:val="22"/>
        </w:rPr>
        <w:t xml:space="preserve"> prescribed for treatment </w:t>
      </w:r>
      <w:r w:rsidRPr="00A07775">
        <w:rPr>
          <w:rFonts w:ascii="Proxima Nova" w:hAnsi="Proxima Nova" w:cstheme="minorHAnsi"/>
          <w:sz w:val="22"/>
          <w:szCs w:val="22"/>
        </w:rPr>
        <w:t xml:space="preserve">of a medical condition </w:t>
      </w:r>
      <w:r w:rsidR="00EB4BC5" w:rsidRPr="00A07775">
        <w:rPr>
          <w:rFonts w:ascii="Proxima Nova" w:hAnsi="Proxima Nova" w:cstheme="minorHAnsi"/>
          <w:sz w:val="22"/>
          <w:szCs w:val="22"/>
        </w:rPr>
        <w:t>rather than influencing behaviour.</w:t>
      </w:r>
    </w:p>
    <w:p w14:paraId="47A41DED" w14:textId="77777777" w:rsidR="00954DF3" w:rsidRPr="00A07775" w:rsidRDefault="00954DF3" w:rsidP="00A07775">
      <w:pPr>
        <w:spacing w:line="276" w:lineRule="auto"/>
        <w:ind w:left="720" w:hanging="720"/>
        <w:rPr>
          <w:rFonts w:ascii="Proxima Nova" w:hAnsi="Proxima Nova"/>
          <w:sz w:val="22"/>
          <w:szCs w:val="22"/>
        </w:rPr>
      </w:pPr>
    </w:p>
    <w:p w14:paraId="12C555C0" w14:textId="0833DAD3"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Restrictive practices are a form of violence</w:t>
      </w:r>
      <w:r w:rsidR="00954DF3" w:rsidRPr="00A07775">
        <w:rPr>
          <w:rFonts w:ascii="Proxima Nova" w:hAnsi="Proxima Nova"/>
          <w:sz w:val="22"/>
          <w:szCs w:val="22"/>
        </w:rPr>
        <w:t xml:space="preserve"> against women and girls with disability</w:t>
      </w:r>
      <w:r w:rsidRPr="00A07775">
        <w:rPr>
          <w:rFonts w:ascii="Proxima Nova" w:hAnsi="Proxima Nova"/>
          <w:sz w:val="22"/>
          <w:szCs w:val="22"/>
        </w:rPr>
        <w:t xml:space="preserve">. On one level, restrictive </w:t>
      </w:r>
      <w:proofErr w:type="gramStart"/>
      <w:r w:rsidRPr="00A07775">
        <w:rPr>
          <w:rFonts w:ascii="Proxima Nova" w:hAnsi="Proxima Nova"/>
          <w:sz w:val="22"/>
          <w:szCs w:val="22"/>
        </w:rPr>
        <w:t>practices</w:t>
      </w:r>
      <w:proofErr w:type="gramEnd"/>
      <w:r w:rsidRPr="00A07775">
        <w:rPr>
          <w:rFonts w:ascii="Proxima Nova" w:hAnsi="Proxima Nova"/>
          <w:sz w:val="22"/>
          <w:szCs w:val="22"/>
        </w:rPr>
        <w:t xml:space="preserve"> are a form of interpersonal violence because they are non-consensual and coercive interventions perpetrated by one individual onto another. But, beyond this, restrictive practices </w:t>
      </w:r>
      <w:r w:rsidR="00954DF3" w:rsidRPr="00A07775">
        <w:rPr>
          <w:rFonts w:ascii="Proxima Nova" w:hAnsi="Proxima Nova"/>
          <w:sz w:val="22"/>
          <w:szCs w:val="22"/>
        </w:rPr>
        <w:t>are a form of gendered ableist legal violence against women and girls with disability.</w:t>
      </w:r>
    </w:p>
    <w:p w14:paraId="5A1F8B8B" w14:textId="77777777" w:rsidR="00954DF3" w:rsidRPr="00A07775" w:rsidRDefault="00954DF3" w:rsidP="00A07775">
      <w:pPr>
        <w:spacing w:line="276" w:lineRule="auto"/>
        <w:ind w:left="720" w:hanging="720"/>
        <w:rPr>
          <w:rFonts w:ascii="Proxima Nova" w:hAnsi="Proxima Nova"/>
          <w:sz w:val="22"/>
          <w:szCs w:val="22"/>
        </w:rPr>
      </w:pPr>
    </w:p>
    <w:p w14:paraId="37776D7C" w14:textId="77777777"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lastRenderedPageBreak/>
        <w:t xml:space="preserve">Restrictive practices are human rights violations. They violate rights </w:t>
      </w:r>
      <w:r w:rsidRPr="00A07775">
        <w:rPr>
          <w:rFonts w:ascii="Proxima Nova" w:hAnsi="Proxima Nova" w:cstheme="minorHAnsi"/>
          <w:sz w:val="22"/>
          <w:szCs w:val="22"/>
        </w:rPr>
        <w:t>of people with disability to</w:t>
      </w:r>
      <w:r w:rsidRPr="00A07775">
        <w:rPr>
          <w:rFonts w:ascii="Proxima Nova" w:hAnsi="Proxima Nova" w:cstheme="minorHAnsi"/>
          <w:color w:val="000000" w:themeColor="text1"/>
          <w:sz w:val="22"/>
          <w:szCs w:val="22"/>
          <w:lang w:bidi="en-US"/>
        </w:rPr>
        <w:t xml:space="preserve"> equality and non-discrimination, legal capacity, freedom from violence and torture, personal integrity, liberty, and independent living and community inclusion as provided by</w:t>
      </w:r>
      <w:r w:rsidRPr="00A07775">
        <w:rPr>
          <w:rFonts w:ascii="Proxima Nova" w:hAnsi="Proxima Nova" w:cstheme="minorHAnsi"/>
          <w:sz w:val="22"/>
          <w:szCs w:val="22"/>
        </w:rPr>
        <w:t xml:space="preserve"> the CRPD, and other international human rights instruments.</w:t>
      </w:r>
    </w:p>
    <w:p w14:paraId="7BAFF381" w14:textId="77777777" w:rsidR="002C4DFD" w:rsidRPr="00A07775" w:rsidRDefault="002C4DFD" w:rsidP="00A07775">
      <w:pPr>
        <w:pStyle w:val="ListParagraph"/>
        <w:spacing w:line="276" w:lineRule="auto"/>
        <w:ind w:hanging="720"/>
        <w:rPr>
          <w:rFonts w:ascii="Proxima Nova" w:hAnsi="Proxima Nova"/>
          <w:sz w:val="22"/>
          <w:szCs w:val="22"/>
        </w:rPr>
      </w:pPr>
    </w:p>
    <w:p w14:paraId="69D0439F" w14:textId="5DBA7EA3" w:rsidR="002C4DFD" w:rsidRPr="00A07775" w:rsidRDefault="00954DF3" w:rsidP="00A07775">
      <w:pPr>
        <w:pStyle w:val="ListParagraph"/>
        <w:numPr>
          <w:ilvl w:val="1"/>
          <w:numId w:val="38"/>
        </w:numPr>
        <w:spacing w:line="276" w:lineRule="auto"/>
        <w:ind w:left="720" w:hanging="720"/>
        <w:rPr>
          <w:rFonts w:ascii="Proxima Nova" w:hAnsi="Proxima Nova"/>
          <w:sz w:val="22"/>
          <w:szCs w:val="22"/>
        </w:rPr>
      </w:pPr>
      <w:proofErr w:type="gramStart"/>
      <w:r w:rsidRPr="00A07775">
        <w:rPr>
          <w:rFonts w:ascii="Proxima Nova" w:hAnsi="Proxima Nova"/>
          <w:sz w:val="22"/>
          <w:szCs w:val="22"/>
        </w:rPr>
        <w:t>On the basis of</w:t>
      </w:r>
      <w:proofErr w:type="gramEnd"/>
      <w:r w:rsidRPr="00A07775">
        <w:rPr>
          <w:rFonts w:ascii="Proxima Nova" w:hAnsi="Proxima Nova"/>
          <w:sz w:val="22"/>
          <w:szCs w:val="22"/>
        </w:rPr>
        <w:t xml:space="preserve"> our approach to restrictive practices, w</w:t>
      </w:r>
      <w:r w:rsidR="002C4DFD" w:rsidRPr="00A07775">
        <w:rPr>
          <w:rFonts w:ascii="Proxima Nova" w:hAnsi="Proxima Nova"/>
          <w:sz w:val="22"/>
          <w:szCs w:val="22"/>
        </w:rPr>
        <w:t xml:space="preserve">e have identified </w:t>
      </w:r>
      <w:r w:rsidR="005E49AB" w:rsidRPr="00A07775">
        <w:rPr>
          <w:rFonts w:ascii="Proxima Nova" w:hAnsi="Proxima Nova"/>
          <w:sz w:val="22"/>
          <w:szCs w:val="22"/>
        </w:rPr>
        <w:t>five</w:t>
      </w:r>
      <w:r w:rsidR="002C4DFD" w:rsidRPr="00A07775">
        <w:rPr>
          <w:rFonts w:ascii="Proxima Nova" w:hAnsi="Proxima Nova"/>
          <w:sz w:val="22"/>
          <w:szCs w:val="22"/>
        </w:rPr>
        <w:t xml:space="preserve"> considerations in relation to whether the explanation of restrictive practices in the </w:t>
      </w:r>
      <w:r w:rsidR="003509C3" w:rsidRPr="00A07775">
        <w:rPr>
          <w:rFonts w:ascii="Proxima Nova" w:hAnsi="Proxima Nova" w:cs="Calibri"/>
          <w:sz w:val="22"/>
          <w:szCs w:val="22"/>
        </w:rPr>
        <w:t xml:space="preserve">Restrictive Practices </w:t>
      </w:r>
      <w:r w:rsidR="002C4DFD" w:rsidRPr="00A07775">
        <w:rPr>
          <w:rFonts w:ascii="Proxima Nova" w:hAnsi="Proxima Nova"/>
          <w:sz w:val="22"/>
          <w:szCs w:val="22"/>
        </w:rPr>
        <w:t xml:space="preserve">Issues Paper needs to change: </w:t>
      </w:r>
    </w:p>
    <w:p w14:paraId="0787F4A7" w14:textId="77777777" w:rsidR="00435034" w:rsidRPr="00A07775" w:rsidRDefault="00435034" w:rsidP="00A07775">
      <w:pPr>
        <w:pStyle w:val="ListParagraph"/>
        <w:spacing w:line="276" w:lineRule="auto"/>
        <w:ind w:left="0"/>
        <w:rPr>
          <w:rFonts w:ascii="Proxima Nova" w:hAnsi="Proxima Nova"/>
          <w:sz w:val="22"/>
          <w:szCs w:val="22"/>
        </w:rPr>
      </w:pPr>
    </w:p>
    <w:p w14:paraId="75BF136F" w14:textId="5BE656C5" w:rsidR="002C4DFD" w:rsidRPr="00A07775" w:rsidRDefault="002C4DFD" w:rsidP="00A07775">
      <w:pPr>
        <w:pStyle w:val="ListParagraph"/>
        <w:numPr>
          <w:ilvl w:val="0"/>
          <w:numId w:val="39"/>
        </w:numPr>
        <w:spacing w:line="276" w:lineRule="auto"/>
        <w:ind w:left="1077" w:hanging="357"/>
        <w:rPr>
          <w:rFonts w:ascii="Proxima Nova" w:hAnsi="Proxima Nova"/>
          <w:sz w:val="22"/>
          <w:szCs w:val="22"/>
        </w:rPr>
      </w:pPr>
      <w:r w:rsidRPr="00A07775">
        <w:rPr>
          <w:rFonts w:ascii="Proxima Nova" w:hAnsi="Proxima Nova"/>
          <w:sz w:val="22"/>
          <w:szCs w:val="22"/>
        </w:rPr>
        <w:t xml:space="preserve">First, the explanation of restrictive practices in the </w:t>
      </w:r>
      <w:r w:rsidR="003509C3" w:rsidRPr="00A07775">
        <w:rPr>
          <w:rFonts w:ascii="Proxima Nova" w:hAnsi="Proxima Nova" w:cs="Calibri"/>
          <w:sz w:val="22"/>
          <w:szCs w:val="22"/>
        </w:rPr>
        <w:t xml:space="preserve">Restrictive Practices </w:t>
      </w:r>
      <w:r w:rsidRPr="00A07775">
        <w:rPr>
          <w:rFonts w:ascii="Proxima Nova" w:hAnsi="Proxima Nova"/>
          <w:sz w:val="22"/>
          <w:szCs w:val="22"/>
        </w:rPr>
        <w:t>Issues Paper needs to change in order to be explicit and unequivocal about restrictive practices as non-consensual and coercive. The</w:t>
      </w:r>
      <w:r w:rsidR="003509C3" w:rsidRPr="00A07775">
        <w:rPr>
          <w:rFonts w:ascii="Proxima Nova" w:hAnsi="Proxima Nova"/>
          <w:sz w:val="22"/>
          <w:szCs w:val="22"/>
        </w:rPr>
        <w:t xml:space="preserve"> </w:t>
      </w:r>
      <w:r w:rsidR="003509C3" w:rsidRPr="00A07775">
        <w:rPr>
          <w:rFonts w:ascii="Proxima Nova" w:hAnsi="Proxima Nova" w:cs="Calibri"/>
          <w:sz w:val="22"/>
          <w:szCs w:val="22"/>
        </w:rPr>
        <w:t>Restrictive Practices</w:t>
      </w:r>
      <w:r w:rsidRPr="00A07775">
        <w:rPr>
          <w:rFonts w:ascii="Proxima Nova" w:hAnsi="Proxima Nova"/>
          <w:sz w:val="22"/>
          <w:szCs w:val="22"/>
        </w:rPr>
        <w:t xml:space="preserve"> Issues Paper prepared by the Royal Commission is silent on the non-consensual and coercive nature of restrictive practices and is ambivalent about whether </w:t>
      </w:r>
      <w:r w:rsidR="00EB4BC5" w:rsidRPr="00A07775">
        <w:rPr>
          <w:rFonts w:ascii="Proxima Nova" w:hAnsi="Proxima Nova"/>
          <w:sz w:val="22"/>
          <w:szCs w:val="22"/>
        </w:rPr>
        <w:t>restrictive practices</w:t>
      </w:r>
      <w:r w:rsidRPr="00A07775">
        <w:rPr>
          <w:rFonts w:ascii="Proxima Nova" w:hAnsi="Proxima Nova"/>
          <w:sz w:val="22"/>
          <w:szCs w:val="22"/>
        </w:rPr>
        <w:t xml:space="preserve"> are violent and violate human rights. This ambivalence was also reflected in the psychotropic medications hearing, and thus signals a worrying trend towards a very limited and potentially ableist understanding of violence.</w:t>
      </w:r>
    </w:p>
    <w:p w14:paraId="05DC4121" w14:textId="77777777" w:rsidR="00037F7F" w:rsidRPr="00A07775" w:rsidRDefault="00037F7F" w:rsidP="00A07775">
      <w:pPr>
        <w:spacing w:line="276" w:lineRule="auto"/>
        <w:ind w:left="1077" w:hanging="357"/>
        <w:rPr>
          <w:rFonts w:ascii="Proxima Nova" w:hAnsi="Proxima Nova"/>
          <w:sz w:val="22"/>
          <w:szCs w:val="22"/>
        </w:rPr>
      </w:pPr>
    </w:p>
    <w:p w14:paraId="3E598003" w14:textId="70267C8F" w:rsidR="002C4DFD" w:rsidRPr="00A07775" w:rsidRDefault="002C4DFD" w:rsidP="00A07775">
      <w:pPr>
        <w:pStyle w:val="ListParagraph"/>
        <w:numPr>
          <w:ilvl w:val="0"/>
          <w:numId w:val="39"/>
        </w:numPr>
        <w:spacing w:line="276" w:lineRule="auto"/>
        <w:ind w:left="1077" w:hanging="357"/>
        <w:rPr>
          <w:rFonts w:ascii="Proxima Nova" w:hAnsi="Proxima Nova"/>
          <w:sz w:val="22"/>
          <w:szCs w:val="22"/>
        </w:rPr>
      </w:pPr>
      <w:r w:rsidRPr="00A07775">
        <w:rPr>
          <w:rFonts w:ascii="Proxima Nova" w:hAnsi="Proxima Nova"/>
          <w:sz w:val="22"/>
          <w:szCs w:val="22"/>
        </w:rPr>
        <w:t>Second, the explanation of restrictive practices</w:t>
      </w:r>
      <w:r w:rsidR="00EB4BC5" w:rsidRPr="00A07775">
        <w:rPr>
          <w:rFonts w:ascii="Proxima Nova" w:hAnsi="Proxima Nova"/>
          <w:sz w:val="22"/>
          <w:szCs w:val="22"/>
        </w:rPr>
        <w:t xml:space="preserve"> needs to explicitly identify restrictive practices</w:t>
      </w:r>
      <w:r w:rsidRPr="00A07775">
        <w:rPr>
          <w:rFonts w:ascii="Proxima Nova" w:hAnsi="Proxima Nova"/>
          <w:sz w:val="22"/>
          <w:szCs w:val="22"/>
        </w:rPr>
        <w:t xml:space="preserve"> as violence that is currently lawful </w:t>
      </w:r>
      <w:proofErr w:type="gramStart"/>
      <w:r w:rsidRPr="00A07775">
        <w:rPr>
          <w:rFonts w:ascii="Proxima Nova" w:hAnsi="Proxima Nova"/>
          <w:sz w:val="22"/>
          <w:szCs w:val="22"/>
        </w:rPr>
        <w:t>on the basis of</w:t>
      </w:r>
      <w:proofErr w:type="gramEnd"/>
      <w:r w:rsidRPr="00A07775">
        <w:rPr>
          <w:rFonts w:ascii="Proxima Nova" w:hAnsi="Proxima Nova"/>
          <w:sz w:val="22"/>
          <w:szCs w:val="22"/>
        </w:rPr>
        <w:t xml:space="preserve"> disability.</w:t>
      </w:r>
    </w:p>
    <w:p w14:paraId="0F857DD4" w14:textId="77777777" w:rsidR="00037F7F" w:rsidRPr="00A07775" w:rsidRDefault="00037F7F" w:rsidP="00A07775">
      <w:pPr>
        <w:spacing w:line="276" w:lineRule="auto"/>
        <w:ind w:left="1077" w:hanging="357"/>
        <w:rPr>
          <w:rFonts w:ascii="Proxima Nova" w:hAnsi="Proxima Nova"/>
          <w:sz w:val="22"/>
          <w:szCs w:val="22"/>
        </w:rPr>
      </w:pPr>
    </w:p>
    <w:p w14:paraId="0A90C225" w14:textId="0F38D582" w:rsidR="002C4DFD" w:rsidRPr="00A07775" w:rsidRDefault="002C4DFD" w:rsidP="00A07775">
      <w:pPr>
        <w:pStyle w:val="ListParagraph"/>
        <w:numPr>
          <w:ilvl w:val="0"/>
          <w:numId w:val="39"/>
        </w:numPr>
        <w:spacing w:line="276" w:lineRule="auto"/>
        <w:ind w:left="1077" w:hanging="357"/>
        <w:rPr>
          <w:rFonts w:ascii="Proxima Nova" w:hAnsi="Proxima Nova"/>
          <w:sz w:val="22"/>
          <w:szCs w:val="22"/>
        </w:rPr>
      </w:pPr>
      <w:r w:rsidRPr="00A07775">
        <w:rPr>
          <w:rFonts w:ascii="Proxima Nova" w:hAnsi="Proxima Nova"/>
          <w:sz w:val="22"/>
          <w:szCs w:val="22"/>
        </w:rPr>
        <w:t xml:space="preserve">Third, the Royal Commission might consider the utility of ‘restrictive practices’ as an organising concept for exploring violence against people with disability, instead of using terms such as violence/assault/detention and other terms that more explicitly and accessibly describe these interventions. </w:t>
      </w:r>
      <w:r w:rsidR="00EB4BC5" w:rsidRPr="00A07775">
        <w:rPr>
          <w:rFonts w:ascii="Proxima Nova" w:hAnsi="Proxima Nova"/>
          <w:sz w:val="22"/>
          <w:szCs w:val="22"/>
        </w:rPr>
        <w:t>U</w:t>
      </w:r>
      <w:r w:rsidRPr="00A07775">
        <w:rPr>
          <w:rFonts w:ascii="Proxima Nova" w:hAnsi="Proxima Nova"/>
          <w:sz w:val="22"/>
          <w:szCs w:val="22"/>
        </w:rPr>
        <w:t xml:space="preserve">se of the term </w:t>
      </w:r>
      <w:r w:rsidR="00EB4BC5" w:rsidRPr="00A07775">
        <w:rPr>
          <w:rFonts w:ascii="Proxima Nova" w:hAnsi="Proxima Nova"/>
          <w:sz w:val="22"/>
          <w:szCs w:val="22"/>
        </w:rPr>
        <w:t xml:space="preserve">‘restrictive </w:t>
      </w:r>
      <w:proofErr w:type="gramStart"/>
      <w:r w:rsidR="00EB4BC5" w:rsidRPr="00A07775">
        <w:rPr>
          <w:rFonts w:ascii="Proxima Nova" w:hAnsi="Proxima Nova"/>
          <w:sz w:val="22"/>
          <w:szCs w:val="22"/>
        </w:rPr>
        <w:t>practices’</w:t>
      </w:r>
      <w:proofErr w:type="gramEnd"/>
      <w:r w:rsidR="00EB4BC5" w:rsidRPr="00A07775">
        <w:rPr>
          <w:rFonts w:ascii="Proxima Nova" w:hAnsi="Proxima Nova"/>
          <w:sz w:val="22"/>
          <w:szCs w:val="22"/>
        </w:rPr>
        <w:t xml:space="preserve"> </w:t>
      </w:r>
      <w:r w:rsidRPr="00A07775">
        <w:rPr>
          <w:rFonts w:ascii="Proxima Nova" w:hAnsi="Proxima Nova"/>
          <w:sz w:val="22"/>
          <w:szCs w:val="22"/>
        </w:rPr>
        <w:t>might sustain societal acceptance of these practices against people with disability</w:t>
      </w:r>
      <w:r w:rsidR="00EB4BC5" w:rsidRPr="00A07775">
        <w:rPr>
          <w:rFonts w:ascii="Proxima Nova" w:hAnsi="Proxima Nova"/>
          <w:sz w:val="22"/>
          <w:szCs w:val="22"/>
        </w:rPr>
        <w:t xml:space="preserve"> as somehow less than violence</w:t>
      </w:r>
      <w:r w:rsidRPr="00A07775">
        <w:rPr>
          <w:rFonts w:ascii="Proxima Nova" w:hAnsi="Proxima Nova"/>
          <w:sz w:val="22"/>
          <w:szCs w:val="22"/>
        </w:rPr>
        <w:t xml:space="preserve">. </w:t>
      </w:r>
      <w:r w:rsidR="00EB4BC5" w:rsidRPr="00A07775">
        <w:rPr>
          <w:rFonts w:ascii="Proxima Nova" w:hAnsi="Proxima Nova"/>
          <w:sz w:val="22"/>
          <w:szCs w:val="22"/>
        </w:rPr>
        <w:t>‘R</w:t>
      </w:r>
      <w:r w:rsidRPr="00A07775">
        <w:rPr>
          <w:rFonts w:ascii="Proxima Nova" w:hAnsi="Proxima Nova"/>
          <w:sz w:val="22"/>
          <w:szCs w:val="22"/>
        </w:rPr>
        <w:t xml:space="preserve">estrictive practices’ is a term not widely known in the general community or in the legal and human rights communities. Further, the enduring medicalised notions of people with disability as having aberrant, abnormal or risky behaviour mean that interventions done in the name of ‘restrictive practices’ can be associated with protection and </w:t>
      </w:r>
      <w:r w:rsidR="00EB4BC5" w:rsidRPr="00A07775">
        <w:rPr>
          <w:rFonts w:ascii="Proxima Nova" w:hAnsi="Proxima Nova"/>
          <w:sz w:val="22"/>
          <w:szCs w:val="22"/>
        </w:rPr>
        <w:t>control</w:t>
      </w:r>
      <w:r w:rsidRPr="00A07775">
        <w:rPr>
          <w:rFonts w:ascii="Proxima Nova" w:hAnsi="Proxima Nova"/>
          <w:sz w:val="22"/>
          <w:szCs w:val="22"/>
        </w:rPr>
        <w:t xml:space="preserve"> and are thus perceived as non-violent. In short, ‘restrictive practices’ might ‘detoxify’</w:t>
      </w:r>
      <w:r w:rsidRPr="00A07775">
        <w:rPr>
          <w:rStyle w:val="EndnoteReference"/>
          <w:rFonts w:ascii="Proxima Nova" w:hAnsi="Proxima Nova"/>
          <w:sz w:val="22"/>
          <w:szCs w:val="22"/>
        </w:rPr>
        <w:endnoteReference w:id="456"/>
      </w:r>
      <w:r w:rsidRPr="00A07775">
        <w:rPr>
          <w:rFonts w:ascii="Proxima Nova" w:hAnsi="Proxima Nova"/>
          <w:sz w:val="22"/>
          <w:szCs w:val="22"/>
        </w:rPr>
        <w:t xml:space="preserve"> the violence of the interventions done in its name.</w:t>
      </w:r>
    </w:p>
    <w:p w14:paraId="12638524" w14:textId="77777777" w:rsidR="00037F7F" w:rsidRPr="00A07775" w:rsidRDefault="00037F7F" w:rsidP="00A07775">
      <w:pPr>
        <w:spacing w:line="276" w:lineRule="auto"/>
        <w:ind w:left="1077" w:hanging="357"/>
        <w:rPr>
          <w:rFonts w:ascii="Proxima Nova" w:hAnsi="Proxima Nova"/>
          <w:sz w:val="22"/>
          <w:szCs w:val="22"/>
        </w:rPr>
      </w:pPr>
    </w:p>
    <w:p w14:paraId="35952004" w14:textId="22460F38" w:rsidR="00EB4BC5" w:rsidRPr="00A07775" w:rsidRDefault="002C4DFD" w:rsidP="00A07775">
      <w:pPr>
        <w:pStyle w:val="ListParagraph"/>
        <w:numPr>
          <w:ilvl w:val="0"/>
          <w:numId w:val="39"/>
        </w:numPr>
        <w:spacing w:line="276" w:lineRule="auto"/>
        <w:ind w:left="1077" w:hanging="357"/>
        <w:rPr>
          <w:rFonts w:ascii="Proxima Nova" w:hAnsi="Proxima Nova"/>
          <w:sz w:val="22"/>
          <w:szCs w:val="22"/>
        </w:rPr>
      </w:pPr>
      <w:r w:rsidRPr="00A07775">
        <w:rPr>
          <w:rFonts w:ascii="Proxima Nova" w:hAnsi="Proxima Nova"/>
          <w:sz w:val="22"/>
          <w:szCs w:val="22"/>
        </w:rPr>
        <w:t>Fourth, the explanation of restrictive practices in the</w:t>
      </w:r>
      <w:r w:rsidR="003509C3" w:rsidRPr="00A07775">
        <w:rPr>
          <w:rFonts w:ascii="Proxima Nova" w:hAnsi="Proxima Nova"/>
          <w:sz w:val="22"/>
          <w:szCs w:val="22"/>
        </w:rPr>
        <w:t xml:space="preserve"> </w:t>
      </w:r>
      <w:r w:rsidR="003509C3" w:rsidRPr="00A07775">
        <w:rPr>
          <w:rFonts w:ascii="Proxima Nova" w:hAnsi="Proxima Nova" w:cs="Calibri"/>
          <w:sz w:val="22"/>
          <w:szCs w:val="22"/>
        </w:rPr>
        <w:t>Restrictive Practices</w:t>
      </w:r>
      <w:r w:rsidRPr="00A07775">
        <w:rPr>
          <w:rFonts w:ascii="Proxima Nova" w:hAnsi="Proxima Nova"/>
          <w:sz w:val="22"/>
          <w:szCs w:val="22"/>
        </w:rPr>
        <w:t xml:space="preserve"> Issues Paper needs to explicitly mention restrictive practices </w:t>
      </w:r>
      <w:r w:rsidR="009871E3" w:rsidRPr="00A07775">
        <w:rPr>
          <w:rFonts w:ascii="Proxima Nova" w:hAnsi="Proxima Nova"/>
          <w:sz w:val="22"/>
          <w:szCs w:val="22"/>
        </w:rPr>
        <w:t xml:space="preserve">specifically </w:t>
      </w:r>
      <w:r w:rsidRPr="00A07775">
        <w:rPr>
          <w:rFonts w:ascii="Proxima Nova" w:hAnsi="Proxima Nova"/>
          <w:sz w:val="22"/>
          <w:szCs w:val="22"/>
        </w:rPr>
        <w:t xml:space="preserve">experienced by women and girls with disability, including </w:t>
      </w:r>
      <w:r w:rsidRPr="00A07775">
        <w:rPr>
          <w:rFonts w:ascii="Proxima Nova" w:hAnsi="Proxima Nova" w:cstheme="minorHAnsi"/>
          <w:sz w:val="22"/>
          <w:szCs w:val="22"/>
        </w:rPr>
        <w:t>non-consensual and coercive sterilisation, menstrual suppression, contraception, abortion</w:t>
      </w:r>
      <w:r w:rsidRPr="00A07775">
        <w:rPr>
          <w:rFonts w:ascii="Proxima Nova" w:hAnsi="Proxima Nova"/>
          <w:sz w:val="22"/>
          <w:szCs w:val="22"/>
        </w:rPr>
        <w:t>, forced child removal, and denial of support for sexual activity and intimate relationships.</w:t>
      </w:r>
    </w:p>
    <w:p w14:paraId="459BF29E" w14:textId="77777777" w:rsidR="00037F7F" w:rsidRPr="00A07775" w:rsidRDefault="00037F7F" w:rsidP="00A07775">
      <w:pPr>
        <w:spacing w:line="276" w:lineRule="auto"/>
        <w:ind w:left="1077" w:hanging="357"/>
        <w:rPr>
          <w:rFonts w:ascii="Proxima Nova" w:hAnsi="Proxima Nova"/>
          <w:sz w:val="22"/>
          <w:szCs w:val="22"/>
        </w:rPr>
      </w:pPr>
    </w:p>
    <w:p w14:paraId="25756E34" w14:textId="1B909CB3" w:rsidR="00EB4BC5" w:rsidRPr="00A07775" w:rsidRDefault="00EB4BC5" w:rsidP="00A07775">
      <w:pPr>
        <w:pStyle w:val="ListParagraph"/>
        <w:numPr>
          <w:ilvl w:val="0"/>
          <w:numId w:val="39"/>
        </w:numPr>
        <w:spacing w:line="276" w:lineRule="auto"/>
        <w:ind w:left="1077" w:hanging="357"/>
        <w:rPr>
          <w:rFonts w:ascii="Proxima Nova" w:hAnsi="Proxima Nova"/>
          <w:sz w:val="22"/>
          <w:szCs w:val="22"/>
        </w:rPr>
      </w:pPr>
      <w:r w:rsidRPr="00A07775">
        <w:rPr>
          <w:rFonts w:ascii="Proxima Nova" w:hAnsi="Proxima Nova"/>
          <w:sz w:val="22"/>
          <w:szCs w:val="22"/>
        </w:rPr>
        <w:t>Fifth,</w:t>
      </w:r>
      <w:r w:rsidR="005E49AB" w:rsidRPr="00A07775">
        <w:rPr>
          <w:rFonts w:ascii="Proxima Nova" w:hAnsi="Proxima Nova"/>
          <w:sz w:val="22"/>
          <w:szCs w:val="22"/>
        </w:rPr>
        <w:t xml:space="preserve"> the definition of restrictive practices should not be limited to interventions for the purpose of responding to </w:t>
      </w:r>
      <w:proofErr w:type="gramStart"/>
      <w:r w:rsidR="005E49AB" w:rsidRPr="00A07775">
        <w:rPr>
          <w:rFonts w:ascii="Proxima Nova" w:hAnsi="Proxima Nova"/>
          <w:sz w:val="22"/>
          <w:szCs w:val="22"/>
        </w:rPr>
        <w:t>behaviour, and</w:t>
      </w:r>
      <w:proofErr w:type="gramEnd"/>
      <w:r w:rsidR="005E49AB" w:rsidRPr="00A07775">
        <w:rPr>
          <w:rFonts w:ascii="Proxima Nova" w:hAnsi="Proxima Nova"/>
          <w:sz w:val="22"/>
          <w:szCs w:val="22"/>
        </w:rPr>
        <w:t xml:space="preserve"> should extend to interventions for the purpose of treatment of medical conditions. As we have explained in Sections 5 and 6, the existing behaviour/medical division is problematic because it is socially and economically contingent and is ableist and gendered. </w:t>
      </w:r>
      <w:r w:rsidRPr="00A07775">
        <w:rPr>
          <w:rFonts w:ascii="Proxima Nova" w:hAnsi="Proxima Nova"/>
          <w:sz w:val="22"/>
          <w:szCs w:val="22"/>
        </w:rPr>
        <w:t xml:space="preserve"> the explanation of restrictive practices in the</w:t>
      </w:r>
      <w:r w:rsidR="003509C3" w:rsidRPr="00A07775">
        <w:rPr>
          <w:rFonts w:ascii="Proxima Nova" w:hAnsi="Proxima Nova"/>
          <w:sz w:val="22"/>
          <w:szCs w:val="22"/>
        </w:rPr>
        <w:t xml:space="preserve"> </w:t>
      </w:r>
      <w:r w:rsidR="003509C3" w:rsidRPr="00A07775">
        <w:rPr>
          <w:rFonts w:ascii="Proxima Nova" w:hAnsi="Proxima Nova" w:cs="Calibri"/>
          <w:sz w:val="22"/>
          <w:szCs w:val="22"/>
        </w:rPr>
        <w:t>Restrictive Practices</w:t>
      </w:r>
      <w:r w:rsidRPr="00A07775">
        <w:rPr>
          <w:rFonts w:ascii="Proxima Nova" w:hAnsi="Proxima Nova"/>
          <w:sz w:val="22"/>
          <w:szCs w:val="22"/>
        </w:rPr>
        <w:t xml:space="preserve"> Issues Paper needs to explicitly mention psychotropic medication </w:t>
      </w:r>
      <w:r w:rsidRPr="00A07775">
        <w:rPr>
          <w:rFonts w:ascii="Proxima Nova" w:hAnsi="Proxima Nova" w:cstheme="minorHAnsi"/>
          <w:sz w:val="22"/>
          <w:szCs w:val="22"/>
        </w:rPr>
        <w:t xml:space="preserve">even when this is prescribed for </w:t>
      </w:r>
      <w:r w:rsidR="005E49AB" w:rsidRPr="00A07775">
        <w:rPr>
          <w:rFonts w:ascii="Proxima Nova" w:hAnsi="Proxima Nova" w:cstheme="minorHAnsi"/>
          <w:sz w:val="22"/>
          <w:szCs w:val="22"/>
        </w:rPr>
        <w:t xml:space="preserve">medical </w:t>
      </w:r>
      <w:r w:rsidRPr="00A07775">
        <w:rPr>
          <w:rFonts w:ascii="Proxima Nova" w:hAnsi="Proxima Nova" w:cstheme="minorHAnsi"/>
          <w:sz w:val="22"/>
          <w:szCs w:val="22"/>
        </w:rPr>
        <w:t>treatment rather than influencing behaviour.</w:t>
      </w:r>
    </w:p>
    <w:p w14:paraId="0CC7997D" w14:textId="64462999" w:rsidR="002C4DFD" w:rsidRPr="00A07775" w:rsidRDefault="002C4DFD" w:rsidP="00A07775">
      <w:pPr>
        <w:spacing w:line="276" w:lineRule="auto"/>
        <w:rPr>
          <w:rFonts w:ascii="Proxima Nova" w:hAnsi="Proxima Nova"/>
          <w:color w:val="7030A0"/>
          <w:sz w:val="22"/>
          <w:szCs w:val="22"/>
          <w:u w:val="single"/>
        </w:rPr>
      </w:pPr>
    </w:p>
    <w:p w14:paraId="26DB5EF2" w14:textId="77777777" w:rsidR="00037F7F" w:rsidRPr="00A07775" w:rsidRDefault="00037F7F" w:rsidP="00A07775">
      <w:pPr>
        <w:spacing w:line="276" w:lineRule="auto"/>
        <w:ind w:left="720" w:hanging="720"/>
        <w:rPr>
          <w:rFonts w:ascii="Proxima Nova" w:hAnsi="Proxima Nova"/>
          <w:sz w:val="22"/>
          <w:szCs w:val="22"/>
        </w:rPr>
      </w:pPr>
    </w:p>
    <w:p w14:paraId="48D62C13" w14:textId="73E3173C" w:rsidR="00037F7F" w:rsidRPr="00037F7F" w:rsidRDefault="00037F7F" w:rsidP="00037F7F">
      <w:pPr>
        <w:spacing w:line="276" w:lineRule="auto"/>
        <w:ind w:left="1440" w:hanging="1440"/>
        <w:rPr>
          <w:rFonts w:ascii="Proxima Nova" w:hAnsi="Proxima Nova"/>
        </w:rPr>
      </w:pPr>
      <w:r w:rsidRPr="00037F7F">
        <w:rPr>
          <w:rFonts w:ascii="Proxima Nova" w:hAnsi="Proxima Nova"/>
          <w:b/>
          <w:color w:val="AC1F79"/>
        </w:rPr>
        <w:t xml:space="preserve">Question </w:t>
      </w:r>
      <w:r>
        <w:rPr>
          <w:rFonts w:ascii="Proxima Nova" w:hAnsi="Proxima Nova"/>
          <w:b/>
          <w:color w:val="AC1F79"/>
        </w:rPr>
        <w:t>2</w:t>
      </w:r>
      <w:r w:rsidRPr="00037F7F">
        <w:rPr>
          <w:rFonts w:ascii="Proxima Nova" w:hAnsi="Proxima Nova"/>
          <w:b/>
          <w:color w:val="AC1F79"/>
        </w:rPr>
        <w:t>:</w:t>
      </w:r>
      <w:r>
        <w:rPr>
          <w:rFonts w:ascii="Proxima Nova" w:hAnsi="Proxima Nova"/>
          <w:b/>
          <w:color w:val="AC1F79"/>
        </w:rPr>
        <w:tab/>
      </w:r>
      <w:r w:rsidRPr="00037F7F">
        <w:rPr>
          <w:rFonts w:ascii="Proxima Nova" w:hAnsi="Proxima Nova"/>
          <w:b/>
          <w:color w:val="AC1F79"/>
        </w:rPr>
        <w:t>What types of restrictive practices are applied to people with disability? Are certain types of restrictive practices more common than others?</w:t>
      </w:r>
    </w:p>
    <w:p w14:paraId="2D4919BD" w14:textId="77777777" w:rsidR="002C4DFD" w:rsidRPr="00A07775" w:rsidRDefault="002C4DFD" w:rsidP="00A07775">
      <w:pPr>
        <w:spacing w:line="276" w:lineRule="auto"/>
        <w:ind w:left="720" w:hanging="720"/>
        <w:rPr>
          <w:rFonts w:ascii="Proxima Nova" w:hAnsi="Proxima Nova"/>
          <w:sz w:val="22"/>
          <w:szCs w:val="22"/>
        </w:rPr>
      </w:pPr>
    </w:p>
    <w:p w14:paraId="686D3CB4" w14:textId="392586DF"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Restrictive practices applied to women and girls with disability include long-term prescribing of psychotropic medication (often coupled with threats or incentives to ensure compliance with medication), ECT, detention in locked rooms or accommodation, removing or immobilising mobility aids, not being provided with </w:t>
      </w:r>
      <w:r w:rsidR="00335AD1" w:rsidRPr="00A07775">
        <w:rPr>
          <w:rFonts w:ascii="Proxima Nova" w:hAnsi="Proxima Nova"/>
          <w:sz w:val="22"/>
          <w:szCs w:val="22"/>
        </w:rPr>
        <w:t>services and supports</w:t>
      </w:r>
      <w:r w:rsidRPr="00A07775">
        <w:rPr>
          <w:rFonts w:ascii="Proxima Nova" w:hAnsi="Proxima Nova"/>
          <w:sz w:val="22"/>
          <w:szCs w:val="22"/>
        </w:rPr>
        <w:t xml:space="preserve"> to enable mobility </w:t>
      </w:r>
      <w:r w:rsidRPr="00A07775">
        <w:rPr>
          <w:rFonts w:ascii="Proxima Nova" w:hAnsi="Proxima Nova"/>
          <w:sz w:val="22"/>
          <w:szCs w:val="22"/>
        </w:rPr>
        <w:lastRenderedPageBreak/>
        <w:t xml:space="preserve">around and beyond accommodation, </w:t>
      </w:r>
      <w:r w:rsidR="00EB4BC5" w:rsidRPr="00A07775">
        <w:rPr>
          <w:rFonts w:ascii="Proxima Nova" w:hAnsi="Proxima Nova"/>
          <w:sz w:val="22"/>
          <w:szCs w:val="22"/>
        </w:rPr>
        <w:t xml:space="preserve">and </w:t>
      </w:r>
      <w:r w:rsidRPr="00A07775">
        <w:rPr>
          <w:rFonts w:ascii="Proxima Nova" w:hAnsi="Proxima Nova"/>
          <w:sz w:val="22"/>
          <w:szCs w:val="22"/>
        </w:rPr>
        <w:t>locking fridges and cupboard</w:t>
      </w:r>
      <w:r w:rsidR="00EB4BC5" w:rsidRPr="00A07775">
        <w:rPr>
          <w:rFonts w:ascii="Proxima Nova" w:hAnsi="Proxima Nova"/>
          <w:sz w:val="22"/>
          <w:szCs w:val="22"/>
        </w:rPr>
        <w:t>s to prevent access to food</w:t>
      </w:r>
      <w:r w:rsidRPr="00A07775">
        <w:rPr>
          <w:rFonts w:ascii="Proxima Nova" w:hAnsi="Proxima Nova"/>
          <w:sz w:val="22"/>
          <w:szCs w:val="22"/>
        </w:rPr>
        <w:t xml:space="preserve">. </w:t>
      </w:r>
    </w:p>
    <w:p w14:paraId="28FD0714" w14:textId="77777777" w:rsidR="00EB4BC5" w:rsidRPr="00A07775" w:rsidRDefault="00EB4BC5" w:rsidP="00A07775">
      <w:pPr>
        <w:spacing w:line="276" w:lineRule="auto"/>
        <w:ind w:left="720" w:hanging="720"/>
        <w:rPr>
          <w:rFonts w:ascii="Proxima Nova" w:hAnsi="Proxima Nova"/>
          <w:sz w:val="22"/>
          <w:szCs w:val="22"/>
        </w:rPr>
      </w:pPr>
    </w:p>
    <w:p w14:paraId="57F7ECA9" w14:textId="5A7BE15C" w:rsidR="00EB4BC5" w:rsidRPr="00A07775" w:rsidRDefault="00EB4BC5"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Restrictive practices applied to women and girls with disability also extend to practices that are </w:t>
      </w:r>
      <w:r w:rsidR="00037F7F" w:rsidRPr="00A07775">
        <w:rPr>
          <w:rFonts w:ascii="Proxima Nova" w:hAnsi="Proxima Nova"/>
          <w:sz w:val="22"/>
          <w:szCs w:val="22"/>
        </w:rPr>
        <w:t>inextricably</w:t>
      </w:r>
      <w:r w:rsidRPr="00A07775">
        <w:rPr>
          <w:rFonts w:ascii="Proxima Nova" w:hAnsi="Proxima Nova"/>
          <w:sz w:val="22"/>
          <w:szCs w:val="22"/>
        </w:rPr>
        <w:t xml:space="preserve"> related to </w:t>
      </w:r>
      <w:r w:rsidR="000964DF" w:rsidRPr="00A07775">
        <w:rPr>
          <w:rFonts w:ascii="Proxima Nova" w:hAnsi="Proxima Nova" w:cstheme="minorHAnsi"/>
          <w:sz w:val="22"/>
          <w:szCs w:val="22"/>
        </w:rPr>
        <w:t>embodied and social experiences that are gendered as female – such as menstruation, sexual assault and domestic violence victimisation, sexuality and intimacy, reproduction, mothering, menopause, and gynaecological cancers.</w:t>
      </w:r>
      <w:r w:rsidRPr="00A07775">
        <w:rPr>
          <w:rFonts w:ascii="Proxima Nova" w:hAnsi="Proxima Nova"/>
          <w:sz w:val="22"/>
          <w:szCs w:val="22"/>
        </w:rPr>
        <w:t xml:space="preserve"> These</w:t>
      </w:r>
      <w:r w:rsidR="000964DF" w:rsidRPr="00A07775">
        <w:rPr>
          <w:rFonts w:ascii="Proxima Nova" w:hAnsi="Proxima Nova"/>
          <w:sz w:val="22"/>
          <w:szCs w:val="22"/>
        </w:rPr>
        <w:t xml:space="preserve"> restrictive practices</w:t>
      </w:r>
      <w:r w:rsidRPr="00A07775">
        <w:rPr>
          <w:rFonts w:ascii="Proxima Nova" w:hAnsi="Proxima Nova"/>
          <w:sz w:val="22"/>
          <w:szCs w:val="22"/>
        </w:rPr>
        <w:t xml:space="preserve"> </w:t>
      </w:r>
      <w:proofErr w:type="gramStart"/>
      <w:r w:rsidRPr="00A07775">
        <w:rPr>
          <w:rFonts w:ascii="Proxima Nova" w:hAnsi="Proxima Nova"/>
          <w:sz w:val="22"/>
          <w:szCs w:val="22"/>
        </w:rPr>
        <w:t>include:</w:t>
      </w:r>
      <w:proofErr w:type="gramEnd"/>
      <w:r w:rsidRPr="00A07775">
        <w:rPr>
          <w:rFonts w:ascii="Proxima Nova" w:hAnsi="Proxima Nova"/>
          <w:sz w:val="22"/>
          <w:szCs w:val="22"/>
        </w:rPr>
        <w:t xml:space="preserve"> </w:t>
      </w:r>
      <w:r w:rsidRPr="00A07775">
        <w:rPr>
          <w:rFonts w:ascii="Proxima Nova" w:hAnsi="Proxima Nova" w:cstheme="minorHAnsi"/>
          <w:sz w:val="22"/>
          <w:szCs w:val="22"/>
        </w:rPr>
        <w:t>non-consensual and coercive sterilisation, menstrual suppression, contraception and abortion,</w:t>
      </w:r>
      <w:r w:rsidRPr="00A07775">
        <w:rPr>
          <w:rFonts w:ascii="Proxima Nova" w:hAnsi="Proxima Nova"/>
          <w:sz w:val="22"/>
          <w:szCs w:val="22"/>
        </w:rPr>
        <w:t xml:space="preserve"> forced child removal and denial of support for sexual activity and intimate relationships.</w:t>
      </w:r>
    </w:p>
    <w:p w14:paraId="41BEA573" w14:textId="77777777" w:rsidR="002C4DFD" w:rsidRPr="00A07775" w:rsidRDefault="002C4DFD" w:rsidP="00A07775">
      <w:pPr>
        <w:spacing w:line="276" w:lineRule="auto"/>
        <w:ind w:left="720" w:hanging="720"/>
        <w:rPr>
          <w:rFonts w:ascii="Proxima Nova" w:hAnsi="Proxima Nova"/>
          <w:sz w:val="22"/>
          <w:szCs w:val="22"/>
        </w:rPr>
      </w:pPr>
    </w:p>
    <w:p w14:paraId="49DE015F" w14:textId="5D5F93CB"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Unfortunately, it is not possible to answer whether certain types of restrictive practices are more common than others, because there is an absence of publicly available data on the use of restrictive practices, including data that is disaggregated by gender. There is also an absence of publicly available data on court and tribunal decision-making relating to substitute decision-making, including data that is disaggregated by gender.</w:t>
      </w:r>
      <w:r w:rsidR="008249A6" w:rsidRPr="00A07775">
        <w:rPr>
          <w:rFonts w:ascii="Proxima Nova" w:hAnsi="Proxima Nova"/>
          <w:sz w:val="22"/>
          <w:szCs w:val="22"/>
        </w:rPr>
        <w:t xml:space="preserve"> However, we do note that restrictive practices are systemically routinely used in disability and aged care services, and this is supported by the current legality of restrictive </w:t>
      </w:r>
      <w:r w:rsidR="00037F7F" w:rsidRPr="00A07775">
        <w:rPr>
          <w:rFonts w:ascii="Proxima Nova" w:hAnsi="Proxima Nova"/>
          <w:sz w:val="22"/>
          <w:szCs w:val="22"/>
        </w:rPr>
        <w:t>practices</w:t>
      </w:r>
      <w:r w:rsidR="008249A6" w:rsidRPr="00A07775">
        <w:rPr>
          <w:rFonts w:ascii="Proxima Nova" w:hAnsi="Proxima Nova"/>
          <w:sz w:val="22"/>
          <w:szCs w:val="22"/>
        </w:rPr>
        <w:t>, including in the regulatory frameworks of disability and aged care services.</w:t>
      </w:r>
    </w:p>
    <w:p w14:paraId="64E7761F" w14:textId="51E1DAB9" w:rsidR="002C4DFD" w:rsidRPr="00A07775" w:rsidRDefault="002C4DFD" w:rsidP="00A07775">
      <w:pPr>
        <w:spacing w:line="276" w:lineRule="auto"/>
        <w:ind w:left="720" w:hanging="720"/>
        <w:rPr>
          <w:rFonts w:ascii="Proxima Nova" w:hAnsi="Proxima Nova"/>
          <w:color w:val="7030A0"/>
          <w:sz w:val="22"/>
          <w:szCs w:val="22"/>
        </w:rPr>
      </w:pPr>
    </w:p>
    <w:p w14:paraId="66E06F35" w14:textId="77777777" w:rsidR="00037F7F" w:rsidRPr="00A07775" w:rsidRDefault="00037F7F" w:rsidP="00A07775">
      <w:pPr>
        <w:spacing w:line="276" w:lineRule="auto"/>
        <w:ind w:left="720" w:hanging="720"/>
        <w:rPr>
          <w:rFonts w:ascii="Proxima Nova" w:hAnsi="Proxima Nova"/>
          <w:sz w:val="22"/>
          <w:szCs w:val="22"/>
        </w:rPr>
      </w:pPr>
    </w:p>
    <w:p w14:paraId="4B1739E4" w14:textId="715DA291" w:rsidR="00037F7F" w:rsidRPr="00037F7F" w:rsidRDefault="00037F7F" w:rsidP="00037F7F">
      <w:pPr>
        <w:spacing w:line="276" w:lineRule="auto"/>
        <w:ind w:left="1440" w:hanging="1440"/>
        <w:rPr>
          <w:rFonts w:ascii="Proxima Nova" w:hAnsi="Proxima Nova"/>
        </w:rPr>
      </w:pPr>
      <w:r w:rsidRPr="00037F7F">
        <w:rPr>
          <w:rFonts w:ascii="Proxima Nova" w:hAnsi="Proxima Nova"/>
          <w:b/>
          <w:color w:val="AC1F79"/>
        </w:rPr>
        <w:t xml:space="preserve">Question </w:t>
      </w:r>
      <w:r>
        <w:rPr>
          <w:rFonts w:ascii="Proxima Nova" w:hAnsi="Proxima Nova"/>
          <w:b/>
          <w:color w:val="AC1F79"/>
        </w:rPr>
        <w:t>3</w:t>
      </w:r>
      <w:r w:rsidRPr="00037F7F">
        <w:rPr>
          <w:rFonts w:ascii="Proxima Nova" w:hAnsi="Proxima Nova"/>
          <w:b/>
          <w:color w:val="AC1F79"/>
        </w:rPr>
        <w:t>:</w:t>
      </w:r>
      <w:r>
        <w:rPr>
          <w:rFonts w:ascii="Proxima Nova" w:hAnsi="Proxima Nova"/>
          <w:b/>
          <w:color w:val="AC1F79"/>
        </w:rPr>
        <w:tab/>
      </w:r>
      <w:r w:rsidRPr="00037F7F">
        <w:rPr>
          <w:rFonts w:ascii="Proxima Nova" w:hAnsi="Proxima Nova"/>
          <w:b/>
          <w:color w:val="AC1F79"/>
        </w:rPr>
        <w:t>How often are people with disability subjected to restrictive practices?</w:t>
      </w:r>
    </w:p>
    <w:p w14:paraId="5514C069" w14:textId="77777777" w:rsidR="00037F7F" w:rsidRPr="00A07775" w:rsidRDefault="00037F7F" w:rsidP="00A07775">
      <w:pPr>
        <w:spacing w:line="276" w:lineRule="auto"/>
        <w:ind w:left="720" w:hanging="720"/>
        <w:rPr>
          <w:rFonts w:ascii="Proxima Nova" w:hAnsi="Proxima Nova"/>
          <w:sz w:val="22"/>
          <w:szCs w:val="22"/>
        </w:rPr>
      </w:pPr>
    </w:p>
    <w:p w14:paraId="4E6B1756" w14:textId="390D3E21" w:rsidR="008249A6"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Unfortunately, it is not possible to answer how often people with disability are subjected to restrictive practices, because there is an absence of publicly available data on the use of restrictive practices, including data that is disaggregated by gender. There is also an absence of publicly available data from courts and tribunals on appointment of substitute decision-makers to consent to restrictive practices and publicly available data from public guardianship organisations on the authorisation of restrictive practices, including data that is disaggregated by gender.</w:t>
      </w:r>
      <w:r w:rsidR="008249A6" w:rsidRPr="00A07775">
        <w:rPr>
          <w:rFonts w:ascii="Proxima Nova" w:hAnsi="Proxima Nova"/>
          <w:sz w:val="22"/>
          <w:szCs w:val="22"/>
        </w:rPr>
        <w:t xml:space="preserve"> However, we do note that restrictive practices are systemically routinely used in disability and aged care services, and this is supported by the current legality of restrictive pra</w:t>
      </w:r>
      <w:r w:rsidR="00B0767F" w:rsidRPr="00A07775">
        <w:rPr>
          <w:rFonts w:ascii="Proxima Nova" w:hAnsi="Proxima Nova"/>
          <w:sz w:val="22"/>
          <w:szCs w:val="22"/>
        </w:rPr>
        <w:t>c</w:t>
      </w:r>
      <w:r w:rsidR="008249A6" w:rsidRPr="00A07775">
        <w:rPr>
          <w:rFonts w:ascii="Proxima Nova" w:hAnsi="Proxima Nova"/>
          <w:sz w:val="22"/>
          <w:szCs w:val="22"/>
        </w:rPr>
        <w:t>tices, including in the regulatory frameworks of disability and aged care services.</w:t>
      </w:r>
    </w:p>
    <w:p w14:paraId="1C9AAE66" w14:textId="77777777" w:rsidR="00037F7F" w:rsidRPr="00A07775" w:rsidRDefault="00037F7F" w:rsidP="00A07775">
      <w:pPr>
        <w:spacing w:line="276" w:lineRule="auto"/>
        <w:ind w:left="720" w:hanging="720"/>
        <w:rPr>
          <w:rFonts w:ascii="Proxima Nova" w:hAnsi="Proxima Nova"/>
          <w:sz w:val="22"/>
          <w:szCs w:val="22"/>
        </w:rPr>
      </w:pPr>
    </w:p>
    <w:p w14:paraId="1E31D1D4" w14:textId="66AED8E6" w:rsidR="002C4DFD" w:rsidRPr="00A07775" w:rsidRDefault="002C4DFD" w:rsidP="00A07775">
      <w:pPr>
        <w:pStyle w:val="ListParagraph"/>
        <w:numPr>
          <w:ilvl w:val="1"/>
          <w:numId w:val="38"/>
        </w:numPr>
        <w:autoSpaceDE w:val="0"/>
        <w:autoSpaceDN w:val="0"/>
        <w:adjustRightInd w:val="0"/>
        <w:spacing w:line="276" w:lineRule="auto"/>
        <w:ind w:left="720" w:hanging="720"/>
        <w:contextualSpacing w:val="0"/>
        <w:rPr>
          <w:rFonts w:ascii="Proxima Nova" w:hAnsi="Proxima Nova"/>
          <w:color w:val="7030A0"/>
          <w:sz w:val="22"/>
          <w:szCs w:val="22"/>
          <w:u w:val="single"/>
        </w:rPr>
      </w:pPr>
      <w:r w:rsidRPr="00A07775">
        <w:rPr>
          <w:rFonts w:ascii="Proxima Nova" w:hAnsi="Proxima Nova" w:cstheme="minorHAnsi"/>
          <w:sz w:val="22"/>
          <w:szCs w:val="22"/>
        </w:rPr>
        <w:t xml:space="preserve">Regardless, we caution </w:t>
      </w:r>
      <w:r w:rsidR="000262D1" w:rsidRPr="00A07775">
        <w:rPr>
          <w:rFonts w:ascii="Proxima Nova" w:hAnsi="Proxima Nova" w:cstheme="minorHAnsi"/>
          <w:sz w:val="22"/>
          <w:szCs w:val="22"/>
        </w:rPr>
        <w:t>assessing</w:t>
      </w:r>
      <w:r w:rsidR="008249A6" w:rsidRPr="00A07775">
        <w:rPr>
          <w:rFonts w:ascii="Proxima Nova" w:hAnsi="Proxima Nova" w:cstheme="minorHAnsi"/>
          <w:sz w:val="22"/>
          <w:szCs w:val="22"/>
        </w:rPr>
        <w:t xml:space="preserve"> the extent of the violence of restrictive practices by reference to a quantitative evaluation of the</w:t>
      </w:r>
      <w:r w:rsidRPr="00A07775">
        <w:rPr>
          <w:rFonts w:ascii="Proxima Nova" w:hAnsi="Proxima Nova" w:cstheme="minorHAnsi"/>
          <w:sz w:val="22"/>
          <w:szCs w:val="22"/>
        </w:rPr>
        <w:t xml:space="preserve"> frequency of </w:t>
      </w:r>
      <w:r w:rsidR="008249A6" w:rsidRPr="00A07775">
        <w:rPr>
          <w:rFonts w:ascii="Proxima Nova" w:hAnsi="Proxima Nova" w:cstheme="minorHAnsi"/>
          <w:sz w:val="22"/>
          <w:szCs w:val="22"/>
        </w:rPr>
        <w:t>their use</w:t>
      </w:r>
      <w:r w:rsidR="00734F01" w:rsidRPr="00A07775">
        <w:rPr>
          <w:rFonts w:ascii="Proxima Nova" w:hAnsi="Proxima Nova" w:cstheme="minorHAnsi"/>
          <w:sz w:val="22"/>
          <w:szCs w:val="22"/>
        </w:rPr>
        <w:t xml:space="preserve"> as an </w:t>
      </w:r>
      <w:r w:rsidR="00335AD1" w:rsidRPr="00A07775">
        <w:rPr>
          <w:rFonts w:ascii="Proxima Nova" w:hAnsi="Proxima Nova" w:cstheme="minorHAnsi"/>
          <w:sz w:val="22"/>
          <w:szCs w:val="22"/>
        </w:rPr>
        <w:t>isolated phenomenon</w:t>
      </w:r>
      <w:r w:rsidRPr="00A07775">
        <w:rPr>
          <w:rFonts w:ascii="Proxima Nova" w:hAnsi="Proxima Nova" w:cstheme="minorHAnsi"/>
          <w:sz w:val="22"/>
          <w:szCs w:val="22"/>
        </w:rPr>
        <w:t xml:space="preserve">. It is important to understand subjection to restrictive practices as one dimension of longer-term structural violence experienced by people with disability, including women and girls with disability. Methodologically, the Royal Commission might explore </w:t>
      </w:r>
      <w:proofErr w:type="gramStart"/>
      <w:r w:rsidRPr="00A07775">
        <w:rPr>
          <w:rFonts w:ascii="Proxima Nova" w:hAnsi="Proxima Nova" w:cstheme="minorHAnsi"/>
          <w:sz w:val="22"/>
          <w:szCs w:val="22"/>
        </w:rPr>
        <w:t>particular embodied</w:t>
      </w:r>
      <w:proofErr w:type="gramEnd"/>
      <w:r w:rsidRPr="00A07775">
        <w:rPr>
          <w:rFonts w:ascii="Proxima Nova" w:hAnsi="Proxima Nova" w:cstheme="minorHAnsi"/>
          <w:sz w:val="22"/>
          <w:szCs w:val="22"/>
        </w:rPr>
        <w:t xml:space="preserve"> individuals’ entire life courses in order to understand the cumulative and interrelatedness of experiences of violence across one’s life and how this shapes the overall possibilities for flourishing. It would also allow the Royal Commission to explore how different systems’ logics, practices and legal frameworks interlock to hold certain disabled populations in a way of life where violence is naturalised</w:t>
      </w:r>
      <w:r w:rsidRPr="00A07775">
        <w:rPr>
          <w:rFonts w:ascii="Proxima Nova" w:hAnsi="Proxima Nova" w:cstheme="minorHAnsi"/>
          <w:sz w:val="22"/>
          <w:szCs w:val="22"/>
          <w:lang w:val="en"/>
        </w:rPr>
        <w:t>.</w:t>
      </w:r>
    </w:p>
    <w:p w14:paraId="1BF80DB4" w14:textId="0639402A" w:rsidR="00037F7F" w:rsidRPr="00A07775" w:rsidRDefault="00037F7F" w:rsidP="00A07775">
      <w:pPr>
        <w:autoSpaceDE w:val="0"/>
        <w:autoSpaceDN w:val="0"/>
        <w:adjustRightInd w:val="0"/>
        <w:spacing w:line="276" w:lineRule="auto"/>
        <w:ind w:left="720" w:hanging="720"/>
        <w:rPr>
          <w:rFonts w:ascii="Proxima Nova" w:hAnsi="Proxima Nova"/>
          <w:color w:val="7030A0"/>
          <w:sz w:val="22"/>
          <w:szCs w:val="22"/>
        </w:rPr>
      </w:pPr>
    </w:p>
    <w:p w14:paraId="5D5F3BA9" w14:textId="2980A946" w:rsidR="00037F7F" w:rsidRPr="00A07775" w:rsidRDefault="00037F7F" w:rsidP="00A07775">
      <w:pPr>
        <w:autoSpaceDE w:val="0"/>
        <w:autoSpaceDN w:val="0"/>
        <w:adjustRightInd w:val="0"/>
        <w:spacing w:line="276" w:lineRule="auto"/>
        <w:rPr>
          <w:rFonts w:ascii="Proxima Nova" w:hAnsi="Proxima Nova"/>
          <w:color w:val="7030A0"/>
          <w:sz w:val="22"/>
          <w:szCs w:val="22"/>
        </w:rPr>
      </w:pPr>
    </w:p>
    <w:p w14:paraId="0DF55AAF" w14:textId="30C898D6" w:rsidR="00A563D1" w:rsidRPr="00037F7F" w:rsidRDefault="00A563D1" w:rsidP="00A563D1">
      <w:pPr>
        <w:spacing w:line="276" w:lineRule="auto"/>
        <w:ind w:left="1440" w:hanging="1440"/>
        <w:rPr>
          <w:rFonts w:ascii="Proxima Nova" w:hAnsi="Proxima Nova"/>
        </w:rPr>
      </w:pPr>
      <w:r w:rsidRPr="00037F7F">
        <w:rPr>
          <w:rFonts w:ascii="Proxima Nova" w:hAnsi="Proxima Nova"/>
          <w:b/>
          <w:color w:val="AC1F79"/>
        </w:rPr>
        <w:t xml:space="preserve">Question </w:t>
      </w:r>
      <w:r>
        <w:rPr>
          <w:rFonts w:ascii="Proxima Nova" w:hAnsi="Proxima Nova"/>
          <w:b/>
          <w:color w:val="AC1F79"/>
        </w:rPr>
        <w:t>4</w:t>
      </w:r>
      <w:r w:rsidRPr="00037F7F">
        <w:rPr>
          <w:rFonts w:ascii="Proxima Nova" w:hAnsi="Proxima Nova"/>
          <w:b/>
          <w:color w:val="AC1F79"/>
        </w:rPr>
        <w:t>:</w:t>
      </w:r>
      <w:r>
        <w:rPr>
          <w:rFonts w:ascii="Proxima Nova" w:hAnsi="Proxima Nova"/>
          <w:b/>
          <w:color w:val="AC1F79"/>
        </w:rPr>
        <w:tab/>
      </w:r>
      <w:r w:rsidRPr="00A563D1">
        <w:rPr>
          <w:rFonts w:ascii="Proxima Nova" w:hAnsi="Proxima Nova"/>
          <w:b/>
          <w:color w:val="AC1F79"/>
        </w:rPr>
        <w:t>Where or in what circumstances are restrictive practices used?</w:t>
      </w:r>
    </w:p>
    <w:p w14:paraId="2D4D7B93" w14:textId="41513581" w:rsidR="00A563D1" w:rsidRPr="00037F7F" w:rsidRDefault="00A563D1" w:rsidP="00A563D1">
      <w:pPr>
        <w:spacing w:line="276" w:lineRule="auto"/>
        <w:ind w:left="1440" w:hanging="1440"/>
        <w:rPr>
          <w:rFonts w:ascii="Proxima Nova" w:hAnsi="Proxima Nova"/>
        </w:rPr>
      </w:pPr>
      <w:r w:rsidRPr="00037F7F">
        <w:rPr>
          <w:rFonts w:ascii="Proxima Nova" w:hAnsi="Proxima Nova"/>
          <w:b/>
          <w:color w:val="AC1F79"/>
        </w:rPr>
        <w:t xml:space="preserve">Question </w:t>
      </w:r>
      <w:r>
        <w:rPr>
          <w:rFonts w:ascii="Proxima Nova" w:hAnsi="Proxima Nova"/>
          <w:b/>
          <w:color w:val="AC1F79"/>
        </w:rPr>
        <w:t>5</w:t>
      </w:r>
      <w:r w:rsidRPr="00037F7F">
        <w:rPr>
          <w:rFonts w:ascii="Proxima Nova" w:hAnsi="Proxima Nova"/>
          <w:b/>
          <w:color w:val="AC1F79"/>
        </w:rPr>
        <w:t>:</w:t>
      </w:r>
      <w:r>
        <w:rPr>
          <w:rFonts w:ascii="Proxima Nova" w:hAnsi="Proxima Nova"/>
          <w:b/>
          <w:color w:val="AC1F79"/>
        </w:rPr>
        <w:tab/>
      </w:r>
      <w:r w:rsidRPr="00A563D1">
        <w:rPr>
          <w:rFonts w:ascii="Proxima Nova" w:hAnsi="Proxima Nova"/>
          <w:b/>
          <w:color w:val="AC1F79"/>
        </w:rPr>
        <w:t>Why are restrictive practices used?</w:t>
      </w:r>
    </w:p>
    <w:p w14:paraId="7DC96817" w14:textId="77777777" w:rsidR="002C4DFD" w:rsidRPr="00A07775" w:rsidRDefault="002C4DFD" w:rsidP="00A07775">
      <w:pPr>
        <w:spacing w:line="276" w:lineRule="auto"/>
        <w:ind w:left="720" w:hanging="720"/>
        <w:rPr>
          <w:rFonts w:ascii="Proxima Nova" w:hAnsi="Proxima Nova"/>
          <w:color w:val="7030A0"/>
          <w:sz w:val="22"/>
          <w:szCs w:val="22"/>
          <w:u w:val="single"/>
        </w:rPr>
      </w:pPr>
    </w:p>
    <w:p w14:paraId="6B8960D4" w14:textId="0B9EAB34" w:rsidR="005560B2" w:rsidRPr="00A07775" w:rsidRDefault="005560B2"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Restrictive practices are used for organisational convenience, efficiency, legitimation, risk management and profit or financial gain. </w:t>
      </w:r>
      <w:r w:rsidR="00C51F6F" w:rsidRPr="00A07775">
        <w:rPr>
          <w:rFonts w:ascii="Proxima Nova" w:hAnsi="Proxima Nova"/>
          <w:sz w:val="22"/>
          <w:szCs w:val="22"/>
        </w:rPr>
        <w:t>Restrictive practices are used to control, exclude, segregate and isolate people with disability. Restrictive practices are used to enforce ableist, racist and sexist norms of behaviour, appearance and identity. Yet, they also have a productive dimension. They can also be used to extract profit from the bodies of people with disability because restrictive practices can enhance the economic efficiency of care provision and thus maximise the profit extracted from a disabled body in care.</w:t>
      </w:r>
      <w:r w:rsidR="006D2E88" w:rsidRPr="00A07775">
        <w:rPr>
          <w:rFonts w:ascii="Proxima Nova" w:hAnsi="Proxima Nova"/>
          <w:sz w:val="22"/>
          <w:szCs w:val="22"/>
        </w:rPr>
        <w:t xml:space="preserve"> </w:t>
      </w:r>
    </w:p>
    <w:p w14:paraId="611AAA1A" w14:textId="49A0E99B" w:rsidR="006D2E88" w:rsidRPr="00A07775" w:rsidRDefault="006D2E88" w:rsidP="00A07775">
      <w:pPr>
        <w:spacing w:line="276" w:lineRule="auto"/>
        <w:ind w:left="720" w:hanging="720"/>
        <w:rPr>
          <w:rFonts w:ascii="Proxima Nova" w:hAnsi="Proxima Nova"/>
          <w:sz w:val="22"/>
          <w:szCs w:val="22"/>
        </w:rPr>
      </w:pPr>
    </w:p>
    <w:p w14:paraId="7BF10C22" w14:textId="77777777" w:rsidR="0066366D" w:rsidRPr="00A07775" w:rsidRDefault="0066366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lastRenderedPageBreak/>
        <w:t>Restrictive practices are also used because they are legal. Legal doctrine permits restrictive practices per se, and courts and tribunals enable perpetration of restrictive practices in relation to specific individuals. If the Royal Commission wants to end violence against people with disability through restrictive practices, it needs to abolish substitute decision-making and compulsory treatment laws that currently enable restrictive practices.</w:t>
      </w:r>
    </w:p>
    <w:p w14:paraId="37CCC43C" w14:textId="77777777" w:rsidR="0066366D" w:rsidRPr="00A07775" w:rsidRDefault="0066366D" w:rsidP="00A07775">
      <w:pPr>
        <w:spacing w:line="276" w:lineRule="auto"/>
        <w:ind w:left="720" w:hanging="720"/>
        <w:rPr>
          <w:rFonts w:ascii="Proxima Nova" w:hAnsi="Proxima Nova"/>
          <w:color w:val="7030A0"/>
          <w:sz w:val="22"/>
          <w:szCs w:val="22"/>
          <w:u w:val="single"/>
        </w:rPr>
      </w:pPr>
    </w:p>
    <w:p w14:paraId="6D4E7924" w14:textId="04E8C7DF" w:rsidR="002C4DFD" w:rsidRPr="00A07775" w:rsidRDefault="00B518D8" w:rsidP="00A07775">
      <w:pPr>
        <w:pStyle w:val="ListParagraph"/>
        <w:numPr>
          <w:ilvl w:val="1"/>
          <w:numId w:val="38"/>
        </w:numPr>
        <w:spacing w:line="276" w:lineRule="auto"/>
        <w:ind w:left="720" w:hanging="720"/>
        <w:rPr>
          <w:rFonts w:ascii="Proxima Nova" w:hAnsi="Proxima Nova"/>
          <w:color w:val="7030A0"/>
          <w:sz w:val="22"/>
          <w:szCs w:val="22"/>
          <w:u w:val="single"/>
        </w:rPr>
      </w:pPr>
      <w:r w:rsidRPr="00A07775">
        <w:rPr>
          <w:rFonts w:ascii="Proxima Nova" w:hAnsi="Proxima Nova"/>
          <w:sz w:val="22"/>
          <w:szCs w:val="22"/>
        </w:rPr>
        <w:t xml:space="preserve">The conventional rationale for using restrictive practices – responding to ‘challenging behaviour’ or ‘behaviours of concern’ – </w:t>
      </w:r>
      <w:r w:rsidR="009B34AF" w:rsidRPr="00A07775">
        <w:rPr>
          <w:rFonts w:ascii="Proxima Nova" w:hAnsi="Proxima Nova"/>
          <w:sz w:val="22"/>
          <w:szCs w:val="22"/>
        </w:rPr>
        <w:t>individualises</w:t>
      </w:r>
      <w:r w:rsidR="00FD75CD" w:rsidRPr="00A07775">
        <w:rPr>
          <w:rFonts w:ascii="Proxima Nova" w:hAnsi="Proxima Nova"/>
          <w:sz w:val="22"/>
          <w:szCs w:val="22"/>
        </w:rPr>
        <w:t>, pathologises</w:t>
      </w:r>
      <w:r w:rsidR="009B34AF" w:rsidRPr="00A07775">
        <w:rPr>
          <w:rFonts w:ascii="Proxima Nova" w:hAnsi="Proxima Nova"/>
          <w:sz w:val="22"/>
          <w:szCs w:val="22"/>
        </w:rPr>
        <w:t xml:space="preserve"> and neutralises disabled people’s legitimate responses to their living arrangements and experiences of oppression, structural discrimination and violence. </w:t>
      </w:r>
    </w:p>
    <w:p w14:paraId="31B110C5" w14:textId="40AF4E5A" w:rsidR="002C4DFD" w:rsidRPr="00A07775" w:rsidRDefault="002C4DFD" w:rsidP="00A07775">
      <w:pPr>
        <w:spacing w:line="276" w:lineRule="auto"/>
        <w:ind w:left="720" w:hanging="720"/>
        <w:rPr>
          <w:rFonts w:ascii="Proxima Nova" w:hAnsi="Proxima Nova"/>
          <w:sz w:val="22"/>
          <w:szCs w:val="22"/>
        </w:rPr>
      </w:pPr>
    </w:p>
    <w:p w14:paraId="3C77B7AA" w14:textId="77777777"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Restrictive practices are used in group homes, family homes, aged care facilities, schools, day programs, segregated employment (ADEs), segregated and general school settings, prisons and mental health facilities. However, they are not limited to certain settings. For some individuals, restrictive practices travel with them via guardianship orders, community treatment orders, community forensic mental health and court diversion orders. In this way, </w:t>
      </w:r>
      <w:r w:rsidRPr="00A07775">
        <w:rPr>
          <w:rFonts w:ascii="Proxima Nova" w:hAnsi="Proxima Nova" w:cstheme="minorHAnsi"/>
          <w:sz w:val="22"/>
          <w:szCs w:val="22"/>
        </w:rPr>
        <w:t xml:space="preserve">use of restrictive practices can have the effect of transforming places in the general community (such as a family home or group home which are otherwise unlocked to other residents) into segregated and closed settings. </w:t>
      </w:r>
    </w:p>
    <w:p w14:paraId="57CDDA96" w14:textId="77777777" w:rsidR="002C4DFD" w:rsidRPr="00A07775" w:rsidRDefault="002C4DFD" w:rsidP="00A07775">
      <w:pPr>
        <w:pStyle w:val="ListParagraph"/>
        <w:spacing w:line="276" w:lineRule="auto"/>
        <w:ind w:hanging="720"/>
        <w:rPr>
          <w:rFonts w:ascii="Proxima Nova" w:hAnsi="Proxima Nova" w:cstheme="minorHAnsi"/>
          <w:sz w:val="22"/>
          <w:szCs w:val="22"/>
        </w:rPr>
      </w:pPr>
    </w:p>
    <w:p w14:paraId="0F478091" w14:textId="0C1999EF"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Non-consensual and coercive sterilisation, menstrual suppression, contraception, abortion and denial of support for sexual activity and intimate relationships are used in circumstances where service providers and family members have stigma towards menstrual blood and towards women and girls with disability as sexual, reproductive and lovable beings. Yet, it is not only about stigma. It is also important to explore how these </w:t>
      </w:r>
      <w:r w:rsidR="0077388A" w:rsidRPr="00A07775">
        <w:rPr>
          <w:rFonts w:ascii="Proxima Nova" w:hAnsi="Proxima Nova"/>
          <w:sz w:val="22"/>
          <w:szCs w:val="22"/>
        </w:rPr>
        <w:t xml:space="preserve">forms of </w:t>
      </w:r>
      <w:r w:rsidRPr="00A07775">
        <w:rPr>
          <w:rFonts w:ascii="Proxima Nova" w:hAnsi="Proxima Nova"/>
          <w:sz w:val="22"/>
          <w:szCs w:val="22"/>
        </w:rPr>
        <w:t xml:space="preserve">restrictive practices are used due to economic drivers of services maximising efficiency and work health and safety risk management. Profiting from women and girls’ bodies through provision of disability support services can </w:t>
      </w:r>
      <w:r w:rsidR="00B0767F" w:rsidRPr="00A07775">
        <w:rPr>
          <w:rFonts w:ascii="Proxima Nova" w:hAnsi="Proxima Nova"/>
          <w:sz w:val="22"/>
          <w:szCs w:val="22"/>
        </w:rPr>
        <w:t>result in</w:t>
      </w:r>
      <w:r w:rsidRPr="00A07775">
        <w:rPr>
          <w:rFonts w:ascii="Proxima Nova" w:hAnsi="Proxima Nova"/>
          <w:sz w:val="22"/>
          <w:szCs w:val="22"/>
        </w:rPr>
        <w:t xml:space="preserve"> their embodied </w:t>
      </w:r>
      <w:r w:rsidR="0077388A" w:rsidRPr="00A07775">
        <w:rPr>
          <w:rFonts w:ascii="Proxima Nova" w:hAnsi="Proxima Nova"/>
          <w:sz w:val="22"/>
          <w:szCs w:val="22"/>
        </w:rPr>
        <w:t xml:space="preserve">and social </w:t>
      </w:r>
      <w:r w:rsidRPr="00A07775">
        <w:rPr>
          <w:rFonts w:ascii="Proxima Nova" w:hAnsi="Proxima Nova"/>
          <w:sz w:val="22"/>
          <w:szCs w:val="22"/>
        </w:rPr>
        <w:t xml:space="preserve">gendered experiences </w:t>
      </w:r>
      <w:r w:rsidR="00B0767F" w:rsidRPr="00A07775">
        <w:rPr>
          <w:rFonts w:ascii="Proxima Nova" w:hAnsi="Proxima Nova"/>
          <w:sz w:val="22"/>
          <w:szCs w:val="22"/>
        </w:rPr>
        <w:t xml:space="preserve">being judged </w:t>
      </w:r>
      <w:r w:rsidRPr="00A07775">
        <w:rPr>
          <w:rFonts w:ascii="Proxima Nova" w:hAnsi="Proxima Nova"/>
          <w:sz w:val="22"/>
          <w:szCs w:val="22"/>
        </w:rPr>
        <w:t>as too costly, labour-intensive and organisationally risky.</w:t>
      </w:r>
    </w:p>
    <w:p w14:paraId="253D9DE7" w14:textId="41C763E5" w:rsidR="002C4DFD" w:rsidRPr="00A07775" w:rsidRDefault="002C4DFD" w:rsidP="00A07775">
      <w:pPr>
        <w:pStyle w:val="ListParagraph"/>
        <w:spacing w:line="276" w:lineRule="auto"/>
        <w:ind w:hanging="720"/>
        <w:rPr>
          <w:rFonts w:ascii="Proxima Nova" w:hAnsi="Proxima Nova"/>
          <w:color w:val="7030A0"/>
          <w:sz w:val="22"/>
          <w:szCs w:val="22"/>
          <w:u w:val="single"/>
        </w:rPr>
      </w:pPr>
    </w:p>
    <w:p w14:paraId="19502D92" w14:textId="5C7D9600" w:rsidR="00AB1A18" w:rsidRPr="00A07775" w:rsidRDefault="00AB1A18" w:rsidP="00A07775">
      <w:pPr>
        <w:pStyle w:val="ListParagraph"/>
        <w:spacing w:line="276" w:lineRule="auto"/>
        <w:ind w:hanging="720"/>
        <w:rPr>
          <w:rFonts w:ascii="Proxima Nova" w:hAnsi="Proxima Nova"/>
          <w:color w:val="7030A0"/>
          <w:sz w:val="22"/>
          <w:szCs w:val="22"/>
          <w:u w:val="single"/>
        </w:rPr>
      </w:pPr>
    </w:p>
    <w:p w14:paraId="7504B3CB" w14:textId="2CB7F804" w:rsidR="00AB1A18" w:rsidRPr="00037F7F" w:rsidRDefault="00AB1A18" w:rsidP="00AB1A18">
      <w:pPr>
        <w:spacing w:line="276" w:lineRule="auto"/>
        <w:ind w:left="1440" w:hanging="1440"/>
        <w:rPr>
          <w:rFonts w:ascii="Proxima Nova" w:hAnsi="Proxima Nova"/>
        </w:rPr>
      </w:pPr>
      <w:r w:rsidRPr="00037F7F">
        <w:rPr>
          <w:rFonts w:ascii="Proxima Nova" w:hAnsi="Proxima Nova"/>
          <w:b/>
          <w:color w:val="AC1F79"/>
        </w:rPr>
        <w:t xml:space="preserve">Question </w:t>
      </w:r>
      <w:r>
        <w:rPr>
          <w:rFonts w:ascii="Proxima Nova" w:hAnsi="Proxima Nova"/>
          <w:b/>
          <w:color w:val="AC1F79"/>
        </w:rPr>
        <w:t>6</w:t>
      </w:r>
      <w:r w:rsidRPr="00037F7F">
        <w:rPr>
          <w:rFonts w:ascii="Proxima Nova" w:hAnsi="Proxima Nova"/>
          <w:b/>
          <w:color w:val="AC1F79"/>
        </w:rPr>
        <w:t>:</w:t>
      </w:r>
      <w:r>
        <w:rPr>
          <w:rFonts w:ascii="Proxima Nova" w:hAnsi="Proxima Nova"/>
          <w:b/>
          <w:color w:val="AC1F79"/>
        </w:rPr>
        <w:tab/>
      </w:r>
      <w:r w:rsidRPr="00AB1A18">
        <w:rPr>
          <w:rFonts w:ascii="Proxima Nova" w:hAnsi="Proxima Nova"/>
          <w:b/>
          <w:color w:val="AC1F79"/>
        </w:rPr>
        <w:t>What are the effects of restrictive practices?</w:t>
      </w:r>
    </w:p>
    <w:p w14:paraId="58F072D0" w14:textId="77777777" w:rsidR="00AB1A18" w:rsidRPr="00A07775" w:rsidRDefault="00AB1A18" w:rsidP="009F6793">
      <w:pPr>
        <w:pStyle w:val="ListParagraph"/>
        <w:spacing w:line="276" w:lineRule="auto"/>
        <w:ind w:hanging="720"/>
        <w:rPr>
          <w:rFonts w:ascii="Proxima Nova" w:hAnsi="Proxima Nova"/>
          <w:color w:val="7030A0"/>
          <w:sz w:val="22"/>
          <w:szCs w:val="22"/>
          <w:u w:val="single"/>
        </w:rPr>
      </w:pPr>
    </w:p>
    <w:p w14:paraId="0DF9D974" w14:textId="77777777" w:rsidR="002C4DFD" w:rsidRPr="00A07775" w:rsidRDefault="002C4DFD" w:rsidP="009F6793">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The effects of restrictive practices include physical and psychological injury, long term trauma, long term physical health problems and premature death. At an individual level, they have the effect of contributing to isolation, segregation and confinement of people with disability. At a structural level, they contribute to discrimination, segregation, invisibility, oppression and dehumanisation of people with disability.</w:t>
      </w:r>
    </w:p>
    <w:p w14:paraId="4517E393" w14:textId="77777777" w:rsidR="002C4DFD" w:rsidRPr="00A07775" w:rsidRDefault="002C4DFD" w:rsidP="009F6793">
      <w:pPr>
        <w:spacing w:line="276" w:lineRule="auto"/>
        <w:ind w:left="720" w:hanging="720"/>
        <w:rPr>
          <w:rFonts w:ascii="Proxima Nova" w:hAnsi="Proxima Nova"/>
          <w:sz w:val="22"/>
          <w:szCs w:val="22"/>
        </w:rPr>
      </w:pPr>
    </w:p>
    <w:p w14:paraId="40824D3A" w14:textId="77777777" w:rsidR="002C4DFD" w:rsidRPr="00A07775" w:rsidRDefault="002C4DFD" w:rsidP="009F6793">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Restrictive practices violate various human rights in the CRPD and other international human rights instruments, including rights to </w:t>
      </w:r>
      <w:r w:rsidRPr="00A07775">
        <w:rPr>
          <w:rFonts w:ascii="Proxima Nova" w:hAnsi="Proxima Nova" w:cstheme="minorHAnsi"/>
          <w:color w:val="000000" w:themeColor="text1"/>
          <w:sz w:val="22"/>
          <w:szCs w:val="22"/>
          <w:lang w:bidi="en-US"/>
        </w:rPr>
        <w:t>equality and non-discrimination, freedom from violence and torture, legal capacity, personal integrity, liberty, and independent living and community inclusion.</w:t>
      </w:r>
    </w:p>
    <w:p w14:paraId="61D98734" w14:textId="77777777" w:rsidR="002C4DFD" w:rsidRPr="00A07775" w:rsidRDefault="002C4DFD" w:rsidP="009F6793">
      <w:pPr>
        <w:spacing w:line="276" w:lineRule="auto"/>
        <w:ind w:left="720" w:hanging="720"/>
        <w:rPr>
          <w:rFonts w:ascii="Proxima Nova" w:hAnsi="Proxima Nova"/>
          <w:sz w:val="22"/>
          <w:szCs w:val="22"/>
        </w:rPr>
      </w:pPr>
    </w:p>
    <w:p w14:paraId="7124CDA0" w14:textId="199AF84F" w:rsidR="002C4DFD" w:rsidRPr="00A07775" w:rsidRDefault="002C4DFD" w:rsidP="009F6793">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The effects of sterilisation, menstrual suppression, contraception, abortion, forced child removal and denial of support for sexual activity and intimate relationships for women and girls with disability are varied. They include the inability to have children and parent these children, the inability to experience menstruation, the inability to experience sexual pleasure and intimacy, the inability to love and be loved by an intimate partner or offspring child, physical health problems such as osteoporosis, early menopause and some</w:t>
      </w:r>
      <w:r w:rsidR="00541C28" w:rsidRPr="00A07775">
        <w:rPr>
          <w:rFonts w:ascii="Proxima Nova" w:hAnsi="Proxima Nova"/>
          <w:sz w:val="22"/>
          <w:szCs w:val="22"/>
        </w:rPr>
        <w:t xml:space="preserve"> </w:t>
      </w:r>
      <w:r w:rsidR="00335AD1" w:rsidRPr="00A07775">
        <w:rPr>
          <w:rFonts w:ascii="Proxima Nova" w:hAnsi="Proxima Nova"/>
          <w:sz w:val="22"/>
          <w:szCs w:val="22"/>
        </w:rPr>
        <w:t>gynaecological cancers</w:t>
      </w:r>
      <w:r w:rsidRPr="00A07775">
        <w:rPr>
          <w:rFonts w:ascii="Proxima Nova" w:hAnsi="Proxima Nova"/>
          <w:sz w:val="22"/>
          <w:szCs w:val="22"/>
        </w:rPr>
        <w:t>, and long-term trauma.</w:t>
      </w:r>
      <w:r w:rsidR="00541C28" w:rsidRPr="00A07775">
        <w:rPr>
          <w:rFonts w:ascii="Proxima Nova" w:hAnsi="Proxima Nova"/>
          <w:sz w:val="22"/>
          <w:szCs w:val="22"/>
        </w:rPr>
        <w:t xml:space="preserve"> The use of restrictive practices on women and girls with disability can mask violence, neglect, health problems, menopause and pain, all of which can perpetuate injustice and impunity, increase physical and psychological suffering, and cause premature death.</w:t>
      </w:r>
    </w:p>
    <w:p w14:paraId="2BF15702" w14:textId="77777777" w:rsidR="002C4DFD" w:rsidRPr="00A07775" w:rsidRDefault="002C4DFD" w:rsidP="009F6793">
      <w:pPr>
        <w:pStyle w:val="ListParagraph"/>
        <w:spacing w:line="276" w:lineRule="auto"/>
        <w:ind w:hanging="720"/>
        <w:rPr>
          <w:rFonts w:ascii="Proxima Nova" w:hAnsi="Proxima Nova"/>
          <w:sz w:val="22"/>
          <w:szCs w:val="22"/>
        </w:rPr>
      </w:pPr>
    </w:p>
    <w:p w14:paraId="61D2197C" w14:textId="2DFA58ED" w:rsidR="002C4DFD" w:rsidRPr="00A07775" w:rsidRDefault="002C4DFD" w:rsidP="009F6793">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The severe and long-term effects caused by restrictive practices necessitate redress, both redress for individual victims and structural redress that engages the community and is </w:t>
      </w:r>
      <w:r w:rsidRPr="00A07775">
        <w:rPr>
          <w:rFonts w:ascii="Proxima Nova" w:hAnsi="Proxima Nova"/>
          <w:sz w:val="22"/>
          <w:szCs w:val="22"/>
        </w:rPr>
        <w:lastRenderedPageBreak/>
        <w:t xml:space="preserve">directed towards the transformation of systems and cultures that sustain this violence. Consideration of redress should extend to historical instances of violence against people with disability as a vital component of transforming systems, structures and cultures of violence against people with disability. While the Royal Commission in </w:t>
      </w:r>
      <w:r w:rsidR="00DA04B7" w:rsidRPr="00A07775">
        <w:rPr>
          <w:rFonts w:ascii="Proxima Nova" w:hAnsi="Proxima Nova"/>
          <w:sz w:val="22"/>
          <w:szCs w:val="22"/>
        </w:rPr>
        <w:t>the DRC</w:t>
      </w:r>
      <w:r w:rsidRPr="00A07775">
        <w:rPr>
          <w:rFonts w:ascii="Proxima Nova" w:hAnsi="Proxima Nova"/>
          <w:sz w:val="22"/>
          <w:szCs w:val="22"/>
        </w:rPr>
        <w:t xml:space="preserve"> Interim Report acknowledges histories of violence,</w:t>
      </w:r>
      <w:r w:rsidRPr="00A07775">
        <w:rPr>
          <w:rStyle w:val="EndnoteReference"/>
          <w:rFonts w:ascii="Proxima Nova" w:hAnsi="Proxima Nova"/>
          <w:sz w:val="22"/>
          <w:szCs w:val="22"/>
        </w:rPr>
        <w:endnoteReference w:id="457"/>
      </w:r>
      <w:r w:rsidRPr="00A07775">
        <w:rPr>
          <w:rFonts w:ascii="Proxima Nova" w:hAnsi="Proxima Nova"/>
          <w:sz w:val="22"/>
          <w:szCs w:val="22"/>
        </w:rPr>
        <w:t xml:space="preserve"> it is unclear whether it will be exploring historical violence in any depth, including in the context of redress.</w:t>
      </w:r>
    </w:p>
    <w:p w14:paraId="54289113" w14:textId="77777777" w:rsidR="002C4DFD" w:rsidRPr="00A07775" w:rsidRDefault="002C4DFD" w:rsidP="009F6793">
      <w:pPr>
        <w:pStyle w:val="ListParagraph"/>
        <w:spacing w:line="276" w:lineRule="auto"/>
        <w:ind w:hanging="720"/>
        <w:rPr>
          <w:rFonts w:ascii="Proxima Nova" w:hAnsi="Proxima Nova"/>
          <w:sz w:val="22"/>
          <w:szCs w:val="22"/>
        </w:rPr>
      </w:pPr>
    </w:p>
    <w:p w14:paraId="33525660" w14:textId="695EB753" w:rsidR="002C4DFD" w:rsidRPr="00A07775" w:rsidRDefault="002C4DFD" w:rsidP="009F6793">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At the same time as causing such severe impacts on people with disability, restrictive practices can also have the effect of increased profits for disability services. Thus, any consideration of </w:t>
      </w:r>
      <w:r w:rsidR="00175579" w:rsidRPr="00A07775">
        <w:rPr>
          <w:rFonts w:ascii="Proxima Nova" w:hAnsi="Proxima Nova"/>
          <w:sz w:val="22"/>
          <w:szCs w:val="22"/>
        </w:rPr>
        <w:t xml:space="preserve">preventing and </w:t>
      </w:r>
      <w:r w:rsidRPr="00A07775">
        <w:rPr>
          <w:rFonts w:ascii="Proxima Nova" w:hAnsi="Proxima Nova"/>
          <w:sz w:val="22"/>
          <w:szCs w:val="22"/>
        </w:rPr>
        <w:t xml:space="preserve">redressing use of restrictive practices must extend to </w:t>
      </w:r>
      <w:r w:rsidR="00175579" w:rsidRPr="00A07775">
        <w:rPr>
          <w:rFonts w:ascii="Proxima Nova" w:hAnsi="Proxima Nova"/>
          <w:sz w:val="22"/>
          <w:szCs w:val="22"/>
        </w:rPr>
        <w:t xml:space="preserve">a comprehensive consideration of </w:t>
      </w:r>
      <w:r w:rsidRPr="00A07775">
        <w:rPr>
          <w:rFonts w:ascii="Proxima Nova" w:hAnsi="Proxima Nova"/>
          <w:sz w:val="22"/>
          <w:szCs w:val="22"/>
        </w:rPr>
        <w:t>the economic d</w:t>
      </w:r>
      <w:r w:rsidR="00175579" w:rsidRPr="00A07775">
        <w:rPr>
          <w:rFonts w:ascii="Proxima Nova" w:hAnsi="Proxima Nova"/>
          <w:sz w:val="22"/>
          <w:szCs w:val="22"/>
        </w:rPr>
        <w:t>ynamics</w:t>
      </w:r>
      <w:r w:rsidRPr="00A07775">
        <w:rPr>
          <w:rFonts w:ascii="Proxima Nova" w:hAnsi="Proxima Nova"/>
          <w:sz w:val="22"/>
          <w:szCs w:val="22"/>
        </w:rPr>
        <w:t xml:space="preserve"> of this violence.</w:t>
      </w:r>
    </w:p>
    <w:p w14:paraId="78C87DDC" w14:textId="2A5996CE" w:rsidR="002C4DFD" w:rsidRPr="00A07775" w:rsidRDefault="002C4DFD" w:rsidP="009F6793">
      <w:pPr>
        <w:spacing w:line="276" w:lineRule="auto"/>
        <w:ind w:left="720" w:hanging="720"/>
        <w:rPr>
          <w:rFonts w:ascii="Proxima Nova" w:hAnsi="Proxima Nova"/>
          <w:color w:val="7030A0"/>
          <w:sz w:val="22"/>
          <w:szCs w:val="22"/>
          <w:u w:val="single"/>
        </w:rPr>
      </w:pPr>
    </w:p>
    <w:p w14:paraId="49FB1E40" w14:textId="043552E2" w:rsidR="00F14EF6" w:rsidRPr="00A07775" w:rsidRDefault="00F14EF6" w:rsidP="009F6793">
      <w:pPr>
        <w:spacing w:line="276" w:lineRule="auto"/>
        <w:ind w:left="720" w:hanging="720"/>
        <w:rPr>
          <w:rFonts w:ascii="Proxima Nova" w:hAnsi="Proxima Nova"/>
          <w:color w:val="7030A0"/>
          <w:sz w:val="22"/>
          <w:szCs w:val="22"/>
          <w:u w:val="single"/>
        </w:rPr>
      </w:pPr>
    </w:p>
    <w:p w14:paraId="14535E32" w14:textId="5C6476FA" w:rsidR="00F14EF6" w:rsidRPr="00037F7F" w:rsidRDefault="00F14EF6" w:rsidP="00F14EF6">
      <w:pPr>
        <w:spacing w:line="276" w:lineRule="auto"/>
        <w:ind w:left="1440" w:hanging="1440"/>
        <w:rPr>
          <w:rFonts w:ascii="Proxima Nova" w:hAnsi="Proxima Nova"/>
        </w:rPr>
      </w:pPr>
      <w:r w:rsidRPr="00037F7F">
        <w:rPr>
          <w:rFonts w:ascii="Proxima Nova" w:hAnsi="Proxima Nova"/>
          <w:b/>
          <w:color w:val="AC1F79"/>
        </w:rPr>
        <w:t xml:space="preserve">Question </w:t>
      </w:r>
      <w:r>
        <w:rPr>
          <w:rFonts w:ascii="Proxima Nova" w:hAnsi="Proxima Nova"/>
          <w:b/>
          <w:color w:val="AC1F79"/>
        </w:rPr>
        <w:t>7</w:t>
      </w:r>
      <w:r w:rsidRPr="00037F7F">
        <w:rPr>
          <w:rFonts w:ascii="Proxima Nova" w:hAnsi="Proxima Nova"/>
          <w:b/>
          <w:color w:val="AC1F79"/>
        </w:rPr>
        <w:t>:</w:t>
      </w:r>
      <w:r>
        <w:rPr>
          <w:rFonts w:ascii="Proxima Nova" w:hAnsi="Proxima Nova"/>
          <w:b/>
          <w:color w:val="AC1F79"/>
        </w:rPr>
        <w:tab/>
      </w:r>
      <w:r w:rsidRPr="00F14EF6">
        <w:rPr>
          <w:rFonts w:ascii="Proxima Nova" w:hAnsi="Proxima Nova"/>
          <w:b/>
          <w:color w:val="AC1F79"/>
        </w:rPr>
        <w:t xml:space="preserve">Is the use of restrictive practices different for </w:t>
      </w:r>
      <w:proofErr w:type="gramStart"/>
      <w:r w:rsidRPr="00F14EF6">
        <w:rPr>
          <w:rFonts w:ascii="Proxima Nova" w:hAnsi="Proxima Nova"/>
          <w:b/>
          <w:color w:val="AC1F79"/>
        </w:rPr>
        <w:t>particular groups</w:t>
      </w:r>
      <w:proofErr w:type="gramEnd"/>
      <w:r w:rsidRPr="00F14EF6">
        <w:rPr>
          <w:rFonts w:ascii="Proxima Nova" w:hAnsi="Proxima Nova"/>
          <w:b/>
          <w:color w:val="AC1F79"/>
        </w:rPr>
        <w:t xml:space="preserve"> of people with disability? If so, how?</w:t>
      </w:r>
    </w:p>
    <w:p w14:paraId="029921F5" w14:textId="6086ABB4" w:rsidR="00F14EF6" w:rsidRPr="00037F7F" w:rsidRDefault="00F14EF6" w:rsidP="00F14EF6">
      <w:pPr>
        <w:spacing w:line="276" w:lineRule="auto"/>
        <w:ind w:left="1440"/>
        <w:rPr>
          <w:rFonts w:ascii="Proxima Nova" w:hAnsi="Proxima Nova"/>
        </w:rPr>
      </w:pPr>
      <w:r>
        <w:rPr>
          <w:rFonts w:ascii="Proxima Nova" w:hAnsi="Proxima Nova"/>
          <w:b/>
          <w:color w:val="AC1F79"/>
        </w:rPr>
        <w:t>A</w:t>
      </w:r>
      <w:r w:rsidRPr="00037F7F">
        <w:rPr>
          <w:rFonts w:ascii="Proxima Nova" w:hAnsi="Proxima Nova"/>
          <w:b/>
          <w:color w:val="AC1F79"/>
        </w:rPr>
        <w:t>:</w:t>
      </w:r>
      <w:r>
        <w:rPr>
          <w:rFonts w:ascii="Proxima Nova" w:hAnsi="Proxima Nova"/>
          <w:b/>
          <w:color w:val="AC1F79"/>
        </w:rPr>
        <w:t xml:space="preserve"> </w:t>
      </w:r>
      <w:r w:rsidRPr="00F14EF6">
        <w:rPr>
          <w:rFonts w:ascii="Proxima Nova" w:hAnsi="Proxima Nova"/>
          <w:b/>
          <w:color w:val="AC1F79"/>
        </w:rPr>
        <w:t>How is the use of restrictive practices on people with disability of different age, sex, gender identity, sexual orientation and race different? Are restrictive practices used on them at higher rates?</w:t>
      </w:r>
    </w:p>
    <w:p w14:paraId="5FE796CA" w14:textId="77777777" w:rsidR="00F14EF6" w:rsidRPr="00A07775" w:rsidRDefault="00F14EF6" w:rsidP="00F14EF6">
      <w:pPr>
        <w:spacing w:line="276" w:lineRule="auto"/>
        <w:ind w:left="720" w:hanging="720"/>
        <w:rPr>
          <w:rFonts w:ascii="Proxima Nova" w:hAnsi="Proxima Nova"/>
          <w:color w:val="7030A0"/>
          <w:sz w:val="22"/>
          <w:szCs w:val="22"/>
          <w:u w:val="single"/>
        </w:rPr>
      </w:pPr>
    </w:p>
    <w:p w14:paraId="2A6098C1" w14:textId="78BF3E12" w:rsidR="007D3FC2" w:rsidRPr="00A07775" w:rsidRDefault="002C4DFD" w:rsidP="00F14EF6">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The use of restrictive practices is different in relation to women and girls with disability, in terms of the forms, justifications and effects of restrictive practices. </w:t>
      </w:r>
      <w:r w:rsidR="007D3FC2" w:rsidRPr="00A07775">
        <w:rPr>
          <w:rFonts w:ascii="Proxima Nova" w:hAnsi="Proxima Nova"/>
          <w:sz w:val="22"/>
          <w:szCs w:val="22"/>
        </w:rPr>
        <w:t xml:space="preserve">Restrictive practices applied to women and girls with disability also extend to practices that are </w:t>
      </w:r>
      <w:r w:rsidR="00F23FE2" w:rsidRPr="00A07775">
        <w:rPr>
          <w:rFonts w:ascii="Proxima Nova" w:hAnsi="Proxima Nova"/>
          <w:sz w:val="22"/>
          <w:szCs w:val="22"/>
        </w:rPr>
        <w:t>inextricably</w:t>
      </w:r>
      <w:r w:rsidR="007D3FC2" w:rsidRPr="00A07775">
        <w:rPr>
          <w:rFonts w:ascii="Proxima Nova" w:hAnsi="Proxima Nova"/>
          <w:sz w:val="22"/>
          <w:szCs w:val="22"/>
        </w:rPr>
        <w:t xml:space="preserve"> related to </w:t>
      </w:r>
      <w:r w:rsidR="007D3FC2" w:rsidRPr="00A07775">
        <w:rPr>
          <w:rFonts w:ascii="Proxima Nova" w:hAnsi="Proxima Nova" w:cstheme="minorHAnsi"/>
          <w:sz w:val="22"/>
          <w:szCs w:val="22"/>
        </w:rPr>
        <w:t xml:space="preserve">embodied and social experiences that are gendered as female – such as menstruation, sexual assault and domestic violence victimisation, </w:t>
      </w:r>
      <w:r w:rsidR="000222B1" w:rsidRPr="00A07775">
        <w:rPr>
          <w:rFonts w:ascii="Proxima Nova" w:hAnsi="Proxima Nova" w:cstheme="minorHAnsi"/>
          <w:sz w:val="22"/>
          <w:szCs w:val="22"/>
        </w:rPr>
        <w:t xml:space="preserve">female </w:t>
      </w:r>
      <w:r w:rsidR="007D3FC2" w:rsidRPr="00A07775">
        <w:rPr>
          <w:rFonts w:ascii="Proxima Nova" w:hAnsi="Proxima Nova" w:cstheme="minorHAnsi"/>
          <w:sz w:val="22"/>
          <w:szCs w:val="22"/>
        </w:rPr>
        <w:t>sexuality and intimacy, reproduction, mothering, menopause, and gynaecological cancers.</w:t>
      </w:r>
      <w:r w:rsidR="007D3FC2" w:rsidRPr="00A07775">
        <w:rPr>
          <w:rFonts w:ascii="Proxima Nova" w:hAnsi="Proxima Nova"/>
          <w:sz w:val="22"/>
          <w:szCs w:val="22"/>
        </w:rPr>
        <w:t xml:space="preserve"> These restrictive practices </w:t>
      </w:r>
      <w:proofErr w:type="gramStart"/>
      <w:r w:rsidR="007D3FC2" w:rsidRPr="00A07775">
        <w:rPr>
          <w:rFonts w:ascii="Proxima Nova" w:hAnsi="Proxima Nova"/>
          <w:sz w:val="22"/>
          <w:szCs w:val="22"/>
        </w:rPr>
        <w:t>include:</w:t>
      </w:r>
      <w:proofErr w:type="gramEnd"/>
      <w:r w:rsidR="007D3FC2" w:rsidRPr="00A07775">
        <w:rPr>
          <w:rFonts w:ascii="Proxima Nova" w:hAnsi="Proxima Nova"/>
          <w:sz w:val="22"/>
          <w:szCs w:val="22"/>
        </w:rPr>
        <w:t xml:space="preserve"> </w:t>
      </w:r>
      <w:r w:rsidR="007D3FC2" w:rsidRPr="00A07775">
        <w:rPr>
          <w:rFonts w:ascii="Proxima Nova" w:hAnsi="Proxima Nova" w:cstheme="minorHAnsi"/>
          <w:sz w:val="22"/>
          <w:szCs w:val="22"/>
        </w:rPr>
        <w:t>non-consensual and coercive sterilisation, menstrual suppression, contraception and abortion,</w:t>
      </w:r>
      <w:r w:rsidR="007D3FC2" w:rsidRPr="00A07775">
        <w:rPr>
          <w:rFonts w:ascii="Proxima Nova" w:hAnsi="Proxima Nova"/>
          <w:sz w:val="22"/>
          <w:szCs w:val="22"/>
        </w:rPr>
        <w:t xml:space="preserve"> forced child removal and denial of support for sexual activity and intimate relationships.</w:t>
      </w:r>
    </w:p>
    <w:p w14:paraId="691C6A85" w14:textId="77777777" w:rsidR="007D3FC2" w:rsidRPr="00A07775" w:rsidRDefault="007D3FC2" w:rsidP="00F14EF6">
      <w:pPr>
        <w:spacing w:line="276" w:lineRule="auto"/>
        <w:ind w:left="720" w:hanging="720"/>
        <w:rPr>
          <w:rFonts w:ascii="Proxima Nova" w:hAnsi="Proxima Nova"/>
          <w:sz w:val="22"/>
          <w:szCs w:val="22"/>
        </w:rPr>
      </w:pPr>
    </w:p>
    <w:p w14:paraId="56237499" w14:textId="075D43B7" w:rsidR="002C4DFD" w:rsidRPr="00A07775" w:rsidRDefault="002C4DFD" w:rsidP="00F14EF6">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However, in considering the experiences of women and girls with disability, it is also important to be mindful that there is no singular experience characterising this group, and there is diversity of experi</w:t>
      </w:r>
      <w:r w:rsidR="007D3FC2" w:rsidRPr="00A07775">
        <w:rPr>
          <w:rFonts w:ascii="Proxima Nova" w:hAnsi="Proxima Nova"/>
          <w:sz w:val="22"/>
          <w:szCs w:val="22"/>
        </w:rPr>
        <w:t>ence.</w:t>
      </w:r>
    </w:p>
    <w:p w14:paraId="293CEE7F" w14:textId="77777777" w:rsidR="002C4DFD" w:rsidRPr="00A07775" w:rsidRDefault="002C4DFD" w:rsidP="00F14EF6">
      <w:pPr>
        <w:pStyle w:val="ListParagraph"/>
        <w:spacing w:line="276" w:lineRule="auto"/>
        <w:ind w:hanging="720"/>
        <w:rPr>
          <w:rFonts w:ascii="Proxima Nova" w:hAnsi="Proxima Nova"/>
          <w:sz w:val="22"/>
          <w:szCs w:val="22"/>
        </w:rPr>
      </w:pPr>
    </w:p>
    <w:p w14:paraId="21963A9B" w14:textId="77777777" w:rsidR="002C4DFD" w:rsidRPr="00A07775" w:rsidRDefault="002C4DFD" w:rsidP="00F14EF6">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Unfortunately, it is not possible to answer if women and girls with disability are subjected to a higher frequency of restrictive practices, because there is an absence of publicly available data on the use of restrictive practices, including data that is disaggregated by gender. There is also an absence of publicly available data on court and tribunal decision-making relating to substitute decision-making, including data that is disaggregated by gender. The Royal Commission must seek out this data from all relevant authorities so this data can inform its work and, where data collection is not taking place (or is not sufficiently disaggregated) the Royal Commission must make recommendations requiring data collection and public access to data.</w:t>
      </w:r>
    </w:p>
    <w:p w14:paraId="1B531631" w14:textId="567727A1" w:rsidR="002C4DFD" w:rsidRPr="00A07775" w:rsidRDefault="002C4DFD" w:rsidP="00F14EF6">
      <w:pPr>
        <w:spacing w:line="276" w:lineRule="auto"/>
        <w:ind w:left="720" w:hanging="720"/>
        <w:rPr>
          <w:rFonts w:ascii="Proxima Nova" w:hAnsi="Proxima Nova"/>
          <w:sz w:val="22"/>
          <w:szCs w:val="22"/>
        </w:rPr>
      </w:pPr>
    </w:p>
    <w:p w14:paraId="2AB33F93" w14:textId="77777777" w:rsidR="00CF129C" w:rsidRPr="00A07775" w:rsidRDefault="00CF129C" w:rsidP="00CF129C">
      <w:pPr>
        <w:pStyle w:val="ListParagraph"/>
        <w:spacing w:line="276" w:lineRule="auto"/>
        <w:ind w:hanging="720"/>
        <w:rPr>
          <w:rFonts w:ascii="Proxima Nova" w:hAnsi="Proxima Nova"/>
          <w:color w:val="7030A0"/>
          <w:sz w:val="22"/>
          <w:szCs w:val="22"/>
          <w:u w:val="single"/>
        </w:rPr>
      </w:pPr>
    </w:p>
    <w:p w14:paraId="399AC5BE" w14:textId="7AB25024" w:rsidR="00CF129C" w:rsidRPr="00037F7F" w:rsidRDefault="00CF129C" w:rsidP="00CF129C">
      <w:pPr>
        <w:spacing w:line="276" w:lineRule="auto"/>
        <w:ind w:left="1440" w:hanging="1440"/>
        <w:rPr>
          <w:rFonts w:ascii="Proxima Nova" w:hAnsi="Proxima Nova"/>
        </w:rPr>
      </w:pPr>
      <w:r w:rsidRPr="00037F7F">
        <w:rPr>
          <w:rFonts w:ascii="Proxima Nova" w:hAnsi="Proxima Nova"/>
          <w:b/>
          <w:color w:val="AC1F79"/>
        </w:rPr>
        <w:t xml:space="preserve">Question </w:t>
      </w:r>
      <w:r>
        <w:rPr>
          <w:rFonts w:ascii="Proxima Nova" w:hAnsi="Proxima Nova"/>
          <w:b/>
          <w:color w:val="AC1F79"/>
        </w:rPr>
        <w:t>8</w:t>
      </w:r>
      <w:r w:rsidRPr="00037F7F">
        <w:rPr>
          <w:rFonts w:ascii="Proxima Nova" w:hAnsi="Proxima Nova"/>
          <w:b/>
          <w:color w:val="AC1F79"/>
        </w:rPr>
        <w:t>:</w:t>
      </w:r>
      <w:r>
        <w:rPr>
          <w:rFonts w:ascii="Proxima Nova" w:hAnsi="Proxima Nova"/>
          <w:b/>
          <w:color w:val="AC1F79"/>
        </w:rPr>
        <w:tab/>
      </w:r>
      <w:r w:rsidRPr="00CF129C">
        <w:rPr>
          <w:rFonts w:ascii="Proxima Nova" w:hAnsi="Proxima Nova"/>
          <w:b/>
          <w:color w:val="AC1F79"/>
        </w:rPr>
        <w:t>Does the use of restrictive practices lead to further violence and abuse, neglect and exploitation of people with disability? If so, how?</w:t>
      </w:r>
    </w:p>
    <w:p w14:paraId="01A0CD9D" w14:textId="77777777" w:rsidR="00CF129C" w:rsidRPr="00A07775" w:rsidRDefault="00CF129C" w:rsidP="00CF129C">
      <w:pPr>
        <w:pStyle w:val="ListParagraph"/>
        <w:spacing w:line="276" w:lineRule="auto"/>
        <w:ind w:hanging="720"/>
        <w:rPr>
          <w:rFonts w:ascii="Proxima Nova" w:hAnsi="Proxima Nova"/>
          <w:color w:val="7030A0"/>
          <w:sz w:val="22"/>
          <w:szCs w:val="22"/>
          <w:u w:val="single"/>
        </w:rPr>
      </w:pPr>
    </w:p>
    <w:p w14:paraId="4F6DEF27" w14:textId="31BB4BA0" w:rsidR="002C4DFD" w:rsidRPr="00A07775" w:rsidRDefault="002C4DFD" w:rsidP="00CF129C">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U</w:t>
      </w:r>
      <w:r w:rsidRPr="00A07775">
        <w:rPr>
          <w:rFonts w:ascii="Proxima Nova" w:hAnsi="Proxima Nova" w:cstheme="minorHAnsi"/>
          <w:sz w:val="22"/>
          <w:szCs w:val="22"/>
        </w:rPr>
        <w:t xml:space="preserve">se of restrictive practices leads to further violence, abuse, neglect and exploitation because it results in isolation, segregation and </w:t>
      </w:r>
      <w:r w:rsidR="007D3FC2" w:rsidRPr="00A07775">
        <w:rPr>
          <w:rFonts w:ascii="Proxima Nova" w:hAnsi="Proxima Nova" w:cstheme="minorHAnsi"/>
          <w:sz w:val="22"/>
          <w:szCs w:val="22"/>
        </w:rPr>
        <w:t>confinement</w:t>
      </w:r>
      <w:r w:rsidRPr="00A07775">
        <w:rPr>
          <w:rFonts w:ascii="Proxima Nova" w:hAnsi="Proxima Nova" w:cstheme="minorHAnsi"/>
          <w:sz w:val="22"/>
          <w:szCs w:val="22"/>
        </w:rPr>
        <w:t xml:space="preserve"> of individuals. These conditions are known to increase perpetration of violence, and to result in a lack of transparency and accountability. </w:t>
      </w:r>
    </w:p>
    <w:p w14:paraId="477C8C20" w14:textId="77777777" w:rsidR="002C4DFD" w:rsidRPr="00A07775" w:rsidRDefault="002C4DFD" w:rsidP="00CF129C">
      <w:pPr>
        <w:spacing w:line="276" w:lineRule="auto"/>
        <w:ind w:left="720" w:hanging="720"/>
        <w:rPr>
          <w:rFonts w:ascii="Proxima Nova" w:hAnsi="Proxima Nova"/>
          <w:sz w:val="22"/>
          <w:szCs w:val="22"/>
        </w:rPr>
      </w:pPr>
    </w:p>
    <w:p w14:paraId="1018831E" w14:textId="77777777" w:rsidR="002C4DFD" w:rsidRPr="00A07775" w:rsidRDefault="002C4DFD" w:rsidP="00CF129C">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Use of restrictive practices as a response to ‘challenging behaviour’ or ‘behaviours of concern’ can also conceal the perpetration of violence and mask trauma and distress from previous experiences of violence. This means violence goes undetected and perpetrators are not held accountable, thus building a culture where violence can flourish. This is </w:t>
      </w:r>
      <w:r w:rsidRPr="00A07775">
        <w:rPr>
          <w:rFonts w:ascii="Proxima Nova" w:hAnsi="Proxima Nova"/>
          <w:sz w:val="22"/>
          <w:szCs w:val="22"/>
        </w:rPr>
        <w:lastRenderedPageBreak/>
        <w:t>particularly significant in segregated and closed settings where unlawful violence occurs (</w:t>
      </w:r>
      <w:proofErr w:type="gramStart"/>
      <w:r w:rsidRPr="00A07775">
        <w:rPr>
          <w:rFonts w:ascii="Proxima Nova" w:hAnsi="Proxima Nova"/>
          <w:sz w:val="22"/>
          <w:szCs w:val="22"/>
        </w:rPr>
        <w:t>e.g.</w:t>
      </w:r>
      <w:proofErr w:type="gramEnd"/>
      <w:r w:rsidRPr="00A07775">
        <w:rPr>
          <w:rFonts w:ascii="Proxima Nova" w:hAnsi="Proxima Nova"/>
          <w:sz w:val="22"/>
          <w:szCs w:val="22"/>
        </w:rPr>
        <w:t xml:space="preserve"> group homes, prisons, inpatient mental health facilities, RACFs).</w:t>
      </w:r>
    </w:p>
    <w:p w14:paraId="176AC10F" w14:textId="77777777" w:rsidR="002C4DFD" w:rsidRPr="00A07775" w:rsidRDefault="002C4DFD" w:rsidP="00CF129C">
      <w:pPr>
        <w:spacing w:line="276" w:lineRule="auto"/>
        <w:ind w:left="720" w:hanging="720"/>
        <w:rPr>
          <w:rFonts w:ascii="Proxima Nova" w:hAnsi="Proxima Nova"/>
          <w:sz w:val="22"/>
          <w:szCs w:val="22"/>
        </w:rPr>
      </w:pPr>
    </w:p>
    <w:p w14:paraId="757D27E6" w14:textId="572ED23F" w:rsidR="002C4DFD" w:rsidRPr="00A07775" w:rsidRDefault="002C4DFD" w:rsidP="00CF129C">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cstheme="minorHAnsi"/>
          <w:sz w:val="22"/>
          <w:szCs w:val="22"/>
        </w:rPr>
        <w:t>Use of restrictive practices in ADEs contributes to the economic exploitation of</w:t>
      </w:r>
      <w:r w:rsidR="000222B1" w:rsidRPr="00A07775">
        <w:rPr>
          <w:rFonts w:ascii="Proxima Nova" w:hAnsi="Proxima Nova" w:cstheme="minorHAnsi"/>
          <w:sz w:val="22"/>
          <w:szCs w:val="22"/>
        </w:rPr>
        <w:t xml:space="preserve"> people with disability</w:t>
      </w:r>
      <w:r w:rsidRPr="00A07775">
        <w:rPr>
          <w:rFonts w:ascii="Proxima Nova" w:hAnsi="Proxima Nova" w:cstheme="minorHAnsi"/>
          <w:sz w:val="22"/>
          <w:szCs w:val="22"/>
        </w:rPr>
        <w:t xml:space="preserve"> </w:t>
      </w:r>
      <w:proofErr w:type="gramStart"/>
      <w:r w:rsidRPr="00A07775">
        <w:rPr>
          <w:rFonts w:ascii="Proxima Nova" w:hAnsi="Proxima Nova" w:cstheme="minorHAnsi"/>
          <w:sz w:val="22"/>
          <w:szCs w:val="22"/>
        </w:rPr>
        <w:t xml:space="preserve">ADEs, </w:t>
      </w:r>
      <w:r w:rsidR="000222B1" w:rsidRPr="00A07775">
        <w:rPr>
          <w:rFonts w:ascii="Proxima Nova" w:hAnsi="Proxima Nova" w:cstheme="minorHAnsi"/>
          <w:sz w:val="22"/>
          <w:szCs w:val="22"/>
        </w:rPr>
        <w:t>and</w:t>
      </w:r>
      <w:proofErr w:type="gramEnd"/>
      <w:r w:rsidR="000222B1" w:rsidRPr="00A07775">
        <w:rPr>
          <w:rFonts w:ascii="Proxima Nova" w:hAnsi="Proxima Nova" w:cstheme="minorHAnsi"/>
          <w:sz w:val="22"/>
          <w:szCs w:val="22"/>
        </w:rPr>
        <w:t xml:space="preserve"> gives rise to the </w:t>
      </w:r>
      <w:r w:rsidRPr="00A07775">
        <w:rPr>
          <w:rFonts w:ascii="Proxima Nova" w:hAnsi="Proxima Nova" w:cstheme="minorHAnsi"/>
          <w:sz w:val="22"/>
          <w:szCs w:val="22"/>
        </w:rPr>
        <w:t>possibility they con</w:t>
      </w:r>
      <w:r w:rsidR="000222B1" w:rsidRPr="00A07775">
        <w:rPr>
          <w:rFonts w:ascii="Proxima Nova" w:hAnsi="Proxima Nova" w:cstheme="minorHAnsi"/>
          <w:sz w:val="22"/>
          <w:szCs w:val="22"/>
        </w:rPr>
        <w:t>tribute to</w:t>
      </w:r>
      <w:r w:rsidRPr="00A07775">
        <w:rPr>
          <w:rFonts w:ascii="Proxima Nova" w:hAnsi="Proxima Nova" w:cstheme="minorHAnsi"/>
          <w:sz w:val="22"/>
          <w:szCs w:val="22"/>
        </w:rPr>
        <w:t xml:space="preserve"> </w:t>
      </w:r>
      <w:r w:rsidR="000222B1" w:rsidRPr="00A07775">
        <w:rPr>
          <w:rFonts w:ascii="Proxima Nova" w:hAnsi="Proxima Nova" w:cstheme="minorHAnsi"/>
          <w:sz w:val="22"/>
          <w:szCs w:val="22"/>
        </w:rPr>
        <w:t>servitude</w:t>
      </w:r>
      <w:r w:rsidRPr="00A07775">
        <w:rPr>
          <w:rFonts w:ascii="Proxima Nova" w:hAnsi="Proxima Nova" w:cstheme="minorHAnsi"/>
          <w:sz w:val="22"/>
          <w:szCs w:val="22"/>
        </w:rPr>
        <w:t xml:space="preserve"> and forced labour</w:t>
      </w:r>
      <w:r w:rsidR="000222B1" w:rsidRPr="00A07775">
        <w:rPr>
          <w:rFonts w:ascii="Proxima Nova" w:hAnsi="Proxima Nova" w:cstheme="minorHAnsi"/>
          <w:sz w:val="22"/>
          <w:szCs w:val="22"/>
        </w:rPr>
        <w:t xml:space="preserve"> in ADEs</w:t>
      </w:r>
      <w:r w:rsidRPr="00A07775">
        <w:rPr>
          <w:rFonts w:ascii="Proxima Nova" w:hAnsi="Proxima Nova" w:cstheme="minorHAnsi"/>
          <w:sz w:val="22"/>
          <w:szCs w:val="22"/>
        </w:rPr>
        <w:t>.</w:t>
      </w:r>
    </w:p>
    <w:p w14:paraId="5D709F62" w14:textId="572DBF62" w:rsidR="002C4DFD" w:rsidRPr="00A07775" w:rsidRDefault="002C4DFD" w:rsidP="00CF129C">
      <w:pPr>
        <w:spacing w:line="276" w:lineRule="auto"/>
        <w:ind w:left="720" w:hanging="720"/>
        <w:rPr>
          <w:rFonts w:ascii="Proxima Nova" w:hAnsi="Proxima Nova"/>
          <w:color w:val="7030A0"/>
          <w:sz w:val="22"/>
          <w:szCs w:val="22"/>
          <w:u w:val="single"/>
        </w:rPr>
      </w:pPr>
    </w:p>
    <w:p w14:paraId="003EE05D" w14:textId="77777777" w:rsidR="00CF129C" w:rsidRPr="00A07775" w:rsidRDefault="00CF129C" w:rsidP="00CF129C">
      <w:pPr>
        <w:pStyle w:val="ListParagraph"/>
        <w:spacing w:line="276" w:lineRule="auto"/>
        <w:ind w:hanging="720"/>
        <w:rPr>
          <w:rFonts w:ascii="Proxima Nova" w:hAnsi="Proxima Nova"/>
          <w:color w:val="7030A0"/>
          <w:sz w:val="22"/>
          <w:szCs w:val="22"/>
          <w:u w:val="single"/>
        </w:rPr>
      </w:pPr>
    </w:p>
    <w:p w14:paraId="0731F255" w14:textId="1D7D20EA" w:rsidR="00CF129C" w:rsidRPr="00037F7F" w:rsidRDefault="00CF129C" w:rsidP="00CF129C">
      <w:pPr>
        <w:spacing w:line="276" w:lineRule="auto"/>
        <w:ind w:left="1440" w:hanging="1440"/>
        <w:rPr>
          <w:rFonts w:ascii="Proxima Nova" w:hAnsi="Proxima Nova"/>
        </w:rPr>
      </w:pPr>
      <w:r w:rsidRPr="00037F7F">
        <w:rPr>
          <w:rFonts w:ascii="Proxima Nova" w:hAnsi="Proxima Nova"/>
          <w:b/>
          <w:color w:val="AC1F79"/>
        </w:rPr>
        <w:t xml:space="preserve">Question </w:t>
      </w:r>
      <w:r>
        <w:rPr>
          <w:rFonts w:ascii="Proxima Nova" w:hAnsi="Proxima Nova"/>
          <w:b/>
          <w:color w:val="AC1F79"/>
        </w:rPr>
        <w:t>9</w:t>
      </w:r>
      <w:r w:rsidRPr="00037F7F">
        <w:rPr>
          <w:rFonts w:ascii="Proxima Nova" w:hAnsi="Proxima Nova"/>
          <w:b/>
          <w:color w:val="AC1F79"/>
        </w:rPr>
        <w:t>:</w:t>
      </w:r>
      <w:r>
        <w:rPr>
          <w:rFonts w:ascii="Proxima Nova" w:hAnsi="Proxima Nova"/>
          <w:b/>
          <w:color w:val="AC1F79"/>
        </w:rPr>
        <w:tab/>
      </w:r>
      <w:r w:rsidRPr="00CF129C">
        <w:rPr>
          <w:rFonts w:ascii="Proxima Nova" w:hAnsi="Proxima Nova"/>
          <w:b/>
          <w:color w:val="AC1F79"/>
        </w:rPr>
        <w:t>Are current approaches to restrictive practices effective? This may include laws, policies, principles, standards and practices.</w:t>
      </w:r>
    </w:p>
    <w:p w14:paraId="4D703B55" w14:textId="342F0CB4" w:rsidR="00CF129C" w:rsidRPr="00037F7F" w:rsidRDefault="00CF129C" w:rsidP="00CF129C">
      <w:pPr>
        <w:spacing w:line="276" w:lineRule="auto"/>
        <w:ind w:left="1440"/>
        <w:rPr>
          <w:rFonts w:ascii="Proxima Nova" w:hAnsi="Proxima Nova"/>
        </w:rPr>
      </w:pPr>
      <w:r>
        <w:rPr>
          <w:rFonts w:ascii="Proxima Nova" w:hAnsi="Proxima Nova"/>
          <w:b/>
          <w:color w:val="AC1F79"/>
        </w:rPr>
        <w:t>A</w:t>
      </w:r>
      <w:r w:rsidRPr="00037F7F">
        <w:rPr>
          <w:rFonts w:ascii="Proxima Nova" w:hAnsi="Proxima Nova"/>
          <w:b/>
          <w:color w:val="AC1F79"/>
        </w:rPr>
        <w:t>:</w:t>
      </w:r>
      <w:r>
        <w:rPr>
          <w:rFonts w:ascii="Proxima Nova" w:hAnsi="Proxima Nova"/>
          <w:b/>
          <w:color w:val="AC1F79"/>
        </w:rPr>
        <w:t xml:space="preserve"> </w:t>
      </w:r>
      <w:r w:rsidRPr="00CF129C">
        <w:rPr>
          <w:rFonts w:ascii="Proxima Nova" w:hAnsi="Proxima Nova"/>
          <w:b/>
          <w:color w:val="AC1F79"/>
        </w:rPr>
        <w:t>Are there any gaps in the current approaches?</w:t>
      </w:r>
    </w:p>
    <w:p w14:paraId="4898C888" w14:textId="6A2CA4E3" w:rsidR="00CF129C" w:rsidRPr="00037F7F" w:rsidRDefault="00CF129C" w:rsidP="00CF129C">
      <w:pPr>
        <w:spacing w:line="276" w:lineRule="auto"/>
        <w:ind w:left="1440"/>
        <w:rPr>
          <w:rFonts w:ascii="Proxima Nova" w:hAnsi="Proxima Nova"/>
        </w:rPr>
      </w:pPr>
      <w:r>
        <w:rPr>
          <w:rFonts w:ascii="Proxima Nova" w:hAnsi="Proxima Nova"/>
          <w:b/>
          <w:color w:val="AC1F79"/>
        </w:rPr>
        <w:t>B</w:t>
      </w:r>
      <w:r w:rsidRPr="00037F7F">
        <w:rPr>
          <w:rFonts w:ascii="Proxima Nova" w:hAnsi="Proxima Nova"/>
          <w:b/>
          <w:color w:val="AC1F79"/>
        </w:rPr>
        <w:t>:</w:t>
      </w:r>
      <w:r>
        <w:rPr>
          <w:rFonts w:ascii="Proxima Nova" w:hAnsi="Proxima Nova"/>
          <w:b/>
          <w:color w:val="AC1F79"/>
        </w:rPr>
        <w:t xml:space="preserve"> </w:t>
      </w:r>
      <w:r w:rsidRPr="00CF129C">
        <w:rPr>
          <w:rFonts w:ascii="Proxima Nova" w:hAnsi="Proxima Nova"/>
          <w:b/>
          <w:color w:val="AC1F79"/>
        </w:rPr>
        <w:t>If so, what are the impacts of these gaps?</w:t>
      </w:r>
    </w:p>
    <w:p w14:paraId="71FCF394" w14:textId="6291D2E9" w:rsidR="00CF129C" w:rsidRPr="00A07775" w:rsidRDefault="00CF129C" w:rsidP="00A07775">
      <w:pPr>
        <w:spacing w:line="276" w:lineRule="auto"/>
        <w:ind w:left="720" w:hanging="720"/>
        <w:rPr>
          <w:rFonts w:ascii="Proxima Nova" w:hAnsi="Proxima Nova"/>
          <w:color w:val="7030A0"/>
          <w:sz w:val="22"/>
          <w:szCs w:val="22"/>
          <w:u w:val="single"/>
        </w:rPr>
      </w:pPr>
    </w:p>
    <w:p w14:paraId="7E3097D6" w14:textId="77777777" w:rsidR="007D3FC2" w:rsidRPr="00A07775" w:rsidRDefault="007D3FC2"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The use of r</w:t>
      </w:r>
      <w:r w:rsidR="002C4DFD" w:rsidRPr="00A07775">
        <w:rPr>
          <w:rFonts w:ascii="Proxima Nova" w:hAnsi="Proxima Nova"/>
          <w:sz w:val="22"/>
          <w:szCs w:val="22"/>
        </w:rPr>
        <w:t xml:space="preserve">estrictive practices </w:t>
      </w:r>
      <w:r w:rsidRPr="00A07775">
        <w:rPr>
          <w:rFonts w:ascii="Proxima Nova" w:hAnsi="Proxima Nova"/>
          <w:sz w:val="22"/>
          <w:szCs w:val="22"/>
        </w:rPr>
        <w:t>is</w:t>
      </w:r>
      <w:r w:rsidR="002C4DFD" w:rsidRPr="00A07775">
        <w:rPr>
          <w:rFonts w:ascii="Proxima Nova" w:hAnsi="Proxima Nova"/>
          <w:sz w:val="22"/>
          <w:szCs w:val="22"/>
        </w:rPr>
        <w:t xml:space="preserve"> currently legal. </w:t>
      </w:r>
      <w:r w:rsidRPr="00A07775">
        <w:rPr>
          <w:rFonts w:ascii="Proxima Nova" w:hAnsi="Proxima Nova"/>
          <w:sz w:val="22"/>
          <w:szCs w:val="22"/>
        </w:rPr>
        <w:t>This means that law allows violence to be perpetrated on people with disability through use of restrictive practices.</w:t>
      </w:r>
    </w:p>
    <w:p w14:paraId="2657F803" w14:textId="77777777" w:rsidR="007D3FC2" w:rsidRPr="00A07775" w:rsidRDefault="007D3FC2" w:rsidP="00A07775">
      <w:pPr>
        <w:spacing w:line="276" w:lineRule="auto"/>
        <w:ind w:left="720" w:hanging="720"/>
        <w:rPr>
          <w:rFonts w:ascii="Proxima Nova" w:hAnsi="Proxima Nova"/>
          <w:sz w:val="22"/>
          <w:szCs w:val="22"/>
        </w:rPr>
      </w:pPr>
    </w:p>
    <w:p w14:paraId="4B4D068E" w14:textId="4B4D7486"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If the Royal Commission wants to end</w:t>
      </w:r>
      <w:r w:rsidR="00B17ED6" w:rsidRPr="00A07775">
        <w:rPr>
          <w:rFonts w:ascii="Proxima Nova" w:hAnsi="Proxima Nova"/>
          <w:sz w:val="22"/>
          <w:szCs w:val="22"/>
        </w:rPr>
        <w:t xml:space="preserve"> all forms of</w:t>
      </w:r>
      <w:r w:rsidRPr="00A07775">
        <w:rPr>
          <w:rFonts w:ascii="Proxima Nova" w:hAnsi="Proxima Nova"/>
          <w:sz w:val="22"/>
          <w:szCs w:val="22"/>
        </w:rPr>
        <w:t xml:space="preserve"> violence against people with disability</w:t>
      </w:r>
      <w:r w:rsidR="00B17ED6" w:rsidRPr="00A07775">
        <w:rPr>
          <w:rFonts w:ascii="Proxima Nova" w:hAnsi="Proxima Nova"/>
          <w:sz w:val="22"/>
          <w:szCs w:val="22"/>
        </w:rPr>
        <w:t>, including t</w:t>
      </w:r>
      <w:r w:rsidRPr="00A07775">
        <w:rPr>
          <w:rFonts w:ascii="Proxima Nova" w:hAnsi="Proxima Nova"/>
          <w:sz w:val="22"/>
          <w:szCs w:val="22"/>
        </w:rPr>
        <w:t xml:space="preserve">hrough restrictive practices, it needs to abolish substitute decision-making and compulsory treatment laws that enable restrictive practices. Importantly, this must extend beyond </w:t>
      </w:r>
      <w:r w:rsidR="00B17ED6" w:rsidRPr="00A07775">
        <w:rPr>
          <w:rFonts w:ascii="Proxima Nova" w:hAnsi="Proxima Nova"/>
          <w:sz w:val="22"/>
          <w:szCs w:val="22"/>
        </w:rPr>
        <w:t xml:space="preserve">abolishing legislative frameworks and address </w:t>
      </w:r>
      <w:r w:rsidRPr="00A07775">
        <w:rPr>
          <w:rFonts w:ascii="Proxima Nova" w:hAnsi="Proxima Nova"/>
          <w:sz w:val="22"/>
          <w:szCs w:val="22"/>
        </w:rPr>
        <w:t xml:space="preserve">the </w:t>
      </w:r>
      <w:r w:rsidR="00B17ED6" w:rsidRPr="00A07775">
        <w:rPr>
          <w:rFonts w:ascii="Proxima Nova" w:hAnsi="Proxima Nova"/>
          <w:sz w:val="22"/>
          <w:szCs w:val="22"/>
        </w:rPr>
        <w:t>foundational role of the</w:t>
      </w:r>
      <w:r w:rsidR="000222B1" w:rsidRPr="00A07775">
        <w:rPr>
          <w:rFonts w:ascii="Proxima Nova" w:hAnsi="Proxima Nova"/>
          <w:sz w:val="22"/>
          <w:szCs w:val="22"/>
        </w:rPr>
        <w:t xml:space="preserve"> common law doctrine of</w:t>
      </w:r>
      <w:r w:rsidR="00B17ED6" w:rsidRPr="00A07775">
        <w:rPr>
          <w:rFonts w:ascii="Proxima Nova" w:hAnsi="Proxima Nova"/>
          <w:sz w:val="22"/>
          <w:szCs w:val="22"/>
        </w:rPr>
        <w:t xml:space="preserve"> </w:t>
      </w:r>
      <w:r w:rsidRPr="00A07775">
        <w:rPr>
          <w:rFonts w:ascii="Proxima Nova" w:hAnsi="Proxima Nova"/>
          <w:sz w:val="22"/>
          <w:szCs w:val="22"/>
        </w:rPr>
        <w:t>parens patriae.</w:t>
      </w:r>
    </w:p>
    <w:p w14:paraId="65014C0D" w14:textId="77777777" w:rsidR="002C4DFD" w:rsidRPr="00A07775" w:rsidRDefault="002C4DFD" w:rsidP="00A07775">
      <w:pPr>
        <w:spacing w:line="276" w:lineRule="auto"/>
        <w:ind w:left="720" w:hanging="720"/>
        <w:rPr>
          <w:rFonts w:ascii="Proxima Nova" w:hAnsi="Proxima Nova"/>
          <w:sz w:val="22"/>
          <w:szCs w:val="22"/>
        </w:rPr>
      </w:pPr>
    </w:p>
    <w:p w14:paraId="7DCF8E79" w14:textId="6427EE26"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Current </w:t>
      </w:r>
      <w:r w:rsidR="00B17ED6" w:rsidRPr="00A07775">
        <w:rPr>
          <w:rFonts w:ascii="Proxima Nova" w:hAnsi="Proxima Nova"/>
          <w:sz w:val="22"/>
          <w:szCs w:val="22"/>
        </w:rPr>
        <w:t>legal</w:t>
      </w:r>
      <w:r w:rsidRPr="00A07775">
        <w:rPr>
          <w:rFonts w:ascii="Proxima Nova" w:hAnsi="Proxima Nova"/>
          <w:sz w:val="22"/>
          <w:szCs w:val="22"/>
        </w:rPr>
        <w:t xml:space="preserve"> approaches to restrictive practices are ineffective because they regulate rather than prohibit restrictive practices. The fundamental gap in this current approach is prohibition of restrictive practices and abolition of substitute decision-making and compulsory treatment laws. The impact of this gap is that violence through restrictive practices is permitted by law and incapable of being redressed. Moreover, the absorption of oversight/regulation of restrictive practices into </w:t>
      </w:r>
      <w:r w:rsidR="00B17ED6" w:rsidRPr="00A07775">
        <w:rPr>
          <w:rFonts w:ascii="Proxima Nova" w:hAnsi="Proxima Nova"/>
          <w:sz w:val="22"/>
          <w:szCs w:val="22"/>
        </w:rPr>
        <w:t>bodies tasked with safety and</w:t>
      </w:r>
      <w:r w:rsidRPr="00A07775">
        <w:rPr>
          <w:rFonts w:ascii="Proxima Nova" w:hAnsi="Proxima Nova"/>
          <w:sz w:val="22"/>
          <w:szCs w:val="22"/>
        </w:rPr>
        <w:t xml:space="preserve"> violence prevention</w:t>
      </w:r>
      <w:r w:rsidR="00B17ED6" w:rsidRPr="00A07775">
        <w:rPr>
          <w:rFonts w:ascii="Proxima Nova" w:hAnsi="Proxima Nova"/>
          <w:sz w:val="22"/>
          <w:szCs w:val="22"/>
        </w:rPr>
        <w:t xml:space="preserve"> in disability and aged care services</w:t>
      </w:r>
      <w:r w:rsidRPr="00A07775">
        <w:rPr>
          <w:rFonts w:ascii="Proxima Nova" w:hAnsi="Proxima Nova"/>
          <w:sz w:val="22"/>
          <w:szCs w:val="22"/>
        </w:rPr>
        <w:t xml:space="preserve"> is very fraught because it contributes to the ambivalence towards restrictive practices as violence.</w:t>
      </w:r>
    </w:p>
    <w:p w14:paraId="67C97683" w14:textId="77777777" w:rsidR="00EB40E2" w:rsidRPr="00A07775" w:rsidRDefault="00EB40E2" w:rsidP="00A07775">
      <w:pPr>
        <w:pStyle w:val="ListParagraph"/>
        <w:spacing w:line="276" w:lineRule="auto"/>
        <w:ind w:hanging="720"/>
        <w:rPr>
          <w:rFonts w:ascii="Proxima Nova" w:hAnsi="Proxima Nova"/>
          <w:sz w:val="22"/>
          <w:szCs w:val="22"/>
        </w:rPr>
      </w:pPr>
    </w:p>
    <w:p w14:paraId="6AE818B8" w14:textId="33BF8838" w:rsidR="00EB40E2" w:rsidRPr="00A07775" w:rsidRDefault="00EB40E2"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There are gaps in the laws and justice processes for removing substitute decision-making orders and challenge the legality of restrictive practices. It is widely known in the disability community that guardianship orders and financial management orders are much harder to remove than </w:t>
      </w:r>
      <w:r w:rsidR="000222B1" w:rsidRPr="00A07775">
        <w:rPr>
          <w:rFonts w:ascii="Proxima Nova" w:hAnsi="Proxima Nova"/>
          <w:sz w:val="22"/>
          <w:szCs w:val="22"/>
        </w:rPr>
        <w:t xml:space="preserve">it is to </w:t>
      </w:r>
      <w:r w:rsidRPr="00A07775">
        <w:rPr>
          <w:rFonts w:ascii="Proxima Nova" w:hAnsi="Proxima Nova"/>
          <w:sz w:val="22"/>
          <w:szCs w:val="22"/>
        </w:rPr>
        <w:t>have</w:t>
      </w:r>
      <w:r w:rsidR="000222B1" w:rsidRPr="00A07775">
        <w:rPr>
          <w:rFonts w:ascii="Proxima Nova" w:hAnsi="Proxima Nova"/>
          <w:sz w:val="22"/>
          <w:szCs w:val="22"/>
        </w:rPr>
        <w:t xml:space="preserve"> them</w:t>
      </w:r>
      <w:r w:rsidRPr="00A07775">
        <w:rPr>
          <w:rFonts w:ascii="Proxima Nova" w:hAnsi="Proxima Nova"/>
          <w:sz w:val="22"/>
          <w:szCs w:val="22"/>
        </w:rPr>
        <w:t xml:space="preserve"> made, and that there is no access to social and other support to develop individual’s decision-making and life skills in support of the removal of orders.</w:t>
      </w:r>
      <w:r w:rsidR="0014222C" w:rsidRPr="00A07775">
        <w:rPr>
          <w:rFonts w:ascii="Proxima Nova" w:hAnsi="Proxima Nova"/>
          <w:sz w:val="22"/>
          <w:szCs w:val="22"/>
        </w:rPr>
        <w:t xml:space="preserve"> </w:t>
      </w:r>
    </w:p>
    <w:p w14:paraId="1E99AC8C" w14:textId="77777777" w:rsidR="002C4DFD" w:rsidRPr="00A07775" w:rsidRDefault="002C4DFD" w:rsidP="00A07775">
      <w:pPr>
        <w:spacing w:line="276" w:lineRule="auto"/>
        <w:ind w:left="720" w:hanging="720"/>
        <w:rPr>
          <w:rFonts w:ascii="Proxima Nova" w:hAnsi="Proxima Nova"/>
          <w:sz w:val="22"/>
          <w:szCs w:val="22"/>
        </w:rPr>
      </w:pPr>
    </w:p>
    <w:p w14:paraId="53DD0C76" w14:textId="5B4A0BD4"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There is also a legal gap in terms of redressing use of restrictive practices. This gap arises because restrictive practice</w:t>
      </w:r>
      <w:r w:rsidR="00335AD1" w:rsidRPr="00A07775">
        <w:rPr>
          <w:rFonts w:ascii="Proxima Nova" w:hAnsi="Proxima Nova"/>
          <w:sz w:val="22"/>
          <w:szCs w:val="22"/>
        </w:rPr>
        <w:t>s</w:t>
      </w:r>
      <w:r w:rsidRPr="00A07775">
        <w:rPr>
          <w:rFonts w:ascii="Proxima Nova" w:hAnsi="Proxima Nova"/>
          <w:sz w:val="22"/>
          <w:szCs w:val="22"/>
        </w:rPr>
        <w:t xml:space="preserve"> are either permitted by law, or they are technically illegal but there are no accessible pathways to seek redress. </w:t>
      </w:r>
    </w:p>
    <w:p w14:paraId="6233FC4F" w14:textId="77777777" w:rsidR="002C4DFD" w:rsidRPr="00A07775" w:rsidRDefault="002C4DFD" w:rsidP="00A07775">
      <w:pPr>
        <w:pStyle w:val="ListParagraph"/>
        <w:spacing w:line="276" w:lineRule="auto"/>
        <w:ind w:hanging="720"/>
        <w:rPr>
          <w:rFonts w:ascii="Proxima Nova" w:hAnsi="Proxima Nova" w:cs="Calibri"/>
          <w:color w:val="000000"/>
          <w:sz w:val="22"/>
          <w:szCs w:val="22"/>
        </w:rPr>
      </w:pPr>
    </w:p>
    <w:p w14:paraId="7F633CAF" w14:textId="77777777"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cs="Calibri"/>
          <w:color w:val="000000"/>
          <w:sz w:val="22"/>
          <w:szCs w:val="22"/>
        </w:rPr>
        <w:t xml:space="preserve">A further gap is the failure of Australian and State and Territory independent oversight bodies under the OPCAT to categorise RACFs and disability residential facilities for people with disability as ‘places of detention’ under the </w:t>
      </w:r>
      <w:proofErr w:type="gramStart"/>
      <w:r w:rsidRPr="00A07775">
        <w:rPr>
          <w:rFonts w:ascii="Proxima Nova" w:hAnsi="Proxima Nova" w:cs="Calibri"/>
          <w:color w:val="000000"/>
          <w:sz w:val="22"/>
          <w:szCs w:val="22"/>
        </w:rPr>
        <w:t>OPCAT, and</w:t>
      </w:r>
      <w:proofErr w:type="gramEnd"/>
      <w:r w:rsidRPr="00A07775">
        <w:rPr>
          <w:rFonts w:ascii="Proxima Nova" w:hAnsi="Proxima Nova" w:cs="Calibri"/>
          <w:color w:val="000000"/>
          <w:sz w:val="22"/>
          <w:szCs w:val="22"/>
        </w:rPr>
        <w:t xml:space="preserve"> monitor these accordingly.</w:t>
      </w:r>
    </w:p>
    <w:p w14:paraId="1D1C0B8C" w14:textId="77777777" w:rsidR="002C4DFD" w:rsidRPr="00A07775" w:rsidRDefault="002C4DFD" w:rsidP="00A07775">
      <w:pPr>
        <w:pStyle w:val="ListParagraph"/>
        <w:spacing w:line="276" w:lineRule="auto"/>
        <w:ind w:hanging="720"/>
        <w:rPr>
          <w:rFonts w:ascii="Proxima Nova" w:hAnsi="Proxima Nova"/>
          <w:sz w:val="22"/>
          <w:szCs w:val="22"/>
        </w:rPr>
      </w:pPr>
    </w:p>
    <w:p w14:paraId="57F3CB01" w14:textId="77777777"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Restrictive practices violate various human rights in the CRPD and other international human rights instruments, including rights to </w:t>
      </w:r>
      <w:r w:rsidRPr="00A07775">
        <w:rPr>
          <w:rFonts w:ascii="Proxima Nova" w:hAnsi="Proxima Nova" w:cstheme="minorHAnsi"/>
          <w:color w:val="000000" w:themeColor="text1"/>
          <w:sz w:val="22"/>
          <w:szCs w:val="22"/>
          <w:lang w:bidi="en-US"/>
        </w:rPr>
        <w:t>equality and non-discrimination, freedom from violence and torture, legal capacity, personal integrity, liberty, and independent living and community inclusion.</w:t>
      </w:r>
    </w:p>
    <w:p w14:paraId="3EBFDAB4" w14:textId="0A2CAD5C" w:rsidR="002C4DFD" w:rsidRPr="00A07775" w:rsidRDefault="002C4DFD" w:rsidP="00A07775">
      <w:pPr>
        <w:pStyle w:val="ListParagraph"/>
        <w:spacing w:line="276" w:lineRule="auto"/>
        <w:ind w:hanging="720"/>
        <w:rPr>
          <w:rFonts w:ascii="Proxima Nova" w:hAnsi="Proxima Nova"/>
          <w:sz w:val="22"/>
          <w:szCs w:val="22"/>
        </w:rPr>
      </w:pPr>
    </w:p>
    <w:p w14:paraId="4428D5E0" w14:textId="77777777" w:rsidR="00F4012B" w:rsidRPr="00A07775" w:rsidRDefault="00F4012B" w:rsidP="00A07775">
      <w:pPr>
        <w:pStyle w:val="ListParagraph"/>
        <w:spacing w:line="276" w:lineRule="auto"/>
        <w:ind w:hanging="720"/>
        <w:rPr>
          <w:rFonts w:ascii="Proxima Nova" w:hAnsi="Proxima Nova"/>
          <w:color w:val="7030A0"/>
          <w:sz w:val="22"/>
          <w:szCs w:val="22"/>
          <w:u w:val="single"/>
        </w:rPr>
      </w:pPr>
    </w:p>
    <w:p w14:paraId="6DA1BB21" w14:textId="3657597F" w:rsidR="00F4012B" w:rsidRPr="00037F7F" w:rsidRDefault="00F4012B" w:rsidP="00F4012B">
      <w:pPr>
        <w:spacing w:line="276" w:lineRule="auto"/>
        <w:ind w:left="1440" w:hanging="1440"/>
        <w:rPr>
          <w:rFonts w:ascii="Proxima Nova" w:hAnsi="Proxima Nova"/>
        </w:rPr>
      </w:pPr>
      <w:r w:rsidRPr="00037F7F">
        <w:rPr>
          <w:rFonts w:ascii="Proxima Nova" w:hAnsi="Proxima Nova"/>
          <w:b/>
          <w:color w:val="AC1F79"/>
        </w:rPr>
        <w:t xml:space="preserve">Question </w:t>
      </w:r>
      <w:r>
        <w:rPr>
          <w:rFonts w:ascii="Proxima Nova" w:hAnsi="Proxima Nova"/>
          <w:b/>
          <w:color w:val="AC1F79"/>
        </w:rPr>
        <w:t>10</w:t>
      </w:r>
      <w:r w:rsidRPr="00037F7F">
        <w:rPr>
          <w:rFonts w:ascii="Proxima Nova" w:hAnsi="Proxima Nova"/>
          <w:b/>
          <w:color w:val="AC1F79"/>
        </w:rPr>
        <w:t>:</w:t>
      </w:r>
      <w:r>
        <w:rPr>
          <w:rFonts w:ascii="Proxima Nova" w:hAnsi="Proxima Nova"/>
          <w:b/>
          <w:color w:val="AC1F79"/>
        </w:rPr>
        <w:tab/>
      </w:r>
      <w:r w:rsidRPr="00F4012B">
        <w:rPr>
          <w:rFonts w:ascii="Proxima Nova" w:hAnsi="Proxima Nova"/>
          <w:b/>
          <w:color w:val="AC1F79"/>
        </w:rPr>
        <w:t>In what circumstances may restrictive practices be needed?</w:t>
      </w:r>
    </w:p>
    <w:p w14:paraId="7094C923" w14:textId="75B6A217" w:rsidR="00F4012B" w:rsidRPr="00037F7F" w:rsidRDefault="00F4012B" w:rsidP="00F4012B">
      <w:pPr>
        <w:spacing w:line="276" w:lineRule="auto"/>
        <w:ind w:left="1440"/>
        <w:rPr>
          <w:rFonts w:ascii="Proxima Nova" w:hAnsi="Proxima Nova"/>
        </w:rPr>
      </w:pPr>
      <w:r>
        <w:rPr>
          <w:rFonts w:ascii="Proxima Nova" w:hAnsi="Proxima Nova"/>
          <w:b/>
          <w:color w:val="AC1F79"/>
        </w:rPr>
        <w:t>A</w:t>
      </w:r>
      <w:r w:rsidRPr="00037F7F">
        <w:rPr>
          <w:rFonts w:ascii="Proxima Nova" w:hAnsi="Proxima Nova"/>
          <w:b/>
          <w:color w:val="AC1F79"/>
        </w:rPr>
        <w:t>:</w:t>
      </w:r>
      <w:r>
        <w:rPr>
          <w:rFonts w:ascii="Proxima Nova" w:hAnsi="Proxima Nova"/>
          <w:b/>
          <w:color w:val="AC1F79"/>
        </w:rPr>
        <w:t xml:space="preserve"> </w:t>
      </w:r>
      <w:r w:rsidRPr="00F4012B">
        <w:rPr>
          <w:rFonts w:ascii="Proxima Nova" w:hAnsi="Proxima Nova"/>
          <w:b/>
          <w:color w:val="AC1F79"/>
        </w:rPr>
        <w:t>What rules and safeguards should be applied?</w:t>
      </w:r>
    </w:p>
    <w:p w14:paraId="16F53024" w14:textId="3360F076" w:rsidR="00F4012B" w:rsidRPr="00037F7F" w:rsidRDefault="00F4012B" w:rsidP="00F4012B">
      <w:pPr>
        <w:spacing w:line="276" w:lineRule="auto"/>
        <w:ind w:left="1440"/>
        <w:rPr>
          <w:rFonts w:ascii="Proxima Nova" w:hAnsi="Proxima Nova"/>
        </w:rPr>
      </w:pPr>
      <w:r>
        <w:rPr>
          <w:rFonts w:ascii="Proxima Nova" w:hAnsi="Proxima Nova"/>
          <w:b/>
          <w:color w:val="AC1F79"/>
        </w:rPr>
        <w:t>B</w:t>
      </w:r>
      <w:r w:rsidRPr="00037F7F">
        <w:rPr>
          <w:rFonts w:ascii="Proxima Nova" w:hAnsi="Proxima Nova"/>
          <w:b/>
          <w:color w:val="AC1F79"/>
        </w:rPr>
        <w:t>:</w:t>
      </w:r>
      <w:r>
        <w:rPr>
          <w:rFonts w:ascii="Proxima Nova" w:hAnsi="Proxima Nova"/>
          <w:b/>
          <w:color w:val="AC1F79"/>
        </w:rPr>
        <w:t xml:space="preserve"> </w:t>
      </w:r>
      <w:r w:rsidRPr="00F4012B">
        <w:rPr>
          <w:rFonts w:ascii="Proxima Nova" w:hAnsi="Proxima Nova"/>
          <w:b/>
          <w:color w:val="AC1F79"/>
        </w:rPr>
        <w:t>Should the same rules apply to all people?</w:t>
      </w:r>
    </w:p>
    <w:p w14:paraId="61E214A5" w14:textId="77777777" w:rsidR="002C4DFD" w:rsidRPr="00A07775" w:rsidRDefault="002C4DFD" w:rsidP="00A07775">
      <w:pPr>
        <w:spacing w:line="276" w:lineRule="auto"/>
        <w:ind w:left="720" w:hanging="720"/>
        <w:rPr>
          <w:rFonts w:ascii="Proxima Nova" w:hAnsi="Proxima Nova"/>
          <w:color w:val="7030A0"/>
          <w:sz w:val="22"/>
          <w:szCs w:val="22"/>
          <w:u w:val="single"/>
        </w:rPr>
      </w:pPr>
    </w:p>
    <w:p w14:paraId="65C939B1" w14:textId="77777777" w:rsidR="000222B1"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lastRenderedPageBreak/>
        <w:t>It is unclear why this question is being asked by the Royal Commission, if restrictive practices are understood as violence (</w:t>
      </w:r>
      <w:proofErr w:type="gramStart"/>
      <w:r w:rsidRPr="00A07775">
        <w:rPr>
          <w:rFonts w:ascii="Proxima Nova" w:hAnsi="Proxima Nova"/>
          <w:sz w:val="22"/>
          <w:szCs w:val="22"/>
        </w:rPr>
        <w:t>e.g.</w:t>
      </w:r>
      <w:proofErr w:type="gramEnd"/>
      <w:r w:rsidRPr="00A07775">
        <w:rPr>
          <w:rFonts w:ascii="Proxima Nova" w:hAnsi="Proxima Nova"/>
          <w:sz w:val="22"/>
          <w:szCs w:val="22"/>
        </w:rPr>
        <w:t xml:space="preserve"> it would not be conceivable to ask ‘in what circumstances may domestic violence or sexual assault be needed?’).</w:t>
      </w:r>
      <w:r w:rsidR="00DB10EA" w:rsidRPr="00A07775">
        <w:rPr>
          <w:rFonts w:ascii="Proxima Nova" w:hAnsi="Proxima Nova"/>
          <w:sz w:val="22"/>
          <w:szCs w:val="22"/>
        </w:rPr>
        <w:t xml:space="preserve"> </w:t>
      </w:r>
    </w:p>
    <w:p w14:paraId="5686E024" w14:textId="77777777" w:rsidR="000222B1" w:rsidRPr="00A07775" w:rsidRDefault="000222B1" w:rsidP="00A07775">
      <w:pPr>
        <w:spacing w:line="276" w:lineRule="auto"/>
        <w:rPr>
          <w:rFonts w:ascii="Proxima Nova" w:hAnsi="Proxima Nova"/>
          <w:sz w:val="22"/>
          <w:szCs w:val="22"/>
        </w:rPr>
      </w:pPr>
    </w:p>
    <w:p w14:paraId="393EF2AE" w14:textId="73B7355B" w:rsidR="002C4DFD" w:rsidRPr="00A07775" w:rsidRDefault="00DB10EA"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This question’s underlying assumption that restrictive practices are per se necessary </w:t>
      </w:r>
      <w:r w:rsidRPr="00A07775">
        <w:rPr>
          <w:rFonts w:ascii="Proxima Nova" w:eastAsia="Calibri" w:hAnsi="Proxima Nova" w:cstheme="minorHAnsi"/>
          <w:sz w:val="22"/>
          <w:szCs w:val="22"/>
        </w:rPr>
        <w:t>might itself speak to the failure to unseat</w:t>
      </w:r>
      <w:r w:rsidR="000222B1" w:rsidRPr="00A07775">
        <w:rPr>
          <w:rFonts w:ascii="Proxima Nova" w:eastAsia="Calibri" w:hAnsi="Proxima Nova" w:cstheme="minorHAnsi"/>
          <w:sz w:val="22"/>
          <w:szCs w:val="22"/>
        </w:rPr>
        <w:t xml:space="preserve"> assumptions in legal and justice systems, health and medical systems, disability service provision and law reform processes of</w:t>
      </w:r>
      <w:r w:rsidRPr="00A07775">
        <w:rPr>
          <w:rFonts w:ascii="Proxima Nova" w:eastAsia="Calibri" w:hAnsi="Proxima Nova" w:cstheme="minorHAnsi"/>
          <w:sz w:val="22"/>
          <w:szCs w:val="22"/>
        </w:rPr>
        <w:t xml:space="preserve"> the pervasiveness and depth of the violability, ungrievability and </w:t>
      </w:r>
      <w:r w:rsidR="00DE38DB" w:rsidRPr="00A07775">
        <w:rPr>
          <w:rFonts w:ascii="Proxima Nova" w:eastAsia="Calibri" w:hAnsi="Proxima Nova" w:cstheme="minorHAnsi"/>
          <w:sz w:val="22"/>
          <w:szCs w:val="22"/>
        </w:rPr>
        <w:t>need to control</w:t>
      </w:r>
      <w:r w:rsidRPr="00A07775">
        <w:rPr>
          <w:rFonts w:ascii="Proxima Nova" w:eastAsia="Calibri" w:hAnsi="Proxima Nova" w:cstheme="minorHAnsi"/>
          <w:sz w:val="22"/>
          <w:szCs w:val="22"/>
        </w:rPr>
        <w:t xml:space="preserve"> people with disability in our society.</w:t>
      </w:r>
      <w:r w:rsidR="00002751" w:rsidRPr="00A07775">
        <w:rPr>
          <w:rFonts w:ascii="Proxima Nova" w:eastAsia="Calibri" w:hAnsi="Proxima Nova" w:cstheme="minorHAnsi"/>
          <w:sz w:val="22"/>
          <w:szCs w:val="22"/>
        </w:rPr>
        <w:t xml:space="preserve"> </w:t>
      </w:r>
    </w:p>
    <w:p w14:paraId="3EF0D6E7" w14:textId="77777777" w:rsidR="002C4DFD" w:rsidRPr="00A07775" w:rsidRDefault="002C4DFD" w:rsidP="00A07775">
      <w:pPr>
        <w:spacing w:line="276" w:lineRule="auto"/>
        <w:ind w:left="720" w:hanging="720"/>
        <w:rPr>
          <w:rFonts w:ascii="Proxima Nova" w:hAnsi="Proxima Nova"/>
          <w:sz w:val="22"/>
          <w:szCs w:val="22"/>
        </w:rPr>
      </w:pPr>
    </w:p>
    <w:p w14:paraId="38711FA7" w14:textId="4C754136"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Restrictive practices are </w:t>
      </w:r>
      <w:r w:rsidR="00DB10EA" w:rsidRPr="00A07775">
        <w:rPr>
          <w:rFonts w:ascii="Proxima Nova" w:hAnsi="Proxima Nova"/>
          <w:sz w:val="22"/>
          <w:szCs w:val="22"/>
        </w:rPr>
        <w:t xml:space="preserve">a form of violence and discrimination, and as such are never </w:t>
      </w:r>
      <w:r w:rsidRPr="00A07775">
        <w:rPr>
          <w:rFonts w:ascii="Proxima Nova" w:hAnsi="Proxima Nova"/>
          <w:sz w:val="22"/>
          <w:szCs w:val="22"/>
        </w:rPr>
        <w:t xml:space="preserve">necessary and should be prohibited. </w:t>
      </w:r>
    </w:p>
    <w:p w14:paraId="66D82B4C" w14:textId="77777777" w:rsidR="002C4DFD" w:rsidRPr="00A07775" w:rsidRDefault="002C4DFD" w:rsidP="00A07775">
      <w:pPr>
        <w:spacing w:line="276" w:lineRule="auto"/>
        <w:ind w:left="720" w:hanging="720"/>
        <w:rPr>
          <w:rFonts w:ascii="Proxima Nova" w:hAnsi="Proxima Nova"/>
          <w:sz w:val="22"/>
          <w:szCs w:val="22"/>
        </w:rPr>
      </w:pPr>
    </w:p>
    <w:p w14:paraId="712692AC" w14:textId="336601FB" w:rsidR="00DB10EA"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Non-consensual and coercive sterilisation, menstrual suppression, contraception and abortion </w:t>
      </w:r>
      <w:r w:rsidR="00DB10EA" w:rsidRPr="00A07775">
        <w:rPr>
          <w:rFonts w:ascii="Proxima Nova" w:hAnsi="Proxima Nova"/>
          <w:sz w:val="22"/>
          <w:szCs w:val="22"/>
        </w:rPr>
        <w:t xml:space="preserve">a form of violence and discrimination, and as such are never necessary and should be prohibited. </w:t>
      </w:r>
    </w:p>
    <w:p w14:paraId="1FAA1835" w14:textId="28F59CC2" w:rsidR="002C4DFD" w:rsidRPr="00A07775" w:rsidRDefault="002C4DFD" w:rsidP="00A07775">
      <w:pPr>
        <w:spacing w:line="276" w:lineRule="auto"/>
        <w:ind w:left="720" w:hanging="720"/>
        <w:rPr>
          <w:rFonts w:ascii="Proxima Nova" w:hAnsi="Proxima Nova"/>
          <w:sz w:val="22"/>
          <w:szCs w:val="22"/>
        </w:rPr>
      </w:pPr>
    </w:p>
    <w:p w14:paraId="2D8F1C5B" w14:textId="77777777" w:rsidR="00F4012B" w:rsidRPr="00A07775" w:rsidRDefault="00F4012B" w:rsidP="00A07775">
      <w:pPr>
        <w:pStyle w:val="ListParagraph"/>
        <w:spacing w:line="276" w:lineRule="auto"/>
        <w:ind w:hanging="720"/>
        <w:rPr>
          <w:rFonts w:ascii="Proxima Nova" w:hAnsi="Proxima Nova"/>
          <w:color w:val="7030A0"/>
          <w:sz w:val="22"/>
          <w:szCs w:val="22"/>
          <w:u w:val="single"/>
        </w:rPr>
      </w:pPr>
    </w:p>
    <w:p w14:paraId="663FA60C" w14:textId="7F8027CB" w:rsidR="00F4012B" w:rsidRPr="00037F7F" w:rsidRDefault="00F4012B" w:rsidP="00F4012B">
      <w:pPr>
        <w:spacing w:line="276" w:lineRule="auto"/>
        <w:ind w:left="1440" w:hanging="1440"/>
        <w:rPr>
          <w:rFonts w:ascii="Proxima Nova" w:hAnsi="Proxima Nova"/>
        </w:rPr>
      </w:pPr>
      <w:r w:rsidRPr="00037F7F">
        <w:rPr>
          <w:rFonts w:ascii="Proxima Nova" w:hAnsi="Proxima Nova"/>
          <w:b/>
          <w:color w:val="AC1F79"/>
        </w:rPr>
        <w:t xml:space="preserve">Question </w:t>
      </w:r>
      <w:r>
        <w:rPr>
          <w:rFonts w:ascii="Proxima Nova" w:hAnsi="Proxima Nova"/>
          <w:b/>
          <w:color w:val="AC1F79"/>
        </w:rPr>
        <w:t>11</w:t>
      </w:r>
      <w:r w:rsidRPr="00037F7F">
        <w:rPr>
          <w:rFonts w:ascii="Proxima Nova" w:hAnsi="Proxima Nova"/>
          <w:b/>
          <w:color w:val="AC1F79"/>
        </w:rPr>
        <w:t>:</w:t>
      </w:r>
      <w:r>
        <w:rPr>
          <w:rFonts w:ascii="Proxima Nova" w:hAnsi="Proxima Nova"/>
          <w:b/>
          <w:color w:val="AC1F79"/>
        </w:rPr>
        <w:tab/>
      </w:r>
      <w:r w:rsidRPr="00F4012B">
        <w:rPr>
          <w:rFonts w:ascii="Proxima Nova" w:hAnsi="Proxima Nova"/>
          <w:b/>
          <w:color w:val="AC1F79"/>
        </w:rPr>
        <w:t>How can the use of restrictive practices be prevented, avoided or minimised?</w:t>
      </w:r>
    </w:p>
    <w:p w14:paraId="32D21624" w14:textId="26744A76" w:rsidR="00F4012B" w:rsidRPr="00037F7F" w:rsidRDefault="00F4012B" w:rsidP="00F4012B">
      <w:pPr>
        <w:spacing w:line="276" w:lineRule="auto"/>
        <w:ind w:left="1440"/>
        <w:rPr>
          <w:rFonts w:ascii="Proxima Nova" w:hAnsi="Proxima Nova"/>
        </w:rPr>
      </w:pPr>
      <w:r>
        <w:rPr>
          <w:rFonts w:ascii="Proxima Nova" w:hAnsi="Proxima Nova"/>
          <w:b/>
          <w:color w:val="AC1F79"/>
        </w:rPr>
        <w:t>A</w:t>
      </w:r>
      <w:r w:rsidRPr="00037F7F">
        <w:rPr>
          <w:rFonts w:ascii="Proxima Nova" w:hAnsi="Proxima Nova"/>
          <w:b/>
          <w:color w:val="AC1F79"/>
        </w:rPr>
        <w:t>:</w:t>
      </w:r>
      <w:r>
        <w:rPr>
          <w:rFonts w:ascii="Proxima Nova" w:hAnsi="Proxima Nova"/>
          <w:b/>
          <w:color w:val="AC1F79"/>
        </w:rPr>
        <w:t xml:space="preserve"> </w:t>
      </w:r>
      <w:r w:rsidRPr="00F4012B">
        <w:rPr>
          <w:rFonts w:ascii="Proxima Nova" w:hAnsi="Proxima Nova"/>
          <w:b/>
          <w:color w:val="AC1F79"/>
        </w:rPr>
        <w:t>What needs to change in laws and policies?</w:t>
      </w:r>
    </w:p>
    <w:p w14:paraId="40A83F9D" w14:textId="288967AD" w:rsidR="00F4012B" w:rsidRPr="00037F7F" w:rsidRDefault="00F4012B" w:rsidP="00F4012B">
      <w:pPr>
        <w:spacing w:line="276" w:lineRule="auto"/>
        <w:ind w:left="1440"/>
        <w:rPr>
          <w:rFonts w:ascii="Proxima Nova" w:hAnsi="Proxima Nova"/>
        </w:rPr>
      </w:pPr>
      <w:r>
        <w:rPr>
          <w:rFonts w:ascii="Proxima Nova" w:hAnsi="Proxima Nova"/>
          <w:b/>
          <w:color w:val="AC1F79"/>
        </w:rPr>
        <w:t>B</w:t>
      </w:r>
      <w:r w:rsidRPr="00037F7F">
        <w:rPr>
          <w:rFonts w:ascii="Proxima Nova" w:hAnsi="Proxima Nova"/>
          <w:b/>
          <w:color w:val="AC1F79"/>
        </w:rPr>
        <w:t>:</w:t>
      </w:r>
      <w:r>
        <w:rPr>
          <w:rFonts w:ascii="Proxima Nova" w:hAnsi="Proxima Nova"/>
          <w:b/>
          <w:color w:val="AC1F79"/>
        </w:rPr>
        <w:t xml:space="preserve"> </w:t>
      </w:r>
      <w:r w:rsidRPr="00F4012B">
        <w:rPr>
          <w:rFonts w:ascii="Proxima Nova" w:hAnsi="Proxima Nova"/>
          <w:b/>
          <w:color w:val="AC1F79"/>
        </w:rPr>
        <w:t>What needs to change in the community and within organisations?</w:t>
      </w:r>
    </w:p>
    <w:p w14:paraId="25A75D44" w14:textId="4656411F" w:rsidR="00F4012B" w:rsidRPr="00037F7F" w:rsidRDefault="00F4012B" w:rsidP="00F4012B">
      <w:pPr>
        <w:spacing w:line="276" w:lineRule="auto"/>
        <w:ind w:left="1440"/>
        <w:rPr>
          <w:rFonts w:ascii="Proxima Nova" w:hAnsi="Proxima Nova"/>
        </w:rPr>
      </w:pPr>
      <w:r>
        <w:rPr>
          <w:rFonts w:ascii="Proxima Nova" w:hAnsi="Proxima Nova"/>
          <w:b/>
          <w:color w:val="AC1F79"/>
        </w:rPr>
        <w:t>C</w:t>
      </w:r>
      <w:r w:rsidRPr="00037F7F">
        <w:rPr>
          <w:rFonts w:ascii="Proxima Nova" w:hAnsi="Proxima Nova"/>
          <w:b/>
          <w:color w:val="AC1F79"/>
        </w:rPr>
        <w:t>:</w:t>
      </w:r>
      <w:r>
        <w:rPr>
          <w:rFonts w:ascii="Proxima Nova" w:hAnsi="Proxima Nova"/>
          <w:b/>
          <w:color w:val="AC1F79"/>
        </w:rPr>
        <w:t xml:space="preserve"> </w:t>
      </w:r>
      <w:r w:rsidRPr="00F4012B">
        <w:rPr>
          <w:rFonts w:ascii="Proxima Nova" w:hAnsi="Proxima Nova"/>
          <w:b/>
          <w:color w:val="AC1F79"/>
        </w:rPr>
        <w:t>What are the barriers to this change?</w:t>
      </w:r>
    </w:p>
    <w:p w14:paraId="119D5064" w14:textId="77777777" w:rsidR="00F4012B" w:rsidRPr="00A07775" w:rsidRDefault="00F4012B" w:rsidP="00F4012B">
      <w:pPr>
        <w:spacing w:line="276" w:lineRule="auto"/>
        <w:ind w:left="720" w:hanging="720"/>
        <w:rPr>
          <w:rFonts w:ascii="Proxima Nova" w:hAnsi="Proxima Nova"/>
          <w:color w:val="7030A0"/>
          <w:sz w:val="22"/>
          <w:szCs w:val="22"/>
          <w:u w:val="single"/>
        </w:rPr>
      </w:pPr>
    </w:p>
    <w:p w14:paraId="250A69F3" w14:textId="77777777" w:rsidR="002C4DFD" w:rsidRPr="00A07775" w:rsidRDefault="002C4DFD" w:rsidP="00F4012B">
      <w:pPr>
        <w:pStyle w:val="ListParagraph"/>
        <w:numPr>
          <w:ilvl w:val="1"/>
          <w:numId w:val="38"/>
        </w:numPr>
        <w:spacing w:line="276" w:lineRule="auto"/>
        <w:ind w:left="720" w:hanging="720"/>
        <w:contextualSpacing w:val="0"/>
        <w:rPr>
          <w:rFonts w:ascii="Proxima Nova" w:hAnsi="Proxima Nova" w:cstheme="minorHAnsi"/>
          <w:sz w:val="22"/>
          <w:szCs w:val="22"/>
        </w:rPr>
      </w:pPr>
      <w:r w:rsidRPr="00A07775">
        <w:rPr>
          <w:rFonts w:ascii="Proxima Nova" w:hAnsi="Proxima Nova"/>
          <w:sz w:val="22"/>
          <w:szCs w:val="22"/>
        </w:rPr>
        <w:t xml:space="preserve">It is unclear why this question is being asked by the Royal Commission, if restrictive practices are understood as violence. </w:t>
      </w:r>
      <w:r w:rsidRPr="00A07775">
        <w:rPr>
          <w:rFonts w:ascii="Proxima Nova" w:hAnsi="Proxima Nova" w:cstheme="minorHAnsi"/>
          <w:sz w:val="22"/>
          <w:szCs w:val="22"/>
        </w:rPr>
        <w:t>This runs counter to the Royal Commission’s Term of Reference that focuses on preventing violence:</w:t>
      </w:r>
    </w:p>
    <w:p w14:paraId="1B8F43E1" w14:textId="77777777" w:rsidR="002C4DFD" w:rsidRPr="00A07775" w:rsidRDefault="002C4DFD" w:rsidP="00F4012B">
      <w:pPr>
        <w:spacing w:line="276" w:lineRule="auto"/>
        <w:rPr>
          <w:rFonts w:ascii="Proxima Nova" w:hAnsi="Proxima Nova" w:cstheme="minorHAnsi"/>
          <w:sz w:val="22"/>
          <w:szCs w:val="22"/>
        </w:rPr>
      </w:pPr>
    </w:p>
    <w:p w14:paraId="622BD5D8" w14:textId="77777777" w:rsidR="002C4DFD" w:rsidRPr="00A07775" w:rsidRDefault="002C4DFD" w:rsidP="00F4012B">
      <w:pPr>
        <w:autoSpaceDE w:val="0"/>
        <w:autoSpaceDN w:val="0"/>
        <w:adjustRightInd w:val="0"/>
        <w:spacing w:line="276" w:lineRule="auto"/>
        <w:ind w:left="1134"/>
        <w:rPr>
          <w:rFonts w:ascii="Proxima Nova" w:eastAsiaTheme="minorHAnsi" w:hAnsi="Proxima Nova" w:cs="Calibri"/>
          <w:sz w:val="22"/>
          <w:szCs w:val="22"/>
        </w:rPr>
      </w:pPr>
      <w:r w:rsidRPr="00A07775">
        <w:rPr>
          <w:rFonts w:ascii="Proxima Nova" w:eastAsiaTheme="minorHAnsi" w:hAnsi="Proxima Nova" w:cs="Calibri"/>
          <w:i/>
          <w:iCs/>
          <w:sz w:val="22"/>
          <w:szCs w:val="22"/>
        </w:rPr>
        <w:t>… what governments, institutions and the community should do to prevent, and better protect, people with disability from experiencing violence, abuse, neglect and exploitation, having regard to the extent of violence, abuse, neglect and exploitation experienced by people with disability in all settings and contexts.</w:t>
      </w:r>
      <w:r w:rsidRPr="00A07775">
        <w:rPr>
          <w:rStyle w:val="EndnoteReference"/>
          <w:rFonts w:ascii="Proxima Nova" w:eastAsiaTheme="minorHAnsi" w:hAnsi="Proxima Nova" w:cs="Calibri"/>
          <w:sz w:val="22"/>
          <w:szCs w:val="22"/>
        </w:rPr>
        <w:endnoteReference w:id="458"/>
      </w:r>
      <w:r w:rsidRPr="00A07775">
        <w:rPr>
          <w:rFonts w:ascii="Proxima Nova" w:hAnsi="Proxima Nova" w:cstheme="minorHAnsi"/>
          <w:sz w:val="22"/>
          <w:szCs w:val="22"/>
        </w:rPr>
        <w:t xml:space="preserve"> </w:t>
      </w:r>
    </w:p>
    <w:p w14:paraId="46B7A7C5" w14:textId="77777777" w:rsidR="002C4DFD" w:rsidRPr="00A07775" w:rsidRDefault="002C4DFD" w:rsidP="00F4012B">
      <w:pPr>
        <w:spacing w:line="276" w:lineRule="auto"/>
        <w:ind w:left="720" w:hanging="720"/>
        <w:rPr>
          <w:rFonts w:ascii="Proxima Nova" w:hAnsi="Proxima Nova"/>
          <w:sz w:val="22"/>
          <w:szCs w:val="22"/>
        </w:rPr>
      </w:pPr>
    </w:p>
    <w:p w14:paraId="0EAC046A" w14:textId="77777777" w:rsidR="002C4DFD" w:rsidRPr="00A07775" w:rsidRDefault="002C4DFD" w:rsidP="00F4012B">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Restrictive practices are currently legal. Legal doctrine permits restrictive practices per se, and courts and tribunals enable perpetration of restrictive practices in relation to specific individuals. If the Royal Commission wants to end violence against people with disability through restrictive practices, it needs to abolish substitute decision-making and compulsory treatment laws that enable restrictive practices.</w:t>
      </w:r>
    </w:p>
    <w:p w14:paraId="783213CC" w14:textId="77777777" w:rsidR="002C4DFD" w:rsidRPr="00A07775" w:rsidRDefault="002C4DFD" w:rsidP="00F4012B">
      <w:pPr>
        <w:spacing w:line="276" w:lineRule="auto"/>
        <w:ind w:left="720" w:hanging="720"/>
        <w:rPr>
          <w:rFonts w:ascii="Proxima Nova" w:hAnsi="Proxima Nova" w:cstheme="minorHAnsi"/>
          <w:sz w:val="22"/>
          <w:szCs w:val="22"/>
        </w:rPr>
      </w:pPr>
    </w:p>
    <w:p w14:paraId="342E6947" w14:textId="77777777" w:rsidR="002C4DFD" w:rsidRPr="00A07775" w:rsidRDefault="002C4DFD" w:rsidP="00F4012B">
      <w:pPr>
        <w:pStyle w:val="ListParagraph"/>
        <w:numPr>
          <w:ilvl w:val="1"/>
          <w:numId w:val="38"/>
        </w:numPr>
        <w:spacing w:line="276" w:lineRule="auto"/>
        <w:ind w:left="720" w:hanging="720"/>
        <w:contextualSpacing w:val="0"/>
        <w:rPr>
          <w:rFonts w:ascii="Proxima Nova" w:hAnsi="Proxima Nova" w:cstheme="minorHAnsi"/>
          <w:sz w:val="22"/>
          <w:szCs w:val="22"/>
        </w:rPr>
      </w:pPr>
      <w:r w:rsidRPr="00A07775">
        <w:rPr>
          <w:rFonts w:ascii="Proxima Nova" w:hAnsi="Proxima Nova" w:cstheme="minorHAnsi"/>
          <w:sz w:val="22"/>
          <w:szCs w:val="22"/>
        </w:rPr>
        <w:t>To frame the issue in terms of how to ‘avoid’ or ‘minimise’ restrictive practices (rather than prohibition and abolition) implicitly assumes the continued existence and use of restrictive practices, albeit potentially reduced. As Roper et al (all of whom have lived experience of Australian and New Zealand mental health systems) state ‘[t]</w:t>
      </w:r>
      <w:proofErr w:type="gramStart"/>
      <w:r w:rsidRPr="00A07775">
        <w:rPr>
          <w:rFonts w:ascii="Proxima Nova" w:hAnsi="Proxima Nova" w:cstheme="minorHAnsi"/>
          <w:sz w:val="22"/>
          <w:szCs w:val="22"/>
        </w:rPr>
        <w:t>he</w:t>
      </w:r>
      <w:proofErr w:type="gramEnd"/>
      <w:r w:rsidRPr="00A07775">
        <w:rPr>
          <w:rFonts w:ascii="Proxima Nova" w:hAnsi="Proxima Nova" w:cstheme="minorHAnsi"/>
          <w:sz w:val="22"/>
          <w:szCs w:val="22"/>
        </w:rPr>
        <w:t xml:space="preserve"> discourse of reducing </w:t>
      </w:r>
      <w:r w:rsidRPr="00A07775">
        <w:rPr>
          <w:rFonts w:ascii="Proxima Nova" w:hAnsi="Proxima Nova"/>
          <w:sz w:val="22"/>
          <w:szCs w:val="22"/>
        </w:rPr>
        <w:t>does not fundamentally challenge people’s beliefs about what is possible in the real world. It instead still presumes the “necessary evil” discourse, signalling a failure of imagination and leadership guaranteeing services will never fully eliminate such practices.’</w:t>
      </w:r>
      <w:r w:rsidRPr="00A07775">
        <w:rPr>
          <w:rStyle w:val="EndnoteReference"/>
          <w:rFonts w:ascii="Proxima Nova" w:hAnsi="Proxima Nova"/>
          <w:sz w:val="22"/>
          <w:szCs w:val="22"/>
        </w:rPr>
        <w:endnoteReference w:id="459"/>
      </w:r>
    </w:p>
    <w:p w14:paraId="73899F7B" w14:textId="77777777" w:rsidR="002C4DFD" w:rsidRPr="00A07775" w:rsidRDefault="002C4DFD" w:rsidP="00F4012B">
      <w:pPr>
        <w:pStyle w:val="ListParagraph"/>
        <w:spacing w:line="276" w:lineRule="auto"/>
        <w:ind w:hanging="720"/>
        <w:rPr>
          <w:rFonts w:ascii="Proxima Nova" w:hAnsi="Proxima Nova" w:cstheme="minorHAnsi"/>
          <w:sz w:val="22"/>
          <w:szCs w:val="22"/>
        </w:rPr>
      </w:pPr>
    </w:p>
    <w:p w14:paraId="01B837F6" w14:textId="77777777" w:rsidR="002C4DFD" w:rsidRPr="00A07775" w:rsidRDefault="002C4DFD" w:rsidP="00F4012B">
      <w:pPr>
        <w:pStyle w:val="ListParagraph"/>
        <w:numPr>
          <w:ilvl w:val="1"/>
          <w:numId w:val="38"/>
        </w:numPr>
        <w:spacing w:line="276" w:lineRule="auto"/>
        <w:ind w:left="720" w:hanging="720"/>
        <w:contextualSpacing w:val="0"/>
        <w:rPr>
          <w:rFonts w:ascii="Proxima Nova" w:hAnsi="Proxima Nova" w:cstheme="minorHAnsi"/>
          <w:sz w:val="22"/>
          <w:szCs w:val="22"/>
        </w:rPr>
      </w:pPr>
      <w:r w:rsidRPr="00A07775">
        <w:rPr>
          <w:rFonts w:ascii="Proxima Nova" w:hAnsi="Proxima Nova" w:cstheme="minorHAnsi"/>
          <w:sz w:val="22"/>
          <w:szCs w:val="22"/>
        </w:rPr>
        <w:t>The language of ‘reduction and elimination’ is also vague in terms of the role of law. To eliminate through reduction suggests law will continue to allow restrictive practices, and elimination instead relies on organisational and professional behavioural change to stop usage. Retaining laws that allow restrictive practices keeps in place the structural legal dynamics that allow this to occur. Furthermore, as McSherry and Maker note, ‘</w:t>
      </w:r>
      <w:r w:rsidRPr="00A07775">
        <w:rPr>
          <w:rFonts w:ascii="Proxima Nova" w:hAnsi="Proxima Nova"/>
          <w:sz w:val="22"/>
          <w:szCs w:val="22"/>
        </w:rPr>
        <w:t>restrictive practices have proved difficult to eliminate – or in many cases meaningfully reduce – despite the introduction of one or more of these models of regulation. … While regulation can protect against the arbitrary use of these practices and specify procedural safeguards, it also arguably normalises their use and necessitates the assessment and labelling of “risky” service users.’</w:t>
      </w:r>
      <w:r w:rsidRPr="00A07775">
        <w:rPr>
          <w:rStyle w:val="EndnoteReference"/>
          <w:rFonts w:ascii="Proxima Nova" w:hAnsi="Proxima Nova"/>
          <w:sz w:val="22"/>
          <w:szCs w:val="22"/>
        </w:rPr>
        <w:endnoteReference w:id="460"/>
      </w:r>
    </w:p>
    <w:p w14:paraId="134778AA" w14:textId="77777777" w:rsidR="002C4DFD" w:rsidRPr="00A07775" w:rsidRDefault="002C4DFD" w:rsidP="00F4012B">
      <w:pPr>
        <w:pStyle w:val="ListParagraph"/>
        <w:spacing w:line="276" w:lineRule="auto"/>
        <w:ind w:hanging="720"/>
        <w:rPr>
          <w:rFonts w:ascii="Proxima Nova" w:hAnsi="Proxima Nova" w:cstheme="minorHAnsi"/>
          <w:sz w:val="22"/>
          <w:szCs w:val="22"/>
        </w:rPr>
      </w:pPr>
    </w:p>
    <w:p w14:paraId="37ECD040" w14:textId="7FE0CCAC" w:rsidR="002C4DFD" w:rsidRPr="00A07775" w:rsidRDefault="002C4DFD" w:rsidP="00F4012B">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In our view, </w:t>
      </w:r>
      <w:r w:rsidR="000222B1" w:rsidRPr="00A07775">
        <w:rPr>
          <w:rFonts w:ascii="Proxima Nova" w:hAnsi="Proxima Nova"/>
          <w:sz w:val="22"/>
          <w:szCs w:val="22"/>
        </w:rPr>
        <w:t xml:space="preserve">the question which must be asked – but is unfortunately absent from the Restrictive Practices Issues Paper – is </w:t>
      </w:r>
      <w:r w:rsidRPr="00A07775">
        <w:rPr>
          <w:rFonts w:ascii="Proxima Nova" w:hAnsi="Proxima Nova"/>
          <w:sz w:val="22"/>
          <w:szCs w:val="22"/>
        </w:rPr>
        <w:t>how can the use of restrictive practices be prohibited? Our answer to this more appropriate question would be that restrictive practices need to be prohibited by criminal law, laws for substitute decision-making frameworks need to be abolished, and other laws and policies supporting restrictive practices (</w:t>
      </w:r>
      <w:proofErr w:type="gramStart"/>
      <w:r w:rsidRPr="00A07775">
        <w:rPr>
          <w:rFonts w:ascii="Proxima Nova" w:hAnsi="Proxima Nova"/>
          <w:sz w:val="22"/>
          <w:szCs w:val="22"/>
        </w:rPr>
        <w:t>e.g.</w:t>
      </w:r>
      <w:proofErr w:type="gramEnd"/>
      <w:r w:rsidRPr="00A07775">
        <w:rPr>
          <w:rFonts w:ascii="Proxima Nova" w:hAnsi="Proxima Nova"/>
          <w:sz w:val="22"/>
          <w:szCs w:val="22"/>
        </w:rPr>
        <w:t xml:space="preserve"> those regulating service provision such as NDIS and aged care) need to be amended to explicitly prohibit the use of restrictive practices. Consideration also needs to be given to</w:t>
      </w:r>
      <w:r w:rsidR="0053360B" w:rsidRPr="00A07775">
        <w:rPr>
          <w:rFonts w:ascii="Proxima Nova" w:hAnsi="Proxima Nova"/>
          <w:sz w:val="22"/>
          <w:szCs w:val="22"/>
        </w:rPr>
        <w:t xml:space="preserve"> the foundational role of the</w:t>
      </w:r>
      <w:r w:rsidR="000222B1" w:rsidRPr="00A07775">
        <w:rPr>
          <w:rFonts w:ascii="Proxima Nova" w:hAnsi="Proxima Nova"/>
          <w:sz w:val="22"/>
          <w:szCs w:val="22"/>
        </w:rPr>
        <w:t xml:space="preserve"> common law doctrine of</w:t>
      </w:r>
      <w:r w:rsidRPr="00A07775">
        <w:rPr>
          <w:rFonts w:ascii="Proxima Nova" w:hAnsi="Proxima Nova"/>
          <w:sz w:val="22"/>
          <w:szCs w:val="22"/>
        </w:rPr>
        <w:t xml:space="preserve"> parens patriae</w:t>
      </w:r>
      <w:r w:rsidR="000222B1" w:rsidRPr="00A07775">
        <w:rPr>
          <w:rFonts w:ascii="Proxima Nova" w:hAnsi="Proxima Nova"/>
          <w:sz w:val="22"/>
          <w:szCs w:val="22"/>
        </w:rPr>
        <w:t xml:space="preserve"> in enabling the violence of restrictive practices</w:t>
      </w:r>
      <w:r w:rsidRPr="00A07775">
        <w:rPr>
          <w:rFonts w:ascii="Proxima Nova" w:hAnsi="Proxima Nova"/>
          <w:sz w:val="22"/>
          <w:szCs w:val="22"/>
        </w:rPr>
        <w:t>. Additional to these legal reforms, laws should also be introduced to provide for redress of violence experienced through restrictive practices.</w:t>
      </w:r>
    </w:p>
    <w:p w14:paraId="12FE0477" w14:textId="0D605BAD" w:rsidR="002C4DFD" w:rsidRPr="00A07775" w:rsidRDefault="002C4DFD" w:rsidP="00F4012B">
      <w:pPr>
        <w:pStyle w:val="ListParagraph"/>
        <w:spacing w:line="276" w:lineRule="auto"/>
        <w:ind w:hanging="720"/>
        <w:rPr>
          <w:rFonts w:ascii="Proxima Nova" w:hAnsi="Proxima Nova"/>
          <w:sz w:val="22"/>
          <w:szCs w:val="22"/>
        </w:rPr>
      </w:pPr>
    </w:p>
    <w:p w14:paraId="2B5BE564" w14:textId="77777777" w:rsidR="00387C27" w:rsidRPr="00A07775" w:rsidRDefault="00387C27" w:rsidP="00387C27">
      <w:pPr>
        <w:pStyle w:val="ListParagraph"/>
        <w:spacing w:line="276" w:lineRule="auto"/>
        <w:ind w:hanging="720"/>
        <w:rPr>
          <w:rFonts w:ascii="Proxima Nova" w:hAnsi="Proxima Nova"/>
          <w:color w:val="7030A0"/>
          <w:sz w:val="22"/>
          <w:szCs w:val="22"/>
          <w:u w:val="single"/>
        </w:rPr>
      </w:pPr>
    </w:p>
    <w:p w14:paraId="7F7BEB4A" w14:textId="406BD190" w:rsidR="00387C27" w:rsidRPr="00037F7F" w:rsidRDefault="00387C27" w:rsidP="00387C27">
      <w:pPr>
        <w:spacing w:line="276" w:lineRule="auto"/>
        <w:ind w:left="1440" w:hanging="1440"/>
        <w:rPr>
          <w:rFonts w:ascii="Proxima Nova" w:hAnsi="Proxima Nova"/>
        </w:rPr>
      </w:pPr>
      <w:r w:rsidRPr="00037F7F">
        <w:rPr>
          <w:rFonts w:ascii="Proxima Nova" w:hAnsi="Proxima Nova"/>
          <w:b/>
          <w:color w:val="AC1F79"/>
        </w:rPr>
        <w:t xml:space="preserve">Question </w:t>
      </w:r>
      <w:r>
        <w:rPr>
          <w:rFonts w:ascii="Proxima Nova" w:hAnsi="Proxima Nova"/>
          <w:b/>
          <w:color w:val="AC1F79"/>
        </w:rPr>
        <w:t>12</w:t>
      </w:r>
      <w:r w:rsidRPr="00037F7F">
        <w:rPr>
          <w:rFonts w:ascii="Proxima Nova" w:hAnsi="Proxima Nova"/>
          <w:b/>
          <w:color w:val="AC1F79"/>
        </w:rPr>
        <w:t>:</w:t>
      </w:r>
      <w:r>
        <w:rPr>
          <w:rFonts w:ascii="Proxima Nova" w:hAnsi="Proxima Nova"/>
          <w:b/>
          <w:color w:val="AC1F79"/>
        </w:rPr>
        <w:tab/>
      </w:r>
      <w:r w:rsidRPr="00387C27">
        <w:rPr>
          <w:rFonts w:ascii="Proxima Nova" w:hAnsi="Proxima Nova"/>
          <w:b/>
          <w:color w:val="AC1F79"/>
        </w:rPr>
        <w:t>What alternatives to restrictive practices could be used to prevent or address behaviours of concern?</w:t>
      </w:r>
    </w:p>
    <w:p w14:paraId="6B9B0003" w14:textId="77777777" w:rsidR="002C4DFD" w:rsidRPr="00A07775" w:rsidRDefault="002C4DFD" w:rsidP="00A07775">
      <w:pPr>
        <w:spacing w:line="276" w:lineRule="auto"/>
        <w:ind w:left="720" w:hanging="720"/>
        <w:rPr>
          <w:rFonts w:ascii="Proxima Nova" w:hAnsi="Proxima Nova"/>
          <w:color w:val="7030A0"/>
          <w:sz w:val="22"/>
          <w:szCs w:val="22"/>
          <w:u w:val="single"/>
        </w:rPr>
      </w:pPr>
    </w:p>
    <w:p w14:paraId="345C522D" w14:textId="1E5CA529"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The term ‘behaviours of concern’ is premised on the same ableism that underpins ‘challenging behaviour’</w:t>
      </w:r>
      <w:r w:rsidRPr="00A07775">
        <w:rPr>
          <w:rFonts w:ascii="Proxima Nova" w:hAnsi="Proxima Nova" w:cstheme="minorHAnsi"/>
          <w:sz w:val="22"/>
          <w:szCs w:val="22"/>
        </w:rPr>
        <w:t>.</w:t>
      </w:r>
      <w:r w:rsidR="00FD75CD" w:rsidRPr="00A07775">
        <w:rPr>
          <w:rFonts w:ascii="Proxima Nova" w:hAnsi="Proxima Nova" w:cstheme="minorHAnsi"/>
          <w:sz w:val="22"/>
          <w:szCs w:val="22"/>
        </w:rPr>
        <w:t xml:space="preserve"> </w:t>
      </w:r>
      <w:proofErr w:type="gramStart"/>
      <w:r w:rsidR="00FD75CD" w:rsidRPr="00A07775">
        <w:rPr>
          <w:rFonts w:ascii="Proxima Nova" w:hAnsi="Proxima Nova" w:cstheme="minorHAnsi"/>
          <w:sz w:val="22"/>
          <w:szCs w:val="22"/>
        </w:rPr>
        <w:t>Both of these</w:t>
      </w:r>
      <w:proofErr w:type="gramEnd"/>
      <w:r w:rsidR="00FD75CD" w:rsidRPr="00A07775">
        <w:rPr>
          <w:rFonts w:ascii="Proxima Nova" w:hAnsi="Proxima Nova" w:cstheme="minorHAnsi"/>
          <w:sz w:val="22"/>
          <w:szCs w:val="22"/>
        </w:rPr>
        <w:t xml:space="preserve"> terms</w:t>
      </w:r>
      <w:r w:rsidR="00FD75CD" w:rsidRPr="00A07775">
        <w:rPr>
          <w:rFonts w:ascii="Proxima Nova" w:hAnsi="Proxima Nova"/>
          <w:sz w:val="22"/>
          <w:szCs w:val="22"/>
        </w:rPr>
        <w:t xml:space="preserve"> individualise, pathologise and neutralise disabled people’s legitimate responses to their living arrangements and experiences of oppression, structural discrimination and violence. </w:t>
      </w:r>
      <w:r w:rsidRPr="00A07775">
        <w:rPr>
          <w:rFonts w:ascii="Proxima Nova" w:hAnsi="Proxima Nova" w:cstheme="minorHAnsi"/>
          <w:sz w:val="22"/>
          <w:szCs w:val="22"/>
        </w:rPr>
        <w:t xml:space="preserve"> </w:t>
      </w:r>
      <w:r w:rsidRPr="00A07775">
        <w:rPr>
          <w:rFonts w:ascii="Proxima Nova" w:hAnsi="Proxima Nova"/>
          <w:sz w:val="22"/>
          <w:szCs w:val="22"/>
        </w:rPr>
        <w:t xml:space="preserve">As such, Question 12 is problematic because it takes for granted the concept of ‘behaviours of concern’ as a valid concept through which to </w:t>
      </w:r>
      <w:r w:rsidR="004002A8" w:rsidRPr="00A07775">
        <w:rPr>
          <w:rFonts w:ascii="Proxima Nova" w:hAnsi="Proxima Nova"/>
          <w:sz w:val="22"/>
          <w:szCs w:val="22"/>
        </w:rPr>
        <w:t xml:space="preserve">both </w:t>
      </w:r>
      <w:r w:rsidRPr="00A07775">
        <w:rPr>
          <w:rFonts w:ascii="Proxima Nova" w:hAnsi="Proxima Nova"/>
          <w:sz w:val="22"/>
          <w:szCs w:val="22"/>
        </w:rPr>
        <w:t xml:space="preserve">understand the </w:t>
      </w:r>
      <w:r w:rsidR="004002A8" w:rsidRPr="00A07775">
        <w:rPr>
          <w:rFonts w:ascii="Proxima Nova" w:hAnsi="Proxima Nova"/>
          <w:sz w:val="22"/>
          <w:szCs w:val="22"/>
        </w:rPr>
        <w:t>experiences and circumstances</w:t>
      </w:r>
      <w:r w:rsidRPr="00A07775">
        <w:rPr>
          <w:rFonts w:ascii="Proxima Nova" w:hAnsi="Proxima Nova"/>
          <w:sz w:val="22"/>
          <w:szCs w:val="22"/>
        </w:rPr>
        <w:t xml:space="preserve"> of people with disability</w:t>
      </w:r>
      <w:r w:rsidR="004002A8" w:rsidRPr="00A07775">
        <w:rPr>
          <w:rFonts w:ascii="Proxima Nova" w:hAnsi="Proxima Nova"/>
          <w:sz w:val="22"/>
          <w:szCs w:val="22"/>
        </w:rPr>
        <w:t xml:space="preserve"> and justify use of restrictive practices</w:t>
      </w:r>
      <w:r w:rsidRPr="00A07775">
        <w:rPr>
          <w:rFonts w:ascii="Proxima Nova" w:hAnsi="Proxima Nova"/>
          <w:sz w:val="22"/>
          <w:szCs w:val="22"/>
        </w:rPr>
        <w:t xml:space="preserve">. </w:t>
      </w:r>
      <w:r w:rsidR="004002A8" w:rsidRPr="00A07775">
        <w:rPr>
          <w:rFonts w:ascii="Proxima Nova" w:hAnsi="Proxima Nova"/>
          <w:sz w:val="22"/>
          <w:szCs w:val="22"/>
        </w:rPr>
        <w:t xml:space="preserve">Moreover, this question is narrowly drawn to focus on alternatives to respond to behaviour, rather than alternatives to respond to the structural circumstances of discrimination and oppression in which restrictive practices </w:t>
      </w:r>
      <w:r w:rsidR="000222B1" w:rsidRPr="00A07775">
        <w:rPr>
          <w:rFonts w:ascii="Proxima Nova" w:hAnsi="Proxima Nova"/>
          <w:sz w:val="22"/>
          <w:szCs w:val="22"/>
        </w:rPr>
        <w:t>are used and are lawful</w:t>
      </w:r>
      <w:r w:rsidR="004002A8" w:rsidRPr="00A07775">
        <w:rPr>
          <w:rFonts w:ascii="Proxima Nova" w:hAnsi="Proxima Nova"/>
          <w:sz w:val="22"/>
          <w:szCs w:val="22"/>
        </w:rPr>
        <w:t>. Thus, r</w:t>
      </w:r>
      <w:r w:rsidRPr="00A07775">
        <w:rPr>
          <w:rFonts w:ascii="Proxima Nova" w:hAnsi="Proxima Nova"/>
          <w:sz w:val="22"/>
          <w:szCs w:val="22"/>
        </w:rPr>
        <w:t xml:space="preserve">ather than </w:t>
      </w:r>
      <w:r w:rsidR="004002A8" w:rsidRPr="00A07775">
        <w:rPr>
          <w:rFonts w:ascii="Proxima Nova" w:hAnsi="Proxima Nova"/>
          <w:sz w:val="22"/>
          <w:szCs w:val="22"/>
        </w:rPr>
        <w:t>Question 12 confronting</w:t>
      </w:r>
      <w:r w:rsidRPr="00A07775">
        <w:rPr>
          <w:rFonts w:ascii="Proxima Nova" w:hAnsi="Proxima Nova"/>
          <w:sz w:val="22"/>
          <w:szCs w:val="22"/>
        </w:rPr>
        <w:t xml:space="preserve"> the concept</w:t>
      </w:r>
      <w:r w:rsidR="000222B1" w:rsidRPr="00A07775">
        <w:rPr>
          <w:rFonts w:ascii="Proxima Nova" w:hAnsi="Proxima Nova"/>
          <w:sz w:val="22"/>
          <w:szCs w:val="22"/>
        </w:rPr>
        <w:t xml:space="preserve"> of ‘behaviours of concern’</w:t>
      </w:r>
      <w:r w:rsidRPr="00A07775">
        <w:rPr>
          <w:rFonts w:ascii="Proxima Nova" w:hAnsi="Proxima Nova"/>
          <w:sz w:val="22"/>
          <w:szCs w:val="22"/>
        </w:rPr>
        <w:t xml:space="preserve"> per se and the viole</w:t>
      </w:r>
      <w:r w:rsidR="004002A8" w:rsidRPr="00A07775">
        <w:rPr>
          <w:rFonts w:ascii="Proxima Nova" w:hAnsi="Proxima Nova"/>
          <w:sz w:val="22"/>
          <w:szCs w:val="22"/>
        </w:rPr>
        <w:t>nce and injustice it enables, this question</w:t>
      </w:r>
      <w:r w:rsidRPr="00A07775">
        <w:rPr>
          <w:rFonts w:ascii="Proxima Nova" w:hAnsi="Proxima Nova"/>
          <w:sz w:val="22"/>
          <w:szCs w:val="22"/>
        </w:rPr>
        <w:t xml:space="preserve"> instead encourages the proliferation of additional options for intervening </w:t>
      </w:r>
      <w:r w:rsidR="004002A8" w:rsidRPr="00A07775">
        <w:rPr>
          <w:rFonts w:ascii="Proxima Nova" w:hAnsi="Proxima Nova"/>
          <w:sz w:val="22"/>
          <w:szCs w:val="22"/>
        </w:rPr>
        <w:t>in the bodies and lives of people with disability</w:t>
      </w:r>
      <w:r w:rsidR="000222B1" w:rsidRPr="00A07775">
        <w:rPr>
          <w:rFonts w:ascii="Proxima Nova" w:hAnsi="Proxima Nova"/>
          <w:sz w:val="22"/>
          <w:szCs w:val="22"/>
        </w:rPr>
        <w:t xml:space="preserve"> </w:t>
      </w:r>
      <w:proofErr w:type="gramStart"/>
      <w:r w:rsidR="000222B1" w:rsidRPr="00A07775">
        <w:rPr>
          <w:rFonts w:ascii="Proxima Nova" w:hAnsi="Proxima Nova"/>
          <w:sz w:val="22"/>
          <w:szCs w:val="22"/>
        </w:rPr>
        <w:t>on the basis of</w:t>
      </w:r>
      <w:proofErr w:type="gramEnd"/>
      <w:r w:rsidR="000222B1" w:rsidRPr="00A07775">
        <w:rPr>
          <w:rFonts w:ascii="Proxima Nova" w:hAnsi="Proxima Nova"/>
          <w:sz w:val="22"/>
          <w:szCs w:val="22"/>
        </w:rPr>
        <w:t xml:space="preserve"> an inherently problematic behavioural concept</w:t>
      </w:r>
      <w:r w:rsidRPr="00A07775">
        <w:rPr>
          <w:rFonts w:ascii="Proxima Nova" w:hAnsi="Proxima Nova"/>
          <w:sz w:val="22"/>
          <w:szCs w:val="22"/>
        </w:rPr>
        <w:t xml:space="preserve">.  </w:t>
      </w:r>
    </w:p>
    <w:p w14:paraId="54C94F27" w14:textId="77777777" w:rsidR="002C4DFD" w:rsidRPr="00A07775" w:rsidRDefault="002C4DFD" w:rsidP="00A07775">
      <w:pPr>
        <w:spacing w:line="276" w:lineRule="auto"/>
        <w:ind w:left="720" w:hanging="720"/>
        <w:rPr>
          <w:rFonts w:ascii="Proxima Nova" w:hAnsi="Proxima Nova"/>
          <w:sz w:val="22"/>
          <w:szCs w:val="22"/>
        </w:rPr>
      </w:pPr>
    </w:p>
    <w:p w14:paraId="49EE7DF5" w14:textId="77777777"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Any consideration of alternatives to restrictive practices should be situated in a broader framework of prohibition of restrictive practices and abolition of the legal frameworks that enable restrictive practices. Otherwise, the actual use of any ‘alternatives’ will always be subject to discretion and will leave in place broader structural conditions of ableism that legitimate restrictive practices as a valid choice from a range of options.</w:t>
      </w:r>
    </w:p>
    <w:p w14:paraId="5D630455" w14:textId="3BFD1ADF" w:rsidR="002C4DFD" w:rsidRPr="00A07775" w:rsidRDefault="002C4DFD" w:rsidP="00A07775">
      <w:pPr>
        <w:spacing w:line="276" w:lineRule="auto"/>
        <w:ind w:left="720" w:hanging="720"/>
        <w:rPr>
          <w:rFonts w:ascii="Proxima Nova" w:hAnsi="Proxima Nova"/>
          <w:color w:val="7030A0"/>
          <w:sz w:val="22"/>
          <w:szCs w:val="22"/>
          <w:u w:val="single"/>
        </w:rPr>
      </w:pPr>
    </w:p>
    <w:p w14:paraId="0CF87B0E" w14:textId="77777777" w:rsidR="00154809" w:rsidRPr="00A07775" w:rsidRDefault="00154809" w:rsidP="00A07775">
      <w:pPr>
        <w:pStyle w:val="ListParagraph"/>
        <w:spacing w:line="276" w:lineRule="auto"/>
        <w:ind w:hanging="720"/>
        <w:rPr>
          <w:rFonts w:ascii="Proxima Nova" w:hAnsi="Proxima Nova"/>
          <w:color w:val="7030A0"/>
          <w:sz w:val="22"/>
          <w:szCs w:val="22"/>
          <w:u w:val="single"/>
        </w:rPr>
      </w:pPr>
    </w:p>
    <w:p w14:paraId="33957DBC" w14:textId="6726E249" w:rsidR="00154809" w:rsidRPr="00037F7F" w:rsidRDefault="00154809" w:rsidP="00154809">
      <w:pPr>
        <w:spacing w:line="276" w:lineRule="auto"/>
        <w:ind w:left="1440" w:hanging="1440"/>
        <w:rPr>
          <w:rFonts w:ascii="Proxima Nova" w:hAnsi="Proxima Nova"/>
        </w:rPr>
      </w:pPr>
      <w:r w:rsidRPr="00037F7F">
        <w:rPr>
          <w:rFonts w:ascii="Proxima Nova" w:hAnsi="Proxima Nova"/>
          <w:b/>
          <w:color w:val="AC1F79"/>
        </w:rPr>
        <w:t xml:space="preserve">Question </w:t>
      </w:r>
      <w:r>
        <w:rPr>
          <w:rFonts w:ascii="Proxima Nova" w:hAnsi="Proxima Nova"/>
          <w:b/>
          <w:color w:val="AC1F79"/>
        </w:rPr>
        <w:t>13</w:t>
      </w:r>
      <w:r w:rsidRPr="00037F7F">
        <w:rPr>
          <w:rFonts w:ascii="Proxima Nova" w:hAnsi="Proxima Nova"/>
          <w:b/>
          <w:color w:val="AC1F79"/>
        </w:rPr>
        <w:t>:</w:t>
      </w:r>
      <w:r>
        <w:rPr>
          <w:rFonts w:ascii="Proxima Nova" w:hAnsi="Proxima Nova"/>
          <w:b/>
          <w:color w:val="AC1F79"/>
        </w:rPr>
        <w:tab/>
      </w:r>
      <w:r w:rsidRPr="00154809">
        <w:rPr>
          <w:rFonts w:ascii="Proxima Nova" w:hAnsi="Proxima Nova"/>
          <w:b/>
          <w:color w:val="AC1F79"/>
        </w:rPr>
        <w:t>Have we missed anything? What else should we know about restrictive practices?</w:t>
      </w:r>
    </w:p>
    <w:p w14:paraId="3317C307" w14:textId="76FEBBC7" w:rsidR="00154809" w:rsidRPr="00A07775" w:rsidRDefault="00154809" w:rsidP="00A07775">
      <w:pPr>
        <w:spacing w:line="276" w:lineRule="auto"/>
        <w:ind w:left="720" w:hanging="720"/>
        <w:rPr>
          <w:rFonts w:ascii="Proxima Nova" w:hAnsi="Proxima Nova"/>
          <w:color w:val="7030A0"/>
          <w:sz w:val="22"/>
          <w:szCs w:val="22"/>
          <w:u w:val="single"/>
        </w:rPr>
      </w:pPr>
    </w:p>
    <w:p w14:paraId="5710B935" w14:textId="77777777"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The Royal Commission has not identified various interventions as restrictive practices that are targeted at women and girls with disability, including non-consensual and coercive sterilisation, menstrual suppression, contraception, abortion, forced child removal and denial of support for sexual activity and intimate relationships. This is a serious omission due to the gendered nature of these practices, the enduring resistance of Australian Governments to prohibiting sterilisation, and the present resistance of the Australian Government to NDIS-funded support for sexual activity.</w:t>
      </w:r>
    </w:p>
    <w:p w14:paraId="379DF7B4" w14:textId="77777777" w:rsidR="002C4DFD" w:rsidRPr="00A07775" w:rsidRDefault="002C4DFD" w:rsidP="00A07775">
      <w:pPr>
        <w:spacing w:line="276" w:lineRule="auto"/>
        <w:ind w:left="720" w:hanging="720"/>
        <w:rPr>
          <w:rFonts w:ascii="Proxima Nova" w:hAnsi="Proxima Nova"/>
          <w:sz w:val="22"/>
          <w:szCs w:val="22"/>
        </w:rPr>
      </w:pPr>
    </w:p>
    <w:p w14:paraId="423478E0" w14:textId="77777777"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As per our response to Question 11 above, the Royal Commission has overlooked the question of how to prohibit restrictive practices and abolish substitute decision-making and compulsory treatment. </w:t>
      </w:r>
    </w:p>
    <w:p w14:paraId="720E03F6" w14:textId="77777777" w:rsidR="002C4DFD" w:rsidRPr="00A07775" w:rsidRDefault="002C4DFD" w:rsidP="00A07775">
      <w:pPr>
        <w:pStyle w:val="ListParagraph"/>
        <w:spacing w:line="276" w:lineRule="auto"/>
        <w:ind w:hanging="720"/>
        <w:rPr>
          <w:rFonts w:ascii="Proxima Nova" w:hAnsi="Proxima Nova"/>
          <w:sz w:val="22"/>
          <w:szCs w:val="22"/>
        </w:rPr>
      </w:pPr>
    </w:p>
    <w:p w14:paraId="1EBAE55D" w14:textId="5681A12D"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The Royal Commission has overlooked the question of how to redress violence through restrictive practices. </w:t>
      </w:r>
      <w:r w:rsidRPr="00A07775">
        <w:rPr>
          <w:rFonts w:ascii="Proxima Nova" w:hAnsi="Proxima Nova" w:cstheme="minorHAnsi"/>
          <w:sz w:val="22"/>
          <w:szCs w:val="22"/>
        </w:rPr>
        <w:t xml:space="preserve">The Royal Commission observed in </w:t>
      </w:r>
      <w:r w:rsidR="00DA04B7" w:rsidRPr="00A07775">
        <w:rPr>
          <w:rFonts w:ascii="Proxima Nova" w:hAnsi="Proxima Nova" w:cstheme="minorHAnsi"/>
          <w:sz w:val="22"/>
          <w:szCs w:val="22"/>
        </w:rPr>
        <w:t xml:space="preserve">the DRC </w:t>
      </w:r>
      <w:r w:rsidRPr="00A07775">
        <w:rPr>
          <w:rFonts w:ascii="Proxima Nova" w:hAnsi="Proxima Nova" w:cstheme="minorHAnsi"/>
          <w:sz w:val="22"/>
          <w:szCs w:val="22"/>
        </w:rPr>
        <w:t>Interim Report that it would explore redress in future work.</w:t>
      </w:r>
      <w:r w:rsidRPr="00A07775">
        <w:rPr>
          <w:rStyle w:val="EndnoteReference"/>
          <w:rFonts w:ascii="Proxima Nova" w:hAnsi="Proxima Nova" w:cstheme="minorHAnsi"/>
          <w:sz w:val="22"/>
          <w:szCs w:val="22"/>
        </w:rPr>
        <w:endnoteReference w:id="461"/>
      </w:r>
      <w:r w:rsidRPr="00A07775">
        <w:rPr>
          <w:rFonts w:ascii="Proxima Nova" w:hAnsi="Proxima Nova" w:cstheme="minorHAnsi"/>
          <w:sz w:val="22"/>
          <w:szCs w:val="22"/>
        </w:rPr>
        <w:t xml:space="preserve"> While it is encouraging that the Royal Commission recognises redress is an area of future exploration, we are concerned that the scope of this exploration might be limited to group homes and supported accommodation. This would not </w:t>
      </w:r>
      <w:r w:rsidRPr="00A07775">
        <w:rPr>
          <w:rFonts w:ascii="Proxima Nova" w:hAnsi="Proxima Nova" w:cstheme="minorHAnsi"/>
          <w:sz w:val="22"/>
          <w:szCs w:val="22"/>
        </w:rPr>
        <w:lastRenderedPageBreak/>
        <w:t>cover historical or contemporary instances of violence, abuse, neglect and exploitation in largescale institutions or other settings and contexts. It is also unclear whether it</w:t>
      </w:r>
      <w:r w:rsidR="000222B1" w:rsidRPr="00A07775">
        <w:rPr>
          <w:rFonts w:ascii="Proxima Nova" w:hAnsi="Proxima Nova" w:cstheme="minorHAnsi"/>
          <w:sz w:val="22"/>
          <w:szCs w:val="22"/>
        </w:rPr>
        <w:t xml:space="preserve">s intended exploration of restrictive practices will </w:t>
      </w:r>
      <w:r w:rsidRPr="00A07775">
        <w:rPr>
          <w:rFonts w:ascii="Proxima Nova" w:hAnsi="Proxima Nova" w:cstheme="minorHAnsi"/>
          <w:sz w:val="22"/>
          <w:szCs w:val="22"/>
        </w:rPr>
        <w:t>extend to restrictive practices given the case study prompting this point related to unlawful sexual and physical assault.</w:t>
      </w:r>
      <w:r w:rsidRPr="00A07775">
        <w:rPr>
          <w:rStyle w:val="EndnoteReference"/>
          <w:rFonts w:ascii="Proxima Nova" w:hAnsi="Proxima Nova" w:cstheme="minorHAnsi"/>
          <w:sz w:val="22"/>
          <w:szCs w:val="22"/>
        </w:rPr>
        <w:endnoteReference w:id="462"/>
      </w:r>
    </w:p>
    <w:p w14:paraId="02FDD0F8" w14:textId="77777777" w:rsidR="002C4DFD" w:rsidRPr="00A07775" w:rsidRDefault="002C4DFD" w:rsidP="00A07775">
      <w:pPr>
        <w:pStyle w:val="ListParagraph"/>
        <w:spacing w:line="276" w:lineRule="auto"/>
        <w:ind w:hanging="720"/>
        <w:rPr>
          <w:rFonts w:ascii="Proxima Nova" w:hAnsi="Proxima Nova"/>
          <w:sz w:val="22"/>
          <w:szCs w:val="22"/>
          <w:highlight w:val="yellow"/>
        </w:rPr>
      </w:pPr>
    </w:p>
    <w:p w14:paraId="391206FE" w14:textId="77777777" w:rsidR="002C4DFD"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On a related note, the Royal Commission has overlooked access to justice in relation to restrictive practices – either to seek redress for their use (notably when they are unauthorised or unlawful under current law) or to have substitute decision-making orders removed or challenge the legality of restrictive practices.</w:t>
      </w:r>
    </w:p>
    <w:p w14:paraId="03A30276" w14:textId="77777777" w:rsidR="002C4DFD" w:rsidRPr="00A07775" w:rsidRDefault="002C4DFD" w:rsidP="00A07775">
      <w:pPr>
        <w:pStyle w:val="ListParagraph"/>
        <w:spacing w:line="276" w:lineRule="auto"/>
        <w:ind w:hanging="720"/>
        <w:rPr>
          <w:rFonts w:ascii="Proxima Nova" w:hAnsi="Proxima Nova"/>
          <w:sz w:val="22"/>
          <w:szCs w:val="22"/>
        </w:rPr>
      </w:pPr>
    </w:p>
    <w:p w14:paraId="1FA22796" w14:textId="77777777" w:rsidR="002C4DFD" w:rsidRPr="00A07775" w:rsidRDefault="002C4DFD" w:rsidP="00A07775">
      <w:pPr>
        <w:pStyle w:val="ListParagraph"/>
        <w:numPr>
          <w:ilvl w:val="1"/>
          <w:numId w:val="38"/>
        </w:numPr>
        <w:spacing w:line="276" w:lineRule="auto"/>
        <w:ind w:left="720" w:hanging="720"/>
        <w:contextualSpacing w:val="0"/>
        <w:rPr>
          <w:rFonts w:ascii="Proxima Nova" w:hAnsi="Proxima Nova" w:cstheme="minorHAnsi"/>
          <w:sz w:val="22"/>
          <w:szCs w:val="22"/>
        </w:rPr>
      </w:pPr>
      <w:r w:rsidRPr="00A07775">
        <w:rPr>
          <w:rFonts w:ascii="Proxima Nova" w:hAnsi="Proxima Nova"/>
          <w:sz w:val="22"/>
          <w:szCs w:val="22"/>
        </w:rPr>
        <w:t xml:space="preserve">The Royal Commission has overlooked whether restrictive practices breach international human rights law. Given restrictive practices constitute violence, discrimination and torture under international human rights law, this is a significant omission particularly when coupled with the focus on regulation of restrictive practices in other questions. </w:t>
      </w:r>
      <w:r w:rsidRPr="00A07775">
        <w:rPr>
          <w:rFonts w:ascii="Proxima Nova" w:hAnsi="Proxima Nova" w:cstheme="minorHAnsi"/>
          <w:sz w:val="22"/>
          <w:szCs w:val="22"/>
        </w:rPr>
        <w:t>The Terms of Reference explicitly state that:</w:t>
      </w:r>
    </w:p>
    <w:p w14:paraId="2AD55A3E" w14:textId="77777777" w:rsidR="002C4DFD" w:rsidRPr="00A07775" w:rsidRDefault="002C4DFD" w:rsidP="00A07775">
      <w:pPr>
        <w:pStyle w:val="ListParagraph"/>
        <w:spacing w:line="276" w:lineRule="auto"/>
        <w:ind w:hanging="720"/>
        <w:rPr>
          <w:rFonts w:ascii="Proxima Nova" w:hAnsi="Proxima Nova" w:cstheme="minorHAnsi"/>
          <w:color w:val="000000"/>
          <w:sz w:val="22"/>
          <w:szCs w:val="22"/>
          <w:shd w:val="clear" w:color="auto" w:fill="FFFFFF"/>
        </w:rPr>
      </w:pPr>
    </w:p>
    <w:p w14:paraId="55F3D191" w14:textId="77777777" w:rsidR="002C4DFD" w:rsidRPr="00A07775" w:rsidRDefault="002C4DFD" w:rsidP="00A07775">
      <w:pPr>
        <w:pStyle w:val="ListParagraph"/>
        <w:spacing w:line="276" w:lineRule="auto"/>
        <w:ind w:left="1134"/>
        <w:contextualSpacing w:val="0"/>
        <w:rPr>
          <w:rFonts w:ascii="Proxima Nova" w:hAnsi="Proxima Nova" w:cstheme="minorHAnsi"/>
          <w:sz w:val="22"/>
          <w:szCs w:val="22"/>
        </w:rPr>
      </w:pPr>
      <w:r w:rsidRPr="00A07775">
        <w:rPr>
          <w:rFonts w:ascii="Proxima Nova" w:hAnsi="Proxima Nova" w:cstheme="minorHAnsi"/>
          <w:i/>
          <w:iCs/>
          <w:color w:val="000000"/>
          <w:sz w:val="22"/>
          <w:szCs w:val="22"/>
          <w:shd w:val="clear" w:color="auto" w:fill="FFFFFF"/>
        </w:rPr>
        <w:t>Australia has international obligations to take appropriate legislative, administrative and other measures to promote the human rights of people with disability, including to protect people with disability from all forms of exploitation, violence and abuse under the Convention on the Rights of Persons with Disabilities.</w:t>
      </w:r>
      <w:r w:rsidRPr="00A07775">
        <w:rPr>
          <w:rStyle w:val="EndnoteReference"/>
          <w:rFonts w:ascii="Proxima Nova" w:hAnsi="Proxima Nova" w:cstheme="minorHAnsi"/>
          <w:color w:val="000000"/>
          <w:sz w:val="22"/>
          <w:szCs w:val="22"/>
          <w:shd w:val="clear" w:color="auto" w:fill="FFFFFF"/>
        </w:rPr>
        <w:endnoteReference w:id="463"/>
      </w:r>
    </w:p>
    <w:p w14:paraId="05BB87BD" w14:textId="77777777" w:rsidR="002C4DFD" w:rsidRPr="00A07775" w:rsidRDefault="002C4DFD" w:rsidP="00A07775">
      <w:pPr>
        <w:spacing w:line="276" w:lineRule="auto"/>
        <w:ind w:left="720" w:hanging="720"/>
        <w:rPr>
          <w:rFonts w:ascii="Proxima Nova" w:hAnsi="Proxima Nova"/>
          <w:sz w:val="22"/>
          <w:szCs w:val="22"/>
        </w:rPr>
      </w:pPr>
    </w:p>
    <w:p w14:paraId="71F65C10" w14:textId="54D4F58C" w:rsidR="00E267B7" w:rsidRPr="00A07775" w:rsidRDefault="002C4DFD"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The Royal Commission has overlooked </w:t>
      </w:r>
      <w:r w:rsidR="00E267B7" w:rsidRPr="00A07775">
        <w:rPr>
          <w:rFonts w:ascii="Proxima Nova" w:hAnsi="Proxima Nova"/>
          <w:sz w:val="22"/>
          <w:szCs w:val="22"/>
        </w:rPr>
        <w:t>the economic dynamics of the use of restrictive practices</w:t>
      </w:r>
      <w:r w:rsidR="00481EE8" w:rsidRPr="00A07775">
        <w:rPr>
          <w:rFonts w:ascii="Proxima Nova" w:hAnsi="Proxima Nova"/>
          <w:sz w:val="22"/>
          <w:szCs w:val="22"/>
        </w:rPr>
        <w:t xml:space="preserve">. Instead of taking at face value disability services’ justifications for their use of restrictive practices, it is important to interrogate the financial benefits to disability services </w:t>
      </w:r>
      <w:r w:rsidR="005B02A8" w:rsidRPr="00A07775">
        <w:rPr>
          <w:rFonts w:ascii="Proxima Nova" w:hAnsi="Proxima Nova"/>
          <w:sz w:val="22"/>
          <w:szCs w:val="22"/>
        </w:rPr>
        <w:t xml:space="preserve">associated with </w:t>
      </w:r>
      <w:r w:rsidR="00481EE8" w:rsidRPr="00A07775">
        <w:rPr>
          <w:rFonts w:ascii="Proxima Nova" w:hAnsi="Proxima Nova"/>
          <w:sz w:val="22"/>
          <w:szCs w:val="22"/>
        </w:rPr>
        <w:t>use of restrictive practices</w:t>
      </w:r>
      <w:r w:rsidR="00E267B7" w:rsidRPr="00A07775">
        <w:rPr>
          <w:rFonts w:ascii="Proxima Nova" w:hAnsi="Proxima Nova"/>
          <w:sz w:val="22"/>
          <w:szCs w:val="22"/>
        </w:rPr>
        <w:t>.</w:t>
      </w:r>
    </w:p>
    <w:p w14:paraId="36D0E24F" w14:textId="77777777" w:rsidR="00E267B7" w:rsidRPr="00A07775" w:rsidRDefault="00E267B7" w:rsidP="00A07775">
      <w:pPr>
        <w:spacing w:line="276" w:lineRule="auto"/>
        <w:ind w:left="720" w:hanging="720"/>
        <w:rPr>
          <w:rFonts w:ascii="Proxima Nova" w:hAnsi="Proxima Nova"/>
          <w:sz w:val="22"/>
          <w:szCs w:val="22"/>
        </w:rPr>
      </w:pPr>
    </w:p>
    <w:p w14:paraId="06530BE5" w14:textId="7F3D8342" w:rsidR="002C4DFD" w:rsidRPr="00A07775" w:rsidRDefault="00E267B7" w:rsidP="00A07775">
      <w:pPr>
        <w:pStyle w:val="ListParagraph"/>
        <w:numPr>
          <w:ilvl w:val="1"/>
          <w:numId w:val="38"/>
        </w:numPr>
        <w:spacing w:line="276" w:lineRule="auto"/>
        <w:ind w:left="720" w:hanging="720"/>
        <w:rPr>
          <w:rFonts w:ascii="Proxima Nova" w:hAnsi="Proxima Nova"/>
          <w:sz w:val="22"/>
          <w:szCs w:val="22"/>
        </w:rPr>
      </w:pPr>
      <w:r w:rsidRPr="00A07775">
        <w:rPr>
          <w:rFonts w:ascii="Proxima Nova" w:hAnsi="Proxima Nova"/>
          <w:sz w:val="22"/>
          <w:szCs w:val="22"/>
        </w:rPr>
        <w:t xml:space="preserve">The Royal Commission has overlooked </w:t>
      </w:r>
      <w:r w:rsidR="002C4DFD" w:rsidRPr="00A07775">
        <w:rPr>
          <w:rFonts w:ascii="Proxima Nova" w:hAnsi="Proxima Nova"/>
          <w:sz w:val="22"/>
          <w:szCs w:val="22"/>
        </w:rPr>
        <w:t xml:space="preserve">the ableism embedded in the categories of </w:t>
      </w:r>
      <w:r w:rsidRPr="00A07775">
        <w:rPr>
          <w:rFonts w:ascii="Proxima Nova" w:hAnsi="Proxima Nova"/>
          <w:sz w:val="22"/>
          <w:szCs w:val="22"/>
        </w:rPr>
        <w:t>‘</w:t>
      </w:r>
      <w:r w:rsidR="00037BC8" w:rsidRPr="00A07775">
        <w:rPr>
          <w:rFonts w:ascii="Proxima Nova" w:hAnsi="Proxima Nova"/>
          <w:sz w:val="22"/>
          <w:szCs w:val="22"/>
        </w:rPr>
        <w:t>challenging</w:t>
      </w:r>
      <w:r w:rsidRPr="00A07775">
        <w:rPr>
          <w:rFonts w:ascii="Proxima Nova" w:hAnsi="Proxima Nova"/>
          <w:sz w:val="22"/>
          <w:szCs w:val="22"/>
        </w:rPr>
        <w:t xml:space="preserve"> </w:t>
      </w:r>
      <w:r w:rsidR="002C4DFD" w:rsidRPr="00A07775">
        <w:rPr>
          <w:rFonts w:ascii="Proxima Nova" w:hAnsi="Proxima Nova"/>
          <w:sz w:val="22"/>
          <w:szCs w:val="22"/>
        </w:rPr>
        <w:t>behaviour</w:t>
      </w:r>
      <w:r w:rsidRPr="00A07775">
        <w:rPr>
          <w:rFonts w:ascii="Proxima Nova" w:hAnsi="Proxima Nova"/>
          <w:sz w:val="22"/>
          <w:szCs w:val="22"/>
        </w:rPr>
        <w:t>’ and ‘behaviours of concern’</w:t>
      </w:r>
      <w:r w:rsidR="002C4DFD" w:rsidRPr="00A07775">
        <w:rPr>
          <w:rFonts w:ascii="Proxima Nova" w:hAnsi="Proxima Nova"/>
          <w:sz w:val="22"/>
          <w:szCs w:val="22"/>
        </w:rPr>
        <w:t xml:space="preserve"> that provide scientific/medical legitimacy to the use of restrictive practices.</w:t>
      </w:r>
    </w:p>
    <w:p w14:paraId="3AFC0671" w14:textId="23F0E1DA" w:rsidR="002C4DFD" w:rsidRPr="00A07775" w:rsidRDefault="002C4DFD" w:rsidP="00A07775">
      <w:pPr>
        <w:spacing w:line="276" w:lineRule="auto"/>
        <w:ind w:left="720" w:hanging="720"/>
        <w:rPr>
          <w:rFonts w:ascii="Proxima Nova" w:hAnsi="Proxima Nova"/>
          <w:sz w:val="22"/>
          <w:szCs w:val="22"/>
        </w:rPr>
      </w:pPr>
    </w:p>
    <w:p w14:paraId="6B151CCB" w14:textId="4DC552C8" w:rsidR="00154809" w:rsidRDefault="00154809" w:rsidP="00335AD1">
      <w:pPr>
        <w:ind w:left="720" w:hanging="720"/>
        <w:rPr>
          <w:rFonts w:ascii="Proxima Nova" w:hAnsi="Proxima Nova"/>
          <w:sz w:val="20"/>
          <w:szCs w:val="20"/>
        </w:rPr>
      </w:pPr>
      <w:r>
        <w:rPr>
          <w:rFonts w:ascii="Proxima Nova" w:hAnsi="Proxima Nova"/>
          <w:sz w:val="20"/>
          <w:szCs w:val="20"/>
        </w:rPr>
        <w:br w:type="page"/>
      </w:r>
    </w:p>
    <w:p w14:paraId="202EC8DA" w14:textId="7ACC7D67" w:rsidR="00A07775" w:rsidRPr="00873FF3" w:rsidRDefault="00614CED" w:rsidP="00614CED">
      <w:pPr>
        <w:ind w:left="2160" w:hanging="2160"/>
        <w:rPr>
          <w:rFonts w:ascii="Proxima Nova" w:hAnsi="Proxima Nova"/>
          <w:b/>
          <w:bCs/>
          <w:sz w:val="20"/>
          <w:szCs w:val="20"/>
        </w:rPr>
      </w:pPr>
      <w:bookmarkStart w:id="65" w:name="_Toc61349500"/>
      <w:bookmarkStart w:id="66" w:name="_Toc74855811"/>
      <w:bookmarkEnd w:id="56"/>
      <w:r w:rsidRPr="00614CED">
        <w:rPr>
          <w:rFonts w:ascii="League Spartan" w:hAnsi="League Spartan"/>
          <w:b/>
          <w:bCs/>
          <w:color w:val="004479"/>
          <w:sz w:val="28"/>
          <w:szCs w:val="28"/>
        </w:rPr>
        <w:lastRenderedPageBreak/>
        <w:t>APPENDIX 1:</w:t>
      </w:r>
      <w:r>
        <w:rPr>
          <w:rFonts w:ascii="League Spartan" w:hAnsi="League Spartan"/>
          <w:b/>
          <w:bCs/>
          <w:color w:val="004479"/>
          <w:sz w:val="28"/>
          <w:szCs w:val="28"/>
        </w:rPr>
        <w:tab/>
      </w:r>
      <w:r w:rsidRPr="00614CED">
        <w:rPr>
          <w:rFonts w:ascii="League Spartan" w:hAnsi="League Spartan"/>
          <w:b/>
          <w:bCs/>
          <w:color w:val="004479"/>
          <w:sz w:val="28"/>
          <w:szCs w:val="28"/>
        </w:rPr>
        <w:t>RELEVANT CONCLUDING COMMENTS FROM UN TREATY BODIES</w:t>
      </w:r>
    </w:p>
    <w:p w14:paraId="4EE5464D" w14:textId="77777777" w:rsidR="00A07775" w:rsidRPr="00A07775" w:rsidRDefault="00A07775" w:rsidP="00A07775">
      <w:pPr>
        <w:pStyle w:val="Heading1"/>
        <w:spacing w:line="276" w:lineRule="auto"/>
        <w:rPr>
          <w:rFonts w:ascii="Proxima Nova" w:hAnsi="Proxima Nova"/>
          <w:b w:val="0"/>
          <w:sz w:val="22"/>
          <w:szCs w:val="22"/>
        </w:rPr>
      </w:pPr>
    </w:p>
    <w:bookmarkEnd w:id="65"/>
    <w:bookmarkEnd w:id="66"/>
    <w:p w14:paraId="6265C3D4" w14:textId="70BDCA51" w:rsidR="005A6DA2" w:rsidRPr="00207D3C" w:rsidRDefault="005A6DA2" w:rsidP="00614CED">
      <w:pPr>
        <w:snapToGrid w:val="0"/>
        <w:spacing w:line="276" w:lineRule="auto"/>
        <w:rPr>
          <w:rFonts w:ascii="Proxima Nova" w:hAnsi="Proxima Nova" w:cstheme="minorHAnsi"/>
          <w:sz w:val="22"/>
          <w:szCs w:val="22"/>
        </w:rPr>
      </w:pPr>
      <w:r w:rsidRPr="00207D3C">
        <w:rPr>
          <w:rFonts w:ascii="Proxima Nova" w:hAnsi="Proxima Nova" w:cstheme="minorHAnsi"/>
          <w:sz w:val="22"/>
          <w:szCs w:val="22"/>
        </w:rPr>
        <w:t xml:space="preserve">This section of the Submission is taken from the 2019 publication: ‘Disabled People’s Organisations Australia and the National Women’s Alliances, </w:t>
      </w:r>
      <w:r w:rsidRPr="00207D3C">
        <w:rPr>
          <w:rFonts w:ascii="Proxima Nova" w:hAnsi="Proxima Nova" w:cstheme="minorHAnsi"/>
          <w:i/>
          <w:iCs/>
          <w:sz w:val="22"/>
          <w:szCs w:val="22"/>
        </w:rPr>
        <w:t>The Status of Women and Girls with Disability in Australia, Position Statement to the Commission on the Status of Women (CSW) Twenty-Fifth Anniversary of the Fourth World Conference on Women and the Beijing Declaration and Platform for Action 1995.’</w:t>
      </w:r>
      <w:r w:rsidRPr="00207D3C">
        <w:rPr>
          <w:rFonts w:ascii="Proxima Nova" w:hAnsi="Proxima Nova" w:cstheme="minorHAnsi"/>
          <w:sz w:val="22"/>
          <w:szCs w:val="22"/>
        </w:rPr>
        <w:t xml:space="preserve"> Women With Disabilities Australia, 2019. Written by Carolyn Frohmader for and on behalf of WWDA and DPO Australia. Available at: </w:t>
      </w:r>
      <w:hyperlink r:id="rId24" w:history="1">
        <w:r w:rsidR="00396341" w:rsidRPr="00207D3C">
          <w:rPr>
            <w:rStyle w:val="Hyperlink"/>
            <w:rFonts w:ascii="Proxima Nova" w:hAnsi="Proxima Nova" w:cstheme="minorHAnsi"/>
            <w:sz w:val="22"/>
            <w:szCs w:val="22"/>
          </w:rPr>
          <w:t>https://wwda.org.au/wp-content/uploads/2020/06/The-Status-of-Women-and-Girls-with-Disability-Asutralia.pdf</w:t>
        </w:r>
      </w:hyperlink>
      <w:r w:rsidR="00396341" w:rsidRPr="00207D3C">
        <w:rPr>
          <w:rFonts w:ascii="Proxima Nova" w:hAnsi="Proxima Nova" w:cstheme="minorHAnsi"/>
          <w:sz w:val="22"/>
          <w:szCs w:val="22"/>
        </w:rPr>
        <w:t xml:space="preserve"> </w:t>
      </w:r>
    </w:p>
    <w:p w14:paraId="7B82EF68" w14:textId="2CDC3BB7" w:rsidR="005A6DA2" w:rsidRPr="00BD5E1A" w:rsidRDefault="005A6DA2" w:rsidP="00614CED">
      <w:pPr>
        <w:snapToGrid w:val="0"/>
        <w:spacing w:line="276" w:lineRule="auto"/>
        <w:rPr>
          <w:rFonts w:ascii="Proxima Nova" w:hAnsi="Proxima Nova" w:cstheme="minorHAnsi"/>
          <w:sz w:val="22"/>
          <w:szCs w:val="22"/>
        </w:rPr>
      </w:pPr>
    </w:p>
    <w:p w14:paraId="17EBAD74" w14:textId="77777777" w:rsidR="0016457E" w:rsidRPr="00BD5E1A" w:rsidRDefault="0016457E" w:rsidP="00614CED">
      <w:pPr>
        <w:snapToGrid w:val="0"/>
        <w:spacing w:line="276" w:lineRule="auto"/>
        <w:rPr>
          <w:rFonts w:ascii="Proxima Nova" w:hAnsi="Proxima Nova" w:cstheme="minorHAnsi"/>
          <w:sz w:val="22"/>
          <w:szCs w:val="22"/>
        </w:rPr>
      </w:pPr>
    </w:p>
    <w:p w14:paraId="138515DE" w14:textId="1E674495" w:rsidR="005A6DA2" w:rsidRPr="00BD5E1A" w:rsidRDefault="005A6DA2" w:rsidP="00614CED">
      <w:pPr>
        <w:snapToGrid w:val="0"/>
        <w:spacing w:line="276" w:lineRule="auto"/>
        <w:rPr>
          <w:rFonts w:ascii="Proxima Nova" w:hAnsi="Proxima Nova" w:cstheme="minorHAnsi"/>
          <w:sz w:val="22"/>
          <w:szCs w:val="22"/>
        </w:rPr>
      </w:pPr>
      <w:r w:rsidRPr="00BD5E1A">
        <w:rPr>
          <w:rFonts w:ascii="Proxima Nova" w:hAnsi="Proxima Nova" w:cstheme="minorHAnsi"/>
          <w:sz w:val="22"/>
          <w:szCs w:val="22"/>
        </w:rPr>
        <w:t xml:space="preserve">The UN has made numerous recommendations, called concluding comments or concluding observations following periodic reviews of Australia under different treaty bodies. The following provides a summary of the most recent key recommendations from these treaty bodies </w:t>
      </w:r>
      <w:r w:rsidR="009B5E61" w:rsidRPr="00BD5E1A">
        <w:rPr>
          <w:rFonts w:ascii="Proxima Nova" w:hAnsi="Proxima Nova" w:cstheme="minorHAnsi"/>
          <w:sz w:val="22"/>
          <w:szCs w:val="22"/>
        </w:rPr>
        <w:t>that are relevant t</w:t>
      </w:r>
      <w:r w:rsidRPr="00BD5E1A">
        <w:rPr>
          <w:rFonts w:ascii="Proxima Nova" w:hAnsi="Proxima Nova" w:cstheme="minorHAnsi"/>
          <w:sz w:val="22"/>
          <w:szCs w:val="22"/>
        </w:rPr>
        <w:t xml:space="preserve">o </w:t>
      </w:r>
      <w:r w:rsidR="009626E2" w:rsidRPr="00BD5E1A">
        <w:rPr>
          <w:rFonts w:ascii="Proxima Nova" w:hAnsi="Proxima Nova" w:cstheme="minorHAnsi"/>
          <w:sz w:val="22"/>
          <w:szCs w:val="22"/>
        </w:rPr>
        <w:t>restrictive practices</w:t>
      </w:r>
      <w:r w:rsidR="009B5E61" w:rsidRPr="00BD5E1A">
        <w:rPr>
          <w:rFonts w:ascii="Proxima Nova" w:hAnsi="Proxima Nova" w:cstheme="minorHAnsi"/>
          <w:sz w:val="22"/>
          <w:szCs w:val="22"/>
        </w:rPr>
        <w:t>, substituted decision-making and compulsory treatment,</w:t>
      </w:r>
      <w:r w:rsidRPr="00BD5E1A">
        <w:rPr>
          <w:rFonts w:ascii="Proxima Nova" w:hAnsi="Proxima Nova" w:cstheme="minorHAnsi"/>
          <w:sz w:val="22"/>
          <w:szCs w:val="22"/>
        </w:rPr>
        <w:t xml:space="preserve"> and violence, abuse, neglect and exploitation.  </w:t>
      </w:r>
    </w:p>
    <w:p w14:paraId="6929BBD0" w14:textId="7C7832D6" w:rsidR="0037765C" w:rsidRPr="00207D3C" w:rsidRDefault="0037765C" w:rsidP="00207D3C">
      <w:pPr>
        <w:snapToGrid w:val="0"/>
        <w:spacing w:line="276" w:lineRule="auto"/>
        <w:rPr>
          <w:rFonts w:ascii="Proxima Nova" w:hAnsi="Proxima Nova" w:cstheme="minorHAnsi"/>
          <w:sz w:val="22"/>
          <w:szCs w:val="22"/>
        </w:rPr>
      </w:pPr>
    </w:p>
    <w:p w14:paraId="24D91AC7" w14:textId="5814B996" w:rsidR="00AB5289" w:rsidRPr="00207D3C" w:rsidRDefault="007D2D16" w:rsidP="00207D3C">
      <w:pPr>
        <w:pStyle w:val="Heading2"/>
        <w:jc w:val="left"/>
        <w:rPr>
          <w:rFonts w:ascii="Proxima Nova" w:hAnsi="Proxima Nova"/>
          <w:bCs/>
          <w:color w:val="AC1F79"/>
          <w:sz w:val="22"/>
          <w:szCs w:val="22"/>
        </w:rPr>
      </w:pPr>
      <w:bookmarkStart w:id="67" w:name="_Toc61349501"/>
      <w:r w:rsidRPr="00207D3C">
        <w:rPr>
          <w:rFonts w:ascii="Proxima Nova" w:hAnsi="Proxima Nova"/>
          <w:bCs/>
          <w:color w:val="AC1F79"/>
          <w:sz w:val="22"/>
          <w:szCs w:val="22"/>
        </w:rPr>
        <w:t>Equality, Non-D</w:t>
      </w:r>
      <w:r w:rsidR="00AB5289" w:rsidRPr="00207D3C">
        <w:rPr>
          <w:rFonts w:ascii="Proxima Nova" w:hAnsi="Proxima Nova"/>
          <w:bCs/>
          <w:color w:val="AC1F79"/>
          <w:sz w:val="22"/>
          <w:szCs w:val="22"/>
        </w:rPr>
        <w:t>iscrimin</w:t>
      </w:r>
      <w:r w:rsidRPr="00207D3C">
        <w:rPr>
          <w:rFonts w:ascii="Proxima Nova" w:hAnsi="Proxima Nova"/>
          <w:bCs/>
          <w:color w:val="AC1F79"/>
          <w:sz w:val="22"/>
          <w:szCs w:val="22"/>
        </w:rPr>
        <w:t>ation and P</w:t>
      </w:r>
      <w:r w:rsidR="00AB5289" w:rsidRPr="00207D3C">
        <w:rPr>
          <w:rFonts w:ascii="Proxima Nova" w:hAnsi="Proxima Nova"/>
          <w:bCs/>
          <w:color w:val="AC1F79"/>
          <w:sz w:val="22"/>
          <w:szCs w:val="22"/>
        </w:rPr>
        <w:t>articipation</w:t>
      </w:r>
      <w:bookmarkEnd w:id="67"/>
    </w:p>
    <w:p w14:paraId="37E5088E" w14:textId="77777777" w:rsidR="00AB5289" w:rsidRPr="00207D3C" w:rsidRDefault="00AB5289" w:rsidP="00207D3C">
      <w:pPr>
        <w:pStyle w:val="ListParagraph"/>
        <w:snapToGrid w:val="0"/>
        <w:spacing w:line="276" w:lineRule="auto"/>
        <w:ind w:left="0"/>
        <w:contextualSpacing w:val="0"/>
        <w:rPr>
          <w:rFonts w:ascii="Proxima Nova" w:hAnsi="Proxima Nova" w:cstheme="minorHAnsi"/>
          <w:sz w:val="22"/>
          <w:szCs w:val="22"/>
        </w:rPr>
      </w:pPr>
    </w:p>
    <w:p w14:paraId="688600C5" w14:textId="70267804" w:rsidR="00AB5289" w:rsidRPr="00207D3C" w:rsidRDefault="00AB5289" w:rsidP="00207D3C">
      <w:pPr>
        <w:snapToGrid w:val="0"/>
        <w:spacing w:line="276" w:lineRule="auto"/>
        <w:rPr>
          <w:rFonts w:ascii="Proxima Nova" w:hAnsi="Proxima Nova" w:cstheme="minorHAnsi"/>
          <w:sz w:val="22"/>
          <w:szCs w:val="22"/>
        </w:rPr>
      </w:pPr>
      <w:r w:rsidRPr="00207D3C">
        <w:rPr>
          <w:rFonts w:ascii="Proxima Nova" w:eastAsia="Calibri" w:hAnsi="Proxima Nova" w:cstheme="minorHAnsi"/>
          <w:sz w:val="22"/>
          <w:szCs w:val="22"/>
        </w:rPr>
        <w:t xml:space="preserve">In its 2019 Concluding Observations, the </w:t>
      </w:r>
      <w:r w:rsidR="00C72067" w:rsidRPr="00207D3C">
        <w:rPr>
          <w:rFonts w:ascii="Proxima Nova" w:eastAsia="Calibri" w:hAnsi="Proxima Nova" w:cstheme="minorHAnsi"/>
          <w:sz w:val="22"/>
          <w:szCs w:val="22"/>
        </w:rPr>
        <w:t>UN CRPD Committee</w:t>
      </w:r>
      <w:r w:rsidRPr="00207D3C">
        <w:rPr>
          <w:rFonts w:ascii="Proxima Nova" w:eastAsia="Calibri" w:hAnsi="Proxima Nova" w:cstheme="minorHAnsi"/>
          <w:sz w:val="22"/>
          <w:szCs w:val="22"/>
        </w:rPr>
        <w:t xml:space="preserve"> expressed and reiterated a number of concerns from its 2013 initial review of Australia: the lack of an effective </w:t>
      </w:r>
      <w:r w:rsidRPr="00207D3C">
        <w:rPr>
          <w:rFonts w:ascii="Proxima Nova" w:hAnsi="Proxima Nova" w:cstheme="minorHAnsi"/>
          <w:sz w:val="22"/>
          <w:szCs w:val="22"/>
        </w:rPr>
        <w:t xml:space="preserve">legislative framework to protect people with disability from systemic, intersectional and multiple forms of discrimination; a lack of an effective monitoring mechanism and insufficient resources to effectively implement the </w:t>
      </w:r>
      <w:r w:rsidR="00E63149" w:rsidRPr="00207D3C">
        <w:rPr>
          <w:rFonts w:ascii="Proxima Nova" w:hAnsi="Proxima Nova" w:cstheme="minorHAnsi"/>
          <w:sz w:val="22"/>
          <w:szCs w:val="22"/>
        </w:rPr>
        <w:t>NDS</w:t>
      </w:r>
      <w:r w:rsidRPr="00207D3C">
        <w:rPr>
          <w:rFonts w:ascii="Proxima Nova" w:hAnsi="Proxima Nova" w:cstheme="minorHAnsi"/>
          <w:sz w:val="22"/>
          <w:szCs w:val="22"/>
        </w:rPr>
        <w:t xml:space="preserve">; limited opportunities for women and girls with disability to participate in the development of policies regarding the rights of women and gender equality; and the lack of nationally consistent measures for the collection and public reporting of disaggregated data on the full range of obligations contained in the Convention.  The Committee recommended that Australia: enact a comprehensive national human rights law; strengthen anti-discrimination laws to address and prohibit systemic, intersectional and multiple forms of discrimination; provide sufficient resources and establish a formal monitoring mechanism for the </w:t>
      </w:r>
      <w:r w:rsidR="00E63149" w:rsidRPr="00207D3C">
        <w:rPr>
          <w:rFonts w:ascii="Proxima Nova" w:hAnsi="Proxima Nova" w:cstheme="minorHAnsi"/>
          <w:sz w:val="22"/>
          <w:szCs w:val="22"/>
        </w:rPr>
        <w:t>NDS</w:t>
      </w:r>
      <w:r w:rsidRPr="00207D3C">
        <w:rPr>
          <w:rFonts w:ascii="Proxima Nova" w:hAnsi="Proxima Nova" w:cstheme="minorHAnsi"/>
          <w:sz w:val="22"/>
          <w:szCs w:val="22"/>
        </w:rPr>
        <w:t>; and develop a national disability data framework to ensure nationally consistent measures for the collection and public reporting of disaggregated data on the full range of obligations contained in the Convention, especially with regard to women, children and Indigenous persons with disabilities. The Committee further recommended that Australia strengthen measures to address multiple and intersectional forms of discrimination against women and girls with disability and, in particular, adequately support organisations and networks of women and girls with disability, particularly those representing Indigenous women and girls with disability, to engage in all initiatives to promote gender equality and ensure their effective participation in the development of policies for gender equality and the advancement of women and girls.</w:t>
      </w:r>
    </w:p>
    <w:p w14:paraId="77D86B2B" w14:textId="77777777" w:rsidR="00AB5289" w:rsidRPr="00207D3C" w:rsidRDefault="00AB5289" w:rsidP="00207D3C">
      <w:pPr>
        <w:snapToGrid w:val="0"/>
        <w:spacing w:line="276" w:lineRule="auto"/>
        <w:rPr>
          <w:rFonts w:ascii="Proxima Nova" w:hAnsi="Proxima Nova" w:cstheme="minorHAnsi"/>
          <w:sz w:val="22"/>
          <w:szCs w:val="22"/>
        </w:rPr>
      </w:pPr>
    </w:p>
    <w:p w14:paraId="44943626" w14:textId="03F3283C" w:rsidR="00AB5289" w:rsidRPr="00207D3C" w:rsidRDefault="00AB5289" w:rsidP="00207D3C">
      <w:pPr>
        <w:spacing w:line="276" w:lineRule="auto"/>
        <w:rPr>
          <w:rFonts w:ascii="Proxima Nova" w:hAnsi="Proxima Nova" w:cstheme="minorHAnsi"/>
          <w:sz w:val="22"/>
          <w:szCs w:val="22"/>
        </w:rPr>
      </w:pPr>
      <w:r w:rsidRPr="00207D3C">
        <w:rPr>
          <w:rFonts w:ascii="Proxima Nova" w:hAnsi="Proxima Nova" w:cstheme="minorHAnsi"/>
          <w:sz w:val="22"/>
          <w:szCs w:val="22"/>
        </w:rPr>
        <w:t>The Committee on the Elimination of Discrimination against Women reviewed Australia's implementation of CEDAW</w:t>
      </w:r>
      <w:r w:rsidR="00397672" w:rsidRPr="00207D3C">
        <w:rPr>
          <w:rStyle w:val="EndnoteReference"/>
          <w:rFonts w:ascii="Proxima Nova" w:hAnsi="Proxima Nova" w:cstheme="minorHAnsi"/>
          <w:sz w:val="22"/>
          <w:szCs w:val="22"/>
        </w:rPr>
        <w:endnoteReference w:id="464"/>
      </w:r>
      <w:r w:rsidRPr="00207D3C">
        <w:rPr>
          <w:rFonts w:ascii="Proxima Nova" w:hAnsi="Proxima Nova" w:cstheme="minorHAnsi"/>
          <w:sz w:val="22"/>
          <w:szCs w:val="22"/>
        </w:rPr>
        <w:t xml:space="preserve"> in 2018.</w:t>
      </w:r>
      <w:r w:rsidR="00AF44C5" w:rsidRPr="00207D3C">
        <w:rPr>
          <w:rStyle w:val="EndnoteReference"/>
          <w:rFonts w:ascii="Proxima Nova" w:hAnsi="Proxima Nova" w:cstheme="minorHAnsi"/>
          <w:sz w:val="22"/>
          <w:szCs w:val="22"/>
        </w:rPr>
        <w:endnoteReference w:id="465"/>
      </w:r>
      <w:r w:rsidRPr="00207D3C">
        <w:rPr>
          <w:rFonts w:ascii="Proxima Nova" w:hAnsi="Proxima Nova" w:cstheme="minorHAnsi"/>
          <w:sz w:val="22"/>
          <w:szCs w:val="22"/>
        </w:rPr>
        <w:t xml:space="preserve"> The Committee expressed its concern at the lack of harmonisation of anti-discrimination legislation, and the absence of a Charter of Human Rights that guarantees equality between women and men or a general prohibition of discrimination against women. Amongst other things, the Committee recommended that Australia harmonise federal, state and territory legislation against discrimination in line with the Convention; </w:t>
      </w:r>
      <w:r w:rsidR="00097600" w:rsidRPr="00207D3C">
        <w:rPr>
          <w:rFonts w:ascii="Proxima Nova" w:hAnsi="Proxima Nova" w:cstheme="minorHAnsi"/>
          <w:sz w:val="22"/>
          <w:szCs w:val="22"/>
        </w:rPr>
        <w:t>and</w:t>
      </w:r>
      <w:r w:rsidRPr="00207D3C">
        <w:rPr>
          <w:rFonts w:ascii="Proxima Nova" w:hAnsi="Proxima Nova" w:cstheme="minorHAnsi"/>
          <w:sz w:val="22"/>
          <w:szCs w:val="22"/>
        </w:rPr>
        <w:t xml:space="preserve"> fully incorporate the Convention into national law by adopting a Charter of Human Rights that includes a guarantee of equality between women and men and prohibits discrimination against women. The Committee further recommended that Australia adopt a comprehensive national gender equality policy with performance indicators and ensure sufficient human and financial resources to coordinate and monitor the implementation of that policy.</w:t>
      </w:r>
    </w:p>
    <w:p w14:paraId="04EE2E71" w14:textId="77777777" w:rsidR="00AB5289" w:rsidRPr="00207D3C" w:rsidRDefault="00AB5289" w:rsidP="00207D3C">
      <w:pPr>
        <w:snapToGrid w:val="0"/>
        <w:spacing w:line="276" w:lineRule="auto"/>
        <w:rPr>
          <w:rFonts w:ascii="Proxima Nova" w:hAnsi="Proxima Nova" w:cstheme="minorHAnsi"/>
          <w:sz w:val="22"/>
          <w:szCs w:val="22"/>
        </w:rPr>
      </w:pPr>
    </w:p>
    <w:p w14:paraId="40786856" w14:textId="0F676FCC" w:rsidR="00AB5289" w:rsidRPr="00207D3C" w:rsidRDefault="00AB5289" w:rsidP="00207D3C">
      <w:pPr>
        <w:spacing w:line="276" w:lineRule="auto"/>
        <w:rPr>
          <w:rFonts w:ascii="Proxima Nova" w:hAnsi="Proxima Nova" w:cstheme="minorHAnsi"/>
          <w:sz w:val="22"/>
          <w:szCs w:val="22"/>
          <w:lang w:val="en-GB"/>
        </w:rPr>
      </w:pPr>
      <w:r w:rsidRPr="00207D3C">
        <w:rPr>
          <w:rFonts w:ascii="Proxima Nova" w:hAnsi="Proxima Nova" w:cstheme="minorHAnsi"/>
          <w:sz w:val="22"/>
          <w:szCs w:val="22"/>
        </w:rPr>
        <w:t>In 2019, the Committee on the Rights of the Child provided its Concluding Observations</w:t>
      </w:r>
      <w:r w:rsidR="00AF44C5" w:rsidRPr="00207D3C">
        <w:rPr>
          <w:rStyle w:val="EndnoteReference"/>
          <w:rFonts w:ascii="Proxima Nova" w:hAnsi="Proxima Nova" w:cstheme="minorHAnsi"/>
          <w:sz w:val="22"/>
          <w:szCs w:val="22"/>
        </w:rPr>
        <w:endnoteReference w:id="466"/>
      </w:r>
      <w:r w:rsidRPr="00207D3C">
        <w:rPr>
          <w:rFonts w:ascii="Proxima Nova" w:hAnsi="Proxima Nova" w:cstheme="minorHAnsi"/>
          <w:sz w:val="22"/>
          <w:szCs w:val="22"/>
        </w:rPr>
        <w:t xml:space="preserve"> to Australia following its review. The Committee recommended that Australia: enact comprehensive national child rights legislation fully incorporating the Convention and providing clear guidelines for </w:t>
      </w:r>
      <w:r w:rsidRPr="00207D3C">
        <w:rPr>
          <w:rFonts w:ascii="Proxima Nova" w:hAnsi="Proxima Nova" w:cstheme="minorHAnsi"/>
          <w:sz w:val="22"/>
          <w:szCs w:val="22"/>
        </w:rPr>
        <w:lastRenderedPageBreak/>
        <w:t xml:space="preserve">its consistent and direct application throughout Australia; ensure adequate resources for </w:t>
      </w:r>
      <w:r w:rsidRPr="00207D3C">
        <w:rPr>
          <w:rFonts w:ascii="Proxima Nova" w:hAnsi="Proxima Nova" w:cstheme="minorHAnsi"/>
          <w:sz w:val="22"/>
          <w:szCs w:val="22"/>
          <w:lang w:val="en-GB"/>
        </w:rPr>
        <w:t xml:space="preserve">the Parliamentary Joint Committee on Human Rights to effectively examine all proposed legislation and its impact on children’s rights; </w:t>
      </w:r>
      <w:r w:rsidRPr="00207D3C">
        <w:rPr>
          <w:rFonts w:ascii="Proxima Nova" w:hAnsi="Proxima Nova" w:cstheme="minorHAnsi"/>
          <w:sz w:val="22"/>
          <w:szCs w:val="22"/>
        </w:rPr>
        <w:t>ensure</w:t>
      </w:r>
      <w:r w:rsidRPr="00207D3C">
        <w:rPr>
          <w:rFonts w:ascii="Proxima Nova" w:hAnsi="Proxima Nova" w:cstheme="minorHAnsi"/>
          <w:sz w:val="22"/>
          <w:szCs w:val="22"/>
          <w:lang w:val="en-GB"/>
        </w:rPr>
        <w:t xml:space="preserve"> that the National Children’s Commissioner has adequate and sufficient human, technical and financial resources to implement and monitor the application of the Convention; and establish by law mandatory consultations between the National Children’s Commissioner and children on issues that affect them and ensure that the results of those consultations and any other recommendations made by the Commissioner are taken into consideration in law and policymaking. The Committee also recommended that Australia adopt a national comprehensive policy and strategy on children that encompasses all areas of the Convention, with sufficient human, technical and financial resources for its implementation; establish appropriate mechanisms and inclusive processes so that civil society, the community and children specifically may participate in all stages of the budget process, including formulation, implementation and evaluation; and ensure that data collected on children’s rights cover all areas of the Convention, in particular those relating to violence, alternative care, natural disasters and children in conflict with the law, that they are disaggregated by age, sex, disability, geographic location, ethnic origin, national origin and socioeconomic background, and that they identify children in situations of vulnerability, such as Indigenous children, children with disability and asylum-seeking, refugee and migrant children.</w:t>
      </w:r>
    </w:p>
    <w:p w14:paraId="6647896D" w14:textId="77777777" w:rsidR="00AB5289" w:rsidRPr="00207D3C" w:rsidRDefault="00AB5289" w:rsidP="00207D3C">
      <w:pPr>
        <w:spacing w:line="276" w:lineRule="auto"/>
        <w:rPr>
          <w:rFonts w:ascii="Proxima Nova" w:hAnsi="Proxima Nova" w:cstheme="minorHAnsi"/>
          <w:sz w:val="22"/>
          <w:szCs w:val="22"/>
        </w:rPr>
      </w:pPr>
    </w:p>
    <w:p w14:paraId="617000CC" w14:textId="72155B1A" w:rsidR="00AB5289" w:rsidRPr="00207D3C" w:rsidRDefault="00AB5289" w:rsidP="00207D3C">
      <w:pPr>
        <w:spacing w:line="276" w:lineRule="auto"/>
        <w:rPr>
          <w:rFonts w:ascii="Proxima Nova" w:hAnsi="Proxima Nova" w:cstheme="minorHAnsi"/>
          <w:sz w:val="22"/>
          <w:szCs w:val="22"/>
        </w:rPr>
      </w:pPr>
      <w:r w:rsidRPr="00207D3C">
        <w:rPr>
          <w:rFonts w:ascii="Proxima Nova" w:hAnsi="Proxima Nova" w:cstheme="minorHAnsi"/>
          <w:sz w:val="22"/>
          <w:szCs w:val="22"/>
        </w:rPr>
        <w:t xml:space="preserve">In its 2017 Concluding </w:t>
      </w:r>
      <w:r w:rsidR="007B607B" w:rsidRPr="00207D3C">
        <w:rPr>
          <w:rFonts w:ascii="Proxima Nova" w:hAnsi="Proxima Nova" w:cstheme="minorHAnsi"/>
          <w:sz w:val="22"/>
          <w:szCs w:val="22"/>
        </w:rPr>
        <w:t>O</w:t>
      </w:r>
      <w:r w:rsidRPr="00207D3C">
        <w:rPr>
          <w:rFonts w:ascii="Proxima Nova" w:hAnsi="Proxima Nova" w:cstheme="minorHAnsi"/>
          <w:sz w:val="22"/>
          <w:szCs w:val="22"/>
        </w:rPr>
        <w:t>bservations</w:t>
      </w:r>
      <w:r w:rsidR="00635B69" w:rsidRPr="00207D3C">
        <w:rPr>
          <w:rStyle w:val="EndnoteReference"/>
          <w:rFonts w:ascii="Proxima Nova" w:hAnsi="Proxima Nova" w:cstheme="minorHAnsi"/>
          <w:sz w:val="22"/>
          <w:szCs w:val="22"/>
        </w:rPr>
        <w:endnoteReference w:id="467"/>
      </w:r>
      <w:r w:rsidRPr="00207D3C">
        <w:rPr>
          <w:rFonts w:ascii="Proxima Nova" w:hAnsi="Proxima Nova" w:cstheme="minorHAnsi"/>
          <w:sz w:val="22"/>
          <w:szCs w:val="22"/>
        </w:rPr>
        <w:t xml:space="preserve"> on the fifth periodic report of Australia,</w:t>
      </w:r>
      <w:r w:rsidR="00635B69" w:rsidRPr="00207D3C">
        <w:rPr>
          <w:rStyle w:val="EndnoteReference"/>
          <w:rFonts w:ascii="Proxima Nova" w:hAnsi="Proxima Nova" w:cstheme="minorHAnsi"/>
          <w:sz w:val="22"/>
          <w:szCs w:val="22"/>
        </w:rPr>
        <w:endnoteReference w:id="468"/>
      </w:r>
      <w:r w:rsidRPr="00207D3C">
        <w:rPr>
          <w:rFonts w:ascii="Proxima Nova" w:hAnsi="Proxima Nova" w:cstheme="minorHAnsi"/>
          <w:sz w:val="22"/>
          <w:szCs w:val="22"/>
        </w:rPr>
        <w:t xml:space="preserve"> the Committee on Economic, Social and Cultural Rights expressed its concern that women continue to experience disadvantages across key areas (including work, health, education, and housing) and recommended that Australia intensify its efforts to address the obstacles to achieving substantive equality between men and women, including through the strengthening of temporary special measures. The Committee also recommended that Australia consider introducing a federal Charter of Rights that guarantees the full range of economic, social and cultural rights. In relation to the </w:t>
      </w:r>
      <w:r w:rsidR="00E63149" w:rsidRPr="00207D3C">
        <w:rPr>
          <w:rFonts w:ascii="Proxima Nova" w:hAnsi="Proxima Nova" w:cstheme="minorHAnsi"/>
          <w:sz w:val="22"/>
          <w:szCs w:val="22"/>
        </w:rPr>
        <w:t>NDS</w:t>
      </w:r>
      <w:r w:rsidRPr="00207D3C">
        <w:rPr>
          <w:rFonts w:ascii="Proxima Nova" w:hAnsi="Proxima Nova" w:cstheme="minorHAnsi"/>
          <w:sz w:val="22"/>
          <w:szCs w:val="22"/>
        </w:rPr>
        <w:t xml:space="preserve"> 2010-2020, the Committee expressed its concern at the slow progress in its implementation and its weak accountability and implementation mechanisms. The Committee recommended that Australia ensure full implementation of the </w:t>
      </w:r>
      <w:r w:rsidR="00E63149" w:rsidRPr="00207D3C">
        <w:rPr>
          <w:rFonts w:ascii="Proxima Nova" w:hAnsi="Proxima Nova" w:cstheme="minorHAnsi"/>
          <w:sz w:val="22"/>
          <w:szCs w:val="22"/>
        </w:rPr>
        <w:t>NDS</w:t>
      </w:r>
      <w:r w:rsidRPr="00207D3C">
        <w:rPr>
          <w:rFonts w:ascii="Proxima Nova" w:hAnsi="Proxima Nova" w:cstheme="minorHAnsi"/>
          <w:sz w:val="22"/>
          <w:szCs w:val="22"/>
        </w:rPr>
        <w:t xml:space="preserve"> by focusing on all the six areas covered and allocating the necessary resources. The Committee further recommended that Australia strengthen accountability mechanisms to ensure that people with disability fully enjoy their economic, social and cultural rights. </w:t>
      </w:r>
    </w:p>
    <w:p w14:paraId="20DB8906" w14:textId="77777777" w:rsidR="00AB5289" w:rsidRPr="00207D3C" w:rsidRDefault="00AB5289" w:rsidP="00207D3C">
      <w:pPr>
        <w:spacing w:line="276" w:lineRule="auto"/>
        <w:rPr>
          <w:rFonts w:ascii="Proxima Nova" w:hAnsi="Proxima Nova" w:cstheme="minorHAnsi"/>
          <w:sz w:val="22"/>
          <w:szCs w:val="22"/>
        </w:rPr>
      </w:pPr>
    </w:p>
    <w:p w14:paraId="212468C6" w14:textId="4A99BCB6" w:rsidR="00AB5289" w:rsidRPr="00207D3C" w:rsidRDefault="00AB5289" w:rsidP="00207D3C">
      <w:pPr>
        <w:spacing w:line="276" w:lineRule="auto"/>
        <w:rPr>
          <w:rFonts w:ascii="Proxima Nova" w:hAnsi="Proxima Nova" w:cstheme="minorHAnsi"/>
          <w:sz w:val="22"/>
          <w:szCs w:val="22"/>
        </w:rPr>
      </w:pPr>
      <w:r w:rsidRPr="00207D3C">
        <w:rPr>
          <w:rFonts w:ascii="Proxima Nova" w:hAnsi="Proxima Nova" w:cstheme="minorHAnsi"/>
          <w:sz w:val="22"/>
          <w:szCs w:val="22"/>
        </w:rPr>
        <w:t>In its 2017 Concluding Observations</w:t>
      </w:r>
      <w:r w:rsidR="002C643C" w:rsidRPr="00207D3C">
        <w:rPr>
          <w:rStyle w:val="EndnoteReference"/>
          <w:rFonts w:ascii="Proxima Nova" w:hAnsi="Proxima Nova" w:cstheme="minorHAnsi"/>
          <w:sz w:val="22"/>
          <w:szCs w:val="22"/>
        </w:rPr>
        <w:endnoteReference w:id="469"/>
      </w:r>
      <w:r w:rsidRPr="00207D3C">
        <w:rPr>
          <w:rFonts w:ascii="Proxima Nova" w:hAnsi="Proxima Nova" w:cstheme="minorHAnsi"/>
          <w:sz w:val="22"/>
          <w:szCs w:val="22"/>
        </w:rPr>
        <w:t xml:space="preserve"> on the sixth periodic report of Australia under the </w:t>
      </w:r>
      <w:r w:rsidR="00DC6996" w:rsidRPr="00207D3C">
        <w:rPr>
          <w:rFonts w:ascii="Proxima Nova" w:hAnsi="Proxima Nova" w:cstheme="minorHAnsi"/>
          <w:sz w:val="22"/>
          <w:szCs w:val="22"/>
        </w:rPr>
        <w:t>ICCPR</w:t>
      </w:r>
      <w:r w:rsidRPr="00207D3C">
        <w:rPr>
          <w:rFonts w:ascii="Proxima Nova" w:hAnsi="Proxima Nova" w:cstheme="minorHAnsi"/>
          <w:sz w:val="22"/>
          <w:szCs w:val="22"/>
        </w:rPr>
        <w:t>,</w:t>
      </w:r>
      <w:r w:rsidR="002C643C" w:rsidRPr="00207D3C">
        <w:rPr>
          <w:rStyle w:val="EndnoteReference"/>
          <w:rFonts w:ascii="Proxima Nova" w:hAnsi="Proxima Nova" w:cstheme="minorHAnsi"/>
          <w:sz w:val="22"/>
          <w:szCs w:val="22"/>
        </w:rPr>
        <w:endnoteReference w:id="470"/>
      </w:r>
      <w:r w:rsidRPr="00207D3C">
        <w:rPr>
          <w:rFonts w:ascii="Proxima Nova" w:hAnsi="Proxima Nova" w:cstheme="minorHAnsi"/>
          <w:sz w:val="22"/>
          <w:szCs w:val="22"/>
        </w:rPr>
        <w:t xml:space="preserve"> the Human Rights Committee recommended that Australia should take measures, including considering consolidating existing non-discrimination provisions in a comprehensive federal law, in order to ensure adequate and effective substantive and procedural protection against all forms of discrimination on all the prohibited grounds, including religion, and intersectional discrimination, as well as access to effective and appropriate remedies for all victims of discrimination.</w:t>
      </w:r>
    </w:p>
    <w:p w14:paraId="394F0E62" w14:textId="77777777" w:rsidR="00396341" w:rsidRPr="00207D3C" w:rsidRDefault="00396341" w:rsidP="00207D3C">
      <w:pPr>
        <w:spacing w:line="276" w:lineRule="auto"/>
        <w:rPr>
          <w:rFonts w:ascii="Proxima Nova" w:hAnsi="Proxima Nova" w:cstheme="minorHAnsi"/>
          <w:sz w:val="22"/>
          <w:szCs w:val="22"/>
        </w:rPr>
      </w:pPr>
    </w:p>
    <w:p w14:paraId="4F2B3E31" w14:textId="5BDA4C27" w:rsidR="0037765C" w:rsidRPr="00207D3C" w:rsidRDefault="005165DD" w:rsidP="00C92D1C">
      <w:pPr>
        <w:pStyle w:val="Heading2"/>
        <w:jc w:val="left"/>
        <w:rPr>
          <w:rFonts w:ascii="Proxima Nova" w:hAnsi="Proxima Nova"/>
          <w:bCs/>
          <w:color w:val="AC1F79"/>
          <w:sz w:val="24"/>
        </w:rPr>
      </w:pPr>
      <w:bookmarkStart w:id="68" w:name="_Toc61349502"/>
      <w:r w:rsidRPr="00207D3C">
        <w:rPr>
          <w:rFonts w:ascii="Proxima Nova" w:hAnsi="Proxima Nova"/>
          <w:bCs/>
          <w:color w:val="AC1F79"/>
          <w:sz w:val="24"/>
        </w:rPr>
        <w:t>Freedom from V</w:t>
      </w:r>
      <w:r w:rsidR="0037765C" w:rsidRPr="00207D3C">
        <w:rPr>
          <w:rFonts w:ascii="Proxima Nova" w:hAnsi="Proxima Nova"/>
          <w:bCs/>
          <w:color w:val="AC1F79"/>
          <w:sz w:val="24"/>
        </w:rPr>
        <w:t>iolence</w:t>
      </w:r>
      <w:r w:rsidR="00B14590" w:rsidRPr="00207D3C">
        <w:rPr>
          <w:rFonts w:ascii="Proxima Nova" w:hAnsi="Proxima Nova"/>
          <w:bCs/>
          <w:color w:val="AC1F79"/>
          <w:sz w:val="24"/>
        </w:rPr>
        <w:t>, Abuse, Neglect and Exploitation</w:t>
      </w:r>
      <w:bookmarkEnd w:id="68"/>
    </w:p>
    <w:p w14:paraId="1083CB78" w14:textId="77777777" w:rsidR="0037765C" w:rsidRPr="00207D3C" w:rsidRDefault="0037765C" w:rsidP="00207D3C">
      <w:pPr>
        <w:spacing w:line="276" w:lineRule="auto"/>
        <w:rPr>
          <w:rFonts w:ascii="Proxima Nova" w:hAnsi="Proxima Nova" w:cstheme="minorHAnsi"/>
          <w:color w:val="17365D"/>
          <w:sz w:val="22"/>
          <w:szCs w:val="22"/>
        </w:rPr>
      </w:pPr>
    </w:p>
    <w:p w14:paraId="59DA4325" w14:textId="789536CD" w:rsidR="00AB5289" w:rsidRPr="00207D3C" w:rsidRDefault="00AB5289" w:rsidP="00207D3C">
      <w:pPr>
        <w:spacing w:line="276" w:lineRule="auto"/>
        <w:rPr>
          <w:rFonts w:ascii="Proxima Nova" w:hAnsi="Proxima Nova" w:cstheme="minorHAnsi"/>
          <w:sz w:val="22"/>
          <w:szCs w:val="22"/>
        </w:rPr>
      </w:pPr>
      <w:r w:rsidRPr="00207D3C">
        <w:rPr>
          <w:rFonts w:ascii="Proxima Nova" w:eastAsia="Calibri" w:hAnsi="Proxima Nova" w:cstheme="minorHAnsi"/>
          <w:sz w:val="22"/>
          <w:szCs w:val="22"/>
        </w:rPr>
        <w:t xml:space="preserve">In September 2019, the </w:t>
      </w:r>
      <w:r w:rsidR="00C72067" w:rsidRPr="00207D3C">
        <w:rPr>
          <w:rFonts w:ascii="Proxima Nova" w:eastAsia="Calibri" w:hAnsi="Proxima Nova" w:cstheme="minorHAnsi"/>
          <w:sz w:val="22"/>
          <w:szCs w:val="22"/>
        </w:rPr>
        <w:t xml:space="preserve">UN CRPD Committee </w:t>
      </w:r>
      <w:r w:rsidRPr="00207D3C">
        <w:rPr>
          <w:rFonts w:ascii="Proxima Nova" w:eastAsia="Calibri" w:hAnsi="Proxima Nova" w:cstheme="minorHAnsi"/>
          <w:sz w:val="22"/>
          <w:szCs w:val="22"/>
        </w:rPr>
        <w:t xml:space="preserve">adopted its Concluding Observations following its review of Australia’s compliance with the </w:t>
      </w:r>
      <w:r w:rsidR="007E5715" w:rsidRPr="00207D3C">
        <w:rPr>
          <w:rFonts w:ascii="Proxima Nova" w:hAnsi="Proxima Nova" w:cstheme="minorHAnsi"/>
          <w:sz w:val="22"/>
          <w:szCs w:val="22"/>
        </w:rPr>
        <w:t>CRPD</w:t>
      </w:r>
      <w:r w:rsidRPr="00207D3C">
        <w:rPr>
          <w:rFonts w:ascii="Proxima Nova" w:eastAsia="Calibri" w:hAnsi="Proxima Nova" w:cstheme="minorHAnsi"/>
          <w:sz w:val="22"/>
          <w:szCs w:val="22"/>
        </w:rPr>
        <w:t>.</w:t>
      </w:r>
      <w:r w:rsidR="0068006E" w:rsidRPr="00207D3C">
        <w:rPr>
          <w:rStyle w:val="EndnoteReference"/>
          <w:rFonts w:ascii="Proxima Nova" w:eastAsia="Calibri" w:hAnsi="Proxima Nova" w:cstheme="minorHAnsi"/>
          <w:sz w:val="22"/>
          <w:szCs w:val="22"/>
        </w:rPr>
        <w:endnoteReference w:id="471"/>
      </w:r>
      <w:r w:rsidRPr="00207D3C">
        <w:rPr>
          <w:rFonts w:ascii="Proxima Nova" w:eastAsia="Calibri" w:hAnsi="Proxima Nova" w:cstheme="minorHAnsi"/>
          <w:sz w:val="22"/>
          <w:szCs w:val="22"/>
        </w:rPr>
        <w:t xml:space="preserve"> The Committee expressed concern about: the lack of oversight, complaint and redress mechanisms for people who are not eligible for the NDIS and who experience violence, particularly women with disability; the lack of resources and redress mechanisms available for people with disability to participate in the Royal Commission into Violence, Abuse, Neglect and Exploitation of Persons with Disabilities; the non-implementation of recommendations in the report from the AHRC, </w:t>
      </w:r>
      <w:r w:rsidR="0089384F" w:rsidRPr="00207D3C">
        <w:rPr>
          <w:rFonts w:ascii="Proxima Nova" w:eastAsia="Calibri" w:hAnsi="Proxima Nova" w:cstheme="minorHAnsi"/>
          <w:sz w:val="22"/>
          <w:szCs w:val="22"/>
        </w:rPr>
        <w:t>‘</w:t>
      </w:r>
      <w:r w:rsidRPr="00207D3C">
        <w:rPr>
          <w:rFonts w:ascii="Proxima Nova" w:eastAsia="Calibri" w:hAnsi="Proxima Nova" w:cstheme="minorHAnsi"/>
          <w:sz w:val="22"/>
          <w:szCs w:val="22"/>
        </w:rPr>
        <w:t>A Future without Violence</w:t>
      </w:r>
      <w:r w:rsidR="0089384F" w:rsidRPr="00207D3C">
        <w:rPr>
          <w:rFonts w:ascii="Proxima Nova" w:eastAsia="Calibri" w:hAnsi="Proxima Nova" w:cstheme="minorHAnsi"/>
          <w:sz w:val="22"/>
          <w:szCs w:val="22"/>
        </w:rPr>
        <w:t>’</w:t>
      </w:r>
      <w:r w:rsidRPr="00207D3C">
        <w:rPr>
          <w:rFonts w:ascii="Proxima Nova" w:eastAsia="Calibri" w:hAnsi="Proxima Nova" w:cstheme="minorHAnsi"/>
          <w:sz w:val="22"/>
          <w:szCs w:val="22"/>
        </w:rPr>
        <w:t xml:space="preserve">; the lack of explicit reference to women and girls with disability in the National Plan to Reduce Violence against Women and their Children 2010-2020; the insufficient expertise and structural barriers within services dealing with domestic violence, sexual assault and related crises to adequately support women and girls with disability; and the limited number and scope of instruments to collect data on violence against women and girls with disability. The Committee recommended that Australia: establish a national accessible oversight, complaint and redress mechanism for all people with disability in all settings, particularly older women with disability; ensure adequate resources and a redress mechanism for the Royal Commission; implement the recommendations contained in the AHRC </w:t>
      </w:r>
      <w:r w:rsidRPr="00207D3C">
        <w:rPr>
          <w:rFonts w:ascii="Proxima Nova" w:eastAsia="Calibri" w:hAnsi="Proxima Nova" w:cstheme="minorHAnsi"/>
          <w:sz w:val="22"/>
          <w:szCs w:val="22"/>
        </w:rPr>
        <w:lastRenderedPageBreak/>
        <w:t xml:space="preserve">report; ensure inclusion of women and girls with disability in the National Plan; ensure accessible gender and age sensitive services that are inclusive of women and girls with disability; and address the methodological restrictions in data collection instruments used to capture data on violence against women and girls with disability. </w:t>
      </w:r>
    </w:p>
    <w:p w14:paraId="254ECCD7" w14:textId="77777777" w:rsidR="00AB5289" w:rsidRPr="00207D3C" w:rsidRDefault="00AB5289" w:rsidP="00207D3C">
      <w:pPr>
        <w:spacing w:line="276" w:lineRule="auto"/>
        <w:rPr>
          <w:rFonts w:ascii="Proxima Nova" w:hAnsi="Proxima Nova" w:cstheme="minorHAnsi"/>
          <w:sz w:val="22"/>
          <w:szCs w:val="22"/>
        </w:rPr>
      </w:pPr>
    </w:p>
    <w:p w14:paraId="5B152B3F" w14:textId="38E040D3" w:rsidR="00AB5289" w:rsidRPr="00207D3C" w:rsidRDefault="00AB5289" w:rsidP="00207D3C">
      <w:pPr>
        <w:spacing w:line="276" w:lineRule="auto"/>
        <w:rPr>
          <w:rFonts w:ascii="Proxima Nova" w:hAnsi="Proxima Nova" w:cstheme="minorHAnsi"/>
          <w:sz w:val="22"/>
          <w:szCs w:val="22"/>
        </w:rPr>
      </w:pPr>
      <w:r w:rsidRPr="00207D3C">
        <w:rPr>
          <w:rFonts w:ascii="Proxima Nova" w:eastAsiaTheme="minorEastAsia" w:hAnsi="Proxima Nova" w:cstheme="minorHAnsi"/>
          <w:color w:val="000000" w:themeColor="text1"/>
          <w:sz w:val="22"/>
          <w:szCs w:val="22"/>
          <w:shd w:val="clear" w:color="auto" w:fill="FFFFFF"/>
          <w:lang w:eastAsia="en-AU"/>
        </w:rPr>
        <w:t>In its 2018 review</w:t>
      </w:r>
      <w:r w:rsidR="008C511D" w:rsidRPr="00207D3C">
        <w:rPr>
          <w:rStyle w:val="EndnoteReference"/>
          <w:rFonts w:ascii="Proxima Nova" w:eastAsiaTheme="minorEastAsia" w:hAnsi="Proxima Nova" w:cstheme="minorHAnsi"/>
          <w:color w:val="000000" w:themeColor="text1"/>
          <w:sz w:val="22"/>
          <w:szCs w:val="22"/>
          <w:shd w:val="clear" w:color="auto" w:fill="FFFFFF"/>
          <w:lang w:eastAsia="en-AU"/>
        </w:rPr>
        <w:endnoteReference w:id="472"/>
      </w:r>
      <w:r w:rsidRPr="00207D3C">
        <w:rPr>
          <w:rFonts w:ascii="Proxima Nova" w:eastAsiaTheme="minorEastAsia" w:hAnsi="Proxima Nova" w:cstheme="minorHAnsi"/>
          <w:color w:val="000000" w:themeColor="text1"/>
          <w:sz w:val="22"/>
          <w:szCs w:val="22"/>
          <w:shd w:val="clear" w:color="auto" w:fill="FFFFFF"/>
          <w:lang w:eastAsia="en-AU"/>
        </w:rPr>
        <w:t xml:space="preserve"> of Australia’s eighth periodic report</w:t>
      </w:r>
      <w:r w:rsidR="001A120D" w:rsidRPr="00207D3C">
        <w:rPr>
          <w:rStyle w:val="EndnoteReference"/>
          <w:rFonts w:ascii="Proxima Nova" w:eastAsiaTheme="minorEastAsia" w:hAnsi="Proxima Nova" w:cstheme="minorHAnsi"/>
          <w:color w:val="000000" w:themeColor="text1"/>
          <w:sz w:val="22"/>
          <w:szCs w:val="22"/>
          <w:shd w:val="clear" w:color="auto" w:fill="FFFFFF"/>
          <w:lang w:eastAsia="en-AU"/>
        </w:rPr>
        <w:endnoteReference w:id="473"/>
      </w:r>
      <w:r w:rsidRPr="00207D3C">
        <w:rPr>
          <w:rFonts w:ascii="Proxima Nova" w:eastAsiaTheme="minorEastAsia" w:hAnsi="Proxima Nova" w:cstheme="minorHAnsi"/>
          <w:color w:val="000000" w:themeColor="text1"/>
          <w:sz w:val="22"/>
          <w:szCs w:val="22"/>
          <w:shd w:val="clear" w:color="auto" w:fill="FFFFFF"/>
          <w:lang w:eastAsia="en-AU"/>
        </w:rPr>
        <w:t xml:space="preserve"> under </w:t>
      </w:r>
      <w:r w:rsidR="00DC2398" w:rsidRPr="00207D3C">
        <w:rPr>
          <w:rFonts w:ascii="Proxima Nova" w:eastAsiaTheme="minorEastAsia" w:hAnsi="Proxima Nova" w:cstheme="minorHAnsi"/>
          <w:color w:val="000000" w:themeColor="text1"/>
          <w:sz w:val="22"/>
          <w:szCs w:val="22"/>
          <w:shd w:val="clear" w:color="auto" w:fill="FFFFFF"/>
          <w:lang w:eastAsia="en-AU"/>
        </w:rPr>
        <w:t>CEDAW</w:t>
      </w:r>
      <w:r w:rsidRPr="00207D3C">
        <w:rPr>
          <w:rFonts w:ascii="Proxima Nova" w:hAnsi="Proxima Nova" w:cstheme="minorHAnsi"/>
          <w:sz w:val="22"/>
          <w:szCs w:val="22"/>
        </w:rPr>
        <w:t xml:space="preserve">, the CEDAW Committee expressed its concern at the lack of national legislation prohibiting all forms of gender-based violence against women. The CEDAW Committee recommended that the Australian Government adopt </w:t>
      </w:r>
      <w:r w:rsidR="009C6EA7" w:rsidRPr="00207D3C">
        <w:rPr>
          <w:rFonts w:ascii="Proxima Nova" w:hAnsi="Proxima Nova" w:cstheme="minorHAnsi"/>
          <w:sz w:val="22"/>
          <w:szCs w:val="22"/>
        </w:rPr>
        <w:t>C</w:t>
      </w:r>
      <w:r w:rsidRPr="00207D3C">
        <w:rPr>
          <w:rFonts w:ascii="Proxima Nova" w:hAnsi="Proxima Nova" w:cstheme="minorHAnsi"/>
          <w:sz w:val="22"/>
          <w:szCs w:val="22"/>
        </w:rPr>
        <w:t>ommonwealth legislation that is in line with the Convention and prohibits all forms of gender-based violence against women and girls and shift the power to legislate on this matter to the Commonwealth Parliament. The Committee also recommended that Australia should expedite the establishment of the national data collection framework and guarantee that data on femicide and violence against women with disability is systematically collected under the framework.</w:t>
      </w:r>
    </w:p>
    <w:p w14:paraId="5628F33E" w14:textId="77777777" w:rsidR="00AB5289" w:rsidRPr="00207D3C" w:rsidRDefault="00AB5289" w:rsidP="00207D3C">
      <w:pPr>
        <w:spacing w:line="276" w:lineRule="auto"/>
        <w:rPr>
          <w:rFonts w:ascii="Proxima Nova" w:hAnsi="Proxima Nova" w:cstheme="minorHAnsi"/>
          <w:sz w:val="22"/>
          <w:szCs w:val="22"/>
        </w:rPr>
      </w:pPr>
    </w:p>
    <w:p w14:paraId="7C0865D0" w14:textId="4724DFA6" w:rsidR="00AB5289" w:rsidRPr="00207D3C" w:rsidRDefault="00AB5289" w:rsidP="00207D3C">
      <w:pPr>
        <w:spacing w:line="276" w:lineRule="auto"/>
        <w:rPr>
          <w:rFonts w:ascii="Proxima Nova" w:hAnsi="Proxima Nova" w:cstheme="minorHAnsi"/>
          <w:sz w:val="22"/>
          <w:szCs w:val="22"/>
        </w:rPr>
      </w:pPr>
      <w:r w:rsidRPr="00207D3C">
        <w:rPr>
          <w:rFonts w:ascii="Proxima Nova" w:hAnsi="Proxima Nova" w:cstheme="minorHAnsi"/>
          <w:sz w:val="22"/>
          <w:szCs w:val="22"/>
        </w:rPr>
        <w:t>In its 2019 Concluding Observations</w:t>
      </w:r>
      <w:r w:rsidR="001A120D" w:rsidRPr="00207D3C">
        <w:rPr>
          <w:rStyle w:val="EndnoteReference"/>
          <w:rFonts w:ascii="Proxima Nova" w:hAnsi="Proxima Nova" w:cstheme="minorHAnsi"/>
          <w:sz w:val="22"/>
          <w:szCs w:val="22"/>
        </w:rPr>
        <w:endnoteReference w:id="474"/>
      </w:r>
      <w:r w:rsidRPr="00207D3C">
        <w:rPr>
          <w:rFonts w:ascii="Proxima Nova" w:hAnsi="Proxima Nova" w:cstheme="minorHAnsi"/>
          <w:sz w:val="22"/>
          <w:szCs w:val="22"/>
        </w:rPr>
        <w:t xml:space="preserve"> of Australia, the Committee on the Rights of the Child expressed its serious concerns about the high rates of violence against children in the home, that girls between the ages of 10-19 years suffer the highest rate of sexual abuse, that Indigenous children continue to be disproportionally affected by family and domestic violence, including sexual violence, that children with disability are more vulnerable to violence, neglect and abuse, including sexual abuse, and that girls with disability are forced to undergo sterilisation procedures. The Committee recommended that Australia: prioritise implementation of violence prevention and response measures for children, particularly girls, of all ages within the National Framework for Protecting Australia’s Children 2009-2020 (National Framework) and the National Plan to Reduce Violence </w:t>
      </w:r>
      <w:r w:rsidRPr="00207D3C">
        <w:rPr>
          <w:rFonts w:ascii="Proxima Nova" w:hAnsi="Proxima Nova" w:cstheme="minorHAnsi"/>
          <w:sz w:val="22"/>
          <w:szCs w:val="22"/>
          <w:lang w:val="en-GB"/>
        </w:rPr>
        <w:t>against Women and their Children 2010–2022 (National Plan); ensure that the National Centre for the Prevention of Child Sexual Abuse establishes a comprehensive standard with regard to intervention in cases of child sexual abuse to avoid the re-traumatisation of child victims; provide child-specific therapeutic interventions and counselling to child victims of violence, in addition to the support provided to families;</w:t>
      </w:r>
      <w:r w:rsidRPr="00207D3C">
        <w:rPr>
          <w:rFonts w:ascii="Proxima Nova" w:hAnsi="Proxima Nova" w:cstheme="minorHAnsi"/>
          <w:sz w:val="22"/>
          <w:szCs w:val="22"/>
        </w:rPr>
        <w:t xml:space="preserve"> </w:t>
      </w:r>
      <w:r w:rsidRPr="00207D3C">
        <w:rPr>
          <w:rFonts w:ascii="Proxima Nova" w:hAnsi="Proxima Nova" w:cstheme="minorHAnsi"/>
          <w:sz w:val="22"/>
          <w:szCs w:val="22"/>
          <w:lang w:val="en-GB"/>
        </w:rPr>
        <w:t>substantially increase family violence prevention and responses related to Indigenous children;</w:t>
      </w:r>
      <w:r w:rsidRPr="00207D3C">
        <w:rPr>
          <w:rFonts w:ascii="Proxima Nova" w:hAnsi="Proxima Nova" w:cstheme="minorHAnsi"/>
          <w:sz w:val="22"/>
          <w:szCs w:val="22"/>
        </w:rPr>
        <w:t xml:space="preserve"> </w:t>
      </w:r>
      <w:r w:rsidRPr="00207D3C">
        <w:rPr>
          <w:rFonts w:ascii="Proxima Nova" w:hAnsi="Proxima Nova" w:cstheme="minorHAnsi"/>
          <w:sz w:val="22"/>
          <w:szCs w:val="22"/>
          <w:lang w:val="en-GB"/>
        </w:rPr>
        <w:t xml:space="preserve">review the National Framework and the National Plan to ensure they adequately prevent violence against children with disability and prohibit by law forced or coerced sterilisation of girls with disability; and enact legislation to prohibit unnecessary medical or surgical treatment on intersex children and provide support and counselling to families of intersex children. </w:t>
      </w:r>
    </w:p>
    <w:p w14:paraId="6936EA06" w14:textId="77777777" w:rsidR="00AB5289" w:rsidRPr="00207D3C" w:rsidRDefault="00AB5289" w:rsidP="00207D3C">
      <w:pPr>
        <w:spacing w:line="276" w:lineRule="auto"/>
        <w:rPr>
          <w:rFonts w:ascii="Proxima Nova" w:hAnsi="Proxima Nova" w:cstheme="minorHAnsi"/>
          <w:sz w:val="22"/>
          <w:szCs w:val="22"/>
        </w:rPr>
      </w:pPr>
    </w:p>
    <w:p w14:paraId="7ABCE5FB" w14:textId="5702CB91" w:rsidR="00AB5289" w:rsidRPr="00207D3C" w:rsidRDefault="00AB5289" w:rsidP="00207D3C">
      <w:pPr>
        <w:spacing w:line="276" w:lineRule="auto"/>
        <w:rPr>
          <w:rFonts w:ascii="Proxima Nova" w:hAnsi="Proxima Nova" w:cstheme="minorHAnsi"/>
          <w:sz w:val="22"/>
          <w:szCs w:val="22"/>
        </w:rPr>
      </w:pPr>
      <w:r w:rsidRPr="00207D3C">
        <w:rPr>
          <w:rFonts w:ascii="Proxima Nova" w:hAnsi="Proxima Nova" w:cstheme="minorHAnsi"/>
          <w:sz w:val="22"/>
          <w:szCs w:val="22"/>
        </w:rPr>
        <w:t xml:space="preserve">In its 2017 Concluding </w:t>
      </w:r>
      <w:r w:rsidR="003D4361" w:rsidRPr="00207D3C">
        <w:rPr>
          <w:rFonts w:ascii="Proxima Nova" w:hAnsi="Proxima Nova" w:cstheme="minorHAnsi"/>
          <w:sz w:val="22"/>
          <w:szCs w:val="22"/>
        </w:rPr>
        <w:t>O</w:t>
      </w:r>
      <w:r w:rsidRPr="00207D3C">
        <w:rPr>
          <w:rFonts w:ascii="Proxima Nova" w:hAnsi="Proxima Nova" w:cstheme="minorHAnsi"/>
          <w:sz w:val="22"/>
          <w:szCs w:val="22"/>
        </w:rPr>
        <w:t>bservations</w:t>
      </w:r>
      <w:r w:rsidR="00D04EE6" w:rsidRPr="00207D3C">
        <w:rPr>
          <w:rStyle w:val="EndnoteReference"/>
          <w:rFonts w:ascii="Proxima Nova" w:hAnsi="Proxima Nova" w:cstheme="minorHAnsi"/>
          <w:sz w:val="22"/>
          <w:szCs w:val="22"/>
        </w:rPr>
        <w:endnoteReference w:id="475"/>
      </w:r>
      <w:r w:rsidRPr="00207D3C">
        <w:rPr>
          <w:rFonts w:ascii="Proxima Nova" w:hAnsi="Proxima Nova" w:cstheme="minorHAnsi"/>
          <w:sz w:val="22"/>
          <w:szCs w:val="22"/>
        </w:rPr>
        <w:t xml:space="preserve"> on the fifth periodic report of Australia,</w:t>
      </w:r>
      <w:r w:rsidR="00D04EE6" w:rsidRPr="00207D3C">
        <w:rPr>
          <w:rStyle w:val="EndnoteReference"/>
          <w:rFonts w:ascii="Proxima Nova" w:hAnsi="Proxima Nova" w:cstheme="minorHAnsi"/>
          <w:sz w:val="22"/>
          <w:szCs w:val="22"/>
        </w:rPr>
        <w:endnoteReference w:id="476"/>
      </w:r>
      <w:r w:rsidRPr="00207D3C">
        <w:rPr>
          <w:rFonts w:ascii="Proxima Nova" w:hAnsi="Proxima Nova" w:cstheme="minorHAnsi"/>
          <w:sz w:val="22"/>
          <w:szCs w:val="22"/>
        </w:rPr>
        <w:t xml:space="preserve"> the Committee on Economic, Social and Cultural Rights expressed its concern </w:t>
      </w:r>
      <w:r w:rsidRPr="00207D3C">
        <w:rPr>
          <w:rFonts w:ascii="Proxima Nova" w:hAnsi="Proxima Nova" w:cstheme="minorHAnsi"/>
          <w:sz w:val="22"/>
          <w:szCs w:val="22"/>
          <w:lang w:eastAsia="en-GB"/>
        </w:rPr>
        <w:t xml:space="preserve">about the high levels of violence and abuse against persons with disability, especially those with intellectual disability and women with disability, placed in institutions or residences. The Committee also articulated its concern at the lack of effectiveness of oversight and complaint mechanisms in alternative care settings. The Committee recommended amongst other things, that Australia redouble its efforts to combat domestic violence against women and children, including among </w:t>
      </w:r>
      <w:r w:rsidR="00575530" w:rsidRPr="00207D3C">
        <w:rPr>
          <w:rFonts w:ascii="Proxima Nova" w:hAnsi="Proxima Nova" w:cstheme="minorHAnsi"/>
          <w:sz w:val="22"/>
          <w:szCs w:val="22"/>
          <w:lang w:eastAsia="en-GB"/>
        </w:rPr>
        <w:t>I</w:t>
      </w:r>
      <w:r w:rsidRPr="00207D3C">
        <w:rPr>
          <w:rFonts w:ascii="Proxima Nova" w:hAnsi="Proxima Nova" w:cstheme="minorHAnsi"/>
          <w:sz w:val="22"/>
          <w:szCs w:val="22"/>
          <w:lang w:eastAsia="en-GB"/>
        </w:rPr>
        <w:t>ndigenous peoples; increase accommodation and support services, especially in rural and remote areas; fully implement the recommendations in the inquiry report by the Senate Community Affairs References Committee into violence, abuse and neglect against people with disability in institutional and residential settings (2015); and pay particular attention to ensure that women with disability who are victims of domestic violence can claim their rights.</w:t>
      </w:r>
    </w:p>
    <w:p w14:paraId="3BCFCD6A" w14:textId="77777777" w:rsidR="00AB5289" w:rsidRPr="00207D3C" w:rsidRDefault="00AB5289" w:rsidP="00207D3C">
      <w:pPr>
        <w:spacing w:line="276" w:lineRule="auto"/>
        <w:rPr>
          <w:rFonts w:ascii="Proxima Nova" w:hAnsi="Proxima Nova" w:cstheme="minorHAnsi"/>
          <w:sz w:val="22"/>
          <w:szCs w:val="22"/>
        </w:rPr>
      </w:pPr>
    </w:p>
    <w:p w14:paraId="2E081F78" w14:textId="5569F122" w:rsidR="00AB5289" w:rsidRPr="00207D3C" w:rsidRDefault="00AB5289" w:rsidP="00207D3C">
      <w:pPr>
        <w:spacing w:line="276" w:lineRule="auto"/>
        <w:rPr>
          <w:rFonts w:ascii="Proxima Nova" w:hAnsi="Proxima Nova" w:cstheme="minorHAnsi"/>
          <w:sz w:val="22"/>
          <w:szCs w:val="22"/>
        </w:rPr>
      </w:pPr>
      <w:r w:rsidRPr="00207D3C">
        <w:rPr>
          <w:rFonts w:ascii="Proxima Nova" w:hAnsi="Proxima Nova" w:cstheme="minorHAnsi"/>
          <w:sz w:val="22"/>
          <w:szCs w:val="22"/>
        </w:rPr>
        <w:t>In 2017, the Human Rights Committee released its Concluding Observations</w:t>
      </w:r>
      <w:r w:rsidR="00561753" w:rsidRPr="00207D3C">
        <w:rPr>
          <w:rStyle w:val="EndnoteReference"/>
          <w:rFonts w:ascii="Proxima Nova" w:hAnsi="Proxima Nova" w:cstheme="minorHAnsi"/>
          <w:sz w:val="22"/>
          <w:szCs w:val="22"/>
        </w:rPr>
        <w:endnoteReference w:id="477"/>
      </w:r>
      <w:r w:rsidRPr="00207D3C">
        <w:rPr>
          <w:rFonts w:ascii="Proxima Nova" w:hAnsi="Proxima Nova" w:cstheme="minorHAnsi"/>
          <w:sz w:val="22"/>
          <w:szCs w:val="22"/>
        </w:rPr>
        <w:t xml:space="preserve"> on the sixth periodic report of Australia under the </w:t>
      </w:r>
      <w:r w:rsidR="00DC6996" w:rsidRPr="00207D3C">
        <w:rPr>
          <w:rFonts w:ascii="Proxima Nova" w:hAnsi="Proxima Nova" w:cstheme="minorHAnsi"/>
          <w:sz w:val="22"/>
          <w:szCs w:val="22"/>
        </w:rPr>
        <w:t>ICCPR</w:t>
      </w:r>
      <w:r w:rsidRPr="00207D3C">
        <w:rPr>
          <w:rFonts w:ascii="Proxima Nova" w:hAnsi="Proxima Nova" w:cstheme="minorHAnsi"/>
          <w:sz w:val="22"/>
          <w:szCs w:val="22"/>
        </w:rPr>
        <w:t>.</w:t>
      </w:r>
      <w:r w:rsidR="008F6A15" w:rsidRPr="00207D3C">
        <w:rPr>
          <w:rStyle w:val="EndnoteReference"/>
          <w:rFonts w:ascii="Proxima Nova" w:hAnsi="Proxima Nova" w:cstheme="minorHAnsi"/>
          <w:sz w:val="22"/>
          <w:szCs w:val="22"/>
        </w:rPr>
        <w:endnoteReference w:id="478"/>
      </w:r>
      <w:r w:rsidRPr="00207D3C">
        <w:rPr>
          <w:rFonts w:ascii="Proxima Nova" w:hAnsi="Proxima Nova" w:cstheme="minorHAnsi"/>
          <w:sz w:val="22"/>
          <w:szCs w:val="22"/>
        </w:rPr>
        <w:t xml:space="preserve"> While welcoming the various measures taken to address violence against women, the Committee specifically noted its concern that violence against women in Australia continues to have a disproportionate effect on women with disability and Indigenous women. In relation to violence against women with disability, the Committee recommended that Australia improve support services to women with disability who are victims of domestic violence, including through the implementation of the relevant recommendations from the </w:t>
      </w:r>
      <w:r w:rsidR="00D03F41" w:rsidRPr="00207D3C">
        <w:rPr>
          <w:rFonts w:ascii="Proxima Nova" w:hAnsi="Proxima Nova" w:cstheme="minorHAnsi"/>
          <w:sz w:val="22"/>
          <w:szCs w:val="22"/>
        </w:rPr>
        <w:t>STVP</w:t>
      </w:r>
      <w:r w:rsidRPr="00207D3C">
        <w:rPr>
          <w:rFonts w:ascii="Proxima Nova" w:hAnsi="Proxima Nova" w:cstheme="minorHAnsi"/>
          <w:sz w:val="22"/>
          <w:szCs w:val="22"/>
        </w:rPr>
        <w:t>.</w:t>
      </w:r>
      <w:r w:rsidR="008F6A15" w:rsidRPr="00207D3C">
        <w:rPr>
          <w:rStyle w:val="EndnoteReference"/>
          <w:rFonts w:ascii="Proxima Nova" w:hAnsi="Proxima Nova" w:cstheme="minorHAnsi"/>
          <w:sz w:val="22"/>
          <w:szCs w:val="22"/>
        </w:rPr>
        <w:endnoteReference w:id="479"/>
      </w:r>
      <w:r w:rsidRPr="00207D3C">
        <w:rPr>
          <w:rFonts w:ascii="Proxima Nova" w:hAnsi="Proxima Nova" w:cstheme="minorHAnsi"/>
          <w:sz w:val="22"/>
          <w:szCs w:val="22"/>
        </w:rPr>
        <w:t xml:space="preserve"> The Committee also recommended that all allegations of sexual abuse, regardless of the time of their commission, are promptly, impartially, thoroughly and effectively investigated and perpetrators are brought to justice and, if found responsible, are punished in accordance with the gravity of their acts.</w:t>
      </w:r>
    </w:p>
    <w:p w14:paraId="08AC0EC5" w14:textId="77777777" w:rsidR="00AB5289" w:rsidRPr="00207D3C" w:rsidRDefault="00AB5289" w:rsidP="00207D3C">
      <w:pPr>
        <w:spacing w:line="276" w:lineRule="auto"/>
        <w:rPr>
          <w:rFonts w:ascii="Proxima Nova" w:hAnsi="Proxima Nova" w:cstheme="minorHAnsi"/>
          <w:sz w:val="22"/>
          <w:szCs w:val="22"/>
        </w:rPr>
      </w:pPr>
    </w:p>
    <w:p w14:paraId="4BBF5CAE" w14:textId="7BFDAF06" w:rsidR="00AB5289" w:rsidRPr="00207D3C" w:rsidRDefault="00AB5289" w:rsidP="00207D3C">
      <w:pPr>
        <w:spacing w:line="276" w:lineRule="auto"/>
        <w:rPr>
          <w:rFonts w:ascii="Proxima Nova" w:hAnsi="Proxima Nova" w:cstheme="minorHAnsi"/>
          <w:sz w:val="22"/>
          <w:szCs w:val="22"/>
        </w:rPr>
      </w:pPr>
      <w:r w:rsidRPr="00207D3C">
        <w:rPr>
          <w:rFonts w:ascii="Proxima Nova" w:hAnsi="Proxima Nova" w:cstheme="minorHAnsi"/>
          <w:sz w:val="22"/>
          <w:szCs w:val="22"/>
        </w:rPr>
        <w:t>The Committee against Torture reviewed the combined fourth and fifth periodic reports of Australia</w:t>
      </w:r>
      <w:r w:rsidR="00962F7C" w:rsidRPr="00207D3C">
        <w:rPr>
          <w:rStyle w:val="EndnoteReference"/>
          <w:rFonts w:ascii="Proxima Nova" w:hAnsi="Proxima Nova" w:cstheme="minorHAnsi"/>
          <w:sz w:val="22"/>
          <w:szCs w:val="22"/>
        </w:rPr>
        <w:endnoteReference w:id="480"/>
      </w:r>
      <w:r w:rsidRPr="00207D3C">
        <w:rPr>
          <w:rFonts w:ascii="Proxima Nova" w:hAnsi="Proxima Nova" w:cstheme="minorHAnsi"/>
          <w:sz w:val="22"/>
          <w:szCs w:val="22"/>
        </w:rPr>
        <w:t xml:space="preserve"> in 2014. The Concluding Observations</w:t>
      </w:r>
      <w:r w:rsidR="003022CB" w:rsidRPr="00207D3C">
        <w:rPr>
          <w:rStyle w:val="EndnoteReference"/>
          <w:rFonts w:ascii="Proxima Nova" w:hAnsi="Proxima Nova" w:cstheme="minorHAnsi"/>
          <w:sz w:val="22"/>
          <w:szCs w:val="22"/>
        </w:rPr>
        <w:endnoteReference w:id="481"/>
      </w:r>
      <w:r w:rsidRPr="00207D3C">
        <w:rPr>
          <w:rFonts w:ascii="Proxima Nova" w:hAnsi="Proxima Nova" w:cstheme="minorHAnsi"/>
          <w:sz w:val="22"/>
          <w:szCs w:val="22"/>
        </w:rPr>
        <w:t xml:space="preserve"> from the review noted the Committee’s concern that violence against women in Australia disproportionately affects women with disability and Indigenous women. The Committee recommended amongst other things that Australia redouble its efforts to prevent and combat all forms of violence against women and increase its efforts to address violence against women with disability and Indigenous women. </w:t>
      </w:r>
    </w:p>
    <w:p w14:paraId="0011F16A" w14:textId="5876CFC3" w:rsidR="00396341" w:rsidRPr="00207D3C" w:rsidRDefault="00396341" w:rsidP="00207D3C">
      <w:pPr>
        <w:rPr>
          <w:rFonts w:ascii="Proxima Nova" w:hAnsi="Proxima Nova" w:cstheme="minorHAnsi"/>
          <w:sz w:val="22"/>
          <w:szCs w:val="22"/>
        </w:rPr>
      </w:pPr>
    </w:p>
    <w:p w14:paraId="610D62F9" w14:textId="742FF355" w:rsidR="00396341" w:rsidRPr="00207D3C" w:rsidRDefault="00396341" w:rsidP="00207D3C">
      <w:pPr>
        <w:pStyle w:val="Heading2"/>
        <w:spacing w:line="240" w:lineRule="auto"/>
        <w:jc w:val="left"/>
        <w:rPr>
          <w:rFonts w:ascii="Proxima Nova" w:hAnsi="Proxima Nova"/>
          <w:bCs/>
          <w:color w:val="AC1F79"/>
          <w:sz w:val="24"/>
        </w:rPr>
      </w:pPr>
      <w:r w:rsidRPr="00207D3C">
        <w:rPr>
          <w:rFonts w:ascii="Proxima Nova" w:hAnsi="Proxima Nova"/>
          <w:bCs/>
          <w:color w:val="AC1F79"/>
          <w:sz w:val="24"/>
        </w:rPr>
        <w:t>Health</w:t>
      </w:r>
    </w:p>
    <w:p w14:paraId="6E96FFE2" w14:textId="77777777" w:rsidR="00396341" w:rsidRPr="00BD5E1A" w:rsidRDefault="00396341" w:rsidP="00207D3C">
      <w:pPr>
        <w:pStyle w:val="BodyText"/>
        <w:spacing w:line="276" w:lineRule="auto"/>
        <w:ind w:left="0"/>
        <w:rPr>
          <w:rFonts w:ascii="Proxima Nova" w:hAnsi="Proxima Nova" w:cstheme="minorHAnsi"/>
          <w:sz w:val="22"/>
          <w:szCs w:val="22"/>
        </w:rPr>
      </w:pPr>
    </w:p>
    <w:p w14:paraId="7BE142F9" w14:textId="16108B99" w:rsidR="00396341" w:rsidRPr="00BD5E1A" w:rsidRDefault="00396341" w:rsidP="00207D3C">
      <w:pPr>
        <w:pStyle w:val="BodyText"/>
        <w:spacing w:line="276" w:lineRule="auto"/>
        <w:ind w:left="0"/>
        <w:rPr>
          <w:rFonts w:ascii="Proxima Nova" w:hAnsi="Proxima Nova" w:cstheme="minorHAnsi"/>
          <w:sz w:val="22"/>
          <w:szCs w:val="22"/>
        </w:rPr>
      </w:pPr>
      <w:r w:rsidRPr="00BD5E1A">
        <w:rPr>
          <w:rFonts w:ascii="Proxima Nova" w:hAnsi="Proxima Nova" w:cstheme="minorHAnsi"/>
          <w:sz w:val="22"/>
          <w:szCs w:val="22"/>
        </w:rPr>
        <w:t xml:space="preserve">In 2019, the </w:t>
      </w:r>
      <w:r w:rsidR="00C72067">
        <w:rPr>
          <w:rFonts w:ascii="Proxima Nova" w:eastAsia="Calibri" w:hAnsi="Proxima Nova" w:cstheme="minorHAnsi"/>
          <w:sz w:val="22"/>
          <w:szCs w:val="22"/>
        </w:rPr>
        <w:t>UN CRPD Committee</w:t>
      </w:r>
      <w:r w:rsidR="00C72067" w:rsidRPr="00BD5E1A">
        <w:rPr>
          <w:rFonts w:ascii="Proxima Nova" w:eastAsia="Calibri" w:hAnsi="Proxima Nova" w:cstheme="minorHAnsi"/>
          <w:sz w:val="22"/>
          <w:szCs w:val="22"/>
        </w:rPr>
        <w:t xml:space="preserve"> </w:t>
      </w:r>
      <w:r w:rsidRPr="00BD5E1A">
        <w:rPr>
          <w:rFonts w:ascii="Proxima Nova" w:hAnsi="Proxima Nova" w:cstheme="minorHAnsi"/>
          <w:sz w:val="22"/>
          <w:szCs w:val="22"/>
        </w:rPr>
        <w:t>provided its Concluding Observations</w:t>
      </w:r>
      <w:r w:rsidR="003022CB" w:rsidRPr="00BD5E1A">
        <w:rPr>
          <w:rStyle w:val="EndnoteReference"/>
          <w:rFonts w:ascii="Proxima Nova" w:hAnsi="Proxima Nova" w:cstheme="minorHAnsi"/>
          <w:sz w:val="22"/>
          <w:szCs w:val="22"/>
        </w:rPr>
        <w:endnoteReference w:id="482"/>
      </w:r>
      <w:r w:rsidRPr="00BD5E1A">
        <w:rPr>
          <w:rFonts w:ascii="Proxima Nova" w:hAnsi="Proxima Nova" w:cstheme="minorHAnsi"/>
          <w:sz w:val="22"/>
          <w:szCs w:val="22"/>
        </w:rPr>
        <w:t xml:space="preserve"> on the combined second and third periodic report of Australia.</w:t>
      </w:r>
      <w:r w:rsidR="003022CB" w:rsidRPr="00BD5E1A">
        <w:rPr>
          <w:rStyle w:val="EndnoteReference"/>
          <w:rFonts w:ascii="Proxima Nova" w:hAnsi="Proxima Nova" w:cstheme="minorHAnsi"/>
          <w:sz w:val="22"/>
          <w:szCs w:val="22"/>
        </w:rPr>
        <w:endnoteReference w:id="483"/>
      </w:r>
      <w:r w:rsidRPr="00BD5E1A">
        <w:rPr>
          <w:rFonts w:ascii="Proxima Nova" w:hAnsi="Proxima Nova" w:cstheme="minorHAnsi"/>
          <w:sz w:val="22"/>
          <w:szCs w:val="22"/>
        </w:rPr>
        <w:t xml:space="preserve"> The Committee expressed concern about: the significantly lower life expectancy of people with disability; the significant number of people with disability expressing suicidal ideation, particularly within Indigenous communities; the high rate of premature, unexpected and avoidable deaths among people with disability in care settings; the significantly poorer health status of people with disability; and the limited access to adequate, affordable and accessible health services and equipment, in particular for women and children with disability, Indigenous peoples with disability, people with disability living in institutions and in remote areas, and those with intellectual or psychosocial disability. The Committee also expressed its concern that: parents with disability are more likely to have their children removed from their care on the basis of disability; the lack of support to parents with disability to exercise parental responsibilities; and the discrimination experienced by women with disability, lesbian, gay, bisexual, transgender, intersex and queer (LGBTIQ) persons with disability in accessing assisted reproductive technologies. Further, the Committee expressed concern about: the medical model assessment to determine eligibility for the NDIS; the lack of equal opportunities in the NDIS particularly for older persons with disability, Indigenous peoples with disability, people with disability from culturally and linguistically diverse backgrounds and people with intellectual or psychosocial disability; and the low percentage of women and girls with disability that have access to services under the NDIS. The Committee recommended that Australia: address the low life expectancy of people with disability; ensure that national mental health and suicide prevention plans include measures for people with disability; develop culturally appropriate measures to prevent, identify and address the high rate of suicide among Indigenous populations; ensure training of professionals working with people with disability including health, social, education and community workers; ensure equitable access to affordable, accessible, quality and culturally sensitive medical equipment and health services, including sexual, reproductive and mental health services; ensure that the free and informed consent of the person concerned is provided prior to any medical treatment; and that health care practitioners receive training on the human rights model of disability. The Committee also recommended that Australia: ensure that no child is separated from parents because of the disability of one or both parents; adopt comprehensive gender and culturally specific parenting and family support measures for parents with disability; and that women with disability and LGBTIQ people with disability have equal access to assisted reproductive technologies. Further, the Committee recommended that: the NDIS be aligned with the human rights model of disability; there is equal access to services under the NDIS for women and girls with disability, particularly those of Indigenous backgrounds; NDIS procedures are simplified, transparent, publicly available and accessible; the NDIS meets the diverse and intersecting requirements of persons with disability in all areas; and provide adequate support and equal opportunities to specific groups of people with disability who are disadvantaged or not eligible for the NDIS. </w:t>
      </w:r>
    </w:p>
    <w:p w14:paraId="78AAEF4A" w14:textId="77777777" w:rsidR="00396341" w:rsidRPr="00BD5E1A" w:rsidRDefault="00396341" w:rsidP="00207D3C">
      <w:pPr>
        <w:pStyle w:val="BodyText"/>
        <w:spacing w:line="276" w:lineRule="auto"/>
        <w:ind w:left="0"/>
        <w:rPr>
          <w:rFonts w:ascii="Proxima Nova" w:hAnsi="Proxima Nova" w:cstheme="minorHAnsi"/>
          <w:sz w:val="22"/>
          <w:szCs w:val="22"/>
        </w:rPr>
      </w:pPr>
    </w:p>
    <w:p w14:paraId="76BFB31F" w14:textId="7BF31C49" w:rsidR="0066141F" w:rsidRPr="00BD5E1A" w:rsidRDefault="00396341" w:rsidP="00207D3C">
      <w:pPr>
        <w:pStyle w:val="BodyText"/>
        <w:spacing w:line="276" w:lineRule="auto"/>
        <w:ind w:left="0"/>
        <w:rPr>
          <w:rFonts w:ascii="Proxima Nova" w:hAnsi="Proxima Nova" w:cstheme="minorHAnsi"/>
          <w:sz w:val="22"/>
          <w:szCs w:val="22"/>
        </w:rPr>
      </w:pPr>
      <w:r w:rsidRPr="00BD5E1A">
        <w:rPr>
          <w:rFonts w:ascii="Proxima Nova" w:hAnsi="Proxima Nova" w:cstheme="minorHAnsi"/>
          <w:sz w:val="22"/>
          <w:szCs w:val="22"/>
        </w:rPr>
        <w:t>In its 2018 review</w:t>
      </w:r>
      <w:r w:rsidR="008A3554" w:rsidRPr="00BD5E1A">
        <w:rPr>
          <w:rStyle w:val="EndnoteReference"/>
          <w:rFonts w:ascii="Proxima Nova" w:hAnsi="Proxima Nova" w:cstheme="minorHAnsi"/>
          <w:sz w:val="22"/>
          <w:szCs w:val="22"/>
        </w:rPr>
        <w:endnoteReference w:id="484"/>
      </w:r>
      <w:r w:rsidRPr="00BD5E1A">
        <w:rPr>
          <w:rFonts w:ascii="Proxima Nova" w:hAnsi="Proxima Nova" w:cstheme="minorHAnsi"/>
          <w:sz w:val="22"/>
          <w:szCs w:val="22"/>
        </w:rPr>
        <w:t xml:space="preserve"> of Australia’s eighth periodic report</w:t>
      </w:r>
      <w:r w:rsidR="008A3554" w:rsidRPr="00BD5E1A">
        <w:rPr>
          <w:rStyle w:val="EndnoteReference"/>
          <w:rFonts w:ascii="Proxima Nova" w:hAnsi="Proxima Nova" w:cstheme="minorHAnsi"/>
          <w:sz w:val="22"/>
          <w:szCs w:val="22"/>
        </w:rPr>
        <w:endnoteReference w:id="485"/>
      </w:r>
      <w:r w:rsidR="00D849D7" w:rsidRPr="00BD5E1A">
        <w:rPr>
          <w:rFonts w:ascii="Proxima Nova" w:hAnsi="Proxima Nova" w:cstheme="minorHAnsi"/>
          <w:sz w:val="22"/>
          <w:szCs w:val="22"/>
        </w:rPr>
        <w:t xml:space="preserve"> </w:t>
      </w:r>
      <w:r w:rsidRPr="00BD5E1A">
        <w:rPr>
          <w:rFonts w:ascii="Proxima Nova" w:hAnsi="Proxima Nova" w:cstheme="minorHAnsi"/>
          <w:sz w:val="22"/>
          <w:szCs w:val="22"/>
        </w:rPr>
        <w:t xml:space="preserve">under </w:t>
      </w:r>
      <w:r w:rsidR="00DC2398">
        <w:rPr>
          <w:rFonts w:ascii="Proxima Nova" w:hAnsi="Proxima Nova" w:cstheme="minorHAnsi"/>
          <w:sz w:val="22"/>
          <w:szCs w:val="22"/>
        </w:rPr>
        <w:t>CEDAW</w:t>
      </w:r>
      <w:r w:rsidRPr="00BD5E1A">
        <w:rPr>
          <w:rFonts w:ascii="Proxima Nova" w:hAnsi="Proxima Nova" w:cstheme="minorHAnsi"/>
          <w:sz w:val="22"/>
          <w:szCs w:val="22"/>
        </w:rPr>
        <w:t xml:space="preserve">, the CEDAW Committee recommended that Australia increase its efforts and resources to address the deteriorating mental health situation of women and girls, in particular young mothers, Indigenous women, women with disability, women in detention, migrant women and their daughters, lesbian, bisexual and transgender women and intersex persons, and reinforce preventive measures. The Committee also recommended that Australia allocate sufficient funding to the NDIS to extend coverage for mental health services to women and girls with all types of mental health conditions and disabilities. The Committee further recommended that Australia finalise the national strategic framework for the mental health and social and emotional well-being of Indigenous peoples, guarantee appropriate </w:t>
      </w:r>
      <w:r w:rsidRPr="00BD5E1A">
        <w:rPr>
          <w:rFonts w:ascii="Proxima Nova" w:hAnsi="Proxima Nova" w:cstheme="minorHAnsi"/>
          <w:sz w:val="22"/>
          <w:szCs w:val="22"/>
        </w:rPr>
        <w:lastRenderedPageBreak/>
        <w:t>resources for its implementation and address intergenerational trauma in culturally appropriate and effective ways. In relation to refugee and asylum-seeking women and girls, the Committee recommended that Australia ensure they have access to comprehensive, adequate and accessible sexual and reproductive health services and information, including to emergency contraception and abortion services.</w:t>
      </w:r>
    </w:p>
    <w:p w14:paraId="28A2E68B" w14:textId="77777777" w:rsidR="0066141F" w:rsidRPr="00BD5E1A" w:rsidRDefault="0066141F" w:rsidP="00207D3C">
      <w:pPr>
        <w:pStyle w:val="BodyText"/>
        <w:spacing w:line="276" w:lineRule="auto"/>
        <w:ind w:left="0"/>
        <w:rPr>
          <w:rFonts w:ascii="Proxima Nova" w:hAnsi="Proxima Nova" w:cstheme="minorHAnsi"/>
          <w:sz w:val="22"/>
          <w:szCs w:val="22"/>
        </w:rPr>
      </w:pPr>
    </w:p>
    <w:p w14:paraId="0408257C" w14:textId="34DB9D2F" w:rsidR="00396341" w:rsidRPr="00BD5E1A" w:rsidRDefault="00396341" w:rsidP="00207D3C">
      <w:pPr>
        <w:pStyle w:val="BodyText"/>
        <w:spacing w:line="276" w:lineRule="auto"/>
        <w:ind w:left="0"/>
        <w:rPr>
          <w:rFonts w:ascii="Proxima Nova" w:hAnsi="Proxima Nova" w:cstheme="minorHAnsi"/>
          <w:sz w:val="22"/>
          <w:szCs w:val="22"/>
        </w:rPr>
      </w:pPr>
      <w:r w:rsidRPr="00BD5E1A">
        <w:rPr>
          <w:rFonts w:ascii="Proxima Nova" w:hAnsi="Proxima Nova" w:cstheme="minorHAnsi"/>
          <w:sz w:val="22"/>
          <w:szCs w:val="22"/>
        </w:rPr>
        <w:t>In its 2019 Concluding Observations</w:t>
      </w:r>
      <w:r w:rsidR="008A3554" w:rsidRPr="00BD5E1A">
        <w:rPr>
          <w:rStyle w:val="EndnoteReference"/>
          <w:rFonts w:ascii="Proxima Nova" w:hAnsi="Proxima Nova" w:cstheme="minorHAnsi"/>
          <w:sz w:val="22"/>
          <w:szCs w:val="22"/>
        </w:rPr>
        <w:endnoteReference w:id="486"/>
      </w:r>
      <w:r w:rsidRPr="00BD5E1A">
        <w:rPr>
          <w:rFonts w:ascii="Proxima Nova" w:hAnsi="Proxima Nova" w:cstheme="minorHAnsi"/>
          <w:sz w:val="22"/>
          <w:szCs w:val="22"/>
        </w:rPr>
        <w:t xml:space="preserve"> of Australia, the Committee on the Rights of the Child expressed its serious concern about the increase in numbers of children with mental health problems, that suicide is the leading cause of death among those aged 15-24, children under 14 years of age have limited access to mental health services, and the limited child-specific measures in the Fifth National Mental Health and Suicide Prevention Plan. The Committee also expressed concern that Australia has one of the highest rates of children aged 5-14 years diagnosed with attention deficit hyperactivity disorder (ADHD) with a dramatic increase in the number of psychostimulant drug prescriptions. The Committee recommended that Australia: invest in the underlying causes of suicide and poor mental health among children; ensure that the Fifth National Mental Health and Suicide Prevention Plan includes a clear focus on children; that mental health service delivery to children in vulnerable situations, including children with disability, is prioritised; strengthen measures to ensure that psychostimulant drugs are only prescribed to children with ADHD as a last resort and only after an individualised assessment of the child’s best interests; inform children with ADHD and their parents about the side effects of psychostimulant drugs and about non-medical alternatives; increase the availability of child-friendly mental health services including to children under 14 years. The Committee also recommended that Australia promptly address the disparities in health status for children with disability, Indigenous children, children living in remote or rural areas and children in alternative care; to strengthen measures to prevent teenage pregnancies among Indigenous girls; and to continue to provide sexual and reproductive health as part of the mandatory school curriculum. In its 2017 Concluding </w:t>
      </w:r>
      <w:r w:rsidR="00897285" w:rsidRPr="00BD5E1A">
        <w:rPr>
          <w:rFonts w:ascii="Proxima Nova" w:hAnsi="Proxima Nova" w:cstheme="minorHAnsi"/>
          <w:sz w:val="22"/>
          <w:szCs w:val="22"/>
        </w:rPr>
        <w:t>O</w:t>
      </w:r>
      <w:r w:rsidRPr="00BD5E1A">
        <w:rPr>
          <w:rFonts w:ascii="Proxima Nova" w:hAnsi="Proxima Nova" w:cstheme="minorHAnsi"/>
          <w:sz w:val="22"/>
          <w:szCs w:val="22"/>
        </w:rPr>
        <w:t>bservations</w:t>
      </w:r>
      <w:r w:rsidR="00E9160F" w:rsidRPr="00BD5E1A">
        <w:rPr>
          <w:rStyle w:val="EndnoteReference"/>
          <w:rFonts w:ascii="Proxima Nova" w:hAnsi="Proxima Nova" w:cstheme="minorHAnsi"/>
          <w:sz w:val="22"/>
          <w:szCs w:val="22"/>
        </w:rPr>
        <w:endnoteReference w:id="487"/>
      </w:r>
      <w:r w:rsidRPr="00BD5E1A">
        <w:rPr>
          <w:rFonts w:ascii="Proxima Nova" w:hAnsi="Proxima Nova" w:cstheme="minorHAnsi"/>
          <w:sz w:val="22"/>
          <w:szCs w:val="22"/>
        </w:rPr>
        <w:t xml:space="preserve"> on the fifth periodic report of Australia,</w:t>
      </w:r>
      <w:r w:rsidR="00E9160F" w:rsidRPr="00BD5E1A">
        <w:rPr>
          <w:rStyle w:val="EndnoteReference"/>
          <w:rFonts w:ascii="Proxima Nova" w:hAnsi="Proxima Nova" w:cstheme="minorHAnsi"/>
          <w:sz w:val="22"/>
          <w:szCs w:val="22"/>
        </w:rPr>
        <w:endnoteReference w:id="488"/>
      </w:r>
      <w:r w:rsidRPr="00BD5E1A">
        <w:rPr>
          <w:rFonts w:ascii="Proxima Nova" w:hAnsi="Proxima Nova" w:cstheme="minorHAnsi"/>
          <w:sz w:val="22"/>
          <w:szCs w:val="22"/>
        </w:rPr>
        <w:t xml:space="preserve"> the Committee on Economic, Social and Cultural Rights expressed its concern at the poor health status of Indigenous peoples, refugees and asylum seekers. The Committee recommended that Australia redouble its efforts to achieve the health targets outlined in the Closing the Gap </w:t>
      </w:r>
      <w:r w:rsidR="00DD4CD4" w:rsidRPr="00BD5E1A">
        <w:rPr>
          <w:rFonts w:ascii="Proxima Nova" w:hAnsi="Proxima Nova" w:cstheme="minorHAnsi"/>
          <w:sz w:val="22"/>
          <w:szCs w:val="22"/>
        </w:rPr>
        <w:t>strategy and</w:t>
      </w:r>
      <w:r w:rsidRPr="00BD5E1A">
        <w:rPr>
          <w:rFonts w:ascii="Proxima Nova" w:hAnsi="Proxima Nova" w:cstheme="minorHAnsi"/>
          <w:sz w:val="22"/>
          <w:szCs w:val="22"/>
        </w:rPr>
        <w:t xml:space="preserve"> take effective steps to ensure refugees and asylum seekers are able to exercise their right to the highest attainable standard of health, with particular attention to mental health services. The Committee articulated its extreme concern with regard to the negative impact on mental health of the prolonged detention of children in the regional processing </w:t>
      </w:r>
      <w:r w:rsidR="00C4529C" w:rsidRPr="00BD5E1A">
        <w:rPr>
          <w:rFonts w:ascii="Proxima Nova" w:hAnsi="Proxima Nova" w:cstheme="minorHAnsi"/>
          <w:sz w:val="22"/>
          <w:szCs w:val="22"/>
        </w:rPr>
        <w:t>centres and</w:t>
      </w:r>
      <w:r w:rsidRPr="00BD5E1A">
        <w:rPr>
          <w:rFonts w:ascii="Proxima Nova" w:hAnsi="Proxima Nova" w:cstheme="minorHAnsi"/>
          <w:sz w:val="22"/>
          <w:szCs w:val="22"/>
        </w:rPr>
        <w:t xml:space="preserve"> recommended that Australia ensure access to appropriate child and family psychiatric care by asylum seekers and support for their social integration.</w:t>
      </w:r>
    </w:p>
    <w:p w14:paraId="2DB74D28" w14:textId="2F29BC18" w:rsidR="00396341" w:rsidRPr="00BD5E1A" w:rsidRDefault="00396341" w:rsidP="00207D3C">
      <w:pPr>
        <w:pStyle w:val="BodyText"/>
        <w:spacing w:line="276" w:lineRule="auto"/>
        <w:ind w:left="0"/>
        <w:rPr>
          <w:rFonts w:ascii="Proxima Nova" w:hAnsi="Proxima Nova" w:cstheme="minorHAnsi"/>
          <w:sz w:val="22"/>
          <w:szCs w:val="22"/>
        </w:rPr>
      </w:pPr>
    </w:p>
    <w:p w14:paraId="1EDA8210" w14:textId="71F8C560" w:rsidR="00396341" w:rsidRPr="00BD5E1A" w:rsidRDefault="00396341" w:rsidP="00207D3C">
      <w:pPr>
        <w:pStyle w:val="BodyText"/>
        <w:spacing w:line="276" w:lineRule="auto"/>
        <w:ind w:left="0"/>
        <w:rPr>
          <w:rFonts w:ascii="Proxima Nova" w:hAnsi="Proxima Nova" w:cstheme="minorHAnsi"/>
          <w:sz w:val="22"/>
          <w:szCs w:val="22"/>
        </w:rPr>
      </w:pPr>
      <w:r w:rsidRPr="00BD5E1A">
        <w:rPr>
          <w:rFonts w:ascii="Proxima Nova" w:hAnsi="Proxima Nova" w:cstheme="minorHAnsi"/>
          <w:sz w:val="22"/>
          <w:szCs w:val="22"/>
        </w:rPr>
        <w:t>In 2017, the Human Rights Committee released its Concluding Observations</w:t>
      </w:r>
      <w:r w:rsidR="00A175AF" w:rsidRPr="00BD5E1A">
        <w:rPr>
          <w:rStyle w:val="EndnoteReference"/>
          <w:rFonts w:ascii="Proxima Nova" w:hAnsi="Proxima Nova" w:cstheme="minorHAnsi"/>
          <w:sz w:val="22"/>
          <w:szCs w:val="22"/>
        </w:rPr>
        <w:endnoteReference w:id="489"/>
      </w:r>
      <w:r w:rsidRPr="00BD5E1A">
        <w:rPr>
          <w:rFonts w:ascii="Proxima Nova" w:hAnsi="Proxima Nova" w:cstheme="minorHAnsi"/>
          <w:sz w:val="22"/>
          <w:szCs w:val="22"/>
        </w:rPr>
        <w:t xml:space="preserve"> on the sixth periodic report of Australia under the </w:t>
      </w:r>
      <w:r w:rsidR="00DC6996">
        <w:rPr>
          <w:rFonts w:ascii="Proxima Nova" w:hAnsi="Proxima Nova" w:cstheme="minorHAnsi"/>
          <w:sz w:val="22"/>
          <w:szCs w:val="22"/>
        </w:rPr>
        <w:t>ICCPR</w:t>
      </w:r>
      <w:r w:rsidRPr="00BD5E1A">
        <w:rPr>
          <w:rFonts w:ascii="Proxima Nova" w:hAnsi="Proxima Nova" w:cstheme="minorHAnsi"/>
          <w:sz w:val="22"/>
          <w:szCs w:val="22"/>
        </w:rPr>
        <w:t>.</w:t>
      </w:r>
      <w:r w:rsidR="00A175AF" w:rsidRPr="00BD5E1A">
        <w:rPr>
          <w:rStyle w:val="EndnoteReference"/>
          <w:rFonts w:ascii="Proxima Nova" w:hAnsi="Proxima Nova" w:cstheme="minorHAnsi"/>
          <w:sz w:val="22"/>
          <w:szCs w:val="22"/>
        </w:rPr>
        <w:endnoteReference w:id="490"/>
      </w:r>
      <w:r w:rsidRPr="00BD5E1A">
        <w:rPr>
          <w:rFonts w:ascii="Proxima Nova" w:hAnsi="Proxima Nova" w:cstheme="minorHAnsi"/>
          <w:sz w:val="22"/>
          <w:szCs w:val="22"/>
        </w:rPr>
        <w:t xml:space="preserve"> The Committee recommended that Australia address the conditions of detention in immigration facilities, provide adequate mental health care, refrain from applying force or physical restraints against migrants and ensure that all allegations of use of force against them are promptly investigated, that perpetrators are prosecuted and, if convicted, punished with appropriate sanctions, and that victims are offered </w:t>
      </w:r>
      <w:r w:rsidR="001732C4" w:rsidRPr="00BD5E1A">
        <w:rPr>
          <w:rFonts w:ascii="Proxima Nova" w:hAnsi="Proxima Nova" w:cstheme="minorHAnsi"/>
          <w:sz w:val="22"/>
          <w:szCs w:val="22"/>
        </w:rPr>
        <w:t>reparation. In</w:t>
      </w:r>
      <w:r w:rsidRPr="00BD5E1A">
        <w:rPr>
          <w:rFonts w:ascii="Proxima Nova" w:hAnsi="Proxima Nova" w:cstheme="minorHAnsi"/>
          <w:sz w:val="22"/>
          <w:szCs w:val="22"/>
        </w:rPr>
        <w:t xml:space="preserve"> December 2017, the Committee on the Elimination of Racial Discrimination released its Concluding Observations</w:t>
      </w:r>
      <w:r w:rsidR="00A175AF" w:rsidRPr="00BD5E1A">
        <w:rPr>
          <w:rStyle w:val="EndnoteReference"/>
          <w:rFonts w:ascii="Proxima Nova" w:hAnsi="Proxima Nova" w:cstheme="minorHAnsi"/>
          <w:sz w:val="22"/>
          <w:szCs w:val="22"/>
        </w:rPr>
        <w:endnoteReference w:id="491"/>
      </w:r>
      <w:r w:rsidR="0066141F" w:rsidRPr="00BD5E1A">
        <w:rPr>
          <w:rFonts w:ascii="Proxima Nova" w:hAnsi="Proxima Nova" w:cstheme="minorHAnsi"/>
          <w:sz w:val="22"/>
          <w:szCs w:val="22"/>
        </w:rPr>
        <w:t xml:space="preserve"> </w:t>
      </w:r>
      <w:r w:rsidRPr="00BD5E1A">
        <w:rPr>
          <w:rFonts w:ascii="Proxima Nova" w:hAnsi="Proxima Nova" w:cstheme="minorHAnsi"/>
          <w:sz w:val="22"/>
          <w:szCs w:val="22"/>
        </w:rPr>
        <w:t xml:space="preserve">of Australia’s compliance under the International Convention on the Elimination of All Forms of Racial Discrimination. The Committee expressed its concern at the high rate of suicide among Indigenous peoples, and the lack of specific programmes for Indigenous peoples with disability. The Committee recommended, amongst other things, that Australia adopt and implement other adequately resourced programmes, including specific programmes for Indigenous peoples with disability, in consultation with them, and increase support for, and investment in, Indigenous community- controlled health services and programmes. The Committee further recommended that Australia collect data disaggregated by ethnicity, </w:t>
      </w:r>
      <w:r w:rsidR="008D1AA5" w:rsidRPr="00BD5E1A">
        <w:rPr>
          <w:rFonts w:ascii="Proxima Nova" w:hAnsi="Proxima Nova" w:cstheme="minorHAnsi"/>
          <w:sz w:val="22"/>
          <w:szCs w:val="22"/>
        </w:rPr>
        <w:t>I</w:t>
      </w:r>
      <w:r w:rsidRPr="00BD5E1A">
        <w:rPr>
          <w:rFonts w:ascii="Proxima Nova" w:hAnsi="Proxima Nova" w:cstheme="minorHAnsi"/>
          <w:sz w:val="22"/>
          <w:szCs w:val="22"/>
        </w:rPr>
        <w:t>ndigenous peoples, age, gender, disability, sexual orientation and gender identity, on the extent of suicide and report on the measures adopted to address it</w:t>
      </w:r>
      <w:r w:rsidR="008712F0" w:rsidRPr="00BD5E1A">
        <w:rPr>
          <w:rFonts w:ascii="Proxima Nova" w:hAnsi="Proxima Nova" w:cstheme="minorHAnsi"/>
          <w:sz w:val="22"/>
          <w:szCs w:val="22"/>
        </w:rPr>
        <w:t>.</w:t>
      </w:r>
    </w:p>
    <w:p w14:paraId="6F21C0BA" w14:textId="77777777" w:rsidR="00396341" w:rsidRPr="00BD5E1A" w:rsidRDefault="00396341" w:rsidP="00207D3C">
      <w:pPr>
        <w:spacing w:line="276" w:lineRule="auto"/>
        <w:rPr>
          <w:rFonts w:ascii="Proxima Nova" w:eastAsiaTheme="minorHAnsi" w:hAnsi="Proxima Nova" w:cstheme="minorHAnsi"/>
          <w:sz w:val="22"/>
          <w:szCs w:val="22"/>
        </w:rPr>
      </w:pPr>
    </w:p>
    <w:p w14:paraId="07535322" w14:textId="554E37C6" w:rsidR="00AB5289" w:rsidRPr="00BD5E1A" w:rsidRDefault="00AB5289" w:rsidP="00207D3C">
      <w:pPr>
        <w:spacing w:line="276" w:lineRule="auto"/>
        <w:rPr>
          <w:rFonts w:ascii="Proxima Nova" w:hAnsi="Proxima Nova" w:cstheme="minorHAnsi"/>
          <w:sz w:val="22"/>
          <w:szCs w:val="22"/>
        </w:rPr>
      </w:pPr>
    </w:p>
    <w:p w14:paraId="62E20874" w14:textId="77777777" w:rsidR="00396341" w:rsidRPr="00BD5E1A" w:rsidRDefault="00396341" w:rsidP="00C92D1C">
      <w:pPr>
        <w:rPr>
          <w:rFonts w:ascii="Proxima Nova" w:eastAsiaTheme="minorHAnsi" w:hAnsi="Proxima Nova" w:cstheme="minorBidi"/>
          <w:color w:val="CC0099"/>
          <w:sz w:val="22"/>
          <w:szCs w:val="22"/>
        </w:rPr>
      </w:pPr>
      <w:bookmarkStart w:id="69" w:name="_Toc61349507"/>
      <w:r w:rsidRPr="00BD5E1A">
        <w:rPr>
          <w:rFonts w:ascii="Proxima Nova" w:hAnsi="Proxima Nova"/>
          <w:sz w:val="22"/>
          <w:szCs w:val="22"/>
        </w:rPr>
        <w:br w:type="page"/>
      </w:r>
    </w:p>
    <w:p w14:paraId="1A93A9AD" w14:textId="68B615AA" w:rsidR="00583CED" w:rsidRPr="00BD5E1A" w:rsidRDefault="00CF6A0A" w:rsidP="00C92D1C">
      <w:pPr>
        <w:rPr>
          <w:rFonts w:ascii="Proxima Nova" w:eastAsiaTheme="minorHAnsi" w:hAnsi="Proxima Nova" w:cstheme="minorBidi"/>
          <w:color w:val="CC0099"/>
          <w:sz w:val="22"/>
          <w:szCs w:val="22"/>
        </w:rPr>
      </w:pPr>
      <w:r w:rsidRPr="00BD5E1A">
        <w:rPr>
          <w:rFonts w:ascii="Proxima Nova" w:hAnsi="Proxima Nova" w:cstheme="minorHAnsi"/>
          <w:sz w:val="22"/>
          <w:szCs w:val="22"/>
        </w:rPr>
        <w:lastRenderedPageBreak/>
        <w:t>**This page has been intentionally left blank</w:t>
      </w:r>
      <w:r w:rsidRPr="00BD5E1A">
        <w:rPr>
          <w:rFonts w:ascii="Proxima Nova" w:hAnsi="Proxima Nova"/>
          <w:sz w:val="22"/>
          <w:szCs w:val="22"/>
        </w:rPr>
        <w:t xml:space="preserve"> </w:t>
      </w:r>
      <w:r w:rsidR="00583CED" w:rsidRPr="00BD5E1A">
        <w:rPr>
          <w:rFonts w:ascii="Proxima Nova" w:hAnsi="Proxima Nova"/>
          <w:sz w:val="22"/>
          <w:szCs w:val="22"/>
        </w:rPr>
        <w:br w:type="page"/>
      </w:r>
    </w:p>
    <w:bookmarkEnd w:id="69"/>
    <w:p w14:paraId="57FC2E8E" w14:textId="7762983D" w:rsidR="00442C88" w:rsidRPr="00873FF3" w:rsidRDefault="00442C88" w:rsidP="00442C88">
      <w:pPr>
        <w:ind w:left="2160" w:hanging="2160"/>
        <w:rPr>
          <w:rFonts w:ascii="Proxima Nova" w:hAnsi="Proxima Nova"/>
          <w:b/>
          <w:bCs/>
          <w:sz w:val="20"/>
          <w:szCs w:val="20"/>
        </w:rPr>
      </w:pPr>
      <w:r w:rsidRPr="00614CED">
        <w:rPr>
          <w:rFonts w:ascii="League Spartan" w:hAnsi="League Spartan"/>
          <w:b/>
          <w:bCs/>
          <w:color w:val="004479"/>
          <w:sz w:val="28"/>
          <w:szCs w:val="28"/>
        </w:rPr>
        <w:lastRenderedPageBreak/>
        <w:t xml:space="preserve">APPENDIX </w:t>
      </w:r>
      <w:r>
        <w:rPr>
          <w:rFonts w:ascii="League Spartan" w:hAnsi="League Spartan"/>
          <w:b/>
          <w:bCs/>
          <w:color w:val="004479"/>
          <w:sz w:val="28"/>
          <w:szCs w:val="28"/>
        </w:rPr>
        <w:t>2</w:t>
      </w:r>
      <w:r w:rsidRPr="00614CED">
        <w:rPr>
          <w:rFonts w:ascii="League Spartan" w:hAnsi="League Spartan"/>
          <w:b/>
          <w:bCs/>
          <w:color w:val="004479"/>
          <w:sz w:val="28"/>
          <w:szCs w:val="28"/>
        </w:rPr>
        <w:t>:</w:t>
      </w:r>
      <w:r>
        <w:rPr>
          <w:rFonts w:ascii="League Spartan" w:hAnsi="League Spartan"/>
          <w:b/>
          <w:bCs/>
          <w:color w:val="004479"/>
          <w:sz w:val="28"/>
          <w:szCs w:val="28"/>
        </w:rPr>
        <w:tab/>
      </w:r>
      <w:r>
        <w:rPr>
          <w:rFonts w:ascii="League Spartan" w:hAnsi="League Spartan"/>
          <w:b/>
          <w:bCs/>
          <w:color w:val="004479"/>
          <w:sz w:val="28"/>
          <w:szCs w:val="28"/>
        </w:rPr>
        <w:t>ENDNOTES</w:t>
      </w:r>
    </w:p>
    <w:p w14:paraId="0092DCD3" w14:textId="77777777" w:rsidR="00442C88" w:rsidRPr="00A07775" w:rsidRDefault="00442C88" w:rsidP="00442C88">
      <w:pPr>
        <w:pStyle w:val="Heading1"/>
        <w:spacing w:line="276" w:lineRule="auto"/>
        <w:rPr>
          <w:rFonts w:ascii="Proxima Nova" w:hAnsi="Proxima Nova"/>
          <w:b w:val="0"/>
          <w:sz w:val="22"/>
          <w:szCs w:val="22"/>
        </w:rPr>
      </w:pPr>
    </w:p>
    <w:p w14:paraId="53F3337C" w14:textId="1E65104B" w:rsidR="00396341" w:rsidRPr="00BD5E1A" w:rsidRDefault="00396341" w:rsidP="00C92D1C">
      <w:pPr>
        <w:pStyle w:val="Heading1"/>
        <w:rPr>
          <w:rFonts w:ascii="Proxima Nova" w:hAnsi="Proxima Nova"/>
          <w:b w:val="0"/>
          <w:sz w:val="22"/>
          <w:szCs w:val="22"/>
        </w:rPr>
      </w:pPr>
    </w:p>
    <w:sectPr w:rsidR="00396341" w:rsidRPr="00BD5E1A" w:rsidSect="00BE3470">
      <w:footerReference w:type="even" r:id="rId25"/>
      <w:footerReference w:type="default" r:id="rId26"/>
      <w:endnotePr>
        <w:numFmt w:val="decimal"/>
      </w:endnotePr>
      <w:pgSz w:w="11900" w:h="16840"/>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4F92A" w14:textId="77777777" w:rsidR="00234BEE" w:rsidRDefault="00234BEE" w:rsidP="006811B8">
      <w:r>
        <w:separator/>
      </w:r>
    </w:p>
    <w:p w14:paraId="3B3777B5" w14:textId="77777777" w:rsidR="00234BEE" w:rsidRDefault="00234BEE"/>
  </w:endnote>
  <w:endnote w:type="continuationSeparator" w:id="0">
    <w:p w14:paraId="1EA823B1" w14:textId="77777777" w:rsidR="00234BEE" w:rsidRDefault="00234BEE" w:rsidP="006811B8">
      <w:r>
        <w:continuationSeparator/>
      </w:r>
    </w:p>
    <w:p w14:paraId="336DF905" w14:textId="77777777" w:rsidR="00234BEE" w:rsidRDefault="00234BEE"/>
  </w:endnote>
  <w:endnote w:id="1">
    <w:p w14:paraId="1BCE606D" w14:textId="024AF21E" w:rsidR="00A00236" w:rsidRPr="007C1ED7" w:rsidRDefault="00A00236" w:rsidP="0036184D">
      <w:pPr>
        <w:pStyle w:val="EndnoteText"/>
        <w:rPr>
          <w:rFonts w:ascii="Calibri" w:hAnsi="Calibri" w:cs="Calibri"/>
          <w:sz w:val="18"/>
          <w:szCs w:val="18"/>
        </w:rPr>
      </w:pPr>
      <w:r w:rsidRPr="00C27B33">
        <w:rPr>
          <w:rStyle w:val="EndnoteReference"/>
          <w:rFonts w:ascii="Calibri" w:hAnsi="Calibri" w:cs="Calibri"/>
          <w:sz w:val="18"/>
          <w:szCs w:val="18"/>
        </w:rPr>
        <w:endnoteRef/>
      </w:r>
      <w:r w:rsidRPr="001B780E">
        <w:rPr>
          <w:rFonts w:ascii="Calibri" w:hAnsi="Calibri" w:cs="Calibri"/>
          <w:sz w:val="18"/>
          <w:szCs w:val="18"/>
        </w:rPr>
        <w:t xml:space="preserve"> </w:t>
      </w:r>
      <w:r>
        <w:rPr>
          <w:rFonts w:ascii="Calibri" w:hAnsi="Calibri" w:cs="Calibri"/>
          <w:sz w:val="18"/>
          <w:szCs w:val="18"/>
        </w:rPr>
        <w:fldChar w:fldCharType="begin"/>
      </w:r>
      <w:r>
        <w:rPr>
          <w:rFonts w:ascii="Calibri" w:hAnsi="Calibri" w:cs="Calibri"/>
          <w:sz w:val="18"/>
          <w:szCs w:val="18"/>
        </w:rPr>
        <w:instrText xml:space="preserve"> ADDIN ZOTERO_ITEM CSL_CITATION {"citationID":"Uw9q6oru","properties":{"formattedCitation":"Committee on the Rights of Persons with Disabilities, {\\i{}General Comment No. 7 on the Participation of Persons with Disabilities, Including Children with Disabilities, through Their Representative Organizations, in the Implementing and Monitoring of the Convention} (CRPD/C/GC/7, United Nations, 9 November 2018) &lt;https://undocs.org/en/CRPD/C/GC/7&gt;.","plainCitation":"Committee on the Rights of Persons with Disabilities, General Comment No. 7 on the Participation of Persons with Disabilities, Including Children with Disabilities, through Their Representative Organizations, in the Implementing and Monitoring of the Convention (CRPD/C/GC/7, United Nations, 9 November 2018) &lt;https://undocs.org/en/CRPD/C/GC/7&gt;.","noteIndex":1},"citationItems":[{"id":5931,"uris":["http://zotero.org/groups/2733877/items/NP9ZTZK9"],"uri":["http://zotero.org/groups/2733877/items/NP9ZTZK9"],"itemData":{"id":5931,"type":"report","collection-title":"UN Doc","genre":"CRPD/C/GC/7","publisher":"United Nations","title":"General Comment No. 7 on the participation of persons with disabilities, including children with disabilities, through their representative organizations, in the implementing and monitoring of the Convention","URL":"https://undocs.org/en/CRPD/C/GC/7","author":[{"family":"Committee on the Rights of Persons with Disabilities","given":""}],"issued":{"date-parts":[["2018",11,9]]}}}],"schema":"https://github.com/citation-style-language/schema/raw/master/csl-citation.json"} </w:instrText>
      </w:r>
      <w:r>
        <w:rPr>
          <w:rFonts w:ascii="Calibri" w:hAnsi="Calibri" w:cs="Calibri"/>
          <w:sz w:val="18"/>
          <w:szCs w:val="18"/>
        </w:rPr>
        <w:fldChar w:fldCharType="separate"/>
      </w:r>
      <w:r w:rsidRPr="00442C88">
        <w:rPr>
          <w:rFonts w:ascii="Calibri" w:hAnsi="Calibri" w:cs="Calibri"/>
        </w:rPr>
        <w:t xml:space="preserve">Committee on the Rights of Persons with Disabilities, </w:t>
      </w:r>
      <w:r w:rsidRPr="00442C88">
        <w:rPr>
          <w:rFonts w:ascii="Calibri" w:hAnsi="Calibri" w:cs="Calibri"/>
          <w:i/>
          <w:iCs/>
        </w:rPr>
        <w:t>General Comment No. 7 on the Participation of Persons with Disabilities, Including Children with Disabilit</w:t>
      </w:r>
      <w:r w:rsidRPr="00C27B33">
        <w:rPr>
          <w:rFonts w:ascii="Calibri" w:hAnsi="Calibri" w:cs="Calibri"/>
          <w:i/>
          <w:iCs/>
          <w:sz w:val="18"/>
          <w:szCs w:val="24"/>
        </w:rPr>
        <w:t>ies, through Their Representative Organizations, in the Implementing and Monitoring of the Convention</w:t>
      </w:r>
      <w:r w:rsidRPr="00C27B33">
        <w:rPr>
          <w:rFonts w:ascii="Calibri" w:hAnsi="Calibri" w:cs="Calibri"/>
          <w:sz w:val="18"/>
          <w:szCs w:val="24"/>
        </w:rPr>
        <w:t xml:space="preserve"> (CRPD/C/GC/7, United Nations, 9 November 2018) &lt;https://undocs.org/en/CRPD/C/GC/7&gt;.</w:t>
      </w:r>
      <w:r>
        <w:rPr>
          <w:rFonts w:ascii="Calibri" w:hAnsi="Calibri" w:cs="Calibri"/>
          <w:sz w:val="18"/>
          <w:szCs w:val="18"/>
        </w:rPr>
        <w:fldChar w:fldCharType="end"/>
      </w:r>
    </w:p>
  </w:endnote>
  <w:endnote w:id="2">
    <w:p w14:paraId="2CF965E7" w14:textId="08516DDB" w:rsidR="00A00236" w:rsidRPr="003F3D6D" w:rsidRDefault="00A00236" w:rsidP="00BE1B47">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{"citationID":"rx8rO8Wm","properties":{"formattedCitation":"Australian Government, \\uc0\\u8216{}The National Disability Abuse and Neglect Hotline\\uc0\\u8217{}, {\\i{}Job Access} &lt;https://www.jobaccess.gov.au/complaints/hotline&gt;; See also Australian Government Department of Social Services, \\uc0\\u8216{}National Disability Abuse and Neglect Hotline Data\\uc0\\u8217{} (27 January 2021) &lt;https://www.dss.gov.au/disability-and-carers/publications-articles/general/national-disability-abuse-and-neglect-hotline-data-0&gt;.","plainCitation":"Australian Government, ‘The National Disability Abuse and Neglect Hotline’, Job Access &lt;https://www.jobaccess.gov.au/complaints/hotline&gt;; See also Australian Government Department of Social Services, ‘National Disability Abuse and Neglect Hotline Data’ (27 January 2021) &lt;https://www.dss.gov.au/disability-and-carers/publications-articles/general/national-disability-abuse-and-neglect-hotline-data-0&gt;.","dontUpdate":true,"noteIndex":2},"citationItems":[{"id":5963,"uris":["http://zotero.org/groups/2733877/items/2SPR7XVC"],"uri":["http://zotero.org/groups/2733877/items/2SPR7XVC"],"itemData":{"id":5963,"type":"webpage","container-title":"Job Access","language":"en","title":"The National Disability Abuse and Neglect Hotline","URL":"https://www.jobaccess.gov.au/complaints/hotline","author":[{"family":"Australian Government","given":""}],"accessed":{"date-parts":[["2021",2,1]]}}},{"id":5962,"uris":["http://zotero.org/groups/2733877/items/2RMQLNJV"],"uri":["http://zotero.org/groups/2733877/items/2RMQLNJV"],"itemData":{"id":5962,"type":"webpage","title":"National Disability Abuse and Neglect Hotline Data","URL":"https://www.dss.gov.au/disability-and-carers/publications-articles/general/national-disability-abuse-and-neglect-hotline-data-0","author":[{"family":"Australian Government Department of Social Services","given":""}],"accessed":{"date-parts":[["2021",2,1]]},"issued":{"date-parts":[["2021",1,27]]}},"prefix":"See also"}],"schema":"https://github.com/citation-style-language/schema/raw/master/csl-citation.json"} </w:instrText>
      </w:r>
      <w:r w:rsidRPr="003F3D6D">
        <w:rPr>
          <w:rFonts w:cstheme="minorHAnsi"/>
        </w:rPr>
        <w:fldChar w:fldCharType="separate"/>
      </w:r>
      <w:r w:rsidRPr="003F3D6D">
        <w:rPr>
          <w:rFonts w:cstheme="minorHAnsi"/>
        </w:rPr>
        <w:t xml:space="preserve">Australian Government, ‘The National Disability Abuse and Neglect Hotline’, </w:t>
      </w:r>
      <w:r w:rsidRPr="003F3D6D">
        <w:rPr>
          <w:rFonts w:cstheme="minorHAnsi"/>
          <w:i/>
          <w:iCs/>
        </w:rPr>
        <w:t>Job Access</w:t>
      </w:r>
      <w:r w:rsidRPr="003F3D6D">
        <w:rPr>
          <w:rFonts w:cstheme="minorHAnsi"/>
        </w:rPr>
        <w:t xml:space="preserve"> &lt;https://www.jobaccess.gov.au/complaints/hotline&gt;; See also Australian Government Department of Social Services, ‘National Disability Abuse and Neglect Hotline Data’ (27 January 2021) &lt;https://www.dss.gov.au/disability-and-carers/publications-ar</w:t>
      </w:r>
      <w:r>
        <w:rPr>
          <w:rFonts w:cstheme="minorHAnsi"/>
        </w:rPr>
        <w:t>iv</w:t>
      </w:r>
      <w:r w:rsidRPr="003F3D6D">
        <w:rPr>
          <w:rFonts w:cstheme="minorHAnsi"/>
        </w:rPr>
        <w:t>ticles/general/national-disability-abuse-and-neglect-hotline-data-0&gt;.</w:t>
      </w:r>
      <w:r w:rsidRPr="003F3D6D">
        <w:rPr>
          <w:rFonts w:cstheme="minorHAnsi"/>
        </w:rPr>
        <w:fldChar w:fldCharType="end"/>
      </w:r>
    </w:p>
  </w:endnote>
  <w:endnote w:id="3">
    <w:p w14:paraId="35533432" w14:textId="4ED003D6" w:rsidR="00A00236" w:rsidRPr="00D3479A" w:rsidRDefault="00A00236">
      <w:pPr>
        <w:pStyle w:val="EndnoteText"/>
        <w:rPr>
          <w:lang w:val="en-AU"/>
        </w:rPr>
      </w:pPr>
      <w:r>
        <w:rPr>
          <w:rStyle w:val="EndnoteReference"/>
        </w:rPr>
        <w:endnoteRef/>
      </w:r>
      <w:r>
        <w:t xml:space="preserve"> </w:t>
      </w:r>
      <w:r>
        <w:fldChar w:fldCharType="begin"/>
      </w:r>
      <w:r>
        <w:instrText xml:space="preserve"> ADDIN ZOTERO_ITEM CSL_CITATION {"citationID":"qMuvGTH4","properties":{"formattedCitation":"Royal Commission into Violence, Abuse, Neglect and Exploitation of People with Disability, {\\i{}Restrictive Practices Issues Paper} (26 May 2020) 1.","plainCitation":"Royal Commission into Violence, Abuse, Neglect and Exploitation of People with Disability, Restrictive Practices Issues Paper (26 May 2020) 1.","noteIndex":3},"citationItems":[{"id":6209,"uris":["http://zotero.org/groups/2733877/items/TGUJIQJE"],"uri":["http://zotero.org/groups/2733877/items/TGUJIQJE"],"itemData":{"id":6209,"type":"report","language":"en","page":"1-14","source":"Zotero","title":"Restrictive Practices Issues Paper","author":[{"family":"Royal Commission into Violence, Abuse, Neglect and Exploitation of People with Disability","given":""}],"issued":{"date-parts":[["2020",5,26]]}}}],"schema":"https://github.com/citation-style-language/schema/raw/master/csl-citation.json"} </w:instrText>
      </w:r>
      <w:r>
        <w:fldChar w:fldCharType="separate"/>
      </w:r>
      <w:r w:rsidRPr="003509C3">
        <w:rPr>
          <w:rFonts w:ascii="Calibri" w:hAnsi="Calibri" w:cs="Calibri"/>
          <w:szCs w:val="24"/>
        </w:rPr>
        <w:t xml:space="preserve">Royal Commission into Violence, Abuse, Neglect and Exploitation of People with Disability, </w:t>
      </w:r>
      <w:r w:rsidRPr="003509C3">
        <w:rPr>
          <w:rFonts w:ascii="Calibri" w:hAnsi="Calibri" w:cs="Calibri"/>
          <w:i/>
          <w:iCs/>
          <w:szCs w:val="24"/>
        </w:rPr>
        <w:t>Restrictive Practices Issues Paper</w:t>
      </w:r>
      <w:r w:rsidRPr="003509C3">
        <w:rPr>
          <w:rFonts w:ascii="Calibri" w:hAnsi="Calibri" w:cs="Calibri"/>
          <w:szCs w:val="24"/>
        </w:rPr>
        <w:t xml:space="preserve"> (26 May 2020) 1.</w:t>
      </w:r>
      <w:r>
        <w:fldChar w:fldCharType="end"/>
      </w:r>
    </w:p>
  </w:endnote>
  <w:endnote w:id="4">
    <w:p w14:paraId="7BA52953" w14:textId="3F3CE0FC" w:rsidR="00A00236" w:rsidRPr="00E44415" w:rsidRDefault="00A00236" w:rsidP="00EA1C6A">
      <w:pPr>
        <w:pStyle w:val="EndnoteText"/>
      </w:pPr>
      <w:r w:rsidRPr="00C27B33">
        <w:rPr>
          <w:rStyle w:val="EndnoteReference"/>
        </w:rPr>
        <w:endnoteRef/>
      </w:r>
      <w:r w:rsidRPr="00C27B33">
        <w:t xml:space="preserve"> </w:t>
      </w:r>
      <w:r w:rsidRPr="00C27B33">
        <w:fldChar w:fldCharType="begin"/>
      </w:r>
      <w:r w:rsidRPr="00C27B33">
        <w:instrText xml:space="preserve"> ADDIN ZOTERO_ITEM CSL_CITATION {"citationID":"uMn79gVI","properties":{"formattedCitation":"UN General Assembly, {\\i{}Convention on the Elimination of All Forms of Discrimination Against Women [1983] ATS 9} ([1983] ATS 9, United Nations, 18 December 1979) &lt;https://www.ohchr.org/Documents/ProfessionalInterest/cedaw.pdf&gt;; UN General Assembly, {\\i{}International Covenant on Civil and Political Rights [1980] ATS 23} (United Nations, 16 December 1966) &lt;https://www.ohchr.org/Documents/ProfessionalInterest/ccpr.pdf&gt;; UN General Assembly, {\\i{}International Covenant on Economic, Social and Cultural Rights [1976] ATS 5} ([1976] ATS 5, United Nations, 16 December 1966) &lt;https://www.ohchr.org/Documents/ProfessionalInterest/cescr.pdf&gt;; UN General Assembly, {\\i{}Convention on the Rights of the Child [1991] ATS 4} (United Nations, 20 November 1989) &lt;https://www.refworld.org/docid/3ae6b38f0.html&gt;; UN General Assembly, {\\i{}Convention Against Torture and Other Cruel, Inhuman or Degrading Treatment or Punishment [1989] ATS 21} (United Nations, 10 December 1984) &lt;https://www.refworld.org/docid/3ae6b3a94.html&gt;; UN General Assembly, {\\i{}International Convention on the Elimination of All Forms of Racial Discrimination [1975] ATS 40} ([1975] ATS 40, United Nations, 21 December 1965) &lt;https://www.ohchr.org/EN/ProfessionalInterest/Pages/CERD.aspx&gt;; {\\i{}Convention on the Rights of Persons with Disabilities [2008] ATS 12} (A/RES/61/106, United Nations, 24 January 2007) &lt;https://www.refworld.org/docid/45f973632.html&gt;.","plainCitation":"UN General Assembly, Convention on the Elimination of All Forms of Discrimination Against Women [1983] ATS 9 ([1983] ATS 9, United Nations, 18 December 1979) &lt;https://www.ohchr.org/Documents/ProfessionalInterest/cedaw.pdf&gt;; UN General Assembly, International Covenant on Civil and Political Rights [1980] ATS 23 (United Nations, 16 December 1966) &lt;https://www.ohchr.org/Documents/ProfessionalInterest/ccpr.pdf&gt;; UN General Assembly, International Covenant on Economic, Social and Cultural Rights [1976] ATS 5 ([1976] ATS 5, United Nations, 16 December 1966) &lt;https://www.ohchr.org/Documents/ProfessionalInterest/cescr.pdf&gt;; UN General Assembly, Convention on the Rights of the Child [1991] ATS 4 (United Nations, 20 November 1989) &lt;https://www.refworld.org/docid/3ae6b38f0.html&gt;; UN General Assembly, Convention Against Torture and Other Cruel, Inhuman or Degrading Treatment or Punishment [1989] ATS 21 (United Nations, 10 December 1984) &lt;https://www.refworld.org/docid/3ae6b3a94.html&gt;; UN General Assembly, International Convention on the Elimination of All Forms of Racial Discrimination [1975] ATS 40 ([1975] ATS 40, United Nations, 21 December 1965) &lt;https://www.ohchr.org/EN/ProfessionalInterest/Pages/CERD.aspx&gt;; Convention on the Rights of Persons with Disabilities [2008] ATS 12 (A/RES/61/106, United Nations, 24 January 2007) &lt;https://www.refworld.org/docid/45f973632.html&gt;.","noteIndex":4},"citationItems":[{"id":5939,"uris":["http://zotero.org/groups/2733877/items/ZBXL2L22"],"uri":["http://zotero.org/groups/2733877/items/ZBXL2L22"],"itemData":{"id":5939,"type":"report","genre":"[1983] ATS 9","publisher":"United Nations","title":"Convention on the Elimination of All Forms of Discrimination Against Women [1983] ATS 9","URL":"https://www.ohchr.org/Documents/ProfessionalInterest/cedaw.pdf","author":[{"family":"UN General Assembly","given":""}],"issued":{"date-parts":[["1979",12,18]]}}},{"id":6203,"uris":["http://zotero.org/groups/2733877/items/TWXSZBQJ"],"uri":["http://zotero.org/groups/2733877/items/TWXSZBQJ"],"itemData":{"id":6203,"type":"report","collection-title":"[1980] ATS 23","publisher":"United Nations","title":"International Covenant on Civil and Political Rights [1980] ATS 23","URL":"https://www.ohchr.org/Documents/ProfessionalInterest/ccpr.pdf","author":[{"family":"UN General Assembly","given":""}],"issued":{"date-parts":[["1966",12,16]]}}},{"id":5938,"uris":["http://zotero.org/groups/2733877/items/GD9ZUNUP"],"uri":["http://zotero.org/groups/2733877/items/GD9ZUNUP"],"itemData":{"id":5938,"type":"report","genre":"[1976] ATS 5","publisher":"United Nations","title":"International Covenant on Economic, Social and Cultural Rights [1976] ATS 5","URL":"https://www.ohchr.org/Documents/ProfessionalInterest/cescr.pdf","author":[{"family":"UN General Assembly","given":""}],"issued":{"date-parts":[["1966",12,16]]}}},{"id":5941,"uris":["http://zotero.org/groups/2733877/items/Z94ADXJR"],"uri":["http://zotero.org/groups/2733877/items/Z94ADXJR"],"itemData":{"id":5941,"type":"report","abstract":"The Convention on the Rights of the Child was adopted and opened for signature, ratification and accession by General Assembly resolution 44/25 of 20 November 1989. It entered into force on 2 September 1990, in accordance with article 49.","collection-title":"Treaty Series vol. 1577","language":"en","publisher":"United Nations","title":"Convention on the Rights of the Child [1991] ATS 4","URL":"https://www.refworld.org/docid/3ae6b38f0.html","author":[{"family":"UN General Assembly","given":""}],"accessed":{"date-parts":[["2021",2,1]]},"issued":{"date-parts":[["1989",11,20]]}}},{"id":5940,"uris":["http://zotero.org/groups/2733877/items/5YR8UJDF"],"uri":["http://zotero.org/groups/2733877/items/5YR8UJDF"],"itemData":{"id":5940,"type":"report","abstract":"Adopted and opened for signature, ratification and accession by General Assembly resolution 39/46 of 10 December 1984. Entry into force 26 June 1987, in accordance with article 27 (1). &lt;a href=\"https://treaties.un.org/Pages/ViewDetails.aspx?src=IND&amp;mtdsg_no=IV-9&amp;chapter=4&amp;clang=_en\"_blank\"&gt;Status of signatures&lt;/a&gt;","collection-title":"Treaty Series vol. 1465","language":"en","publisher":"United Nations","title":"Convention Against Torture and Other Cruel, Inhuman or Degrading Treatment or Punishment [1989] ATS 21","URL":"https://www.refworld.org/docid/3ae6b3a94.html","author":[{"family":"UN General Assembly","given":""}],"accessed":{"date-parts":[["2021",2,1]]},"issued":{"date-parts":[["1984",12,10]]}}},{"id":5937,"uris":["http://zotero.org/groups/2733877/items/VGJBJ44F"],"uri":["http://zotero.org/groups/2733877/items/VGJBJ44F"],"itemData":{"id":5937,"type":"report","genre":"[1975] ATS 40","publisher":"United Nations","title":"International Convention on the Elimination of All Forms of Racial Discrimination [1975] ATS 40","URL":"https://www.ohchr.org/EN/ProfessionalInterest/Pages/CERD.aspx","author":[{"family":"UN General Assembly","given":""}],"issued":{"date-parts":[["1965",12,21]]}}},{"id":6215,"uris":["http://zotero.org/groups/2733877/items/8UQDQLRW"],"uri":["http://zotero.org/groups/2733877/items/8UQDQLRW"],"itemData":{"id":6215,"type":"report","abstract":"Adopted without vote, 76th plenary meeting; Issued in GAOR, 61st sess., Suppl. no. 49. \n\"Annex: Convention on the Rights of Persons with Disabilities\": p. 2-29.","genre":"A/RES/61/106","language":"en","publisher":"United Nations","title":"Convention on the Rights of Persons with Disabilities [2008] ATS 12","URL":"https://www.refworld.org/docid/45f973632.html","accessed":{"date-parts":[["2021",2,1]]},"issued":{"date-parts":[["2007",1,24]]}}}],"schema":"https://github.com/citation-style-language/schema/raw/master/csl-citation.json"} </w:instrText>
      </w:r>
      <w:r w:rsidRPr="00C27B33">
        <w:fldChar w:fldCharType="separate"/>
      </w:r>
      <w:r w:rsidRPr="00C27B33">
        <w:rPr>
          <w:rFonts w:ascii="Calibri" w:hAnsi="Calibri" w:cs="Calibri"/>
          <w:szCs w:val="24"/>
        </w:rPr>
        <w:t xml:space="preserve">UN General Assembly, </w:t>
      </w:r>
      <w:r w:rsidRPr="00C27B33">
        <w:rPr>
          <w:rFonts w:ascii="Calibri" w:hAnsi="Calibri" w:cs="Calibri"/>
          <w:i/>
          <w:iCs/>
          <w:szCs w:val="24"/>
        </w:rPr>
        <w:t>Convention on the Elimination of All Forms of Discrimination Against Women [1983] ATS 9</w:t>
      </w:r>
      <w:r w:rsidRPr="00C27B33">
        <w:rPr>
          <w:rFonts w:ascii="Calibri" w:hAnsi="Calibri" w:cs="Calibri"/>
          <w:szCs w:val="24"/>
        </w:rPr>
        <w:t xml:space="preserve"> ([1983] ATS 9, United Nations, 18 December 1979) &lt;https://www.ohchr.org/Documents/ProfessionalInterest/cedaw.pdf&gt;; UN General Assembly, </w:t>
      </w:r>
      <w:r w:rsidRPr="00C27B33">
        <w:rPr>
          <w:rFonts w:ascii="Calibri" w:hAnsi="Calibri" w:cs="Calibri"/>
          <w:i/>
          <w:iCs/>
          <w:szCs w:val="24"/>
        </w:rPr>
        <w:t>International Covenant on Civil and Political Rights [1980] ATS 23</w:t>
      </w:r>
      <w:r w:rsidRPr="00C27B33">
        <w:rPr>
          <w:rFonts w:ascii="Calibri" w:hAnsi="Calibri" w:cs="Calibri"/>
          <w:szCs w:val="24"/>
        </w:rPr>
        <w:t xml:space="preserve"> (United Nations, 16 December 1966) &lt;https://www.ohchr.org/Documents/ProfessionalInterest/ccpr.pdf&gt;; UN General Assembly, </w:t>
      </w:r>
      <w:r w:rsidRPr="00C27B33">
        <w:rPr>
          <w:rFonts w:ascii="Calibri" w:hAnsi="Calibri" w:cs="Calibri"/>
          <w:i/>
          <w:iCs/>
          <w:szCs w:val="24"/>
        </w:rPr>
        <w:t>International Covenant on Economic, Social and Cultural Rights [1976] ATS 5</w:t>
      </w:r>
      <w:r w:rsidRPr="00C27B33">
        <w:rPr>
          <w:rFonts w:ascii="Calibri" w:hAnsi="Calibri" w:cs="Calibri"/>
          <w:szCs w:val="24"/>
        </w:rPr>
        <w:t xml:space="preserve"> ([1976] ATS 5, United Nations, 16 December 1966) &lt;https://www.ohchr.org/Documents/ProfessionalInterest/cescr.pdf&gt;; UN General Assembly, </w:t>
      </w:r>
      <w:r w:rsidRPr="00C27B33">
        <w:rPr>
          <w:rFonts w:ascii="Calibri" w:hAnsi="Calibri" w:cs="Calibri"/>
          <w:i/>
          <w:iCs/>
          <w:szCs w:val="24"/>
        </w:rPr>
        <w:t>Convention on the Rights of the Child [1991] ATS 4</w:t>
      </w:r>
      <w:r w:rsidRPr="00C27B33">
        <w:rPr>
          <w:rFonts w:ascii="Calibri" w:hAnsi="Calibri" w:cs="Calibri"/>
          <w:szCs w:val="24"/>
        </w:rPr>
        <w:t xml:space="preserve"> (United Nations, 20 November 1989) &lt;https://www.refworld.org/docid/3ae6b38f0.html&gt;; UN General Assembly, </w:t>
      </w:r>
      <w:r w:rsidRPr="00C27B33">
        <w:rPr>
          <w:rFonts w:ascii="Calibri" w:hAnsi="Calibri" w:cs="Calibri"/>
          <w:i/>
          <w:iCs/>
          <w:szCs w:val="24"/>
        </w:rPr>
        <w:t>Convention Against Torture and Other Cruel, Inhuman or Degrading Treatment or Punishment [1989] ATS 21</w:t>
      </w:r>
      <w:r w:rsidRPr="00C27B33">
        <w:rPr>
          <w:rFonts w:ascii="Calibri" w:hAnsi="Calibri" w:cs="Calibri"/>
          <w:szCs w:val="24"/>
        </w:rPr>
        <w:t xml:space="preserve"> (United Nations, 10 December 1984) &lt;https://www.refworld.org/docid/3ae6b3a94.html&gt;; UN General Assembly, </w:t>
      </w:r>
      <w:r w:rsidRPr="00C27B33">
        <w:rPr>
          <w:rFonts w:ascii="Calibri" w:hAnsi="Calibri" w:cs="Calibri"/>
          <w:i/>
          <w:iCs/>
          <w:szCs w:val="24"/>
        </w:rPr>
        <w:t>International Convention on the Elimination of All Forms of Racial Discrimination [1975] ATS 40</w:t>
      </w:r>
      <w:r w:rsidRPr="00C27B33">
        <w:rPr>
          <w:rFonts w:ascii="Calibri" w:hAnsi="Calibri" w:cs="Calibri"/>
          <w:szCs w:val="24"/>
        </w:rPr>
        <w:t xml:space="preserve"> ([1975] ATS 40, United Nations, 21 December 1965) &lt;https://www.ohchr.org/EN/ProfessionalInterest/Pages/CERD.aspx&gt;; </w:t>
      </w:r>
      <w:r w:rsidRPr="00C27B33">
        <w:rPr>
          <w:rFonts w:ascii="Calibri" w:hAnsi="Calibri" w:cs="Calibri"/>
          <w:i/>
          <w:iCs/>
          <w:szCs w:val="24"/>
        </w:rPr>
        <w:t>Convention on the Rights of Persons with Disabilities [2008] ATS 12</w:t>
      </w:r>
      <w:r w:rsidRPr="00C27B33">
        <w:rPr>
          <w:rFonts w:ascii="Calibri" w:hAnsi="Calibri" w:cs="Calibri"/>
          <w:szCs w:val="24"/>
        </w:rPr>
        <w:t xml:space="preserve"> (A/RES/61/106, United Nations, 24 January 2007) &lt;https://www.refworld.org/docid/45f973632.html&gt;.</w:t>
      </w:r>
      <w:r w:rsidRPr="00C27B33">
        <w:fldChar w:fldCharType="end"/>
      </w:r>
    </w:p>
  </w:endnote>
  <w:endnote w:id="5">
    <w:p w14:paraId="6CFE466F" w14:textId="39FAA45B" w:rsidR="00A00236" w:rsidRPr="00C27B33" w:rsidRDefault="00A00236">
      <w:pPr>
        <w:pStyle w:val="EndnoteText"/>
        <w:rPr>
          <w:lang w:val="en-AU"/>
        </w:rPr>
      </w:pPr>
      <w:r w:rsidRPr="00C27B33">
        <w:rPr>
          <w:rStyle w:val="EndnoteReference"/>
        </w:rPr>
        <w:endnoteRef/>
      </w:r>
      <w:r w:rsidRPr="00C27B33">
        <w:t xml:space="preserve"> </w:t>
      </w:r>
      <w:r w:rsidRPr="00C27B33">
        <w:fldChar w:fldCharType="begin"/>
      </w:r>
      <w:r w:rsidRPr="00C27B33">
        <w:instrText xml:space="preserve"> ADDIN ZOTERO_ITEM CSL_CITATION {"citationID":"bVgXQ5wi","properties":{"formattedCitation":"{\\i{}Convention on the Rights of Persons with Disabilities [2008] ATS 12} (n 4).","plainCitation":"Convention on the Rights of Persons with Disabilities [2008] ATS 12 (n 4).","noteIndex":5},"citationItems":[{"id":6215,"uris":["http://zotero.org/groups/2733877/items/8UQDQLRW"],"uri":["http://zotero.org/groups/2733877/items/8UQDQLRW"],"itemData":{"id":6215,"type":"report","abstract":"Adopted without vote, 76th plenary meeting; Issued in GAOR, 61st sess., Suppl. no. 49. \n\"Annex: Convention on the Rights of Persons with Disabilities\": p. 2-29.","genre":"A/RES/61/106","language":"en","publisher":"United Nations","title":"Convention on the Rights of Persons with Disabilities [2008] ATS 12","URL":"https://www.refworld.org/docid/45f973632.html","accessed":{"date-parts":[["2021",2,1]]},"issued":{"date-parts":[["2007",1,24]]}}}],"schema":"https://github.com/citation-style-language/schema/raw/master/csl-citation.json"} </w:instrText>
      </w:r>
      <w:r w:rsidRPr="00C27B33">
        <w:fldChar w:fldCharType="separate"/>
      </w:r>
      <w:r w:rsidRPr="00C27B33">
        <w:rPr>
          <w:rFonts w:ascii="Calibri" w:hAnsi="Calibri" w:cs="Calibri"/>
          <w:i/>
          <w:iCs/>
          <w:szCs w:val="24"/>
        </w:rPr>
        <w:t>Convention on the Rights of Persons with Disabilities [2008] ATS 12</w:t>
      </w:r>
      <w:r w:rsidRPr="00C27B33">
        <w:rPr>
          <w:rFonts w:ascii="Calibri" w:hAnsi="Calibri" w:cs="Calibri"/>
          <w:szCs w:val="24"/>
        </w:rPr>
        <w:t xml:space="preserve"> (n 4).</w:t>
      </w:r>
      <w:r w:rsidRPr="00C27B33">
        <w:fldChar w:fldCharType="end"/>
      </w:r>
    </w:p>
  </w:endnote>
  <w:endnote w:id="6">
    <w:p w14:paraId="708E7C52" w14:textId="4B1F0428" w:rsidR="00A00236" w:rsidRPr="003F3D6D" w:rsidRDefault="00A00236" w:rsidP="004E5DD9">
      <w:pPr>
        <w:pStyle w:val="EndnoteText"/>
        <w:rPr>
          <w:rFonts w:cstheme="minorHAnsi"/>
          <w:lang w:val="en-AU"/>
        </w:rPr>
      </w:pPr>
      <w:r w:rsidRPr="00C27B33">
        <w:rPr>
          <w:rStyle w:val="EndnoteReference"/>
          <w:rFonts w:cstheme="minorHAnsi"/>
        </w:rPr>
        <w:endnoteRef/>
      </w:r>
      <w:r w:rsidRPr="00C27B33">
        <w:rPr>
          <w:rFonts w:cstheme="minorHAnsi"/>
        </w:rPr>
        <w:t xml:space="preserve"> </w:t>
      </w:r>
      <w:r w:rsidRPr="00C27B33">
        <w:rPr>
          <w:rFonts w:cstheme="minorHAnsi"/>
          <w:lang w:val="en-AU"/>
        </w:rPr>
        <w:t xml:space="preserve">For a general summary, see </w:t>
      </w:r>
      <w:r w:rsidRPr="00C27B33">
        <w:rPr>
          <w:rFonts w:cstheme="minorHAnsi"/>
          <w:lang w:val="en-AU"/>
        </w:rPr>
        <w:fldChar w:fldCharType="begin"/>
      </w:r>
      <w:r w:rsidRPr="00C27B33">
        <w:rPr>
          <w:rFonts w:cstheme="minorHAnsi"/>
          <w:lang w:val="en-AU"/>
        </w:rPr>
        <w:instrText xml:space="preserve"> ADDIN ZOTERO_ITEM CSL_CITATION {"citationID":"yxTD5ObX","properties":{"formattedCitation":"Jessica Robyn Cadwallader et al, \\uc0\\u8216{}Institutional Violence against People with Disability: Recent Legal and Political Developments\\uc0\\u8217{} (2018) 29(3) {\\i{}Current Issues in Criminal Justice} 259 (\\uc0\\u8216{}Institutional Violence against People with Disability\\uc0\\u8217{}).","plainCitation":"Jessica Robyn Cadwallader et al, ‘Institutional Violence against People with Disability: Recent Legal and Political Developments’ (2018) 29(3) Current Issues in Criminal Justice 259 (‘Institutional Violence against People with Disability’).","noteIndex":6},"citationItems":[{"id":4858,"uris":["http://zotero.org/groups/2567132/items/ZKTZ8GQI"],"uri":["http://zotero.org/groups/2567132/items/ZKTZ8GQI"],"itemData":{"id":4858,"type":"article-journal","abstract":"International and Australian domestic evidence suggest that the prevalence of violence against people with disability is substantially higher than for the rest of the community. Much of the violence experienced by people with disability in Australia occurs within the purview of a variety of institutions, including group homes, large residential institutions, Australian Disability Enterprises (that is, disability employment facilities), schools, psychiatric facilities, hospitals and correctional facilities. This comment discusses recent domestic and international legal and political attempts to grapple with the issue of institutional violence against people with disability, focusing in particular on a series of Senate Committee inquiries into abuse and violence, regulation related to the National Disability Insurance Scheme, the coming into force of the Convention on the Rights of Persons with Disabilities, Australia's anticipated ratification of the Optional Protocol to the Convention Against Torture and recent calls by Disability People's Organisations and academics for a Royal Commission into violence against people with disability.","container-title":"Current Issues in Criminal Justice","DOI":"10.1080/10345329.2018.12036101","ISSN":"1034-5329","issue":"3","note":"publisher: Routledge\n_eprint: https://doi.org/10.1080/10345329.2018.12036101","page":"259-272","source":"Taylor and Francis+NEJM","title":"Institutional Violence against People with Disability: Recent Legal and Political Developments","title-short":"Institutional Violence against People with Disability","volume":"29","author":[{"family":"Cadwallader","given":"Jessica Robyn"},{"family":"Spivakovsky","given":"Claire"},{"family":"Steele","given":"Linda"},{"family":"Wadiwel","given":"Dinesh"}],"issued":{"date-parts":[["2018",3,1]]}}}],"schema":"https://github.com/citation-style-language/schema/raw/master/csl-citation.json"} </w:instrText>
      </w:r>
      <w:r w:rsidRPr="00C27B33">
        <w:rPr>
          <w:rFonts w:cstheme="minorHAnsi"/>
          <w:lang w:val="en-AU"/>
        </w:rPr>
        <w:fldChar w:fldCharType="separate"/>
      </w:r>
      <w:r w:rsidRPr="00C27B33">
        <w:rPr>
          <w:rFonts w:cstheme="minorHAnsi"/>
        </w:rPr>
        <w:t xml:space="preserve">Jessica Robyn Cadwallader et al, ‘Institutional Violence against People with Disability: Recent Legal and Political Developments’ (2018) 29(3) </w:t>
      </w:r>
      <w:r w:rsidRPr="00C27B33">
        <w:rPr>
          <w:rFonts w:cstheme="minorHAnsi"/>
          <w:i/>
          <w:iCs/>
        </w:rPr>
        <w:t>Current Issues in Criminal Justice</w:t>
      </w:r>
      <w:r w:rsidRPr="00C27B33">
        <w:rPr>
          <w:rFonts w:cstheme="minorHAnsi"/>
        </w:rPr>
        <w:t xml:space="preserve"> 259 (‘Institutional Violence against People with Disability’).</w:t>
      </w:r>
      <w:r w:rsidRPr="00C27B33">
        <w:rPr>
          <w:rFonts w:cstheme="minorHAnsi"/>
          <w:lang w:val="en-AU"/>
        </w:rPr>
        <w:fldChar w:fldCharType="end"/>
      </w:r>
    </w:p>
  </w:endnote>
  <w:endnote w:id="7">
    <w:p w14:paraId="5A8C0F9C" w14:textId="0A030554" w:rsidR="00A00236" w:rsidRPr="003F3D6D" w:rsidRDefault="00A00236" w:rsidP="005D6732">
      <w:pPr>
        <w:pStyle w:val="EndnoteText"/>
        <w:rPr>
          <w:rFonts w:cstheme="minorHAnsi"/>
          <w:lang w:val="en-AU"/>
        </w:rPr>
      </w:pPr>
      <w:r w:rsidRPr="003F3D6D">
        <w:rPr>
          <w:rStyle w:val="EndnoteReference"/>
          <w:rFonts w:cstheme="minorHAnsi"/>
        </w:rPr>
        <w:endnoteRef/>
      </w:r>
      <w:r w:rsidRPr="003F3D6D">
        <w:rPr>
          <w:rFonts w:cstheme="minorHAnsi"/>
        </w:rPr>
        <w:t xml:space="preserve"> For a detailed analysis of the 2013 sterilisation inquiry, see: </w:t>
      </w:r>
      <w:r w:rsidRPr="003F3D6D">
        <w:rPr>
          <w:rFonts w:cstheme="minorHAnsi"/>
        </w:rPr>
        <w:fldChar w:fldCharType="begin"/>
      </w:r>
      <w:r>
        <w:rPr>
          <w:rFonts w:cstheme="minorHAnsi"/>
        </w:rPr>
        <w:instrText xml:space="preserve"> ADDIN ZOTERO_ITEM CSL_CITATION {"citationID":"EogXCLjP","properties":{"formattedCitation":"Linda Steele, \\uc0\\u8216{}Court Authorised Sterilisation and Human Rights: Inequality, Discrimination and Violence Against Women and Girls with Disability\\uc0\\u8217{} (2016) 39(3) {\\i{}UNSW Law Journal} 1002.","plainCitation":"Linda Steele, ‘Court Authorised Sterilisation and Human Rights: Inequality, Discrimination and Violence Against Women and Girls with Disability’ (2016) 39(3) UNSW Law Journal 1002.","noteIndex":7},"citationItems":[{"id":6210,"uris":["http://zotero.org/groups/2733877/items/TA4K5I9T"],"uri":["http://zotero.org/groups/2733877/items/TA4K5I9T"],"itemData":{"id":6210,"type":"article-journal","container-title":"UNSW Law Journal","issue":"3","language":"en","page":"1002-1037","source":"Zotero","title":"Court Authorised Sterilisation and Human Rights: Inequality, Discrimination and Violence Against Women and Girls with Disability","volume":"39","author":[{"family":"Steele","given":"Linda"}],"issued":{"date-parts":[["2016"]]}}}],"schema":"https://github.com/citation-style-language/schema/raw/master/csl-citation.json"} </w:instrText>
      </w:r>
      <w:r w:rsidRPr="003F3D6D">
        <w:rPr>
          <w:rFonts w:cstheme="minorHAnsi"/>
        </w:rPr>
        <w:fldChar w:fldCharType="separate"/>
      </w:r>
      <w:r w:rsidRPr="008602B7">
        <w:rPr>
          <w:rFonts w:ascii="Calibri" w:hAnsi="Calibri" w:cs="Calibri"/>
          <w:szCs w:val="24"/>
        </w:rPr>
        <w:t xml:space="preserve">Linda Steele, ‘Court Authorised Sterilisation and Human Rights: Inequality, Discrimination and Violence Against Women and Girls with Disability’ (2016) 39(3) </w:t>
      </w:r>
      <w:r w:rsidRPr="008602B7">
        <w:rPr>
          <w:rFonts w:ascii="Calibri" w:hAnsi="Calibri" w:cs="Calibri"/>
          <w:i/>
          <w:iCs/>
          <w:szCs w:val="24"/>
        </w:rPr>
        <w:t>UNSW Law Journal</w:t>
      </w:r>
      <w:r w:rsidRPr="008602B7">
        <w:rPr>
          <w:rFonts w:ascii="Calibri" w:hAnsi="Calibri" w:cs="Calibri"/>
          <w:szCs w:val="24"/>
        </w:rPr>
        <w:t xml:space="preserve"> 1002.</w:t>
      </w:r>
      <w:r w:rsidRPr="003F3D6D">
        <w:rPr>
          <w:rFonts w:cstheme="minorHAnsi"/>
        </w:rPr>
        <w:fldChar w:fldCharType="end"/>
      </w:r>
    </w:p>
  </w:endnote>
  <w:endnote w:id="8">
    <w:p w14:paraId="47F4966B" w14:textId="69A8EE95" w:rsidR="00A00236" w:rsidRPr="003F3D6D" w:rsidRDefault="00A00236" w:rsidP="004E5DD9">
      <w:pPr>
        <w:pStyle w:val="EndnoteText"/>
        <w:rPr>
          <w:rFonts w:cstheme="minorHAnsi"/>
          <w:lang w:val="en-AU"/>
        </w:rPr>
      </w:pPr>
      <w:r w:rsidRPr="00C27B33">
        <w:rPr>
          <w:rStyle w:val="EndnoteReference"/>
          <w:rFonts w:cstheme="minorHAnsi"/>
        </w:rPr>
        <w:endnoteRef/>
      </w:r>
      <w:r w:rsidRPr="00C27B33">
        <w:rPr>
          <w:rFonts w:cstheme="minorHAnsi"/>
        </w:rPr>
        <w:t xml:space="preserve"> </w:t>
      </w:r>
      <w:r w:rsidRPr="00C27B33">
        <w:rPr>
          <w:rFonts w:cstheme="minorHAnsi"/>
          <w:lang w:val="en-AU"/>
        </w:rPr>
        <w:t xml:space="preserve">While the </w:t>
      </w:r>
      <w:r w:rsidRPr="00C27B33">
        <w:rPr>
          <w:rFonts w:eastAsia="Times New Roman" w:cstheme="minorHAnsi"/>
          <w:lang w:val="en-US" w:eastAsia="en-AU"/>
        </w:rPr>
        <w:t>Senate Community Affairs References Committee itself did not classify sterilisation as a form of ‘restrictive practices’, WWDA defines ‘restrictive practices’ as including sterilisation.</w:t>
      </w:r>
    </w:p>
  </w:endnote>
  <w:endnote w:id="9">
    <w:p w14:paraId="0D3B6B94" w14:textId="76CC4540"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{"citationID":"tYWILhka","properties":{"formattedCitation":"Senate Community Affairs Committee, {\\i{}Involuntary or Coerced Sterilisation of People with Disabilities in Australia} (Parliament of Australia, July 2013) 31.","plainCitation":"Senate Community Affairs Committee, Involuntary or Coerced Sterilisation of People with Disabilities in Australia (Parliament of Australia, July 2013) 31.","noteIndex":9},"citationItems":[{"id":6015,"uris":["http://zotero.org/groups/2733877/items/67LC7VM3"],"uri":["http://zotero.org/groups/2733877/items/67LC7VM3"],"itemData":{"id":6015,"type":"report","event-place":"Canberra","publisher":"Parliament of Australia","publisher-place":"Canberra","title":"Involuntary or Coerced Sterilisation of People with Disabilities in Australia","author":[{"family":"Senate Community Affairs Committee","given":""}],"issued":{"date-parts":[["2013",7]]}},"locator":"31"}],"schema":"https://github.com/citation-style-language/schema/raw/master/csl-citation.json"} </w:instrText>
      </w:r>
      <w:r w:rsidRPr="003F3D6D">
        <w:rPr>
          <w:rFonts w:cstheme="minorHAnsi"/>
        </w:rPr>
        <w:fldChar w:fldCharType="separate"/>
      </w:r>
      <w:r w:rsidRPr="003F3D6D">
        <w:rPr>
          <w:rFonts w:cstheme="minorHAnsi"/>
        </w:rPr>
        <w:t xml:space="preserve">Senate Community Affairs Committee, </w:t>
      </w:r>
      <w:r w:rsidRPr="003F3D6D">
        <w:rPr>
          <w:rFonts w:cstheme="minorHAnsi"/>
          <w:i/>
          <w:iCs/>
        </w:rPr>
        <w:t>Involuntary or Coerced Sterilisation of People with Disabilities in Australia</w:t>
      </w:r>
      <w:r w:rsidRPr="003F3D6D">
        <w:rPr>
          <w:rFonts w:cstheme="minorHAnsi"/>
        </w:rPr>
        <w:t xml:space="preserve"> (Parliament of Australia, July 2013) 31.</w:t>
      </w:r>
      <w:r w:rsidRPr="003F3D6D">
        <w:rPr>
          <w:rFonts w:cstheme="minorHAnsi"/>
        </w:rPr>
        <w:fldChar w:fldCharType="end"/>
      </w:r>
    </w:p>
  </w:endnote>
  <w:endnote w:id="10">
    <w:p w14:paraId="3B9AC50A" w14:textId="5282149F"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{"citationID":"LENjVM1r","properties":{"formattedCitation":"Ibid ix.","plainCitation":"Ibid ix.","noteIndex":10},"citationItems":[{"id":6015,"uris":["http://zotero.org/groups/2733877/items/67LC7VM3"],"uri":["http://zotero.org/groups/2733877/items/67LC7VM3"],"itemData":{"id":6015,"type":"report","event-place":"Canberra","publisher":"Parliament of Australia","publisher-place":"Canberra","title":"Involuntary or Coerced Sterilisation of People with Disabilities in Australia","author":[{"family":"Senate Community Affairs Committee","given":""}],"issued":{"date-parts":[["2013",7]]}},"locator":"ix"}],"schema":"https://github.com/citation-style-language/schema/raw/master/csl-citation.json"} </w:instrText>
      </w:r>
      <w:r w:rsidRPr="003F3D6D">
        <w:rPr>
          <w:rFonts w:cstheme="minorHAnsi"/>
        </w:rPr>
        <w:fldChar w:fldCharType="separate"/>
      </w:r>
      <w:r w:rsidRPr="003F3D6D">
        <w:rPr>
          <w:rFonts w:cstheme="minorHAnsi"/>
          <w:noProof/>
        </w:rPr>
        <w:t>Ibid ix.</w:t>
      </w:r>
      <w:r w:rsidRPr="003F3D6D">
        <w:rPr>
          <w:rFonts w:cstheme="minorHAnsi"/>
        </w:rPr>
        <w:fldChar w:fldCharType="end"/>
      </w:r>
    </w:p>
  </w:endnote>
  <w:endnote w:id="11">
    <w:p w14:paraId="3B85D3EB" w14:textId="6BC3C13A"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{"citationID":"VSW1OGvU","properties":{"formattedCitation":"Ibid x.","plainCitation":"Ibid x.","noteIndex":11},"citationItems":[{"id":6015,"uris":["http://zotero.org/groups/2733877/items/67LC7VM3"],"uri":["http://zotero.org/groups/2733877/items/67LC7VM3"],"itemData":{"id":6015,"type":"report","event-place":"Canberra","publisher":"Parliament of Australia","publisher-place":"Canberra","title":"Involuntary or Coerced Sterilisation of People with Disabilities in Australia","author":[{"family":"Senate Community Affairs Committee","given":""}],"issued":{"date-parts":[["2013",7]]}},"locator":"x"}],"schema":"https://github.com/citation-style-language/schema/raw/master/csl-citation.json"} </w:instrText>
      </w:r>
      <w:r w:rsidRPr="003F3D6D">
        <w:rPr>
          <w:rFonts w:cstheme="minorHAnsi"/>
        </w:rPr>
        <w:fldChar w:fldCharType="separate"/>
      </w:r>
      <w:r w:rsidRPr="003F3D6D">
        <w:rPr>
          <w:rFonts w:cstheme="minorHAnsi"/>
          <w:noProof/>
        </w:rPr>
        <w:t>Ibid x.</w:t>
      </w:r>
      <w:r w:rsidRPr="003F3D6D">
        <w:rPr>
          <w:rFonts w:cstheme="minorHAnsi"/>
        </w:rPr>
        <w:fldChar w:fldCharType="end"/>
      </w:r>
    </w:p>
  </w:endnote>
  <w:endnote w:id="12">
    <w:p w14:paraId="181FBC8F" w14:textId="4811CB62"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{"citationID":"k6ddHN3K","properties":{"formattedCitation":"Committee on the Rights of Persons with Disabilities, {\\i{}Concluding Observations on the Initial Report of Australia, Adopted by the Committee at Its Tenth Session (2-13 September 2013)} (CRPD/C/AUS/CO/1, United Nations, 21 October 2013) 5[39] &lt;https://www.refworld.org/docid/5280b5cb4.html&gt;.","plainCitation":"Committee on the Rights of Persons with Disabilities, Concluding Observations on the Initial Report of Australia, Adopted by the Committee at Its Tenth Session (2-13 September 2013) (CRPD/C/AUS/CO/1, United Nations, 21 October 2013) 5[39] &lt;https://www.refworld.org/docid/5280b5cb4.html&gt;.","noteIndex":12},"citationItems":[{"id":6044,"uris":["http://zotero.org/groups/2733877/items/GW86GCS8"],"uri":["http://zotero.org/groups/2733877/items/GW86GCS8"],"itemData":{"id":6044,"type":"report","collection-title":"UN Doc","genre":"CRPD/C/AUS/CO/1","language":"en","publisher":"United Nations","title":"Concluding observations on the initial report of Australia, adopted by the Committee at its tenth session (2-13 September 2013)","URL":"https://www.refworld.org/docid/5280b5cb4.html","author":[{"family":"Committee on the Rights of Persons with Disabilities","given":""}],"accessed":{"date-parts":[["2021",1,27]]},"issued":{"date-parts":[["2013",10,21]]}},"locator":"5[39]"}],"schema":"https://github.com/citation-style-language/schema/raw/master/csl-citation.json"} </w:instrText>
      </w:r>
      <w:r w:rsidRPr="003F3D6D">
        <w:rPr>
          <w:rFonts w:cstheme="minorHAnsi"/>
        </w:rPr>
        <w:fldChar w:fldCharType="separate"/>
      </w:r>
      <w:r w:rsidRPr="003F3D6D">
        <w:rPr>
          <w:rFonts w:cstheme="minorHAnsi"/>
        </w:rPr>
        <w:t xml:space="preserve">Committee on the Rights of Persons with Disabilities, </w:t>
      </w:r>
      <w:r w:rsidRPr="003F3D6D">
        <w:rPr>
          <w:rFonts w:cstheme="minorHAnsi"/>
          <w:i/>
          <w:iCs/>
        </w:rPr>
        <w:t>Concluding Observations on the Initial Report of Australia, Adopted by the Committee at Its Tenth Session (2-13 September 2013)</w:t>
      </w:r>
      <w:r w:rsidRPr="003F3D6D">
        <w:rPr>
          <w:rFonts w:cstheme="minorHAnsi"/>
        </w:rPr>
        <w:t xml:space="preserve"> (CRPD/C/AUS/CO/1, United Nations, 21 October 2013) 5[39] &lt;https://www.refworld.org/docid/5280b5cb4.html&gt;.</w:t>
      </w:r>
      <w:r w:rsidRPr="003F3D6D">
        <w:rPr>
          <w:rFonts w:cstheme="minorHAnsi"/>
        </w:rPr>
        <w:fldChar w:fldCharType="end"/>
      </w:r>
    </w:p>
  </w:endnote>
  <w:endnote w:id="13">
    <w:p w14:paraId="398DA09B" w14:textId="676236FA" w:rsidR="00A00236" w:rsidRPr="003F3D6D" w:rsidRDefault="00A00236" w:rsidP="0062567A">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{"citationID":"5LL0wZKo","properties":{"formattedCitation":"Ibid 6[40].","plainCitation":"Ibid 6[40].","noteIndex":13},"citationItems":[{"id":6044,"uris":["http://zotero.org/groups/2733877/items/GW86GCS8"],"uri":["http://zotero.org/groups/2733877/items/GW86GCS8"],"itemData":{"id":6044,"type":"report","collection-title":"UN Doc","genre":"CRPD/C/AUS/CO/1","language":"en","publisher":"United Nations","title":"Concluding observations on the initial report of Australia, adopted by the Committee at its tenth session (2-13 September 2013)","URL":"https://www.refworld.org/docid/5280b5cb4.html","author":[{"family":"Committee on the Rights of Persons with Disabilities","given":""}],"accessed":{"date-parts":[["2021",1,27]]},"issued":{"date-parts":[["2013",10,21]]}},"locator":"6[40]"}],"schema":"https://github.com/citation-style-language/schema/raw/master/csl-citation.json"} </w:instrText>
      </w:r>
      <w:r w:rsidRPr="003F3D6D">
        <w:rPr>
          <w:rFonts w:cstheme="minorHAnsi"/>
        </w:rPr>
        <w:fldChar w:fldCharType="separate"/>
      </w:r>
      <w:r w:rsidRPr="003F3D6D">
        <w:rPr>
          <w:rFonts w:cstheme="minorHAnsi"/>
          <w:noProof/>
        </w:rPr>
        <w:t>Ibid 6[40].</w:t>
      </w:r>
      <w:r w:rsidRPr="003F3D6D">
        <w:rPr>
          <w:rFonts w:cstheme="minorHAnsi"/>
        </w:rPr>
        <w:fldChar w:fldCharType="end"/>
      </w:r>
    </w:p>
  </w:endnote>
  <w:endnote w:id="14">
    <w:p w14:paraId="5B0C8896" w14:textId="1A5083D1" w:rsidR="00A00236" w:rsidRPr="001542FB" w:rsidRDefault="00A00236">
      <w:pPr>
        <w:pStyle w:val="EndnoteText"/>
        <w:rPr>
          <w:rFonts w:ascii="Calibri" w:hAnsi="Calibri" w:cs="Calibri"/>
          <w:sz w:val="18"/>
          <w:szCs w:val="18"/>
        </w:rPr>
      </w:pPr>
      <w:r w:rsidRPr="00C27B33">
        <w:rPr>
          <w:rStyle w:val="EndnoteReference"/>
        </w:rPr>
        <w:endnoteRef/>
      </w:r>
      <w:r w:rsidRPr="00C27B33">
        <w:t xml:space="preserve"> </w:t>
      </w:r>
      <w:r w:rsidRPr="00C27B33">
        <w:fldChar w:fldCharType="begin"/>
      </w:r>
      <w:r w:rsidRPr="00C27B33">
        <w:instrText xml:space="preserve"> ADDIN ZOTERO_ITEM CSL_CITATION {"citationID":"mg65vhSX","properties":{"formattedCitation":"Committee on the Rights of Persons with Disabilities, {\\i{}Concluding Observations on the Combined Second and Third Periodic Reports of Australia, Adopted by the Committee at Its 511th Meeting (20 September 2019) of the 22nd Session} (CRPD/C/AUS/CO/2-3, United Nations, 15 October 2019).","plainCitation":"Committee on the Rights of Persons with Disabilities, Concluding Observations on the Combined Second and Third Periodic Reports of Australia, Adopted by the Committee at Its 511th Meeting (20 September 2019) of the 22nd Session (CRPD/C/AUS/CO/2-3, United Nations, 15 October 2019).","noteIndex":14},"citationItems":[{"id":5930,"uris":["http://zotero.org/groups/2733877/items/22NEYWVV"],"uri":["http://zotero.org/groups/2733877/items/22NEYWVV"],"itemData":{"id":5930,"type":"report","collection-title":"UN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Disabilities","given":""}],"issued":{"date-parts":[["2019",10,15]]}}}],"schema":"https://github.com/citation-style-language/schema/raw/master/csl-citation.json"} </w:instrText>
      </w:r>
      <w:r w:rsidRPr="00C27B33">
        <w:fldChar w:fldCharType="separate"/>
      </w:r>
      <w:r w:rsidRPr="00C27B33">
        <w:rPr>
          <w:rFonts w:ascii="Calibri" w:hAnsi="Calibri" w:cs="Calibri"/>
          <w:szCs w:val="24"/>
        </w:rPr>
        <w:t xml:space="preserve">Committee on the Rights of Persons with Disabilities, </w:t>
      </w:r>
      <w:r w:rsidRPr="00C27B33">
        <w:rPr>
          <w:rFonts w:ascii="Calibri" w:hAnsi="Calibri" w:cs="Calibri"/>
          <w:i/>
          <w:iCs/>
          <w:szCs w:val="24"/>
        </w:rPr>
        <w:t>Concluding Observations on the Combined Second and Third Periodic Reports of Australia, Adopted by the Committee at Its 511th Meeting (20 September 2019) of the 22nd Session</w:t>
      </w:r>
      <w:r w:rsidRPr="00C27B33">
        <w:rPr>
          <w:rFonts w:ascii="Calibri" w:hAnsi="Calibri" w:cs="Calibri"/>
          <w:szCs w:val="24"/>
        </w:rPr>
        <w:t xml:space="preserve"> (CRPD/C/AUS/CO/2-3, United Nations, 15 October 2019).</w:t>
      </w:r>
      <w:r w:rsidRPr="00C27B33">
        <w:fldChar w:fldCharType="end"/>
      </w:r>
    </w:p>
  </w:endnote>
  <w:endnote w:id="15">
    <w:p w14:paraId="2F7D2537" w14:textId="495341B6" w:rsidR="00A00236" w:rsidRPr="003F3D6D" w:rsidRDefault="00A00236" w:rsidP="0073576A">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{"citationID":"x7j24BSC","properties":{"formattedCitation":"\\uc0\\u8216{}Equality, Capacity and Disability in Commonwealth Laws (ALRC Report 124)\\uc0\\u8217{}, {\\i{}ALRC} 24 &lt;https://www.alrc.gov.au/publication/equality-capacity-and-disability-in-commonwealth-laws-alrc-report-124/&gt;.","plainCitation":"‘Equality, Capacity and Disability in Commonwealth Laws (ALRC Report 124)’, ALRC 24 &lt;https://www.alrc.gov.au/publication/equality-capacity-and-disability-in-commonwealth-laws-alrc-report-124/&gt;.","noteIndex":15},"citationItems":[{"id":6013,"uris":["http://zotero.org/groups/2733877/items/QX6YEBIU"],"uri":["http://zotero.org/groups/2733877/items/QX6YEBIU"],"itemData":{"id":6013,"type":"webpage","abstract":"This Inquiry examined laws and legal frameworks within the Commonwealth jurisdiction that deny or diminish the equal recognition of people with disability as persons before the law and their ability to exercise legal capacity.","container-title":"ALRC","language":"en-AU","title":"Equality, Capacity and Disability in Commonwealth Laws (ALRC Report 124)","URL":"https://www.alrc.gov.au/publication/equality-capacity-and-disability-in-commonwealth-laws-alrc-report-124/","accessed":{"date-parts":[["2021",1,27]]}},"locator":"24"}],"schema":"https://github.com/citation-style-language/schema/raw/master/csl-citation.json"} </w:instrText>
      </w:r>
      <w:r w:rsidRPr="003F3D6D">
        <w:rPr>
          <w:rFonts w:cstheme="minorHAnsi"/>
        </w:rPr>
        <w:fldChar w:fldCharType="separate"/>
      </w:r>
      <w:r w:rsidRPr="003F3D6D">
        <w:rPr>
          <w:rFonts w:cstheme="minorHAnsi"/>
        </w:rPr>
        <w:t xml:space="preserve">‘Equality, Capacity and Disability in Commonwealth Laws (ALRC Report 124)’, </w:t>
      </w:r>
      <w:r w:rsidRPr="003F3D6D">
        <w:rPr>
          <w:rFonts w:cstheme="minorHAnsi"/>
          <w:i/>
          <w:iCs/>
        </w:rPr>
        <w:t>ALRC</w:t>
      </w:r>
      <w:r w:rsidRPr="003F3D6D">
        <w:rPr>
          <w:rFonts w:cstheme="minorHAnsi"/>
        </w:rPr>
        <w:t xml:space="preserve"> 24 &lt;https://www.alrc.gov.au/publication/equality-capacity-and-disability-in-commonwealth-laws-alrc-report-124/&gt;.</w:t>
      </w:r>
      <w:r w:rsidRPr="003F3D6D">
        <w:rPr>
          <w:rFonts w:cstheme="minorHAnsi"/>
        </w:rPr>
        <w:fldChar w:fldCharType="end"/>
      </w:r>
    </w:p>
  </w:endnote>
  <w:endnote w:id="16">
    <w:p w14:paraId="3282306B" w14:textId="1D427EBE"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{"citationID":"g1gB9ofq","properties":{"formattedCitation":"Ibid 99\\uc0\\u8211{}119.","plainCitation":"Ibid 99–119.","noteIndex":16},"citationItems":[{"id":6013,"uris":["http://zotero.org/groups/2733877/items/QX6YEBIU"],"uri":["http://zotero.org/groups/2733877/items/QX6YEBIU"],"itemData":{"id":6013,"type":"webpage","abstract":"This Inquiry examined laws and legal frameworks within the Commonwealth jurisdiction that deny or diminish the equal recognition of people with disability as persons before the law and their ability to exercise legal capacity.","container-title":"ALRC","language":"en-AU","title":"Equality, Capacity and Disability in Commonwealth Laws (ALRC Report 124)","URL":"https://www.alrc.gov.au/publication/equality-capacity-and-disability-in-commonwealth-laws-alrc-report-124/","accessed":{"date-parts":[["2021",1,27]]}},"locator":"99-119"}],"schema":"https://github.com/citation-style-language/schema/raw/master/csl-citation.json"} </w:instrText>
      </w:r>
      <w:r w:rsidRPr="003F3D6D">
        <w:rPr>
          <w:rFonts w:cstheme="minorHAnsi"/>
        </w:rPr>
        <w:fldChar w:fldCharType="separate"/>
      </w:r>
      <w:r w:rsidRPr="003F3D6D">
        <w:rPr>
          <w:rFonts w:cstheme="minorHAnsi"/>
        </w:rPr>
        <w:t>Ibid 99–119.</w:t>
      </w:r>
      <w:r w:rsidRPr="003F3D6D">
        <w:rPr>
          <w:rFonts w:cstheme="minorHAnsi"/>
        </w:rPr>
        <w:fldChar w:fldCharType="end"/>
      </w:r>
    </w:p>
  </w:endnote>
  <w:endnote w:id="17">
    <w:p w14:paraId="4788382F" w14:textId="700A752E"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{"citationID":"jKMqXoiz","properties":{"formattedCitation":"Ibid 28.","plainCitation":"Ibid 28.","noteIndex":17},"citationItems":[{"id":6013,"uris":["http://zotero.org/groups/2733877/items/QX6YEBIU"],"uri":["http://zotero.org/groups/2733877/items/QX6YEBIU"],"itemData":{"id":6013,"type":"webpage","abstract":"This Inquiry examined laws and legal frameworks within the Commonwealth jurisdiction that deny or diminish the equal recognition of people with disability as persons before the law and their ability to exercise legal capacity.","container-title":"ALRC","language":"en-AU","title":"Equality, Capacity and Disability in Commonwealth Laws (ALRC Report 124)","URL":"https://www.alrc.gov.au/publication/equality-capacity-and-disability-in-commonwealth-laws-alrc-report-124/","accessed":{"date-parts":[["2021",1,27]]}},"locator":"28"}],"schema":"https://github.com/citation-style-language/schema/raw/master/csl-citation.json"} </w:instrText>
      </w:r>
      <w:r w:rsidRPr="003F3D6D">
        <w:rPr>
          <w:rFonts w:cstheme="minorHAnsi"/>
        </w:rPr>
        <w:fldChar w:fldCharType="separate"/>
      </w:r>
      <w:r w:rsidRPr="003F3D6D">
        <w:rPr>
          <w:rFonts w:cstheme="minorHAnsi"/>
          <w:noProof/>
        </w:rPr>
        <w:t>Ibid 28.</w:t>
      </w:r>
      <w:r w:rsidRPr="003F3D6D">
        <w:rPr>
          <w:rFonts w:cstheme="minorHAnsi"/>
        </w:rPr>
        <w:fldChar w:fldCharType="end"/>
      </w:r>
    </w:p>
  </w:endnote>
  <w:endnote w:id="18">
    <w:p w14:paraId="7E00DAB5" w14:textId="5CCE0A2C" w:rsidR="00A00236" w:rsidRPr="00C01D4C" w:rsidRDefault="00A00236">
      <w:pPr>
        <w:pStyle w:val="EndnoteText"/>
        <w:rPr>
          <w:lang w:val="en-AU"/>
        </w:rPr>
      </w:pPr>
      <w:r w:rsidRPr="00C27B33">
        <w:rPr>
          <w:rStyle w:val="EndnoteReference"/>
        </w:rPr>
        <w:endnoteRef/>
      </w:r>
      <w:r w:rsidRPr="00C27B33">
        <w:t xml:space="preserve"> COAG</w:t>
      </w:r>
      <w:r w:rsidRPr="00C01D4C">
        <w:t xml:space="preserve"> </w:t>
      </w:r>
      <w:r>
        <w:t>was</w:t>
      </w:r>
      <w:r w:rsidRPr="00C01D4C">
        <w:t xml:space="preserve"> the peak intergovernmental forum in Australia</w:t>
      </w:r>
      <w:r>
        <w:t xml:space="preserve"> prior to 2020</w:t>
      </w:r>
      <w:r w:rsidRPr="00C01D4C">
        <w:t xml:space="preserve">. </w:t>
      </w:r>
      <w:r w:rsidRPr="000F21DE">
        <w:t xml:space="preserve">On 29 May 2020, the National Cabinet agreed to the formation of the National Federation Reform Council (NFRC) and the cessation of </w:t>
      </w:r>
      <w:r>
        <w:t>COAG</w:t>
      </w:r>
      <w:r w:rsidRPr="000F21DE">
        <w:t>.</w:t>
      </w:r>
      <w:r>
        <w:t xml:space="preserve"> See: </w:t>
      </w:r>
      <w:hyperlink r:id="rId1" w:history="1">
        <w:r w:rsidRPr="002804C9">
          <w:rPr>
            <w:rStyle w:val="Hyperlink"/>
          </w:rPr>
          <w:t>https://federation.gov.au/nfrc</w:t>
        </w:r>
      </w:hyperlink>
      <w:r>
        <w:t>.</w:t>
      </w:r>
    </w:p>
  </w:endnote>
  <w:endnote w:id="19">
    <w:p w14:paraId="4FE04F92" w14:textId="3BC55FF2"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{"citationID":"OlcazEdO","properties":{"formattedCitation":"\\uc0\\u8216{}Equality, Capacity and Disability in Commonwealth Laws (ALRC Report 124)\\uc0\\u8217{} (n 15) 28.","plainCitation":"‘Equality, Capacity and Disability in Commonwealth Laws (ALRC Report 124)’ (n 15) 28.","noteIndex":19},"citationItems":[{"id":6013,"uris":["http://zotero.org/groups/2733877/items/QX6YEBIU"],"uri":["http://zotero.org/groups/2733877/items/QX6YEBIU"],"itemData":{"id":6013,"type":"webpage","abstract":"This Inquiry examined laws and legal frameworks within the Commonwealth jurisdiction that deny or diminish the equal recognition of people with disability as persons before the law and their ability to exercise legal capacity.","container-title":"ALRC","language":"en-AU","title":"Equality, Capacity and Disability in Commonwealth Laws (ALRC Report 124)","URL":"https://www.alrc.gov.au/publication/equality-capacity-and-disability-in-commonwealth-laws-alrc-report-124/","accessed":{"date-parts":[["2021",1,27]]}},"locator":"28"}],"schema":"https://github.com/citation-style-language/schema/raw/master/csl-citation.json"} </w:instrText>
      </w:r>
      <w:r w:rsidRPr="003F3D6D">
        <w:rPr>
          <w:rFonts w:cstheme="minorHAnsi"/>
        </w:rPr>
        <w:fldChar w:fldCharType="separate"/>
      </w:r>
      <w:r w:rsidRPr="003509C3">
        <w:rPr>
          <w:rFonts w:ascii="Calibri" w:hAnsi="Calibri" w:cs="Calibri"/>
          <w:szCs w:val="24"/>
        </w:rPr>
        <w:t>‘Equality, Capacity and Disability in Commonwealth Laws (ALRC Report 124)’ (n 15) 28.</w:t>
      </w:r>
      <w:r w:rsidRPr="003F3D6D">
        <w:rPr>
          <w:rFonts w:cstheme="minorHAnsi"/>
        </w:rPr>
        <w:fldChar w:fldCharType="end"/>
      </w:r>
    </w:p>
  </w:endnote>
  <w:endnote w:id="20">
    <w:p w14:paraId="6B596E7A" w14:textId="42FA649F"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{"citationID":"sRBObEtW","properties":{"formattedCitation":"Ibid 244; Department of Social Services, {\\i{}National Framework for Reducing and Eliminating the Use of Restrictive Practices in the Disability Service Sector} (Australian Government, 1 May 2013) &lt;https://www.dss.gov.au/our-responsibilities/disability-and-carers/publications-articles/policy-research/national-framework-for-reducing-and-eliminating-the-use-of-restrictive-practices-in-the-disability-service-sector&gt;.","plainCitation":"Ibid 244; Department of Social Services, National Framework for Reducing and Eliminating the Use of Restrictive Practices in the Disability Service Sector (Australian Government, 1 May 2013) &lt;https://www.dss.gov.au/our-responsibilities/disability-and-carers/publications-articles/policy-research/national-framework-for-reducing-and-eliminating-the-use-of-restrictive-practices-in-the-disability-service-sector&gt;.","noteIndex":20},"citationItems":[{"id":6013,"uris":["http://zotero.org/groups/2733877/items/QX6YEBIU"],"uri":["http://zotero.org/groups/2733877/items/QX6YEBIU"],"itemData":{"id":6013,"type":"webpage","abstract":"This Inquiry examined laws and legal frameworks within the Commonwealth jurisdiction that deny or diminish the equal recognition of people with disability as persons before the law and their ability to exercise legal capacity.","container-title":"ALRC","language":"en-AU","title":"Equality, Capacity and Disability in Commonwealth Laws (ALRC Report 124)","URL":"https://www.alrc.gov.au/publication/equality-capacity-and-disability-in-commonwealth-laws-alrc-report-124/","accessed":{"date-parts":[["2021",1,27]]}},"locator":"244"},{"id":6014,"uris":["http://zotero.org/groups/2733877/items/FWVTB437"],"uri":["http://zotero.org/groups/2733877/items/FWVTB437"],"itemData":{"id":6014,"type":"report","publisher":"Australian Government","title":"National Framework for Reducing and Eliminating the Use of Restrictive Practices in the Disability Service Sector","URL":"https://www.dss.gov.au/our-responsibilities/disability-and-carers/publications-articles/policy-research/national-framework-for-reducing-and-eliminating-the-use-of-restrictive-practices-in-the-disability-service-sector","author":[{"family":"Department of Social Services","given":""}],"accessed":{"date-parts":[["2021",1,27]]},"issued":{"date-parts":[["2013",5,1]]}}}],"schema":"https://github.com/citation-style-language/schema/raw/master/csl-citation.json"} </w:instrText>
      </w:r>
      <w:r w:rsidRPr="003F3D6D">
        <w:rPr>
          <w:rFonts w:cstheme="minorHAnsi"/>
        </w:rPr>
        <w:fldChar w:fldCharType="separate"/>
      </w:r>
      <w:r w:rsidRPr="003F3D6D">
        <w:rPr>
          <w:rFonts w:cstheme="minorHAnsi"/>
        </w:rPr>
        <w:t xml:space="preserve">Ibid 244; Department of Social Services, </w:t>
      </w:r>
      <w:r w:rsidRPr="003F3D6D">
        <w:rPr>
          <w:rFonts w:cstheme="minorHAnsi"/>
          <w:i/>
          <w:iCs/>
        </w:rPr>
        <w:t>National Framework for Reducing and Eliminating the Use of Restrictive Practices in the Disability Service Sector</w:t>
      </w:r>
      <w:r w:rsidRPr="003F3D6D">
        <w:rPr>
          <w:rFonts w:cstheme="minorHAnsi"/>
        </w:rPr>
        <w:t xml:space="preserve"> (Australian Government, 1 May 2013) &lt;https://www.dss.gov.au/our-responsibilities/disability-and-carers/publications-articles/policy-research/national-framework-for-reducing-and-eliminating-the-use-of-restrictive-practices-in-the-disability-service-sector&gt;.</w:t>
      </w:r>
      <w:r w:rsidRPr="003F3D6D">
        <w:rPr>
          <w:rFonts w:cstheme="minorHAnsi"/>
        </w:rPr>
        <w:fldChar w:fldCharType="end"/>
      </w:r>
    </w:p>
  </w:endnote>
  <w:endnote w:id="21">
    <w:p w14:paraId="60F02160" w14:textId="572B74B5"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{"citationID":"WEDLV8cg","properties":{"formattedCitation":"\\uc0\\u8216{}Equality, Capacity and Disability in Commonwealth Laws (ALRC Report 124)\\uc0\\u8217{} (n 15) 274.","plainCitation":"‘Equality, Capacity and Disability in Commonwealth Laws (ALRC Report 124)’ (n 15) 274.","noteIndex":21},"citationItems":[{"id":6013,"uris":["http://zotero.org/groups/2733877/items/QX6YEBIU"],"uri":["http://zotero.org/groups/2733877/items/QX6YEBIU"],"itemData":{"id":6013,"type":"webpage","abstract":"This Inquiry examined laws and legal frameworks within the Commonwealth jurisdiction that deny or diminish the equal recognition of people with disability as persons before the law and their ability to exercise legal capacity.","container-title":"ALRC","language":"en-AU","title":"Equality, Capacity and Disability in Commonwealth Laws (ALRC Report 124)","URL":"https://www.alrc.gov.au/publication/equality-capacity-and-disability-in-commonwealth-laws-alrc-report-124/","accessed":{"date-parts":[["2021",1,27]]}},"locator":"274"}],"schema":"https://github.com/citation-style-language/schema/raw/master/csl-citation.json"} </w:instrText>
      </w:r>
      <w:r w:rsidRPr="003F3D6D">
        <w:rPr>
          <w:rFonts w:cstheme="minorHAnsi"/>
        </w:rPr>
        <w:fldChar w:fldCharType="separate"/>
      </w:r>
      <w:r w:rsidRPr="003509C3">
        <w:rPr>
          <w:rFonts w:ascii="Calibri" w:hAnsi="Calibri" w:cs="Calibri"/>
          <w:szCs w:val="24"/>
        </w:rPr>
        <w:t>‘Equality, Capacity and Disability in Commonwealth Laws (ALRC Report 124)’ (n 15) 274.</w:t>
      </w:r>
      <w:r w:rsidRPr="003F3D6D">
        <w:rPr>
          <w:rFonts w:cstheme="minorHAnsi"/>
        </w:rPr>
        <w:fldChar w:fldCharType="end"/>
      </w:r>
    </w:p>
  </w:endnote>
  <w:endnote w:id="22">
    <w:p w14:paraId="773D3ECE" w14:textId="48564BCE"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{"citationID":"PJjKBuEr","properties":{"formattedCitation":"Senate Community Affairs References Committee, {\\i{}Final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 (corporateName=Commonwealth Parliament; address=Parliament House, Canberra, ACT, 2600; contact=+61 2 6277 7111, November 2015) ch 4 &lt;https://www.aph.gov.au/Parliamentary_Business/Committees/Senate/Community_Affairs/Violence_abuse_neglect/Report&gt;.","plainCitation":"Senate Community Affairs References Committee, 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 (corporateName=Commonwealth Parliament; address=Parliament House, Canberra, ACT, 2600; contact=+61 2 6277 7111, November 2015) ch 4 &lt;https://www.aph.gov.au/Parliamentary_Business/Committees/Senate/Community_Affairs/Violence_abuse_neglect/Report&gt;.","noteIndex":22},"citationItems":[{"id":6011,"uris":["http://zotero.org/groups/2733877/items/LP79CCJJ"],"uri":["http://zotero.org/groups/2733877/items/LP79CCJJ"],"itemData":{"id":6011,"type":"report","abstract":"Report","archive_location":"Australia","language":"en-AU","note":"Last Modified: 2015-11-25\npublisher: corporateName=Commonwealth Parliament; address=Parliament House, Canberra, ACT, 2600; contact=+61 2 6277 7111","title":"Final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disability","URL":"https://www.aph.gov.au/Parliamentary_Business/Committees/Senate/Community_Affairs/Violence_abuse_neglect/Report","author":[{"family":"Senate Community Affairs References Committee","given":""}],"accessed":{"date-parts":[["2021",1,27]]},"issued":{"date-parts":[["2015",11]]}},"locator":"ch 4"}],"schema":"https://github.com/citation-style-language/schema/raw/master/csl-citation.json"} </w:instrText>
      </w:r>
      <w:r w:rsidRPr="003F3D6D">
        <w:rPr>
          <w:rFonts w:cstheme="minorHAnsi"/>
        </w:rPr>
        <w:fldChar w:fldCharType="separate"/>
      </w:r>
      <w:r w:rsidRPr="00DA0132">
        <w:rPr>
          <w:rFonts w:ascii="Calibri" w:hAnsi="Calibri" w:cs="Calibri"/>
          <w:szCs w:val="24"/>
        </w:rPr>
        <w:t xml:space="preserve">Senate Community Affairs References Committee, </w:t>
      </w:r>
      <w:r w:rsidRPr="00DA0132">
        <w:rPr>
          <w:rFonts w:ascii="Calibri" w:hAnsi="Calibri" w:cs="Calibri"/>
          <w:i/>
          <w:iCs/>
          <w:szCs w:val="24"/>
        </w:rPr>
        <w:t>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sidRPr="00DA0132">
        <w:rPr>
          <w:rFonts w:ascii="Calibri" w:hAnsi="Calibri" w:cs="Calibri"/>
          <w:szCs w:val="24"/>
        </w:rPr>
        <w:t xml:space="preserve"> (corporateName=Commonwealth Parliament; address=Parliament House, Canberra, ACT, 2600; contact=+61 2 6277 7111, November 2015) ch 4 &lt;https://www.aph.gov.au/Parliamentary_Business/Committees/Senate/Community_Affairs/Violence_abuse_neglect/Report&gt;.</w:t>
      </w:r>
      <w:r w:rsidRPr="003F3D6D">
        <w:rPr>
          <w:rFonts w:cstheme="minorHAnsi"/>
        </w:rPr>
        <w:fldChar w:fldCharType="end"/>
      </w:r>
    </w:p>
  </w:endnote>
  <w:endnote w:id="23">
    <w:p w14:paraId="039F6A5D" w14:textId="61AE0F13"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{"citationID":"oXV1uy8B","properties":{"formattedCitation":"Ibid 99.","plainCitation":"Ibid 99.","noteIndex":23},"citationItems":[{"id":6011,"uris":["http://zotero.org/groups/2733877/items/LP79CCJJ"],"uri":["http://zotero.org/groups/2733877/items/LP79CCJJ"],"itemData":{"id":6011,"type":"report","abstract":"Report","archive_location":"Australia","language":"en-AU","note":"Last Modified: 2015-11-25\npublisher: corporateName=Commonwealth Parliament; address=Parliament House, Canberra, ACT, 2600; contact=+61 2 6277 7111","title":"Final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disability","URL":"https://www.aph.gov.au/Parliamentary_Business/Committees/Senate/Community_Affairs/Violence_abuse_neglect/Report","author":[{"family":"Senate Community Affairs References Committee","given":""}],"accessed":{"date-parts":[["2021",1,27]]},"issued":{"date-parts":[["2015",11]]}},"locator":"99"}],"schema":"https://github.com/citation-style-language/schema/raw/master/csl-citation.json"} </w:instrText>
      </w:r>
      <w:r w:rsidRPr="003F3D6D">
        <w:rPr>
          <w:rFonts w:cstheme="minorHAnsi"/>
        </w:rPr>
        <w:fldChar w:fldCharType="separate"/>
      </w:r>
      <w:r w:rsidRPr="003F3D6D">
        <w:rPr>
          <w:rFonts w:cstheme="minorHAnsi"/>
          <w:noProof/>
        </w:rPr>
        <w:t>Ibid 99.</w:t>
      </w:r>
      <w:r w:rsidRPr="003F3D6D">
        <w:rPr>
          <w:rFonts w:cstheme="minorHAnsi"/>
        </w:rPr>
        <w:fldChar w:fldCharType="end"/>
      </w:r>
    </w:p>
  </w:endnote>
  <w:endnote w:id="24">
    <w:p w14:paraId="15C01946" w14:textId="0702B035"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{"citationID":"O9iMsh6G","properties":{"formattedCitation":"Ibid 115.","plainCitation":"Ibid 115.","noteIndex":24},"citationItems":[{"id":6011,"uris":["http://zotero.org/groups/2733877/items/LP79CCJJ"],"uri":["http://zotero.org/groups/2733877/items/LP79CCJJ"],"itemData":{"id":6011,"type":"report","abstract":"Report","archive_location":"Australia","language":"en-AU","note":"Last Modified: 2015-11-25\npublisher: corporateName=Commonwealth Parliament; address=Parliament House, Canberra, ACT, 2600; contact=+61 2 6277 7111","title":"Final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disability","URL":"https://www.aph.gov.au/Parliamentary_Business/Committees/Senate/Community_Affairs/Violence_abuse_neglect/Report","author":[{"family":"Senate Community Affairs References Committee","given":""}],"accessed":{"date-parts":[["2021",1,27]]},"issued":{"date-parts":[["2015",11]]}},"locator":"115"}],"schema":"https://github.com/citation-style-language/schema/raw/master/csl-citation.json"} </w:instrText>
      </w:r>
      <w:r w:rsidRPr="003F3D6D">
        <w:rPr>
          <w:rFonts w:cstheme="minorHAnsi"/>
        </w:rPr>
        <w:fldChar w:fldCharType="separate"/>
      </w:r>
      <w:r w:rsidRPr="003F3D6D">
        <w:rPr>
          <w:rFonts w:cstheme="minorHAnsi"/>
          <w:noProof/>
        </w:rPr>
        <w:t>Ibid 115.</w:t>
      </w:r>
      <w:r w:rsidRPr="003F3D6D">
        <w:rPr>
          <w:rFonts w:cstheme="minorHAnsi"/>
        </w:rPr>
        <w:fldChar w:fldCharType="end"/>
      </w:r>
    </w:p>
  </w:endnote>
  <w:endnote w:id="25">
    <w:p w14:paraId="059661B5" w14:textId="3A8DD98A"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{"citationID":"MzSfTK86","properties":{"formattedCitation":"Ibid 101.","plainCitation":"Ibid 101.","noteIndex":25},"citationItems":[{"id":6011,"uris":["http://zotero.org/groups/2733877/items/LP79CCJJ"],"uri":["http://zotero.org/groups/2733877/items/LP79CCJJ"],"itemData":{"id":6011,"type":"report","abstract":"Report","archive_location":"Australia","language":"en-AU","note":"Last Modified: 2015-11-25\npublisher: corporateName=Commonwealth Parliament; address=Parliament House, Canberra, ACT, 2600; contact=+61 2 6277 7111","title":"Final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disability","URL":"https://www.aph.gov.au/Parliamentary_Business/Committees/Senate/Community_Affairs/Violence_abuse_neglect/Report","author":[{"family":"Senate Community Affairs References Committee","given":""}],"accessed":{"date-parts":[["2021",1,27]]},"issued":{"date-parts":[["2015",11]]}},"locator":"101"}],"schema":"https://github.com/citation-style-language/schema/raw/master/csl-citation.json"} </w:instrText>
      </w:r>
      <w:r w:rsidRPr="003F3D6D">
        <w:rPr>
          <w:rFonts w:cstheme="minorHAnsi"/>
        </w:rPr>
        <w:fldChar w:fldCharType="separate"/>
      </w:r>
      <w:r w:rsidRPr="003F3D6D">
        <w:rPr>
          <w:rFonts w:cstheme="minorHAnsi"/>
          <w:noProof/>
        </w:rPr>
        <w:t>Ibid 101.</w:t>
      </w:r>
      <w:r w:rsidRPr="003F3D6D">
        <w:rPr>
          <w:rFonts w:cstheme="minorHAnsi"/>
        </w:rPr>
        <w:fldChar w:fldCharType="end"/>
      </w:r>
    </w:p>
  </w:endnote>
  <w:endnote w:id="26">
    <w:p w14:paraId="752F16F8" w14:textId="4AAAF6D9"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{"citationID":"ZYmZNyhz","properties":{"formattedCitation":"Ibid 114.","plainCitation":"Ibid 114.","noteIndex":26},"citationItems":[{"id":6011,"uris":["http://zotero.org/groups/2733877/items/LP79CCJJ"],"uri":["http://zotero.org/groups/2733877/items/LP79CCJJ"],"itemData":{"id":6011,"type":"report","abstract":"Report","archive_location":"Australia","language":"en-AU","note":"Last Modified: 2015-11-25\npublisher: corporateName=Commonwealth Parliament; address=Parliament House, Canberra, ACT, 2600; contact=+61 2 6277 7111","title":"Final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disability","URL":"https://www.aph.gov.au/Parliamentary_Business/Committees/Senate/Community_Affairs/Violence_abuse_neglect/Report","author":[{"family":"Senate Community Affairs References Committee","given":""}],"accessed":{"date-parts":[["2021",1,27]]},"issued":{"date-parts":[["2015",11]]}},"locator":"114"}],"schema":"https://github.com/citation-style-language/schema/raw/master/csl-citation.json"} </w:instrText>
      </w:r>
      <w:r w:rsidRPr="003F3D6D">
        <w:rPr>
          <w:rFonts w:cstheme="minorHAnsi"/>
        </w:rPr>
        <w:fldChar w:fldCharType="separate"/>
      </w:r>
      <w:r w:rsidRPr="003F3D6D">
        <w:rPr>
          <w:rFonts w:cstheme="minorHAnsi"/>
          <w:noProof/>
        </w:rPr>
        <w:t>Ibid 114.</w:t>
      </w:r>
      <w:r w:rsidRPr="003F3D6D">
        <w:rPr>
          <w:rFonts w:cstheme="minorHAnsi"/>
        </w:rPr>
        <w:fldChar w:fldCharType="end"/>
      </w:r>
    </w:p>
  </w:endnote>
  <w:endnote w:id="27">
    <w:p w14:paraId="2A912D78" w14:textId="42EE7D8A"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{"citationID":"gyaJBG4I","properties":{"formattedCitation":"Ibid 74.","plainCitation":"Ibid 74.","noteIndex":27},"citationItems":[{"id":6011,"uris":["http://zotero.org/groups/2733877/items/LP79CCJJ"],"uri":["http://zotero.org/groups/2733877/items/LP79CCJJ"],"itemData":{"id":6011,"type":"report","abstract":"Report","archive_location":"Australia","language":"en-AU","note":"Last Modified: 2015-11-25\npublisher: corporateName=Commonwealth Parliament; address=Parliament House, Canberra, ACT, 2600; contact=+61 2 6277 7111","title":"Final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disability","URL":"https://www.aph.gov.au/Parliamentary_Business/Committees/Senate/Community_Affairs/Violence_abuse_neglect/Report","author":[{"family":"Senate Community Affairs References Committee","given":""}],"accessed":{"date-parts":[["2021",1,27]]},"issued":{"date-parts":[["2015",11]]}},"locator":"74"}],"schema":"https://github.com/citation-style-language/schema/raw/master/csl-citation.json"} </w:instrText>
      </w:r>
      <w:r w:rsidRPr="003F3D6D">
        <w:rPr>
          <w:rFonts w:cstheme="minorHAnsi"/>
        </w:rPr>
        <w:fldChar w:fldCharType="separate"/>
      </w:r>
      <w:r w:rsidRPr="003F3D6D">
        <w:rPr>
          <w:rFonts w:cstheme="minorHAnsi"/>
          <w:noProof/>
        </w:rPr>
        <w:t>Ibid 74.</w:t>
      </w:r>
      <w:r w:rsidRPr="003F3D6D">
        <w:rPr>
          <w:rFonts w:cstheme="minorHAnsi"/>
        </w:rPr>
        <w:fldChar w:fldCharType="end"/>
      </w:r>
    </w:p>
  </w:endnote>
  <w:endnote w:id="28">
    <w:p w14:paraId="1E8A145C" w14:textId="7B30CDC9"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{"citationID":"9xoIdywz","properties":{"formattedCitation":"Ibid 86\\uc0\\u8211{}87.","plainCitation":"Ibid 86–87.","noteIndex":28},"citationItems":[{"id":6011,"uris":["http://zotero.org/groups/2733877/items/LP79CCJJ"],"uri":["http://zotero.org/groups/2733877/items/LP79CCJJ"],"itemData":{"id":6011,"type":"report","abstract":"Report","archive_location":"Australia","language":"en-AU","note":"Last Modified: 2015-11-25\npublisher: corporateName=Commonwealth Parliament; address=Parliament House, Canberra, ACT, 2600; contact=+61 2 6277 7111","title":"Final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disability","URL":"https://www.aph.gov.au/Parliamentary_Business/Committees/Senate/Community_Affairs/Violence_abuse_neglect/Report","author":[{"family":"Senate Community Affairs References Committee","given":""}],"accessed":{"date-parts":[["2021",1,27]]},"issued":{"date-parts":[["2015",11]]}},"locator":"86-87"}],"schema":"https://github.com/citation-style-language/schema/raw/master/csl-citation.json"} </w:instrText>
      </w:r>
      <w:r w:rsidRPr="003F3D6D">
        <w:rPr>
          <w:rFonts w:cstheme="minorHAnsi"/>
        </w:rPr>
        <w:fldChar w:fldCharType="separate"/>
      </w:r>
      <w:r w:rsidRPr="003F3D6D">
        <w:rPr>
          <w:rFonts w:cstheme="minorHAnsi"/>
        </w:rPr>
        <w:t>Ibid 86–87.</w:t>
      </w:r>
      <w:r w:rsidRPr="003F3D6D">
        <w:rPr>
          <w:rFonts w:cstheme="minorHAnsi"/>
        </w:rPr>
        <w:fldChar w:fldCharType="end"/>
      </w:r>
    </w:p>
  </w:endnote>
  <w:endnote w:id="29">
    <w:p w14:paraId="323BD701" w14:textId="7BBA314B"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{"citationID":"HREwUTHa","properties":{"formattedCitation":"Ibid 77.","plainCitation":"Ibid 77.","noteIndex":29},"citationItems":[{"id":6011,"uris":["http://zotero.org/groups/2733877/items/LP79CCJJ"],"uri":["http://zotero.org/groups/2733877/items/LP79CCJJ"],"itemData":{"id":6011,"type":"report","abstract":"Report","archive_location":"Australia","language":"en-AU","note":"Last Modified: 2015-11-25\npublisher: corporateName=Commonwealth Parliament; address=Parliament House, Canberra, ACT, 2600; contact=+61 2 6277 7111","title":"Final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disability","URL":"https://www.aph.gov.au/Parliamentary_Business/Committees/Senate/Community_Affairs/Violence_abuse_neglect/Report","author":[{"family":"Senate Community Affairs References Committee","given":""}],"accessed":{"date-parts":[["2021",1,27]]},"issued":{"date-parts":[["2015",11]]}},"locator":"77"}],"schema":"https://github.com/citation-style-language/schema/raw/master/csl-citation.json"} </w:instrText>
      </w:r>
      <w:r w:rsidRPr="003F3D6D">
        <w:rPr>
          <w:rFonts w:cstheme="minorHAnsi"/>
        </w:rPr>
        <w:fldChar w:fldCharType="separate"/>
      </w:r>
      <w:r w:rsidRPr="003F3D6D">
        <w:rPr>
          <w:rFonts w:cstheme="minorHAnsi"/>
          <w:noProof/>
        </w:rPr>
        <w:t>Ibid 77.</w:t>
      </w:r>
      <w:r w:rsidRPr="003F3D6D">
        <w:rPr>
          <w:rFonts w:cstheme="minorHAnsi"/>
        </w:rPr>
        <w:fldChar w:fldCharType="end"/>
      </w:r>
    </w:p>
  </w:endnote>
  <w:endnote w:id="30">
    <w:p w14:paraId="3CB40313" w14:textId="5B6C3812"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{"citationID":"uZA02BH6","properties":{"formattedCitation":"Ibid 82.","plainCitation":"Ibid 82.","noteIndex":30},"citationItems":[{"id":6011,"uris":["http://zotero.org/groups/2733877/items/LP79CCJJ"],"uri":["http://zotero.org/groups/2733877/items/LP79CCJJ"],"itemData":{"id":6011,"type":"report","abstract":"Report","archive_location":"Australia","language":"en-AU","note":"Last Modified: 2015-11-25\npublisher: corporateName=Commonwealth Parliament; address=Parliament House, Canberra, ACT, 2600; contact=+61 2 6277 7111","title":"Final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disability","URL":"https://www.aph.gov.au/Parliamentary_Business/Committees/Senate/Community_Affairs/Violence_abuse_neglect/Report","author":[{"family":"Senate Community Affairs References Committee","given":""}],"accessed":{"date-parts":[["2021",1,27]]},"issued":{"date-parts":[["2015",11]]}},"locator":"82"}],"schema":"https://github.com/citation-style-language/schema/raw/master/csl-citation.json"} </w:instrText>
      </w:r>
      <w:r w:rsidRPr="003F3D6D">
        <w:rPr>
          <w:rFonts w:cstheme="minorHAnsi"/>
        </w:rPr>
        <w:fldChar w:fldCharType="separate"/>
      </w:r>
      <w:r w:rsidRPr="003F3D6D">
        <w:rPr>
          <w:rFonts w:cstheme="minorHAnsi"/>
          <w:noProof/>
        </w:rPr>
        <w:t>Ibid 82.</w:t>
      </w:r>
      <w:r w:rsidRPr="003F3D6D">
        <w:rPr>
          <w:rFonts w:cstheme="minorHAnsi"/>
        </w:rPr>
        <w:fldChar w:fldCharType="end"/>
      </w:r>
    </w:p>
  </w:endnote>
  <w:endnote w:id="31">
    <w:p w14:paraId="60E6D534" w14:textId="284D770C"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{"citationID":"HHtan2y1","properties":{"formattedCitation":"Senate Community Affairs References Committee, {\\i{}Final Report: Inquiry into Indefinite Detention of People with Cognitive and Psychiatric Impairment in Australia} (text, Commonwealth of Australia, 2016) &lt;https://www.aph.gov.au/Parliamentary_Business/Committees/Senate/Community_Affairs/IndefiniteDetention45/Report&gt;.","plainCitation":"Senate Community Affairs References Committee, Final Report: Inquiry into Indefinite Detention of People with Cognitive and Psychiatric Impairment in Australia (text, Commonwealth of Australia, 2016) &lt;https://www.aph.gov.au/Parliamentary_Business/Committees/Senate/Community_Affairs/IndefiniteDetention45/Report&gt;.","noteIndex":31},"citationItems":[{"id":6010,"uris":["http://zotero.org/groups/2733877/items/XNY39T3R"],"uri":["http://zotero.org/groups/2733877/items/XNY39T3R"],"itemData":{"id":6010,"type":"report","abstract":"Report","archive_location":"Australia","event-place":"Canberra","genre":"text","language":"en-AU","note":"Last Modified: 2017-01-17\npublisher: corporateName=Commonwealth Parliament; address=Parliament House, Canberra, ACT, 2600; contact=+61 2 6277 7111","publisher":"Commonwealth of Australia","publisher-place":"Canberra","title":"Final Report: Inquiry into indefinite detention of people with cognitive and psychiatric impairment in Australia","URL":"https://www.aph.gov.au/Parliamentary_Business/Committees/Senate/Community_Affairs/IndefiniteDetention45/Report","author":[{"family":"Senate Community Affairs References Committee","given":""}],"accessed":{"date-parts":[["2021",1,27]]},"issued":{"date-parts":[["2016"]]}}}],"schema":"https://github.com/citation-style-language/schema/raw/master/csl-citation.json"} </w:instrText>
      </w:r>
      <w:r w:rsidRPr="003F3D6D">
        <w:rPr>
          <w:rFonts w:cstheme="minorHAnsi"/>
        </w:rPr>
        <w:fldChar w:fldCharType="separate"/>
      </w:r>
      <w:r w:rsidRPr="003F3D6D">
        <w:rPr>
          <w:rFonts w:cstheme="minorHAnsi"/>
        </w:rPr>
        <w:t xml:space="preserve">Senate Community Affairs References Committee, </w:t>
      </w:r>
      <w:r w:rsidRPr="003F3D6D">
        <w:rPr>
          <w:rFonts w:cstheme="minorHAnsi"/>
          <w:i/>
          <w:iCs/>
        </w:rPr>
        <w:t>Final Report: Inquiry into Indefinite Detention of People with Cognitive and Psychiatric Impairment in Australia</w:t>
      </w:r>
      <w:r w:rsidRPr="003F3D6D">
        <w:rPr>
          <w:rFonts w:cstheme="minorHAnsi"/>
        </w:rPr>
        <w:t xml:space="preserve"> (text, Commonwealth of Australia, 2016) &lt;https://www.aph.gov.au/Parliamentary_Business/Committees/Senate/Community_Affairs/IndefiniteDetention45/Report&gt;.</w:t>
      </w:r>
      <w:r w:rsidRPr="003F3D6D">
        <w:rPr>
          <w:rFonts w:cstheme="minorHAnsi"/>
        </w:rPr>
        <w:fldChar w:fldCharType="end"/>
      </w:r>
    </w:p>
  </w:endnote>
  <w:endnote w:id="32">
    <w:p w14:paraId="128E1BE9" w14:textId="28EEFCB5"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{"citationID":"ZlSgvt1g","properties":{"formattedCitation":"Ibid 162[8.40], 166[8.59].","plainCitation":"Ibid 162[8.40], 166[8.59].","noteIndex":32},"citationItems":[{"id":6010,"uris":["http://zotero.org/groups/2733877/items/XNY39T3R"],"uri":["http://zotero.org/groups/2733877/items/XNY39T3R"],"itemData":{"id":6010,"type":"report","abstract":"Report","archive_location":"Australia","event-place":"Canberra","genre":"text","language":"en-AU","note":"Last Modified: 2017-01-17\npublisher: corporateName=Commonwealth Parliament; address=Parliament House, Canberra, ACT, 2600; contact=+61 2 6277 7111","publisher":"Commonwealth of Australia","publisher-place":"Canberra","title":"Final Report: Inquiry into indefinite detention of people with cognitive and psychiatric impairment in Australia","URL":"https://www.aph.gov.au/Parliamentary_Business/Committees/Senate/Community_Affairs/IndefiniteDetention45/Report","author":[{"family":"Senate Community Affairs References Committee","given":""}],"accessed":{"date-parts":[["2021",1,27]]},"issued":{"date-parts":[["2016"]]}},"locator":"162[8.40], 166[8.59]"}],"schema":"https://github.com/citation-style-language/schema/raw/master/csl-citation.json"} </w:instrText>
      </w:r>
      <w:r w:rsidRPr="003F3D6D">
        <w:rPr>
          <w:rFonts w:cstheme="minorHAnsi"/>
        </w:rPr>
        <w:fldChar w:fldCharType="separate"/>
      </w:r>
      <w:r w:rsidRPr="003F3D6D">
        <w:rPr>
          <w:rFonts w:cstheme="minorHAnsi"/>
          <w:noProof/>
        </w:rPr>
        <w:t>Ibid 162[8.40], 166[8.59].</w:t>
      </w:r>
      <w:r w:rsidRPr="003F3D6D">
        <w:rPr>
          <w:rFonts w:cstheme="minorHAnsi"/>
        </w:rPr>
        <w:fldChar w:fldCharType="end"/>
      </w:r>
    </w:p>
  </w:endnote>
  <w:endnote w:id="33">
    <w:p w14:paraId="70D18253" w14:textId="7C89F93A"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{"citationID":"UOFS61kI","properties":{"formattedCitation":"Ibid 166[8.59].","plainCitation":"Ibid 166[8.59].","noteIndex":33},"citationItems":[{"id":6010,"uris":["http://zotero.org/groups/2733877/items/XNY39T3R"],"uri":["http://zotero.org/groups/2733877/items/XNY39T3R"],"itemData":{"id":6010,"type":"report","abstract":"Report","archive_location":"Australia","event-place":"Canberra","genre":"text","language":"en-AU","note":"Last Modified: 2017-01-17\npublisher: corporateName=Commonwealth Parliament; address=Parliament House, Canberra, ACT, 2600; contact=+61 2 6277 7111","publisher":"Commonwealth of Australia","publisher-place":"Canberra","title":"Final Report: Inquiry into indefinite detention of people with cognitive and psychiatric impairment in Australia","URL":"https://www.aph.gov.au/Parliamentary_Business/Committees/Senate/Community_Affairs/IndefiniteDetention45/Report","author":[{"family":"Senate Community Affairs References Committee","given":""}],"accessed":{"date-parts":[["2021",1,27]]},"issued":{"date-parts":[["2016"]]}},"locator":"166[8.59]"}],"schema":"https://github.com/citation-style-language/schema/raw/master/csl-citation.json"} </w:instrText>
      </w:r>
      <w:r w:rsidRPr="003F3D6D">
        <w:rPr>
          <w:rFonts w:cstheme="minorHAnsi"/>
        </w:rPr>
        <w:fldChar w:fldCharType="separate"/>
      </w:r>
      <w:r w:rsidRPr="003F3D6D">
        <w:rPr>
          <w:rFonts w:cstheme="minorHAnsi"/>
          <w:noProof/>
        </w:rPr>
        <w:t>Ibid 166[8.59].</w:t>
      </w:r>
      <w:r w:rsidRPr="003F3D6D">
        <w:rPr>
          <w:rFonts w:cstheme="minorHAnsi"/>
        </w:rPr>
        <w:fldChar w:fldCharType="end"/>
      </w:r>
    </w:p>
  </w:endnote>
  <w:endnote w:id="34">
    <w:p w14:paraId="30818B56" w14:textId="24F4C8BB"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{"citationID":"gOze0Cpq","properties":{"formattedCitation":"Australian Human Rights Commission, {\\i{}A Future Without Violence: Quality, Safeguarding and Oversight to Prevent and Address Violence Against People with Disability in Institutional Settings} (AHRC, June 2018) 71.","plainCitation":"Australian Human Rights Commission, A Future Without Violence: Quality, Safeguarding and Oversight to Prevent and Address Violence Against People with Disability in Institutional Settings (AHRC, June 2018) 71.","noteIndex":34},"citationItems":[{"id":6009,"uris":["http://zotero.org/groups/2733877/items/UJWFSI9S"],"uri":["http://zotero.org/groups/2733877/items/UJWFSI9S"],"itemData":{"id":6009,"type":"report","event-place":"Sydney","publisher":"AHRC","publisher-place":"Sydney","title":"A Future Without Violence: Quality, Safeguarding and Oversight to Prevent and Address Violence Against People with Disability in Institutional Settings","author":[{"family":"Australian Human Rights Commission","given":""}],"issued":{"date-parts":[["2018",6]]}},"locator":"71"}],"schema":"https://github.com/citation-style-language/schema/raw/master/csl-citation.json"} </w:instrText>
      </w:r>
      <w:r w:rsidRPr="003F3D6D">
        <w:rPr>
          <w:rFonts w:cstheme="minorHAnsi"/>
        </w:rPr>
        <w:fldChar w:fldCharType="separate"/>
      </w:r>
      <w:r w:rsidRPr="003F3D6D">
        <w:rPr>
          <w:rFonts w:cstheme="minorHAnsi"/>
        </w:rPr>
        <w:t xml:space="preserve">Australian Human Rights Commission, </w:t>
      </w:r>
      <w:r w:rsidRPr="003F3D6D">
        <w:rPr>
          <w:rFonts w:cstheme="minorHAnsi"/>
          <w:i/>
          <w:iCs/>
        </w:rPr>
        <w:t>A Future Without Violence: Quality, Safeguarding and Oversight to Prevent and Address Violence Against People with Disability in Institutional Settings</w:t>
      </w:r>
      <w:r w:rsidRPr="003F3D6D">
        <w:rPr>
          <w:rFonts w:cstheme="minorHAnsi"/>
        </w:rPr>
        <w:t xml:space="preserve"> (AHRC, June 2018) 71.</w:t>
      </w:r>
      <w:r w:rsidRPr="003F3D6D">
        <w:rPr>
          <w:rFonts w:cstheme="minorHAnsi"/>
        </w:rPr>
        <w:fldChar w:fldCharType="end"/>
      </w:r>
    </w:p>
  </w:endnote>
  <w:endnote w:id="35">
    <w:p w14:paraId="74CB2C58" w14:textId="0F4408F3"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{"citationID":"ZGMZFZTf","properties":{"formattedCitation":"Ibid 57.","plainCitation":"Ibid 57.","noteIndex":35},"citationItems":[{"id":6009,"uris":["http://zotero.org/groups/2733877/items/UJWFSI9S"],"uri":["http://zotero.org/groups/2733877/items/UJWFSI9S"],"itemData":{"id":6009,"type":"report","event-place":"Sydney","publisher":"AHRC","publisher-place":"Sydney","title":"A Future Without Violence: Quality, Safeguarding and Oversight to Prevent and Address Violence Against People with Disability in Institutional Settings","author":[{"family":"Australian Human Rights Commission","given":""}],"issued":{"date-parts":[["2018",6]]}},"locator":"57"}],"schema":"https://github.com/citation-style-language/schema/raw/master/csl-citation.json"} </w:instrText>
      </w:r>
      <w:r w:rsidRPr="003F3D6D">
        <w:rPr>
          <w:rFonts w:cstheme="minorHAnsi"/>
        </w:rPr>
        <w:fldChar w:fldCharType="separate"/>
      </w:r>
      <w:r w:rsidRPr="003F3D6D">
        <w:rPr>
          <w:rFonts w:cstheme="minorHAnsi"/>
          <w:noProof/>
        </w:rPr>
        <w:t>Ibid 57.</w:t>
      </w:r>
      <w:r w:rsidRPr="003F3D6D">
        <w:rPr>
          <w:rFonts w:cstheme="minorHAnsi"/>
        </w:rPr>
        <w:fldChar w:fldCharType="end"/>
      </w:r>
    </w:p>
  </w:endnote>
  <w:endnote w:id="36">
    <w:p w14:paraId="31711E76" w14:textId="60DB0FAC"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5F31C4">
        <w:rPr>
          <w:rFonts w:cstheme="minorHAnsi"/>
        </w:rPr>
        <w:instrText xml:space="preserve"> ADDIN ZOTERO_ITEM CSL_CITATION {"citationID":"UiAOUO9G","properties":{"formattedCitation":"ACT Law Reform Advisory Council, {\\i{}Guardianship Report} (ACT Law Reform Advisory Council, 29 July 2016) 126; Standing Committee on Social Issues, {\\i{}Substitute Decision-Making for People Lacking Capacity} (No 43, New South Wales Parliament Legislative Council, February 2010) &lt;https://www.parliament.nsw.gov.au/lcdocs/inquiries/2325/100225%20SDM%20Final%20Report.pdf&gt;; New South Wales Law Reform Commission, {\\i{}Review of the Guardianship Act 1987} (No 145, New South Wales Law Reform Commission, 2018); Queensland Law Reform Commission, {\\i{}A Review of Queensland\\uc0\\u8217{}s Guardianship Laws Report Volume 1} (No 67, Queensland Law Reform Commission, September 2010) &lt;https://www.qlrc.qld.gov.au/__data/assets/pdf_file/0008/588239/qlrc-report-67-vol-1-web-with-cover.pdf&gt;; Tasmania Law Reform Institute, {\\i{}Review of the Guardianship and Administration Act 1995 (Tas)} (Final Report No 26, Tasmania Law Reform Institute, December 2018) &lt;https://www.utas.edu.au/__data/assets/pdf_file/0005/1178762/Guardianship-Final-Report.pdf&gt;; Victorian Law Reform Commission, {\\i{}Guardianship} (Final Report No 24, Victorian Law Reform Commission, 2012) &lt;https://www.lawreform.vic.gov.au/sites/default/files/Guardianship_FinalReport_Full%20text.pdf&gt;; Department of the Attorney General, {\\i{}Statutory Review of the Guardianship and Administration Act 1990} (Western Australia Department of the Attorney General, November 2015) &lt;https://www.parliament.wa.gov.au/publications/tabledpapers.nsf/displaypaper/3913697cc31f70b26648cd4748257f100012c4df/$file/tp-3697.pdf&gt;.","plainCitation":"ACT Law Reform Advisory Council, Guardianship Report (ACT Law Reform Advisory Council, 29 July 2016) 126; Standing Committee on Social Issues, Substitute Decision-Making for People Lacking Capacity (No 43, New South Wales Parliament Legislative Council, February 2010) &lt;https://www.parliament.nsw.gov.au/lcdocs/inquiries/2325/100225%20SDM%20Final%20Report.pdf&gt;; New South Wales Law Reform Commission, Review of the Guardianship Act 1987 (No 145, New South Wales Law Reform Commission, 2018); Queensland Law Reform Commission, A Review of Queensland’s Guardianship Laws Report Volume 1 (No 67, Queensland Law Reform Commission, September 2010) &lt;https://www.qlrc.qld.gov.au/__data/assets/pdf_file/0008/588239/qlrc-report-67-vol-1-web-with-cover.pdf&gt;; Tasmania Law Reform Institute, Review of the Guardianship and Administration Act 1995 (Tas) (Final Report No 26, Tasmania Law Reform Institute, December 2018) &lt;https://www.utas.edu.au/__data/assets/pdf_file/0005/1178762/Guardianship-Final-Report.pdf&gt;; Victorian Law Reform Commission, Guardianship (Final Report No 24, Victorian Law Reform Commission, 2012) &lt;https://www.lawreform.vic.gov.au/sites/default/files/Guardianship_FinalReport_Full%20text.pdf&gt;; Department of the Attorney General, Statutory Review of the Guardianship and Administration Act 1990 (Western Australia Department of the Attorney General, November 2015) &lt;https://www.parliament.wa.gov.au/publications/tabledpapers.nsf/displaypaper/3913697cc31f70b26648cd4748257f100012c4df/$file/tp-3697.pdf&gt;.","noteIndex":36},"citationItems":[{"id":6204,"uris":["http://zotero.org/groups/2733877/items/6HN3ZN4I"],"uri":["http://zotero.org/groups/2733877/items/6HN3ZN4I"],"itemData":{"id":6204,"type":"report","event-place":"Canberra","language":"en","page":"126","publisher":"ACT Law Reform Advisory Council","publisher-place":"Canberra","source":"Zotero","title":"Guardianship Report","author":[{"family":"ACT Law Reform Advisory Council","given":""}],"issued":{"date-parts":[["2016",7,29]]}}},{"id":6002,"uris":["http://zotero.org/groups/2733877/items/QTCZT2QJ"],"uri":["http://zotero.org/groups/2733877/items/QTCZT2QJ"],"itemData":{"id":6002,"type":"report","event-place":"Sydney","language":"en","note":"OCLC: 1096863463","number":"43","publisher":"New South Wales Parliament Legislative Council","publisher-place":"Sydney","source":"Open WorldCat","title":"Substitute decision-making for people lacking capacity","URL":"https://www.parliament.nsw.gov.au/lcdocs/inquiries/2325/100225%20SDM%20Final%20Report.pdf","author":[{"literal":"Standing Committee on Social Issues"}],"issued":{"date-parts":[["2010",2]]}}},{"id":"mOkcIPU4/HvCf0yT3","uris":["http://zotero.org/users/5640764/items/2MIXG6FA"],"uri":["http://zotero.org/users/5640764/items/2MIXG6FA"],"itemData":{"id":125,"type":"report","event-place":"Sydney","number":"145","publisher":"New South Wales Law Reform Commission","publisher-place":"Sydney","title":"Review of the Guardianship Act 1987","author":[{"family":"New South Wales Law Reform Commission","given":""}],"issued":{"date-parts":[["2018"]]}}},{"id":6000,"uris":["http://zotero.org/groups/2733877/items/MHUMPQYG"],"uri":["http://zotero.org/groups/2733877/items/MHUMPQYG"],"itemData":{"id":6000,"type":"report","event-place":"Brisbane","number":"67","publisher":"Queensland Law Reform Commission","publisher-place":"Brisbane","title":"A Review of Queensland's Guardianship Laws Report Volume 1","URL":"https://www.qlrc.qld.gov.au/__data/assets/pdf_file/0008/588239/qlrc-report-67-vol-1-web-with-cover.pdf","author":[{"family":"Queensland Law Reform Commission","given":""}],"issued":{"date-parts":[["2010",9]]}}},{"id":5999,"uris":["http://zotero.org/groups/2733877/items/D4E6H4H7"],"uri":["http://zotero.org/groups/2733877/items/D4E6H4H7"],"itemData":{"id":5999,"type":"report","event-place":"Hobart","genre":"Final Report","number":"26","publisher":"Tasmania Law Reform Institute","publisher-place":"Hobart","title":"Review of the Guardianship and Administration Act 1995 (Tas)","URL":"https://www.utas.edu.au/__data/assets/pdf_file/0005/1178762/Guardianship-Final-Report.pdf","author":[{"family":"Tasmania Law Reform Institute","given":""}],"issued":{"date-parts":[["2018",12]]}}},{"id":5992,"uris":["http://zotero.org/groups/2733877/items/I5IIX4EZ"],"uri":["http://zotero.org/groups/2733877/items/I5IIX4EZ"],"itemData":{"id":5992,"type":"report","event-place":"Melbourne","genre":"Final Report","number":"24","publisher":"Victorian Law Reform Commission","publisher-place":"Melbourne","title":"Guardianship","URL":"https://www.lawreform.vic.gov.au/sites/default/files/Guardianship_FinalReport_Full%20text.pdf","author":[{"family":"Victorian Law Reform Commission","given":""}],"issued":{"date-parts":[["2012"]]}}},{"id":5998,"uris":["http://zotero.org/groups/2733877/items/6YHC5QEU"],"uri":["http://zotero.org/groups/2733877/items/6YHC5QEU"],"itemData":{"id":5998,"type":"report","publisher":"Western Australia Department of the Attorney General","title":"Statutory Review of the Guardianship and Administration Act 1990","URL":"https://www.parliament.wa.gov.au/publications/tabledpapers.nsf/displaypaper/3913697cc31f70b26648cd4748257f100012c4df/$file/tp-3697.pdf","author":[{"family":"Department of the Attorney General","given":""}],"issued":{"date-parts":[["2015",11]]}}}],"schema":"https://github.com/citation-style-language/schema/raw/master/csl-citation.json"} </w:instrText>
      </w:r>
      <w:r w:rsidRPr="003F3D6D">
        <w:rPr>
          <w:rFonts w:cstheme="minorHAnsi"/>
        </w:rPr>
        <w:fldChar w:fldCharType="separate"/>
      </w:r>
      <w:r w:rsidRPr="003F3D6D">
        <w:rPr>
          <w:rFonts w:cstheme="minorHAnsi"/>
        </w:rPr>
        <w:t xml:space="preserve">ACT Law Reform Advisory Council, </w:t>
      </w:r>
      <w:r w:rsidRPr="003F3D6D">
        <w:rPr>
          <w:rFonts w:cstheme="minorHAnsi"/>
          <w:i/>
          <w:iCs/>
        </w:rPr>
        <w:t>Guardianship Report</w:t>
      </w:r>
      <w:r w:rsidRPr="003F3D6D">
        <w:rPr>
          <w:rFonts w:cstheme="minorHAnsi"/>
        </w:rPr>
        <w:t xml:space="preserve"> (ACT Law Reform Advisory Council, 29 July 2016) 126; Standing Committee on Social Issues, </w:t>
      </w:r>
      <w:r w:rsidRPr="003F3D6D">
        <w:rPr>
          <w:rFonts w:cstheme="minorHAnsi"/>
          <w:i/>
          <w:iCs/>
        </w:rPr>
        <w:t>Substitute Decision-Making for People Lacking Capacity</w:t>
      </w:r>
      <w:r w:rsidRPr="003F3D6D">
        <w:rPr>
          <w:rFonts w:cstheme="minorHAnsi"/>
        </w:rPr>
        <w:t xml:space="preserve"> (No 43, New South Wales Parliament Legislative Council, February 2010) &lt;https://www.parliament.nsw.gov.au/lcdocs/inquiries/2325/100225%20SDM%20Final%20Report.pdf&gt;; New South Wales Law Reform Commission, </w:t>
      </w:r>
      <w:r w:rsidRPr="003F3D6D">
        <w:rPr>
          <w:rFonts w:cstheme="minorHAnsi"/>
          <w:i/>
          <w:iCs/>
        </w:rPr>
        <w:t>Review of the Guardianship Act 1987</w:t>
      </w:r>
      <w:r w:rsidRPr="003F3D6D">
        <w:rPr>
          <w:rFonts w:cstheme="minorHAnsi"/>
        </w:rPr>
        <w:t xml:space="preserve"> (No 145, New South Wales Law Reform Commission, 2018); Queensland Law Reform Commission, </w:t>
      </w:r>
      <w:r w:rsidRPr="003F3D6D">
        <w:rPr>
          <w:rFonts w:cstheme="minorHAnsi"/>
          <w:i/>
          <w:iCs/>
        </w:rPr>
        <w:t>A Review of Queensland’s Guardianship Laws Report Volume 1</w:t>
      </w:r>
      <w:r w:rsidRPr="003F3D6D">
        <w:rPr>
          <w:rFonts w:cstheme="minorHAnsi"/>
        </w:rPr>
        <w:t xml:space="preserve"> (No 67, Queensland Law Reform Commission, September 2010) &lt;https://www.qlrc.qld.gov.au/__data/assets/pdf_file/0008/588239/qlrc-report-67-vol-1-web-with-cover.pdf&gt;; Tasmania Law Reform Institute, </w:t>
      </w:r>
      <w:r w:rsidRPr="003F3D6D">
        <w:rPr>
          <w:rFonts w:cstheme="minorHAnsi"/>
          <w:i/>
          <w:iCs/>
        </w:rPr>
        <w:t>Review of the Guardianship and Administration Act 1995 (Tas)</w:t>
      </w:r>
      <w:r w:rsidRPr="003F3D6D">
        <w:rPr>
          <w:rFonts w:cstheme="minorHAnsi"/>
        </w:rPr>
        <w:t xml:space="preserve"> (Final Report No 26, Tasmania Law Reform Institute, December 2018) &lt;https://www.utas.edu.au/__data/assets/pdf_file/0005/1178762/Guardianship-Final-Report.pdf&gt;; Victorian Law Reform Commission, </w:t>
      </w:r>
      <w:r w:rsidRPr="003F3D6D">
        <w:rPr>
          <w:rFonts w:cstheme="minorHAnsi"/>
          <w:i/>
          <w:iCs/>
        </w:rPr>
        <w:t>Guardianship</w:t>
      </w:r>
      <w:r w:rsidRPr="003F3D6D">
        <w:rPr>
          <w:rFonts w:cstheme="minorHAnsi"/>
        </w:rPr>
        <w:t xml:space="preserve"> (Final Report No 24, Victorian Law Reform Commission, 2012) &lt;https://www.lawreform.vic.gov.au/sites/default/files/Guardianship_FinalReport_Full%20text.pdf&gt;; Department of the Attorney General, </w:t>
      </w:r>
      <w:r w:rsidRPr="003F3D6D">
        <w:rPr>
          <w:rFonts w:cstheme="minorHAnsi"/>
          <w:i/>
          <w:iCs/>
        </w:rPr>
        <w:t>Statutory Review of the Guardianship and Administration Act 1990</w:t>
      </w:r>
      <w:r w:rsidRPr="003F3D6D">
        <w:rPr>
          <w:rFonts w:cstheme="minorHAnsi"/>
        </w:rPr>
        <w:t xml:space="preserve"> (Western Australia Department of the Attorney General, November 2015) &lt;https://www.parliament.wa.gov.au/publications/tabledpapers.nsf/displaypaper/3913697cc31f70b26648cd4748257f100012c4df/$file/tp-3697.pdf&gt;.</w:t>
      </w:r>
      <w:r w:rsidRPr="003F3D6D">
        <w:rPr>
          <w:rFonts w:cstheme="minorHAnsi"/>
        </w:rPr>
        <w:fldChar w:fldCharType="end"/>
      </w:r>
    </w:p>
  </w:endnote>
  <w:endnote w:id="37">
    <w:p w14:paraId="5BAA5D52" w14:textId="0E9B07DB"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{"citationID":"gnOi8RcQ","properties":{"formattedCitation":"NSW Health, {\\i{}Review of the NSW Mental Health Act 2007: Summary of Consultation Feedback and Advice} (Report for NSW Parliament, NSW Ministry of Health, May 2013) &lt;https://www.parliament.nsw.gov.au/tp/files/23045/120507%20-%20MHA%20review%20CM%20attach%20A%20-%20report%20for%20Parliament.pdf&gt;; Department of Health, {\\i{}Discussion Paper for the Mental Health and Related Services Act 1998 Review} (Northern Territory Government, 2020) &lt;https://health.nt.gov.au/__data/assets/pdf_file/0004/954868/Discussion-Paper-Mental-Health-and-Related-Services-Act-1998-Review.pdf&gt;; Queensland Health, {\\i{}Review of the Mental Health Act 2000} (Discussion Paper, Queensland Government, May 2014) 48 &lt;https://cabinet.qld.gov.au/documents/2014/May/DiscPaper%20MentalHealthAct/Attachments/DiscussionPaper.pdf&gt;; SA Health, {\\i{}The Review of the Mental Health Act 2009: A Report by the Chief Psychiatrist of South Australia} (South Australian Government, 2014); Department of Health, {\\i{}Mental Health Act 2013: Review of the Act\\uc0\\u8217{}s Operation} (Outcomes Report, Office of the Chief Psychiatrist Department, 2016) &lt;http://www.dhhs.tas.gov.au/__data/assets/pdf_file/0005/405959/114178_Attachment_1_FINAL_-_Mental_Health_Act_Review_-_Outcomes_Report_and_Govt_Response.pdf&gt;; Department of Health, {\\i{}A New Mental Health Act for Victoria: Summary of Proposed Reforms} (State Government of Victoria, October 2012) &lt;https://www.buv.com.au/wp-content/uploads/2020/02/MH_reform_Summary.pdf&gt;; Western Australian Mental Health Commission, {\\i{}Summary Overview of the Draft Mental Health Bill 2011} (2011); Note also the current Royal Commission into Victoria\\uc0\\u8217{}s Mental Health System, {\\i{}Interim Report} (Royal Commission into Victoria\\uc0\\u8217{}s Mental Health System, November 2019) &lt;https://rcvmhs.vic.gov.au/interim-report&gt;.","plainCitation":"NSW Health, Review of the NSW Mental Health Act 2007: Summary of Consultation Feedback and Advice (Report for NSW Parliament, NSW Ministry of Health, May 2013) &lt;https://www.parliament.nsw.gov.au/tp/files/23045/120507%20-%20MHA%20review%20CM%20attach%20A%20-%20report%20for%20Parliament.pdf&gt;; Department of Health, Discussion Paper for the Mental Health and Related Services Act 1998 Review (Northern Territory Government, 2020) &lt;https://health.nt.gov.au/__data/assets/pdf_file/0004/954868/Discussion-Paper-Mental-Health-and-Related-Services-Act-1998-Review.pdf&gt;; Queensland Health, Review of the Mental Health Act 2000 (Discussion Paper, Queensland Government, May 2014) 48 &lt;https://cabinet.qld.gov.au/documents/2014/May/DiscPaper%20MentalHealthAct/Attachments/DiscussionPaper.pdf&gt;; SA Health, The Review of the Mental Health Act 2009: A Report by the Chief Psychiatrist of South Australia (South Australian Government, 2014); Department of Health, Mental Health Act 2013: Review of the Act’s Operation (Outcomes Report, Office of the Chief Psychiatrist Department, 2016) &lt;http://www.dhhs.tas.gov.au/__data/assets/pdf_file/0005/405959/114178_Attachment_1_FINAL_-_Mental_Health_Act_Review_-_Outcomes_Report_and_Govt_Response.pdf&gt;; Department of Health, A New Mental Health Act for Victoria: Summary of Proposed Reforms (State Government of Victoria, October 2012) &lt;https://www.buv.com.au/wp-content/uploads/2020/02/MH_reform_Summary.pdf&gt;; Western Australian Mental Health Commission, Summary Overview of the Draft Mental Health Bill 2011 (2011); Note also the current Royal Commission into Victoria’s Mental Health System, Interim Report (Royal Commission into Victoria’s Mental Health System, November 2019) &lt;https://rcvmhs.vic.gov.au/interim-report&gt;.","noteIndex":37},"citationItems":[{"id":5997,"uris":["http://zotero.org/groups/2733877/items/EA9HKBPP"],"uri":["http://zotero.org/groups/2733877/items/EA9HKBPP"],"itemData":{"id":5997,"type":"report","genre":"Report for NSW Parliament","publisher":"NSW Ministry of Health","title":"Review of the NSW Mental Health Act 2007: Summary of Consultation Feedback and Advice","URL":"https://www.parliament.nsw.gov.au/tp/files/23045/120507%20-%20MHA%20review%20CM%20attach%20A%20-%20report%20for%20Parliament.pdf","author":[{"family":"NSW Health","given":""}],"issued":{"date-parts":[["2013",5]]}}},{"id":5996,"uris":["http://zotero.org/groups/2733877/items/D2LGIGCI"],"uri":["http://zotero.org/groups/2733877/items/D2LGIGCI"],"itemData":{"id":5996,"type":"report","publisher":"Northern Territory Government","title":"Discussion Paper for the Mental Health and Related Services Act 1998 Review","URL":"https://health.nt.gov.au/__data/assets/pdf_file/0004/954868/Discussion-Paper-Mental-Health-and-Related-Services-Act-1998-Review.pdf","author":[{"family":"Department of Health","given":""}],"issued":{"date-parts":[["2020"]]}}},{"id":5995,"uris":["http://zotero.org/groups/2733877/items/FPI32VWW"],"uri":["http://zotero.org/groups/2733877/items/FPI32VWW"],"itemData":{"id":5995,"type":"report","genre":"Discussion Paper","language":"en","page":"48","publisher":"Queensland Government","source":"Zotero","title":"Review of the Mental Health Act 2000","URL":"https://cabinet.qld.gov.au/documents/2014/May/DiscPaper%20MentalHealthAct/Attachments/DiscussionPaper.pdf","author":[{"family":"Queensland Health","given":""}],"issued":{"date-parts":[["2014",5]]}}},{"id":5994,"uris":["http://zotero.org/groups/2733877/items/52DC59A4"],"uri":["http://zotero.org/groups/2733877/items/52DC59A4"],"itemData":{"id":5994,"type":"report","publisher":"South Australian Government","title":"The Review of the Mental Health Act 2009: A Report by the Chief Psychiatrist of South Australia","author":[{"family":"SA Health","given":""}],"issued":{"date-parts":[["2014"]]}}},{"id":5993,"uris":["http://zotero.org/groups/2733877/items/Z52K4LQA"],"uri":["http://zotero.org/groups/2733877/items/Z52K4LQA"],"itemData":{"id":5993,"type":"report","genre":"Outcomes Report","publisher":"Office of the Chief Psychiatrist Department","title":"Mental Health Act 2013: Review of the Act’s Operation","URL":"http://www.dhhs.tas.gov.au/__data/assets/pdf_file/0005/405959/114178_Attachment_1_FINAL_-_Mental_Health_Act_Review_-_Outcomes_Report_and_Govt_Response.pdf","author":[{"family":"Department of Health","given":""}],"issued":{"date-parts":[["2016"]]}}},{"id":5991,"uris":["http://zotero.org/groups/2733877/items/3WHAQHCU"],"uri":["http://zotero.org/groups/2733877/items/3WHAQHCU"],"itemData":{"id":5991,"type":"report","event-place":"Melbourne","publisher":"State Government of Victoria","publisher-place":"Melbourne","title":"A New Mental Health Act for Victoria: Summary of Proposed Reforms","URL":"https://www.buv.com.au/wp-content/uploads/2020/02/MH_reform_Summary.pdf","author":[{"family":"Department of Health","given":""}],"issued":{"date-parts":[["2012",10]]}}},{"id":5990,"uris":["http://zotero.org/groups/2733877/items/PTSPD2GJ"],"uri":["http://zotero.org/groups/2733877/items/PTSPD2GJ"],"itemData":{"id":5990,"type":"report","title":"Summary Overview of the Draft Mental Health Bill 2011","author":[{"family":"Western Australian Mental Health Commission","given":""}],"issued":{"date-parts":[["2011"]]}}},{"id":5989,"uris":["http://zotero.org/groups/2733877/items/HRFCDSXJ"],"uri":["http://zotero.org/groups/2733877/items/HRFCDSXJ"],"itemData":{"id":5989,"type":"report","abstract":"The Victorian Government has established a Royal Commission to set a new plan for the mental health system and enable Victorians to experience their best mental health now and into the future. This report presents the Commission's interim findings, representing a stocktake of learnings to date and priority recommendations to address immediate needs and build the foundations for a new system. These recommendations include a new tax or levy to increase funding, an additional 170 youth and adult acute mental health bed, outreach and follow up care services for children and young people at risk of suicide, the expansion of Aboriginal social and emotional wellbeing teams, and expanding consumer and family-carer lived experience workforces. The interim report begins with information on the mental health system and services in Victoria, the mental health workforce, service gaps and systemic issues, barriers and access to services, patient and carer experiences, rural and regional issues, suicide prevention and responses, and costs and the economic case for reform, before turning to new approaches and areas for reform.","event-place":"Melbourne, Vic.","language":"en","note":"OCLC: 1129129559","publisher":"Royal Commission into Victoria's Mental Health System","publisher-place":"Melbourne, Vic.","source":"Open WorldCat","title":"Interim report","URL":"https://rcvmhs.vic.gov.au/interim-report","author":[{"literal":"Royal Commission into Victoria's Mental Health System"}],"accessed":{"date-parts":[["2021",1,28]]},"issued":{"date-parts":[["2019",11]]}},"prefix":"Note also the current"}],"schema":"https://github.com/citation-style-language/schema/raw/master/csl-citation.json"} </w:instrText>
      </w:r>
      <w:r w:rsidRPr="003F3D6D">
        <w:rPr>
          <w:rFonts w:cstheme="minorHAnsi"/>
        </w:rPr>
        <w:fldChar w:fldCharType="separate"/>
      </w:r>
      <w:r w:rsidRPr="003F3D6D">
        <w:rPr>
          <w:rFonts w:cstheme="minorHAnsi"/>
        </w:rPr>
        <w:t xml:space="preserve">NSW Health, </w:t>
      </w:r>
      <w:r w:rsidRPr="003F3D6D">
        <w:rPr>
          <w:rFonts w:cstheme="minorHAnsi"/>
          <w:i/>
          <w:iCs/>
        </w:rPr>
        <w:t>Review of the NSW Mental Health Act 2007: Summary of Consultation Feedback and Advice</w:t>
      </w:r>
      <w:r w:rsidRPr="003F3D6D">
        <w:rPr>
          <w:rFonts w:cstheme="minorHAnsi"/>
        </w:rPr>
        <w:t xml:space="preserve"> (Report for NSW Parliament, NSW Ministry of Health, May 2013) &lt;https://www.parliament.nsw.gov.au/tp/files/23045/120507%20-%20MHA%20review%20CM%20attach%20A%20-%20report%20for%20Parliament.pdf&gt;; Department of Health, </w:t>
      </w:r>
      <w:r w:rsidRPr="003F3D6D">
        <w:rPr>
          <w:rFonts w:cstheme="minorHAnsi"/>
          <w:i/>
          <w:iCs/>
        </w:rPr>
        <w:t>Discussion Paper for the Mental Health and Related Services Act 1998 Review</w:t>
      </w:r>
      <w:r w:rsidRPr="003F3D6D">
        <w:rPr>
          <w:rFonts w:cstheme="minorHAnsi"/>
        </w:rPr>
        <w:t xml:space="preserve"> (Northern Territory Government, 2020) &lt;https://health.nt.gov.au/__data/assets/pdf_file/0004/954868/Discussion-Paper-Mental-Health-and-Related-Services-Act-1998-Review.pdf&gt;; Queensland Health, </w:t>
      </w:r>
      <w:r w:rsidRPr="003F3D6D">
        <w:rPr>
          <w:rFonts w:cstheme="minorHAnsi"/>
          <w:i/>
          <w:iCs/>
        </w:rPr>
        <w:t>Review of the Mental Health Act 2000</w:t>
      </w:r>
      <w:r w:rsidRPr="003F3D6D">
        <w:rPr>
          <w:rFonts w:cstheme="minorHAnsi"/>
        </w:rPr>
        <w:t xml:space="preserve"> (Discussion Paper, Queensland Government, May 2014) 48 &lt;https://cabinet.qld.gov.au/documents/2014/May/DiscPaper%20MentalHealthAct/Attachments/DiscussionPaper.pdf&gt;; SA Health, </w:t>
      </w:r>
      <w:r w:rsidRPr="003F3D6D">
        <w:rPr>
          <w:rFonts w:cstheme="minorHAnsi"/>
          <w:i/>
          <w:iCs/>
        </w:rPr>
        <w:t>The Review of the Mental Health Act 2009: A Report by the Chief Psychiatrist of South Australia</w:t>
      </w:r>
      <w:r w:rsidRPr="003F3D6D">
        <w:rPr>
          <w:rFonts w:cstheme="minorHAnsi"/>
        </w:rPr>
        <w:t xml:space="preserve"> (South Australian Government, 2014); Department of Health, </w:t>
      </w:r>
      <w:r w:rsidRPr="003F3D6D">
        <w:rPr>
          <w:rFonts w:cstheme="minorHAnsi"/>
          <w:i/>
          <w:iCs/>
        </w:rPr>
        <w:t>Mental Health Act 2013: Review of the Act’s Operation</w:t>
      </w:r>
      <w:r w:rsidRPr="003F3D6D">
        <w:rPr>
          <w:rFonts w:cstheme="minorHAnsi"/>
        </w:rPr>
        <w:t xml:space="preserve"> (Outcomes Report, Office of the Chief Psychiatrist Department, 2016) &lt;http://www.dhhs.tas.gov.au/__data/assets/pdf_file/0005/405959/114178_Attachment_1_FINAL_-_Mental_Health_Act_Review_-_Outcomes_Report_and_Govt_Response.pdf&gt;; Department of Health, </w:t>
      </w:r>
      <w:r w:rsidRPr="003F3D6D">
        <w:rPr>
          <w:rFonts w:cstheme="minorHAnsi"/>
          <w:i/>
          <w:iCs/>
        </w:rPr>
        <w:t>A New Mental Health Act for Victoria: Summary of Proposed Reforms</w:t>
      </w:r>
      <w:r w:rsidRPr="003F3D6D">
        <w:rPr>
          <w:rFonts w:cstheme="minorHAnsi"/>
        </w:rPr>
        <w:t xml:space="preserve"> (State Government of Victoria, October 2012) &lt;https://www.buv.com.au/wp-content/uploads/2020/02/MH_reform_Summary.pdf&gt;; Western Australian Mental Health Commission, </w:t>
      </w:r>
      <w:r w:rsidRPr="003F3D6D">
        <w:rPr>
          <w:rFonts w:cstheme="minorHAnsi"/>
          <w:i/>
          <w:iCs/>
        </w:rPr>
        <w:t>Summary Overview of the Draft Mental Health Bill 2011</w:t>
      </w:r>
      <w:r w:rsidRPr="003F3D6D">
        <w:rPr>
          <w:rFonts w:cstheme="minorHAnsi"/>
        </w:rPr>
        <w:t xml:space="preserve"> (2011); Note also the current Royal Commission into Victoria’s Mental Health System, </w:t>
      </w:r>
      <w:r w:rsidRPr="003F3D6D">
        <w:rPr>
          <w:rFonts w:cstheme="minorHAnsi"/>
          <w:i/>
          <w:iCs/>
        </w:rPr>
        <w:t>Interim Report</w:t>
      </w:r>
      <w:r w:rsidRPr="003F3D6D">
        <w:rPr>
          <w:rFonts w:cstheme="minorHAnsi"/>
        </w:rPr>
        <w:t xml:space="preserve"> (Royal Commission into Victoria’s Mental Health System, November 2019) &lt;https://rcvmhs.vic.gov.au/interim-report&gt;.</w:t>
      </w:r>
      <w:r w:rsidRPr="003F3D6D">
        <w:rPr>
          <w:rFonts w:cstheme="minorHAnsi"/>
        </w:rPr>
        <w:fldChar w:fldCharType="end"/>
      </w:r>
      <w:r w:rsidRPr="003F3D6D">
        <w:rPr>
          <w:rFonts w:cstheme="minorHAnsi"/>
        </w:rPr>
        <w:fldChar w:fldCharType="begin"/>
      </w:r>
      <w:r>
        <w:rPr>
          <w:rFonts w:cstheme="minorHAnsi"/>
        </w:rPr>
        <w:instrText xml:space="preserve"> ADDIN ZOTERO_ITEM CSL_CITATION {"citationID":"m9ACXwct","properties":{"formattedCitation":"NSW Health; Department of Health, \\uc0\\u8216{}Discussion Paper for the Mental Health and Related Services Act 1998 Review\\uc0\\u8217{}; Queensland Health; SA Health; Department of Health, \\uc0\\u8216{}A New Mental Health Act for Victoria: Summary of Proposed Reforms\\uc0\\u8217{}; Western Australian Mental Health Commission; Note also the current Royal Commission into Victoria\\uc0\\u8217{}s Mental Health System.","plainCitation":"NSW Health; Department of Health, ‘Discussion Paper for the Mental Health and Related Services Act 1998 Review’; Queensland Health; SA Health; Department of Health, ‘A New Mental Health Act for Victoria: Summary of Proposed Reforms’; Western Australian Mental Health Commission; Note also the current Royal Commission into Victoria’s Mental Health System.","noteIndex":37},"citationItems":[{"id":5997,"uris":["http://zotero.org/groups/2733877/items/EA9HKBPP"],"uri":["http://zotero.org/groups/2733877/items/EA9HKBPP"],"itemData":{"id":5997,"type":"report","genre":"Report for NSW Parliament","publisher":"NSW Ministry of Health","title":"Review of the NSW Mental Health Act 2007: Summary of Consultation Feedback and Advice","URL":"https://www.parliament.nsw.gov.au/tp/files/23045/120507%20-%20MHA%20review%20CM%20attach%20A%20-%20report%20for%20Parliament.pdf","author":[{"family":"NSW Health","given":""}],"issued":{"date-parts":[["2013",5]]}}},{"id":5996,"uris":["http://zotero.org/groups/2733877/items/D2LGIGCI"],"uri":["http://zotero.org/groups/2733877/items/D2LGIGCI"],"itemData":{"id":5996,"type":"report","publisher":"Northern Territory Government","title":"Discussion Paper for the Mental Health and Related Services Act 1998 Review","URL":"https://health.nt.gov.au/__data/assets/pdf_file/0004/954868/Discussion-Paper-Mental-Health-and-Related-Services-Act-1998-Review.pdf","author":[{"family":"Department of Health","given":""}],"issued":{"date-parts":[["2020"]]}}},{"id":5995,"uris":["http://zotero.org/groups/2733877/items/FPI32VWW"],"uri":["http://zotero.org/groups/2733877/items/FPI32VWW"],"itemData":{"id":5995,"type":"report","genre":"Discussion Paper","language":"en","page":"48","publisher":"Queensland Government","source":"Zotero","title":"Review of the Mental Health Act 2000","URL":"https://cabinet.qld.gov.au/documents/2014/May/DiscPaper%20MentalHealthAct/Attachments/DiscussionPaper.pdf","author":[{"family":"Queensland Health","given":""}],"issued":{"date-parts":[["2014",5]]}}},{"id":5994,"uris":["http://zotero.org/groups/2733877/items/52DC59A4"],"uri":["http://zotero.org/groups/2733877/items/52DC59A4"],"itemData":{"id":5994,"type":"report","publisher":"South Australian Government","title":"The Review of the Mental Health Act 2009: A Report by the Chief Psychiatrist of South Australia","author":[{"family":"SA Health","given":""}],"issued":{"date-parts":[["2014"]]}}},{"id":5991,"uris":["http://zotero.org/groups/2733877/items/3WHAQHCU"],"uri":["http://zotero.org/groups/2733877/items/3WHAQHCU"],"itemData":{"id":5991,"type":"report","event-place":"Melbourne","publisher":"State Government of Victoria","publisher-place":"Melbourne","title":"A New Mental Health Act for Victoria: Summary of Proposed Reforms","URL":"https://www.buv.com.au/wp-content/uploads/2020/02/MH_reform_Summary.pdf","author":[{"family":"Department of Health","given":""}],"issued":{"date-parts":[["2012",10]]}}},{"id":5990,"uris":["http://zotero.org/groups/2733877/items/PTSPD2GJ"],"uri":["http://zotero.org/groups/2733877/items/PTSPD2GJ"],"itemData":{"id":5990,"type":"report","title":"Summary Overview of the Draft Mental Health Bill 2011","author":[{"family":"Western Australian Mental Health Commission","given":""}],"issued":{"date-parts":[["2011"]]}}},{"id":5989,"uris":["http://zotero.org/groups/2733877/items/HRFCDSXJ"],"uri":["http://zotero.org/groups/2733877/items/HRFCDSXJ"],"itemData":{"id":5989,"type":"report","abstract":"The Victorian Government has established a Royal Commission to set a new plan for the mental health system and enable Victorians to experience their best mental health now and into the future. This report presents the Commission's interim findings, representing a stocktake of learnings to date and priority recommendations to address immediate needs and build the foundations for a new system. These recommendations include a new tax or levy to increase funding, an additional 170 youth and adult acute mental health bed, outreach and follow up care services for children and young people at risk of suicide, the expansion of Aboriginal social and emotional wellbeing teams, and expanding consumer and family-carer lived experience workforces. The interim report begins with information on the mental health system and services in Victoria, the mental health workforce, service gaps and systemic issues, barriers and access to services, patient and carer experiences, rural and regional issues, suicide prevention and responses, and costs and the economic case for reform, before turning to new approaches and areas for reform.","event-place":"Melbourne, Vic.","language":"en","note":"OCLC: 1129129559","publisher":"Royal Commission into Victoria's Mental Health System","publisher-place":"Melbourne, Vic.","source":"Open WorldCat","title":"Interim report","URL":"https://rcvmhs.vic.gov.au/interim-report","author":[{"literal":"Royal Commission into Victoria's Mental Health System"}],"accessed":{"date-parts":[["2021",1,28]]},"issued":{"date-parts":[["2019",11]]}},"prefix":"Note also the current"}],"schema":"https://github.com/citation-style-language/schema/raw/master/csl-citation.json"} </w:instrText>
      </w:r>
      <w:r w:rsidRPr="003F3D6D">
        <w:rPr>
          <w:rFonts w:cstheme="minorHAnsi"/>
        </w:rPr>
        <w:fldChar w:fldCharType="separate"/>
      </w:r>
      <w:r w:rsidRPr="003F3D6D">
        <w:rPr>
          <w:rFonts w:cstheme="minorHAnsi"/>
        </w:rPr>
        <w:t>NSW Health; Department of Health, ‘Discussion Paper for the Mental Health and Related Services Act 1998 Review’; Queensland Health; SA Health; Department of Health, ‘A New Mental Health Act for Victoria: Summary of Proposed Reforms’; Western Australian Mental Health Commission; Note also the current Royal Commission into Victoria’s Mental Health System.</w:t>
      </w:r>
      <w:r w:rsidRPr="003F3D6D">
        <w:rPr>
          <w:rFonts w:cstheme="minorHAnsi"/>
        </w:rPr>
        <w:fldChar w:fldCharType="end"/>
      </w:r>
    </w:p>
  </w:endnote>
  <w:endnote w:id="38">
    <w:p w14:paraId="31CB056E" w14:textId="029B95B9"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{"citationID":"IdbIrPjN","properties":{"formattedCitation":"Senate Community Affairs References Committee, {\\i{}Care and Management of Younger and Older Australians Living with Dementia and Behavioural and Psychiatric Symptoms of Dementia (BPSD)} (Parliament of Australia, March 2014) 72 (emphasis added).","plainCitation":"Senate Community Affairs References Committee, Care and Management of Younger and Older Australians Living with Dementia and Behavioural and Psychiatric Symptoms of Dementia (BPSD) (Parliament of Australia, March 2014) 72 (emphasis added).","noteIndex":38},"citationItems":[{"id":6008,"uris":["http://zotero.org/groups/2733877/items/W4QG4PXB"],"uri":["http://zotero.org/groups/2733877/items/W4QG4PXB"],"itemData":{"id":6008,"type":"report","publisher":"Parliament of Australia","title":"Care and management of younger and older Australians living with dementia and behavioural and psychiatric symptoms of dementia (BPSD)","author":[{"family":"Senate Community Affairs References Committee","given":""}],"issued":{"date-parts":[["2014",3]]}},"locator":"72","suffix":" (emphasis added)"}],"schema":"https://github.com/citation-style-language/schema/raw/master/csl-citation.json"} </w:instrText>
      </w:r>
      <w:r w:rsidRPr="003F3D6D">
        <w:rPr>
          <w:rFonts w:cstheme="minorHAnsi"/>
        </w:rPr>
        <w:fldChar w:fldCharType="separate"/>
      </w:r>
      <w:r w:rsidRPr="003F3D6D">
        <w:rPr>
          <w:rFonts w:cstheme="minorHAnsi"/>
        </w:rPr>
        <w:t xml:space="preserve">Senate Community Affairs References Committee, </w:t>
      </w:r>
      <w:r w:rsidRPr="003F3D6D">
        <w:rPr>
          <w:rFonts w:cstheme="minorHAnsi"/>
          <w:i/>
          <w:iCs/>
        </w:rPr>
        <w:t>Care and Management of Younger and Older Australians Living with Dementia and Behavioural and Psychiatric Symptoms of Dementia (BPSD)</w:t>
      </w:r>
      <w:r w:rsidRPr="003F3D6D">
        <w:rPr>
          <w:rFonts w:cstheme="minorHAnsi"/>
        </w:rPr>
        <w:t xml:space="preserve"> (Parliament of Australia, March 2014) 72 (emphasis added).</w:t>
      </w:r>
      <w:r w:rsidRPr="003F3D6D">
        <w:rPr>
          <w:rFonts w:cstheme="minorHAnsi"/>
        </w:rPr>
        <w:fldChar w:fldCharType="end"/>
      </w:r>
    </w:p>
  </w:endnote>
  <w:endnote w:id="39">
    <w:p w14:paraId="549C235A" w14:textId="44E9B0C5"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{"citationID":"iB316DRL","properties":{"formattedCitation":"Ibid 72 (emphasis added) 76, 79, 82.","plainCitation":"Ibid 72 (emphasis added) 76, 79, 82.","noteIndex":39},"citationItems":[{"id":6008,"uris":["http://zotero.org/groups/2733877/items/W4QG4PXB"],"uri":["http://zotero.org/groups/2733877/items/W4QG4PXB"],"itemData":{"id":6008,"type":"report","publisher":"Parliament of Australia","title":"Care and management of younger and older Australians living with dementia and behavioural and psychiatric symptoms of dementia (BPSD)","author":[{"family":"Senate Community Affairs References Committee","given":""}],"issued":{"date-parts":[["2014",3]]}},"locator":"72 (emphasis added) 76, 79, 82"}],"schema":"https://github.com/citation-style-language/schema/raw/master/csl-citation.json"} </w:instrText>
      </w:r>
      <w:r w:rsidRPr="003F3D6D">
        <w:rPr>
          <w:rFonts w:cstheme="minorHAnsi"/>
        </w:rPr>
        <w:fldChar w:fldCharType="separate"/>
      </w:r>
      <w:r w:rsidRPr="003F3D6D">
        <w:rPr>
          <w:rFonts w:cstheme="minorHAnsi"/>
          <w:noProof/>
        </w:rPr>
        <w:t>Ibid 72 (emphasis added) 76, 79, 82.</w:t>
      </w:r>
      <w:r w:rsidRPr="003F3D6D">
        <w:rPr>
          <w:rFonts w:cstheme="minorHAnsi"/>
        </w:rPr>
        <w:fldChar w:fldCharType="end"/>
      </w:r>
    </w:p>
  </w:endnote>
  <w:endnote w:id="40">
    <w:p w14:paraId="05051E19" w14:textId="7C0D1D92"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{"citationID":"gD9kKiKt","properties":{"formattedCitation":"RF Australian Law Reform Commission, {\\i{}Elder Abuse: A National Legal Response Final Report} (ALRC Report No 131, ALRC, May 2017).","plainCitation":"RF Australian Law Reform Commission, Elder Abuse: A National Legal Response Final Report (ALRC Report No 131, ALRC, May 2017).","noteIndex":40},"citationItems":[{"id":6041,"uris":["http://zotero.org/groups/2733877/items/LKF63PAA"],"uri":["http://zotero.org/groups/2733877/items/LKF63PAA"],"itemData":{"id":6041,"type":"report","call-number":"KU515 .M37 2018","event-place":"Sydney","genre":"ALRC Report","language":"en","number":"131","publisher":"ALRC","publisher-place":"Sydney","source":"Library of Congress ISBN","title":"Elder Abuse: A National Legal Response Final Report","author":[{"family":"Australian Law Reform Commission","given":"R. F."}],"issued":{"date-parts":[["2017",5]]}}}],"schema":"https://github.com/citation-style-language/schema/raw/master/csl-citation.json"} </w:instrText>
      </w:r>
      <w:r w:rsidRPr="003F3D6D">
        <w:rPr>
          <w:rFonts w:cstheme="minorHAnsi"/>
        </w:rPr>
        <w:fldChar w:fldCharType="separate"/>
      </w:r>
      <w:r w:rsidRPr="003F3D6D">
        <w:rPr>
          <w:rFonts w:cstheme="minorHAnsi"/>
        </w:rPr>
        <w:t xml:space="preserve">RF Australian Law Reform Commission, </w:t>
      </w:r>
      <w:r w:rsidRPr="003F3D6D">
        <w:rPr>
          <w:rFonts w:cstheme="minorHAnsi"/>
          <w:i/>
          <w:iCs/>
        </w:rPr>
        <w:t>Elder Abuse: A National Legal Response Final Report</w:t>
      </w:r>
      <w:r w:rsidRPr="003F3D6D">
        <w:rPr>
          <w:rFonts w:cstheme="minorHAnsi"/>
        </w:rPr>
        <w:t xml:space="preserve"> (ALRC Report No 131, ALRC, May 2017).</w:t>
      </w:r>
      <w:r w:rsidRPr="003F3D6D">
        <w:rPr>
          <w:rFonts w:cstheme="minorHAnsi"/>
        </w:rPr>
        <w:fldChar w:fldCharType="end"/>
      </w:r>
    </w:p>
  </w:endnote>
  <w:endnote w:id="41">
    <w:p w14:paraId="306055DD" w14:textId="7AD61CA9"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{"citationID":"wGTv70OC","properties":{"formattedCitation":"Ibid 142\\uc0\\u8211{}143.","plainCitation":"Ibid 142–143.","noteIndex":41},"citationItems":[{"id":6041,"uris":["http://zotero.org/groups/2733877/items/LKF63PAA"],"uri":["http://zotero.org/groups/2733877/items/LKF63PAA"],"itemData":{"id":6041,"type":"report","call-number":"KU515 .M37 2018","event-place":"Sydney","genre":"ALRC Report","language":"en","number":"131","publisher":"ALRC","publisher-place":"Sydney","source":"Library of Congress ISBN","title":"Elder Abuse: A National Legal Response Final Report","author":[{"family":"Australian Law Reform Commission","given":"R. F."}],"issued":{"date-parts":[["2017",5]]}},"locator":"142-143"}],"schema":"https://github.com/citation-style-language/schema/raw/master/csl-citation.json"} </w:instrText>
      </w:r>
      <w:r w:rsidRPr="003F3D6D">
        <w:rPr>
          <w:rFonts w:cstheme="minorHAnsi"/>
        </w:rPr>
        <w:fldChar w:fldCharType="separate"/>
      </w:r>
      <w:r w:rsidRPr="003F3D6D">
        <w:rPr>
          <w:rFonts w:cstheme="minorHAnsi"/>
        </w:rPr>
        <w:t>Ibid 142–143.</w:t>
      </w:r>
      <w:r w:rsidRPr="003F3D6D">
        <w:rPr>
          <w:rFonts w:cstheme="minorHAnsi"/>
        </w:rPr>
        <w:fldChar w:fldCharType="end"/>
      </w:r>
    </w:p>
  </w:endnote>
  <w:endnote w:id="42">
    <w:p w14:paraId="7ACABC46" w14:textId="5C7587D6"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{"citationID":"DeMrmwdo","properties":{"formattedCitation":"Ibid 142.","plainCitation":"Ibid 142.","noteIndex":42},"citationItems":[{"id":6041,"uris":["http://zotero.org/groups/2733877/items/LKF63PAA"],"uri":["http://zotero.org/groups/2733877/items/LKF63PAA"],"itemData":{"id":6041,"type":"report","call-number":"KU515 .M37 2018","event-place":"Sydney","genre":"ALRC Report","language":"en","number":"131","publisher":"ALRC","publisher-place":"Sydney","source":"Library of Congress ISBN","title":"Elder Abuse: A National Legal Response Final Report","author":[{"family":"Australian Law Reform Commission","given":"R. F."}],"issued":{"date-parts":[["2017",5]]}},"locator":"142"}],"schema":"https://github.com/citation-style-language/schema/raw/master/csl-citation.json"} </w:instrText>
      </w:r>
      <w:r w:rsidRPr="003F3D6D">
        <w:rPr>
          <w:rFonts w:cstheme="minorHAnsi"/>
        </w:rPr>
        <w:fldChar w:fldCharType="separate"/>
      </w:r>
      <w:r w:rsidRPr="003F3D6D">
        <w:rPr>
          <w:rFonts w:cstheme="minorHAnsi"/>
          <w:noProof/>
        </w:rPr>
        <w:t>Ibid 142.</w:t>
      </w:r>
      <w:r w:rsidRPr="003F3D6D">
        <w:rPr>
          <w:rFonts w:cstheme="minorHAnsi"/>
        </w:rPr>
        <w:fldChar w:fldCharType="end"/>
      </w:r>
    </w:p>
  </w:endnote>
  <w:endnote w:id="43">
    <w:p w14:paraId="4EA5C416" w14:textId="2629C6AF"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9gv7fqGU","properties":{"formattedCitation":"Ibid.","plainCitation":"Ibid.","noteIndex":43},"citationItems":[{"id":6041,"uris":["http://zotero.org/groups/2733877/items/LKF63PAA"],"uri":["http://zotero.org/groups/2733877/items/LKF63PAA"],"itemData":{"id":6041,"type":"report","call-number":"KU515 .M37 2018","event-place":"Sydney","genre":"ALRC Report","language":"en","number":"131","publisher":"ALRC","publisher-place":"Sydney","source":"Library of Congress ISBN","title":"Elder Abuse: A National Legal Response Final Report","author":[{"family":"Australian Law Reform Commission","given":"R. F."}],"issued":{"date-parts":[["2017",5]]}},"locator":"142"}],"schema":"https://github.com/citation-style-language/schema/raw/master/csl-citation.json"}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44">
    <w:p w14:paraId="4860672B" w14:textId="25298473"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{"citationID":"MmiSVVtu","properties":{"formattedCitation":"Ibid 147.","plainCitation":"Ibid 147.","noteIndex":44},"citationItems":[{"id":6041,"uris":["http://zotero.org/groups/2733877/items/LKF63PAA"],"uri":["http://zotero.org/groups/2733877/items/LKF63PAA"],"itemData":{"id":6041,"type":"report","call-number":"KU515 .M37 2018","event-place":"Sydney","genre":"ALRC Report","language":"en","number":"131","publisher":"ALRC","publisher-place":"Sydney","source":"Library of Congress ISBN","title":"Elder Abuse: A National Legal Response Final Report","author":[{"family":"Australian Law Reform Commission","given":"R. F."}],"issued":{"date-parts":[["2017",5]]}},"locator":"147"}],"schema":"https://github.com/citation-style-language/schema/raw/master/csl-citation.json"} </w:instrText>
      </w:r>
      <w:r w:rsidRPr="003F3D6D">
        <w:rPr>
          <w:rFonts w:cstheme="minorHAnsi"/>
        </w:rPr>
        <w:fldChar w:fldCharType="separate"/>
      </w:r>
      <w:r w:rsidRPr="003F3D6D">
        <w:rPr>
          <w:rFonts w:cstheme="minorHAnsi"/>
          <w:noProof/>
        </w:rPr>
        <w:t>Ibid 147.</w:t>
      </w:r>
      <w:r w:rsidRPr="003F3D6D">
        <w:rPr>
          <w:rFonts w:cstheme="minorHAnsi"/>
        </w:rPr>
        <w:fldChar w:fldCharType="end"/>
      </w:r>
    </w:p>
  </w:endnote>
  <w:endnote w:id="45">
    <w:p w14:paraId="3562BB08" w14:textId="74E6067B"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{"citationID":"YhAJ4F6F","properties":{"formattedCitation":"Ibid 143.","plainCitation":"Ibid 143.","noteIndex":45},"citationItems":[{"id":6041,"uris":["http://zotero.org/groups/2733877/items/LKF63PAA"],"uri":["http://zotero.org/groups/2733877/items/LKF63PAA"],"itemData":{"id":6041,"type":"report","call-number":"KU515 .M37 2018","event-place":"Sydney","genre":"ALRC Report","language":"en","number":"131","publisher":"ALRC","publisher-place":"Sydney","source":"Library of Congress ISBN","title":"Elder Abuse: A National Legal Response Final Report","author":[{"family":"Australian Law Reform Commission","given":"R. F."}],"issued":{"date-parts":[["2017",5]]}},"locator":"143"}],"schema":"https://github.com/citation-style-language/schema/raw/master/csl-citation.json"} </w:instrText>
      </w:r>
      <w:r w:rsidRPr="003F3D6D">
        <w:rPr>
          <w:rFonts w:cstheme="minorHAnsi"/>
        </w:rPr>
        <w:fldChar w:fldCharType="separate"/>
      </w:r>
      <w:r w:rsidRPr="003F3D6D">
        <w:rPr>
          <w:rFonts w:cstheme="minorHAnsi"/>
          <w:noProof/>
        </w:rPr>
        <w:t>Ibid 143.</w:t>
      </w:r>
      <w:r w:rsidRPr="003F3D6D">
        <w:rPr>
          <w:rFonts w:cstheme="minorHAnsi"/>
        </w:rPr>
        <w:fldChar w:fldCharType="end"/>
      </w:r>
    </w:p>
  </w:endnote>
  <w:endnote w:id="46">
    <w:p w14:paraId="6FDE4F48" w14:textId="00989475" w:rsidR="00A00236" w:rsidRPr="00750E38" w:rsidRDefault="00A00236">
      <w:pPr>
        <w:pStyle w:val="EndnoteText"/>
        <w:rPr>
          <w:lang w:val="en-AU"/>
        </w:rPr>
      </w:pPr>
      <w:r w:rsidRPr="00C27B33">
        <w:rPr>
          <w:rStyle w:val="EndnoteReference"/>
        </w:rPr>
        <w:endnoteRef/>
      </w:r>
      <w:r>
        <w:t xml:space="preserve"> </w:t>
      </w:r>
      <w:r>
        <w:fldChar w:fldCharType="begin"/>
      </w:r>
      <w:r>
        <w:instrText xml:space="preserve"> ADDIN ZOTERO_ITEM CSL_CITATION {"citationID":"fr9U6bmN","properties":{"formattedCitation":"Community Affairs References Committee, {\\i{}Interim Report: Effectiveness of the Aged Care Quality Assessment and Accreditation Framework for Protecting Residents from Abuse and Poor Practices, and Ensuring Proper Clinical and Medical Care Standards Are Maintained and Practised} (Commonwealth of Australia, 13 February 2018) 2 &lt;https://www.aph.gov.au/Parliamentary_Business/Committees/Senate/Community_Affairs/AgedCareQuality/Interim_report&gt;.","plainCitation":"Community Affairs References Committee, Interim Report: Effectiveness of the Aged Care Quality Assessment and Accreditation Framework for Protecting Residents from Abuse and Poor Practices, and Ensuring Proper Clinical and Medical Care Standards Are Maintained and Practised (Commonwealth of Australia, 13 February 2018) 2 &lt;https://www.aph.gov.au/Parliamentary_Business/Committees/Senate/Community_Affairs/AgedCareQuality/Interim_report&gt;.","noteIndex":46},"citationItems":[{"id":8700,"uris":["http://zotero.org/users/5279374/items/WRMKUS3E"],"uri":["http://zotero.org/users/5279374/items/WRMKUS3E"],"itemData":{"id":8700,"type":"report","event-place":"Canberra","publisher":"Commonwealth of Australia","publisher-place":"Canberra","title":"Interim Report: Effectiveness of the Aged Care Quality Assessment and Accreditation Framework for Protecting Residents from Abuse and Poor Practices, and Ensuring Proper Clinical and Medical Care Standards are Maintained and Practised","URL":"https://www.aph.gov.au/Parliamentary_Business/Committees/Senate/Community_Affairs/AgedCareQuality/Interim_report","author":[{"literal":"Community Affairs References Committee"}],"issued":{"date-parts":[["2018",2,13]]}},"locator":"2","label":"chapter"}],"schema":"https://github.com/citation-style-language/schema/raw/master/csl-citation.json"} </w:instrText>
      </w:r>
      <w:r>
        <w:fldChar w:fldCharType="separate"/>
      </w:r>
      <w:r w:rsidRPr="00C27B33">
        <w:rPr>
          <w:rFonts w:ascii="Calibri" w:hAnsi="Calibri" w:cs="Calibri"/>
          <w:szCs w:val="24"/>
        </w:rPr>
        <w:t xml:space="preserve">Community Affairs References Committee, </w:t>
      </w:r>
      <w:r w:rsidRPr="00C27B33">
        <w:rPr>
          <w:rFonts w:ascii="Calibri" w:hAnsi="Calibri" w:cs="Calibri"/>
          <w:i/>
          <w:iCs/>
          <w:szCs w:val="24"/>
        </w:rPr>
        <w:t>Interim Report: Effectiveness of the Aged Care Quality Assessment and Accreditation Framework for Protecting Residents from Abuse and Poor Practices, and Ensuring Proper Clinical and Medical Care Standards Are Maintained and Practised</w:t>
      </w:r>
      <w:r w:rsidRPr="00C27B33">
        <w:rPr>
          <w:rFonts w:ascii="Calibri" w:hAnsi="Calibri" w:cs="Calibri"/>
          <w:szCs w:val="24"/>
        </w:rPr>
        <w:t xml:space="preserve"> (Commonwealth of Australia, 13 February 2018) 2 &lt;https://www.aph.gov.au/Parliamentary_Business/Committees/Senate/Community_Affairs/AgedCareQuality/Interim_report&gt;.</w:t>
      </w:r>
      <w:r>
        <w:fldChar w:fldCharType="end"/>
      </w:r>
    </w:p>
  </w:endnote>
  <w:endnote w:id="47">
    <w:p w14:paraId="27ADF6A7" w14:textId="105C5E3B"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{"citationID":"BBWDXJki","properties":{"formattedCitation":"Kate Carnell and Ron Paterson, \\uc0\\u8216{}Review of National Aged Care Quality Regulatory Processes\\uc0\\u8217{} 188, xii.","plainCitation":"Kate Carnell and Ron Paterson, ‘Review of National Aged Care Quality Regulatory Processes’ 188, xii.","noteIndex":47},"citationItems":[{"id":6007,"uris":["http://zotero.org/groups/2733877/items/58F8Q6PL"],"uri":["http://zotero.org/groups/2733877/items/58F8Q6PL"],"itemData":{"id":6007,"type":"article-journal","language":"en","page":"188","source":"Zotero","title":"Review of National Aged Care Quality Regulatory Processes","author":[{"family":"Carnell","given":"Kate"},{"family":"Paterson","given":"Ron"}],"issued":{"date-parts":[["2017",10]]}},"locator":"xii"}],"schema":"https://github.com/citation-style-language/schema/raw/master/csl-citation.json"} </w:instrText>
      </w:r>
      <w:r w:rsidRPr="003F3D6D">
        <w:rPr>
          <w:rFonts w:cstheme="minorHAnsi"/>
        </w:rPr>
        <w:fldChar w:fldCharType="separate"/>
      </w:r>
      <w:r w:rsidRPr="003F3D6D">
        <w:rPr>
          <w:rFonts w:cstheme="minorHAnsi"/>
        </w:rPr>
        <w:t>Kate Carnell and Ron Paterson, ‘Review of National Aged Care Quality Regulatory Processes’ 188, xii.</w:t>
      </w:r>
      <w:r w:rsidRPr="003F3D6D">
        <w:rPr>
          <w:rFonts w:cstheme="minorHAnsi"/>
        </w:rPr>
        <w:fldChar w:fldCharType="end"/>
      </w:r>
    </w:p>
  </w:endnote>
  <w:endnote w:id="48">
    <w:p w14:paraId="57DC28DA" w14:textId="1EAE478C"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{"citationID":"AjL2Jq63","properties":{"formattedCitation":"House of Representatives Standing Committee on Health, Aged Care and Sport and Trent, {\\i{}Report on the Inquiry into the Quality of Care in Residential Aged Care Facilities in Australia} (Parliament of Australia, October 2018) 96 &lt;https://parlinfo.aph.gov.au/parlInfo/download/committees/reportrep/024167/toc_pdf/ReportontheInquiryintotheQualityofCareinResidentialAgedCareFacilitiesinAustralia.pdf;fileType=application%2Fpdf&gt;.","plainCitation":"House of Representatives Standing Committee on Health, Aged Care and Sport and Trent, Report on the Inquiry into the Quality of Care in Residential Aged Care Facilities in Australia (Parliament of Australia, October 2018) 96 &lt;https://parlinfo.aph.gov.au/parlInfo/download/committees/reportrep/024167/toc_pdf/ReportontheInquiryintotheQualityofCareinResidentialAgedCareFacilitiesinAustralia.pdf;fileType=application%2Fpdf&gt;.","noteIndex":48},"citationItems":[{"id":6006,"uris":["http://zotero.org/groups/2733877/items/2IY4E8PJ"],"uri":["http://zotero.org/groups/2733877/items/2IY4E8PJ"],"itemData":{"id":6006,"type":"report","abstract":"This inquiry was established in 2017 to look into the quality of care provided by residential aged care facilities in Australia. Areas of investigation include: the incidence of mistreatment of residents, mistreatment reporting and response mechanisms, the treatment of whistle blowers, the effectiveness of the Australian Aged Care Quality Agency, the Aged Care Complaints Commission, and the Charter of Care Recipients' Rights and Responsibilities in ensuring adequate consumer protection in residential aged care, and the adequacy of consumer protection arrangements for aged care residents who do not have family, friends, or other representatives to help them exercise choice and their rights in care. This report presents the findings and recommendations of the inquiry.","event-place":"Canberra","language":"en","note":"OCLC: 1066749738","publisher":"Parliament of Australia","publisher-place":"Canberra","source":"Open WorldCat","title":"Report on the inquiry into the quality of care in residential aged care facilities in Australia","URL":"https://parlinfo.aph.gov.au/parlInfo/download/committees/reportrep/024167/toc_pdf/ReportontheInquiryintotheQualityofCareinResidentialAgedCareFacilitiesinAustralia.pdf;fileType=application%2Fpdf","author":[{"literal":"House of Representatives Standing Committee on Health, Aged Care and Sport"},{"family":"","given":"Trent"}],"issued":{"date-parts":[["2018",10]]}},"locator":"96"}],"schema":"https://github.com/citation-style-language/schema/raw/master/csl-citation.json"} </w:instrText>
      </w:r>
      <w:r w:rsidRPr="003F3D6D">
        <w:rPr>
          <w:rFonts w:cstheme="minorHAnsi"/>
        </w:rPr>
        <w:fldChar w:fldCharType="separate"/>
      </w:r>
      <w:r w:rsidRPr="003F3D6D">
        <w:rPr>
          <w:rFonts w:cstheme="minorHAnsi"/>
        </w:rPr>
        <w:t xml:space="preserve">House of Representatives Standing Committee on Health, Aged Care and Sport and Trent, </w:t>
      </w:r>
      <w:r w:rsidRPr="003F3D6D">
        <w:rPr>
          <w:rFonts w:cstheme="minorHAnsi"/>
          <w:i/>
          <w:iCs/>
        </w:rPr>
        <w:t>Report on the Inquiry into the Quality of Care in Residential Aged Care Facilities in Australia</w:t>
      </w:r>
      <w:r w:rsidRPr="003F3D6D">
        <w:rPr>
          <w:rFonts w:cstheme="minorHAnsi"/>
        </w:rPr>
        <w:t xml:space="preserve"> (Parliament of Australia, October 2018) 96 &lt;https://parlinfo.aph.gov.au/parlInfo/download/committees/reportrep/024167/toc_pdf/ReportontheInquiryintotheQualityofCareinResidentialAgedCareFacilitiesinAustralia.pdf;fileType=application%2Fpdf&gt;.</w:t>
      </w:r>
      <w:r w:rsidRPr="003F3D6D">
        <w:rPr>
          <w:rFonts w:cstheme="minorHAnsi"/>
        </w:rPr>
        <w:fldChar w:fldCharType="end"/>
      </w:r>
    </w:p>
  </w:endnote>
  <w:endnote w:id="49">
    <w:p w14:paraId="34181846" w14:textId="6A6D5120"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{"citationID":"b2SWu8fI","properties":{"formattedCitation":"Royal Commission into Aged Care Quality and Safety, {\\i{}Interim Report: Neglect Volume 1} (Commonwealth of Australia, 31 October 2019) 215 &lt;https://agedcare.royalcommission.gov.au/publications/interim-report&gt;.","plainCitation":"Royal Commission into Aged Care Quality and Safety, Interim Report: Neglect Volume 1 (Commonwealth of Australia, 31 October 2019) 215 &lt;https://agedcare.royalcommission.gov.au/publications/interim-report&gt;.","noteIndex":49},"citationItems":[{"id":6003,"uris":["http://zotero.org/groups/2733877/items/P6S5S9GN"],"uri":["http://zotero.org/groups/2733877/items/P6S5S9GN"],"itemData":{"id":6003,"type":"report","abstract":"Information gathered and some conclusions","language":"en","publisher":"Commonwealth of Australia","title":"Interim Report: Neglect Volume 1","URL":"https://agedcare.royalcommission.gov.au/publications/interim-report","author":[{"family":"Royal Commission into Aged Care Quality and Safety","given":""}],"accessed":{"date-parts":[["2021",1,28]]},"issued":{"date-parts":[["2019",10,31]]}},"locator":"215"}],"schema":"https://github.com/citation-style-language/schema/raw/master/csl-citation.json"} </w:instrText>
      </w:r>
      <w:r w:rsidRPr="003F3D6D">
        <w:rPr>
          <w:rFonts w:cstheme="minorHAnsi"/>
        </w:rPr>
        <w:fldChar w:fldCharType="separate"/>
      </w:r>
      <w:r w:rsidRPr="003F3D6D">
        <w:rPr>
          <w:rFonts w:cstheme="minorHAnsi"/>
        </w:rPr>
        <w:t xml:space="preserve">Royal Commission into Aged Care Quality and Safety, </w:t>
      </w:r>
      <w:r w:rsidRPr="003F3D6D">
        <w:rPr>
          <w:rFonts w:cstheme="minorHAnsi"/>
          <w:i/>
          <w:iCs/>
        </w:rPr>
        <w:t>Interim Report: Neglect Volume 1</w:t>
      </w:r>
      <w:r w:rsidRPr="003F3D6D">
        <w:rPr>
          <w:rFonts w:cstheme="minorHAnsi"/>
        </w:rPr>
        <w:t xml:space="preserve"> (Commonwealth of Australia, 31 October 2019) 215 &lt;https://agedcare.royalcommission.gov.au/publications/interim-report&gt;.</w:t>
      </w:r>
      <w:r w:rsidRPr="003F3D6D">
        <w:rPr>
          <w:rFonts w:cstheme="minorHAnsi"/>
        </w:rPr>
        <w:fldChar w:fldCharType="end"/>
      </w:r>
    </w:p>
  </w:endnote>
  <w:endnote w:id="50">
    <w:p w14:paraId="1B68108C" w14:textId="5BCD1F4C" w:rsidR="00A00236" w:rsidRPr="003F3D6D" w:rsidRDefault="00A00236" w:rsidP="004E5DD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{"citationID":"wUwiCSlb","properties":{"formattedCitation":"Ibid 216.","plainCitation":"Ibid 216.","noteIndex":50},"citationItems":[{"id":6003,"uris":["http://zotero.org/groups/2733877/items/P6S5S9GN"],"uri":["http://zotero.org/groups/2733877/items/P6S5S9GN"],"itemData":{"id":6003,"type":"report","abstract":"Information gathered and some conclusions","language":"en","publisher":"Commonwealth of Australia","title":"Interim Report: Neglect Volume 1","URL":"https://agedcare.royalcommission.gov.au/publications/interim-report","author":[{"family":"Royal Commission into Aged Care Quality and Safety","given":""}],"accessed":{"date-parts":[["2021",1,28]]},"issued":{"date-parts":[["2019",10,31]]}},"locator":"216"}],"schema":"https://github.com/citation-style-language/schema/raw/master/csl-citation.json"} </w:instrText>
      </w:r>
      <w:r w:rsidRPr="003F3D6D">
        <w:rPr>
          <w:rFonts w:cstheme="minorHAnsi"/>
        </w:rPr>
        <w:fldChar w:fldCharType="separate"/>
      </w:r>
      <w:r w:rsidRPr="003F3D6D">
        <w:rPr>
          <w:rFonts w:cstheme="minorHAnsi"/>
          <w:noProof/>
        </w:rPr>
        <w:t>Ibid 216.</w:t>
      </w:r>
      <w:r w:rsidRPr="003F3D6D">
        <w:rPr>
          <w:rFonts w:cstheme="minorHAnsi"/>
        </w:rPr>
        <w:fldChar w:fldCharType="end"/>
      </w:r>
    </w:p>
  </w:endnote>
  <w:endnote w:id="51">
    <w:p w14:paraId="024F798B" w14:textId="5FE8E413" w:rsidR="00A00236" w:rsidRPr="00794E5D" w:rsidRDefault="00A00236" w:rsidP="004E5DD9">
      <w:pPr>
        <w:pStyle w:val="EndnoteText"/>
        <w:jc w:val="both"/>
        <w:rPr>
          <w:rFonts w:cstheme="minorHAnsi"/>
        </w:rPr>
      </w:pPr>
      <w:r w:rsidRPr="00794E5D">
        <w:rPr>
          <w:rStyle w:val="EndnoteReference"/>
          <w:rFonts w:cstheme="minorHAnsi"/>
        </w:rPr>
        <w:endnoteRef/>
      </w:r>
      <w:r w:rsidRPr="00794E5D">
        <w:rPr>
          <w:rFonts w:cstheme="minorHAnsi"/>
        </w:rPr>
        <w:t xml:space="preserve"> </w:t>
      </w:r>
      <w:r w:rsidRPr="00794E5D">
        <w:rPr>
          <w:rFonts w:cstheme="minorHAnsi"/>
        </w:rPr>
        <w:fldChar w:fldCharType="begin"/>
      </w:r>
      <w:r w:rsidRPr="00794E5D">
        <w:rPr>
          <w:rFonts w:cstheme="minorHAnsi"/>
        </w:rPr>
        <w:instrText xml:space="preserve"> ADDIN ZOTERO_ITEM CSL_CITATION {"citationID":"XtXR1bkL","properties":{"formattedCitation":"Royal Commission into Aged Care Quality and Safety, {\\i{}Final Report: Care, Dignity and Respect, Volume 1, Summary and Recommendations} (Commonwealth of Australia, 1 March 2021) 68.","plainCitation":"Royal Commission into Aged Care Quality and Safety, Final Report: Care, Dignity and Respect, Volume 1, Summary and Recommendations (Commonwealth of Australia, 1 March 2021) 68.","noteIndex":51},"citationItems":[{"id":6172,"uris":["http://zotero.org/groups/2733877/items/96JHXXTJ"],"uri":["http://zotero.org/groups/2733877/items/96JHXXTJ"],"itemData":{"id":6172,"type":"report","event-place":"Canberra","publisher":"Commonwealth of Australia","publisher-place":"Canberra","title":"Final Report: Care, Dignity and Respect, volume 1, summary and recommendations","author":[{"family":"Royal Commission into Aged Care Quality and Safety","given":""}],"issued":{"date-parts":[["2021",3,1]]}},"locator":"68"}],"schema":"https://github.com/citation-style-language/schema/raw/master/csl-citation.json"} </w:instrText>
      </w:r>
      <w:r w:rsidRPr="00794E5D">
        <w:rPr>
          <w:rFonts w:cstheme="minorHAnsi"/>
        </w:rPr>
        <w:fldChar w:fldCharType="separate"/>
      </w:r>
      <w:r w:rsidRPr="00794E5D">
        <w:rPr>
          <w:rFonts w:ascii="Calibri" w:hAnsi="Calibri" w:cs="Calibri"/>
          <w:szCs w:val="24"/>
        </w:rPr>
        <w:t xml:space="preserve">Royal Commission into Aged Care Quality and Safety, </w:t>
      </w:r>
      <w:r w:rsidRPr="00794E5D">
        <w:rPr>
          <w:rFonts w:ascii="Calibri" w:hAnsi="Calibri" w:cs="Calibri"/>
          <w:i/>
          <w:iCs/>
          <w:szCs w:val="24"/>
        </w:rPr>
        <w:t>Final Report: Care, Dignity and Respect, Volume 1, Summary and Recommendations</w:t>
      </w:r>
      <w:r w:rsidRPr="00794E5D">
        <w:rPr>
          <w:rFonts w:ascii="Calibri" w:hAnsi="Calibri" w:cs="Calibri"/>
          <w:szCs w:val="24"/>
        </w:rPr>
        <w:t xml:space="preserve"> (Commonwealth of Australia, 1 March 2021) 68.</w:t>
      </w:r>
      <w:r w:rsidRPr="00794E5D">
        <w:rPr>
          <w:rFonts w:cstheme="minorHAnsi"/>
        </w:rPr>
        <w:fldChar w:fldCharType="end"/>
      </w:r>
    </w:p>
  </w:endnote>
  <w:endnote w:id="52">
    <w:p w14:paraId="3DF68331" w14:textId="41450D9B" w:rsidR="00A00236" w:rsidRPr="00C354DC" w:rsidRDefault="00A00236" w:rsidP="004E5DD9">
      <w:pPr>
        <w:pStyle w:val="EndnoteText"/>
        <w:rPr>
          <w:lang w:val="en-AU"/>
        </w:rPr>
      </w:pPr>
      <w:r w:rsidRPr="00794E5D">
        <w:rPr>
          <w:rStyle w:val="EndnoteReference"/>
        </w:rPr>
        <w:endnoteRef/>
      </w:r>
      <w:r w:rsidRPr="00794E5D">
        <w:t xml:space="preserve"> </w:t>
      </w:r>
      <w:r w:rsidRPr="00794E5D">
        <w:rPr>
          <w:rFonts w:cstheme="minorHAnsi"/>
        </w:rPr>
        <w:t xml:space="preserve"> </w:t>
      </w:r>
      <w:r w:rsidRPr="00794E5D">
        <w:rPr>
          <w:rFonts w:cstheme="minorHAnsi"/>
        </w:rPr>
        <w:fldChar w:fldCharType="begin"/>
      </w:r>
      <w:r w:rsidRPr="00794E5D">
        <w:rPr>
          <w:rFonts w:cstheme="minorHAnsi"/>
        </w:rPr>
        <w:instrText xml:space="preserve"> ADDIN ZOTERO_ITEM CSL_CITATION {"citationID":"jTe2BdFh","properties":{"formattedCitation":"Royal Commission into Aged Care Quality and Safety, {\\i{}Final Report: Care, Dignity and Respect, Volume 2, The Current System} (Commonwealth of Australia, 1 March 2021) 3.","plainCitation":"Royal Commission into Aged Care Quality and Safety, Final Report: Care, Dignity and Respect, Volume 2, The Current System (Commonwealth of Australia, 1 March 2021) 3.","noteIndex":52},"citationItems":[{"id":6168,"uris":["http://zotero.org/groups/2733877/items/I699QIDQ"],"uri":["http://zotero.org/groups/2733877/items/I699QIDQ"],"itemData":{"id":6168,"type":"report","event-place":"Canberra","publisher":"Commonwealth of Australia","publisher-place":"Canberra","title":"Final Report: Care, Dignity and Respect, Volume 2, The Current System","author":[{"family":"Royal Commission into Aged Care Quality and Safety","given":""}],"issued":{"date-parts":[["2021",3,1]]}},"locator":"3"}],"schema":"https://github.com/citation-style-language/schema/raw/master/csl-citation.json"} </w:instrText>
      </w:r>
      <w:r w:rsidRPr="00794E5D">
        <w:rPr>
          <w:rFonts w:cstheme="minorHAnsi"/>
        </w:rPr>
        <w:fldChar w:fldCharType="separate"/>
      </w:r>
      <w:r w:rsidRPr="00794E5D">
        <w:rPr>
          <w:rFonts w:ascii="Calibri" w:hAnsi="Calibri" w:cs="Calibri"/>
          <w:szCs w:val="24"/>
        </w:rPr>
        <w:t xml:space="preserve">Royal Commission into Aged Care Quality and Safety, </w:t>
      </w:r>
      <w:r w:rsidRPr="00794E5D">
        <w:rPr>
          <w:rFonts w:ascii="Calibri" w:hAnsi="Calibri" w:cs="Calibri"/>
          <w:i/>
          <w:iCs/>
          <w:szCs w:val="24"/>
        </w:rPr>
        <w:t>Final Report: Care, Dignity and Respect, Volume 2, The Current System</w:t>
      </w:r>
      <w:r w:rsidRPr="00794E5D">
        <w:rPr>
          <w:rFonts w:ascii="Calibri" w:hAnsi="Calibri" w:cs="Calibri"/>
          <w:szCs w:val="24"/>
        </w:rPr>
        <w:t xml:space="preserve"> (Commonwealth of Australia, 1 March 2021) 3.</w:t>
      </w:r>
      <w:r w:rsidRPr="00794E5D">
        <w:rPr>
          <w:rFonts w:cstheme="minorHAnsi"/>
        </w:rPr>
        <w:fldChar w:fldCharType="end"/>
      </w:r>
    </w:p>
  </w:endnote>
  <w:endnote w:id="53">
    <w:p w14:paraId="3513C366" w14:textId="139E7056" w:rsidR="00A00236" w:rsidRPr="00794E5D" w:rsidRDefault="00A00236" w:rsidP="004E5DD9">
      <w:pPr>
        <w:pStyle w:val="EndnoteText"/>
        <w:rPr>
          <w:lang w:val="en-AU"/>
        </w:rPr>
      </w:pPr>
      <w:r w:rsidRPr="00794E5D">
        <w:rPr>
          <w:rStyle w:val="EndnoteReference"/>
        </w:rPr>
        <w:endnoteRef/>
      </w:r>
      <w:r w:rsidRPr="00794E5D">
        <w:t xml:space="preserve"> </w:t>
      </w:r>
      <w:r w:rsidRPr="00794E5D">
        <w:fldChar w:fldCharType="begin"/>
      </w:r>
      <w:r w:rsidRPr="00794E5D">
        <w:instrText xml:space="preserve"> ADDIN ZOTERO_ITEM CSL_CITATION {"citationID":"9qmtafUg","properties":{"formattedCitation":"Ibid 97.","plainCitation":"Ibid 97.","noteIndex":53},"citationItems":[{"id":6168,"uris":["http://zotero.org/groups/2733877/items/I699QIDQ"],"uri":["http://zotero.org/groups/2733877/items/I699QIDQ"],"itemData":{"id":6168,"type":"report","event-place":"Canberra","publisher":"Commonwealth of Australia","publisher-place":"Canberra","title":"Final Report: Care, Dignity and Respect, Volume 2, The Current System","author":[{"family":"Royal Commission into Aged Care Quality and Safety","given":""}],"issued":{"date-parts":[["2021",3,1]]}},"locator":"97"}],"schema":"https://github.com/citation-style-language/schema/raw/master/csl-citation.json"} </w:instrText>
      </w:r>
      <w:r w:rsidRPr="00794E5D">
        <w:fldChar w:fldCharType="separate"/>
      </w:r>
      <w:r w:rsidRPr="00794E5D">
        <w:rPr>
          <w:rFonts w:ascii="Calibri" w:hAnsi="Calibri" w:cs="Calibri"/>
        </w:rPr>
        <w:t>Ibid 97.</w:t>
      </w:r>
      <w:r w:rsidRPr="00794E5D">
        <w:fldChar w:fldCharType="end"/>
      </w:r>
    </w:p>
  </w:endnote>
  <w:endnote w:id="54">
    <w:p w14:paraId="523BED4E" w14:textId="25B58871" w:rsidR="00A00236" w:rsidRPr="00794E5D" w:rsidRDefault="00A00236" w:rsidP="004E5DD9">
      <w:pPr>
        <w:pStyle w:val="EndnoteText"/>
        <w:rPr>
          <w:lang w:val="en-AU"/>
        </w:rPr>
      </w:pPr>
      <w:r w:rsidRPr="00794E5D">
        <w:rPr>
          <w:rStyle w:val="EndnoteReference"/>
        </w:rPr>
        <w:endnoteRef/>
      </w:r>
      <w:r w:rsidRPr="00794E5D">
        <w:t xml:space="preserve"> </w:t>
      </w:r>
      <w:r w:rsidRPr="00794E5D">
        <w:fldChar w:fldCharType="begin"/>
      </w:r>
      <w:r w:rsidRPr="00794E5D">
        <w:instrText xml:space="preserve"> ADDIN ZOTERO_ITEM CSL_CITATION {"citationID":"9nPeUC2k","properties":{"formattedCitation":"Ibid 99.","plainCitation":"Ibid 99.","noteIndex":54},"citationItems":[{"id":6168,"uris":["http://zotero.org/groups/2733877/items/I699QIDQ"],"uri":["http://zotero.org/groups/2733877/items/I699QIDQ"],"itemData":{"id":6168,"type":"report","event-place":"Canberra","publisher":"Commonwealth of Australia","publisher-place":"Canberra","title":"Final Report: Care, Dignity and Respect, Volume 2, The Current System","author":[{"family":"Royal Commission into Aged Care Quality and Safety","given":""}],"issued":{"date-parts":[["2021",3,1]]}},"locator":"99"}],"schema":"https://github.com/citation-style-language/schema/raw/master/csl-citation.json"} </w:instrText>
      </w:r>
      <w:r w:rsidRPr="00794E5D">
        <w:fldChar w:fldCharType="separate"/>
      </w:r>
      <w:r w:rsidRPr="00794E5D">
        <w:rPr>
          <w:rFonts w:ascii="Calibri" w:hAnsi="Calibri" w:cs="Calibri"/>
        </w:rPr>
        <w:t>Ibid 99.</w:t>
      </w:r>
      <w:r w:rsidRPr="00794E5D">
        <w:fldChar w:fldCharType="end"/>
      </w:r>
    </w:p>
  </w:endnote>
  <w:endnote w:id="55">
    <w:p w14:paraId="600BAD97" w14:textId="613D3B14" w:rsidR="00A00236" w:rsidRDefault="00A00236" w:rsidP="004E5DD9">
      <w:pPr>
        <w:pStyle w:val="EndnoteText"/>
      </w:pPr>
      <w:r w:rsidRPr="00794E5D">
        <w:rPr>
          <w:rStyle w:val="EndnoteReference"/>
        </w:rPr>
        <w:endnoteRef/>
      </w:r>
      <w:r w:rsidRPr="00794E5D">
        <w:t xml:space="preserve"> </w:t>
      </w:r>
      <w:r w:rsidRPr="00794E5D">
        <w:fldChar w:fldCharType="begin"/>
      </w:r>
      <w:r w:rsidRPr="00794E5D">
        <w:instrText xml:space="preserve"> ADDIN ZOTERO_ITEM CSL_CITATION {"citationID":"pnB76aha","properties":{"formattedCitation":"Ibid 93.","plainCitation":"Ibid 93.","noteIndex":55},"citationItems":[{"id":6168,"uris":["http://zotero.org/groups/2733877/items/I699QIDQ"],"uri":["http://zotero.org/groups/2733877/items/I699QIDQ"],"itemData":{"id":6168,"type":"report","event-place":"Canberra","publisher":"Commonwealth of Australia","publisher-place":"Canberra","title":"Final Report: Care, Dignity and Respect, Volume 2, The Current System","author":[{"family":"Royal Commission into Aged Care Quality and Safety","given":""}],"issued":{"date-parts":[["2021",3,1]]}},"locator":"93"}],"schema":"https://github.com/citation-style-language/schema/raw/master/csl-citation.json"} </w:instrText>
      </w:r>
      <w:r w:rsidRPr="00794E5D">
        <w:fldChar w:fldCharType="separate"/>
      </w:r>
      <w:r w:rsidRPr="00794E5D">
        <w:rPr>
          <w:rFonts w:ascii="Calibri" w:hAnsi="Calibri" w:cs="Calibri"/>
        </w:rPr>
        <w:t>Ibid 93.</w:t>
      </w:r>
      <w:r w:rsidRPr="00794E5D">
        <w:fldChar w:fldCharType="end"/>
      </w:r>
    </w:p>
    <w:p w14:paraId="3B0F550B" w14:textId="77777777" w:rsidR="00A00236" w:rsidRPr="00532993" w:rsidRDefault="00A00236" w:rsidP="004E5DD9">
      <w:pPr>
        <w:pStyle w:val="EndnoteText"/>
        <w:rPr>
          <w:rFonts w:cstheme="minorHAnsi"/>
        </w:rPr>
      </w:pPr>
      <w:r w:rsidRPr="00532993">
        <w:rPr>
          <w:rFonts w:cstheme="minorHAnsi"/>
        </w:rPr>
        <w:t xml:space="preserve">Recommendation 17: Regulation of restraints </w:t>
      </w:r>
    </w:p>
    <w:p w14:paraId="563E6302" w14:textId="318BA403" w:rsidR="00A00236" w:rsidRPr="00532993" w:rsidRDefault="00A00236" w:rsidP="004E5DD9">
      <w:pPr>
        <w:pStyle w:val="EndnoteText"/>
        <w:rPr>
          <w:rFonts w:cstheme="minorHAnsi"/>
        </w:rPr>
      </w:pPr>
      <w:r w:rsidRPr="00532993">
        <w:rPr>
          <w:rFonts w:cstheme="minorHAnsi"/>
        </w:rPr>
        <w:t xml:space="preserve">1.The </w:t>
      </w:r>
      <w:proofErr w:type="gramStart"/>
      <w:r w:rsidRPr="00532993">
        <w:rPr>
          <w:rFonts w:cstheme="minorHAnsi"/>
        </w:rPr>
        <w:t>Quality of Care</w:t>
      </w:r>
      <w:proofErr w:type="gramEnd"/>
      <w:r w:rsidRPr="00532993">
        <w:rPr>
          <w:rFonts w:cstheme="minorHAnsi"/>
        </w:rPr>
        <w:t xml:space="preserve"> Principles 2014 (Cth) should be amended by 1 January2022 to provide that the use of </w:t>
      </w:r>
      <w:r w:rsidRPr="00532993">
        <w:rPr>
          <w:rStyle w:val="highlight"/>
          <w:rFonts w:cstheme="minorHAnsi"/>
        </w:rPr>
        <w:t>restrictiv</w:t>
      </w:r>
      <w:r w:rsidRPr="00532993">
        <w:rPr>
          <w:rFonts w:cstheme="minorHAnsi"/>
        </w:rPr>
        <w:t xml:space="preserve">e practices in aged care must be based on an independent expert assessment and subject to ongoing </w:t>
      </w:r>
      <w:r w:rsidR="00040ADB" w:rsidRPr="00532993">
        <w:rPr>
          <w:rFonts w:cstheme="minorHAnsi"/>
        </w:rPr>
        <w:t>reporting and</w:t>
      </w:r>
      <w:r w:rsidRPr="00532993">
        <w:rPr>
          <w:rFonts w:cstheme="minorHAnsi"/>
        </w:rPr>
        <w:t xml:space="preserve"> monitoring. The amendments should reflect the overall principle that people receiving aged care should be equally protected from restrictive practices as other members of the community. In particular, restrictive practices should:</w:t>
      </w:r>
    </w:p>
    <w:p w14:paraId="32691FAA" w14:textId="77777777" w:rsidR="00A00236" w:rsidRPr="00532993" w:rsidRDefault="00A00236" w:rsidP="004E5DD9">
      <w:pPr>
        <w:pStyle w:val="EndnoteText"/>
        <w:rPr>
          <w:rFonts w:cstheme="minorHAnsi"/>
        </w:rPr>
      </w:pPr>
      <w:r w:rsidRPr="00532993">
        <w:rPr>
          <w:rFonts w:cstheme="minorHAnsi"/>
        </w:rPr>
        <w:t>a.be prohibited unless:</w:t>
      </w:r>
    </w:p>
    <w:p w14:paraId="05F091BB" w14:textId="29B6BFE6" w:rsidR="00A00236" w:rsidRDefault="00A00236" w:rsidP="004E5DD9">
      <w:pPr>
        <w:pStyle w:val="EndnoteText"/>
        <w:rPr>
          <w:rFonts w:cstheme="minorHAnsi"/>
        </w:rPr>
      </w:pPr>
      <w:r w:rsidRPr="00532993">
        <w:rPr>
          <w:rFonts w:cstheme="minorHAnsi"/>
        </w:rPr>
        <w:t>i.</w:t>
      </w:r>
      <w:r w:rsidR="00040ADB">
        <w:rPr>
          <w:rFonts w:cstheme="minorHAnsi"/>
        </w:rPr>
        <w:t xml:space="preserve"> </w:t>
      </w:r>
      <w:r w:rsidRPr="00532993">
        <w:rPr>
          <w:rFonts w:cstheme="minorHAnsi"/>
        </w:rPr>
        <w:t xml:space="preserve">recommended by an independent expert, accredited for the </w:t>
      </w:r>
      <w:r w:rsidR="00040ADB" w:rsidRPr="00532993">
        <w:rPr>
          <w:rFonts w:cstheme="minorHAnsi"/>
        </w:rPr>
        <w:t>purpose by</w:t>
      </w:r>
      <w:r w:rsidRPr="00532993">
        <w:rPr>
          <w:rFonts w:cstheme="minorHAnsi"/>
        </w:rPr>
        <w:t xml:space="preserve"> the Quality Regulator, as part of a behaviour support plan </w:t>
      </w:r>
      <w:r w:rsidR="00040ADB" w:rsidRPr="00532993">
        <w:rPr>
          <w:rFonts w:cstheme="minorHAnsi"/>
        </w:rPr>
        <w:t>lodged with</w:t>
      </w:r>
      <w:r w:rsidRPr="00532993">
        <w:rPr>
          <w:rFonts w:cstheme="minorHAnsi"/>
        </w:rPr>
        <w:t xml:space="preserve"> the Quality Regulator and reviewed quarterly by the </w:t>
      </w:r>
      <w:r w:rsidR="00040ADB" w:rsidRPr="00532993">
        <w:rPr>
          <w:rFonts w:cstheme="minorHAnsi"/>
        </w:rPr>
        <w:t>expert, with</w:t>
      </w:r>
      <w:r w:rsidRPr="00532993">
        <w:rPr>
          <w:rFonts w:cstheme="minorHAnsi"/>
        </w:rPr>
        <w:t xml:space="preserve"> reports on implementation of the behaviour support plan being provided to the Quality Regulator on a monthly basis, or</w:t>
      </w:r>
    </w:p>
    <w:p w14:paraId="791365A8" w14:textId="62ECA9AD" w:rsidR="00A00236" w:rsidRPr="00532993" w:rsidRDefault="00A00236" w:rsidP="004E5DD9">
      <w:pPr>
        <w:pStyle w:val="EndnoteText"/>
        <w:rPr>
          <w:rFonts w:cstheme="minorHAnsi"/>
        </w:rPr>
      </w:pPr>
      <w:r w:rsidRPr="00532993">
        <w:rPr>
          <w:rFonts w:cstheme="minorHAnsi"/>
        </w:rPr>
        <w:t>ii.</w:t>
      </w:r>
      <w:r w:rsidR="00040ADB">
        <w:rPr>
          <w:rFonts w:cstheme="minorHAnsi"/>
        </w:rPr>
        <w:t xml:space="preserve"> </w:t>
      </w:r>
      <w:r w:rsidRPr="00532993">
        <w:rPr>
          <w:rFonts w:cstheme="minorHAnsi"/>
        </w:rPr>
        <w:t xml:space="preserve">when </w:t>
      </w:r>
      <w:proofErr w:type="gramStart"/>
      <w:r w:rsidRPr="00532993">
        <w:rPr>
          <w:rFonts w:cstheme="minorHAnsi"/>
        </w:rPr>
        <w:t>necessary</w:t>
      </w:r>
      <w:proofErr w:type="gramEnd"/>
      <w:r w:rsidRPr="00532993">
        <w:rPr>
          <w:rFonts w:cstheme="minorHAnsi"/>
        </w:rPr>
        <w:t xml:space="preserve"> in an emergency to avert the risk of immediate physical harm, with any further use subject to recommendation by an independent expert under Recommendation 17(1)(a)(i), and with a report of the restraint to be provided with reference to the matters in Recommendation 17(1)(b) as soon as practicable after the restraint</w:t>
      </w:r>
      <w:r>
        <w:rPr>
          <w:rFonts w:cstheme="minorHAnsi"/>
        </w:rPr>
        <w:t xml:space="preserve"> </w:t>
      </w:r>
      <w:r w:rsidRPr="00532993">
        <w:rPr>
          <w:rFonts w:cstheme="minorHAnsi"/>
        </w:rPr>
        <w:t>starts to be used; and</w:t>
      </w:r>
    </w:p>
    <w:p w14:paraId="782FDD1B" w14:textId="77777777" w:rsidR="00A00236" w:rsidRPr="00532993" w:rsidRDefault="00A00236" w:rsidP="004E5DD9">
      <w:pPr>
        <w:pStyle w:val="EndnoteText"/>
        <w:rPr>
          <w:rFonts w:cstheme="minorHAnsi"/>
        </w:rPr>
      </w:pPr>
      <w:r w:rsidRPr="00532993">
        <w:rPr>
          <w:rFonts w:cstheme="minorHAnsi"/>
        </w:rPr>
        <w:t>b. only be used:</w:t>
      </w:r>
    </w:p>
    <w:p w14:paraId="5F425768" w14:textId="2C364ADC" w:rsidR="00A00236" w:rsidRPr="00532993" w:rsidRDefault="00A00236" w:rsidP="004E5DD9">
      <w:pPr>
        <w:pStyle w:val="EndnoteText"/>
        <w:rPr>
          <w:rFonts w:cstheme="minorHAnsi"/>
        </w:rPr>
      </w:pPr>
      <w:r w:rsidRPr="00532993">
        <w:rPr>
          <w:rFonts w:cstheme="minorHAnsi"/>
        </w:rPr>
        <w:t>i.</w:t>
      </w:r>
      <w:r w:rsidR="00040ADB">
        <w:rPr>
          <w:rFonts w:cstheme="minorHAnsi"/>
        </w:rPr>
        <w:t xml:space="preserve"> </w:t>
      </w:r>
      <w:r w:rsidRPr="00532993">
        <w:rPr>
          <w:rFonts w:cstheme="minorHAnsi"/>
        </w:rPr>
        <w:t>as a last resort to prevent serious harm after the approved service provider has explored, applied and documented alternative, evidence-based strategies to mitigate the risk of harm</w:t>
      </w:r>
    </w:p>
    <w:p w14:paraId="0F2021B4" w14:textId="39E29ACF" w:rsidR="00A00236" w:rsidRPr="00532993" w:rsidRDefault="00A00236" w:rsidP="004E5DD9">
      <w:pPr>
        <w:pStyle w:val="EndnoteText"/>
        <w:rPr>
          <w:rFonts w:cstheme="minorHAnsi"/>
        </w:rPr>
      </w:pPr>
      <w:r w:rsidRPr="00532993">
        <w:rPr>
          <w:rFonts w:cstheme="minorHAnsi"/>
        </w:rPr>
        <w:t>ii.</w:t>
      </w:r>
      <w:r w:rsidR="00040ADB">
        <w:rPr>
          <w:rFonts w:cstheme="minorHAnsi"/>
        </w:rPr>
        <w:t xml:space="preserve"> </w:t>
      </w:r>
      <w:r w:rsidRPr="00532993">
        <w:rPr>
          <w:rFonts w:cstheme="minorHAnsi"/>
        </w:rPr>
        <w:t>to the extent necessary and proportionate to the risk of harm</w:t>
      </w:r>
    </w:p>
    <w:p w14:paraId="5EB99F9A" w14:textId="4559DC94" w:rsidR="00A00236" w:rsidRPr="00532993" w:rsidRDefault="00A00236" w:rsidP="004E5DD9">
      <w:pPr>
        <w:pStyle w:val="EndnoteText"/>
        <w:rPr>
          <w:rFonts w:cstheme="minorHAnsi"/>
        </w:rPr>
      </w:pPr>
      <w:r w:rsidRPr="00532993">
        <w:rPr>
          <w:rFonts w:cstheme="minorHAnsi"/>
        </w:rPr>
        <w:t>iii.</w:t>
      </w:r>
      <w:r w:rsidR="00040ADB">
        <w:rPr>
          <w:rFonts w:cstheme="minorHAnsi"/>
        </w:rPr>
        <w:t xml:space="preserve"> </w:t>
      </w:r>
      <w:r w:rsidRPr="00532993">
        <w:rPr>
          <w:rFonts w:cstheme="minorHAnsi"/>
        </w:rPr>
        <w:t>for the shortest time possible to ensure the safety of the person or</w:t>
      </w:r>
      <w:r>
        <w:rPr>
          <w:rFonts w:cstheme="minorHAnsi"/>
        </w:rPr>
        <w:t xml:space="preserve"> </w:t>
      </w:r>
      <w:r w:rsidRPr="00532993">
        <w:rPr>
          <w:rFonts w:cstheme="minorHAnsi"/>
        </w:rPr>
        <w:t>others</w:t>
      </w:r>
    </w:p>
    <w:p w14:paraId="122CAD0B" w14:textId="74C48CAF" w:rsidR="00A00236" w:rsidRPr="00532993" w:rsidRDefault="00A00236" w:rsidP="004E5DD9">
      <w:pPr>
        <w:pStyle w:val="EndnoteText"/>
        <w:rPr>
          <w:rFonts w:cstheme="minorHAnsi"/>
        </w:rPr>
      </w:pPr>
      <w:r w:rsidRPr="00532993">
        <w:rPr>
          <w:rFonts w:cstheme="minorHAnsi"/>
        </w:rPr>
        <w:t>iv.</w:t>
      </w:r>
      <w:r w:rsidR="00040ADB">
        <w:rPr>
          <w:rFonts w:cstheme="minorHAnsi"/>
        </w:rPr>
        <w:t xml:space="preserve"> </w:t>
      </w:r>
      <w:r w:rsidRPr="00532993">
        <w:rPr>
          <w:rFonts w:cstheme="minorHAnsi"/>
        </w:rPr>
        <w:t xml:space="preserve">subject to monitoring and regular review (to be stipulated in </w:t>
      </w:r>
      <w:r w:rsidR="00040ADB" w:rsidRPr="00532993">
        <w:rPr>
          <w:rFonts w:cstheme="minorHAnsi"/>
        </w:rPr>
        <w:t>the behaviour</w:t>
      </w:r>
      <w:r w:rsidRPr="00532993">
        <w:rPr>
          <w:rFonts w:cstheme="minorHAnsi"/>
        </w:rPr>
        <w:t xml:space="preserve"> support plan) by an approved health practitioner</w:t>
      </w:r>
    </w:p>
    <w:p w14:paraId="56F72728" w14:textId="335612DB" w:rsidR="00A00236" w:rsidRPr="00532993" w:rsidRDefault="00A00236" w:rsidP="004E5DD9">
      <w:pPr>
        <w:pStyle w:val="EndnoteText"/>
        <w:rPr>
          <w:rFonts w:cstheme="minorHAnsi"/>
        </w:rPr>
      </w:pPr>
      <w:r w:rsidRPr="00532993">
        <w:rPr>
          <w:rFonts w:cstheme="minorHAnsi"/>
        </w:rPr>
        <w:t>v. in accordance with relevant State or Territory laws and with the</w:t>
      </w:r>
      <w:r>
        <w:rPr>
          <w:rFonts w:cstheme="minorHAnsi"/>
        </w:rPr>
        <w:t xml:space="preserve"> </w:t>
      </w:r>
      <w:r w:rsidRPr="00532993">
        <w:rPr>
          <w:rFonts w:cstheme="minorHAnsi"/>
        </w:rPr>
        <w:t>documented informed consent of the person receiving care or</w:t>
      </w:r>
      <w:r w:rsidR="00040ADB">
        <w:rPr>
          <w:rFonts w:cstheme="minorHAnsi"/>
        </w:rPr>
        <w:t xml:space="preserve"> </w:t>
      </w:r>
      <w:r w:rsidRPr="00532993">
        <w:rPr>
          <w:rFonts w:cstheme="minorHAnsi"/>
        </w:rPr>
        <w:t>someone authorised by law to give consent on that person’s behalf</w:t>
      </w:r>
    </w:p>
    <w:p w14:paraId="62A61128" w14:textId="081E2A03" w:rsidR="00A00236" w:rsidRDefault="00A00236" w:rsidP="004E5DD9">
      <w:pPr>
        <w:pStyle w:val="EndnoteText"/>
        <w:rPr>
          <w:rFonts w:cstheme="minorHAnsi"/>
        </w:rPr>
      </w:pPr>
      <w:r w:rsidRPr="00532993">
        <w:rPr>
          <w:rFonts w:cstheme="minorHAnsi"/>
        </w:rPr>
        <w:t>vi.in the case of chemical restraint, if prescribed by a doctor who has</w:t>
      </w:r>
      <w:r w:rsidR="00040ADB">
        <w:rPr>
          <w:rFonts w:cstheme="minorHAnsi"/>
        </w:rPr>
        <w:t xml:space="preserve"> </w:t>
      </w:r>
      <w:r w:rsidRPr="00532993">
        <w:rPr>
          <w:rFonts w:cstheme="minorHAnsi"/>
        </w:rPr>
        <w:t>documented the purpose of the prescription.</w:t>
      </w:r>
    </w:p>
    <w:p w14:paraId="17ED0D64" w14:textId="68BA10E2" w:rsidR="00A00236" w:rsidRPr="00532993" w:rsidRDefault="00A00236" w:rsidP="004E5DD9">
      <w:pPr>
        <w:pStyle w:val="EndnoteText"/>
        <w:rPr>
          <w:rFonts w:cstheme="minorHAnsi"/>
        </w:rPr>
      </w:pPr>
      <w:r w:rsidRPr="00532993">
        <w:rPr>
          <w:rFonts w:cstheme="minorHAnsi"/>
        </w:rPr>
        <w:t>2.In making these amendments, the Australian Government should consider</w:t>
      </w:r>
      <w:r w:rsidR="00040ADB">
        <w:rPr>
          <w:rFonts w:cstheme="minorHAnsi"/>
        </w:rPr>
        <w:t xml:space="preserve"> </w:t>
      </w:r>
      <w:r w:rsidRPr="00532993">
        <w:rPr>
          <w:rFonts w:cstheme="minorHAnsi"/>
        </w:rPr>
        <w:t xml:space="preserve">whether any adjustments or additions are warranted as a result of </w:t>
      </w:r>
      <w:r w:rsidR="00040ADB" w:rsidRPr="00532993">
        <w:rPr>
          <w:rFonts w:cstheme="minorHAnsi"/>
        </w:rPr>
        <w:t>the statutory</w:t>
      </w:r>
      <w:r w:rsidRPr="00532993">
        <w:rPr>
          <w:rFonts w:cstheme="minorHAnsi"/>
        </w:rPr>
        <w:t xml:space="preserve"> review of Part 4A of the </w:t>
      </w:r>
      <w:proofErr w:type="gramStart"/>
      <w:r w:rsidRPr="00532993">
        <w:rPr>
          <w:rFonts w:cstheme="minorHAnsi"/>
        </w:rPr>
        <w:t>Quality of Care</w:t>
      </w:r>
      <w:proofErr w:type="gramEnd"/>
      <w:r w:rsidRPr="00532993">
        <w:rPr>
          <w:rFonts w:cstheme="minorHAnsi"/>
        </w:rPr>
        <w:t xml:space="preserve"> Principles 2014 (Cth).</w:t>
      </w:r>
    </w:p>
    <w:p w14:paraId="7C277158" w14:textId="77777777" w:rsidR="00A00236" w:rsidRPr="00532993" w:rsidRDefault="00A00236" w:rsidP="004E5DD9">
      <w:pPr>
        <w:pStyle w:val="EndnoteText"/>
        <w:rPr>
          <w:rFonts w:cstheme="minorHAnsi"/>
        </w:rPr>
      </w:pPr>
      <w:r w:rsidRPr="00532993">
        <w:rPr>
          <w:rFonts w:cstheme="minorHAnsi"/>
        </w:rPr>
        <w:t>3.The amendments should also provide that:</w:t>
      </w:r>
    </w:p>
    <w:p w14:paraId="103429C5" w14:textId="452692BB" w:rsidR="00A00236" w:rsidRPr="00532993" w:rsidRDefault="00A00236" w:rsidP="004E5DD9">
      <w:pPr>
        <w:pStyle w:val="EndnoteText"/>
        <w:rPr>
          <w:rFonts w:cstheme="minorHAnsi"/>
        </w:rPr>
      </w:pPr>
      <w:r w:rsidRPr="00532993">
        <w:rPr>
          <w:rFonts w:cstheme="minorHAnsi"/>
        </w:rPr>
        <w:t>a.</w:t>
      </w:r>
      <w:r w:rsidR="00040ADB">
        <w:rPr>
          <w:rFonts w:cstheme="minorHAnsi"/>
        </w:rPr>
        <w:t xml:space="preserve"> </w:t>
      </w:r>
      <w:r w:rsidRPr="00532993">
        <w:rPr>
          <w:rFonts w:cstheme="minorHAnsi"/>
        </w:rPr>
        <w:t>any use of restrictive practices that is not in accordance with the statutory</w:t>
      </w:r>
      <w:r>
        <w:rPr>
          <w:rFonts w:cstheme="minorHAnsi"/>
        </w:rPr>
        <w:t xml:space="preserve"> </w:t>
      </w:r>
      <w:r w:rsidRPr="00532993">
        <w:rPr>
          <w:rFonts w:cstheme="minorHAnsi"/>
        </w:rPr>
        <w:t>scheme should be reportable under the updated serious incident reporting scheme, and</w:t>
      </w:r>
    </w:p>
    <w:p w14:paraId="3C331427" w14:textId="73D7E799" w:rsidR="00A00236" w:rsidRPr="00532993" w:rsidRDefault="00A00236" w:rsidP="004E5DD9">
      <w:pPr>
        <w:pStyle w:val="EndnoteText"/>
        <w:rPr>
          <w:rFonts w:cstheme="minorHAnsi"/>
        </w:rPr>
      </w:pPr>
      <w:r w:rsidRPr="00532993">
        <w:rPr>
          <w:rFonts w:cstheme="minorHAnsi"/>
        </w:rPr>
        <w:t>b.</w:t>
      </w:r>
      <w:r w:rsidR="00040ADB">
        <w:rPr>
          <w:rFonts w:cstheme="minorHAnsi"/>
        </w:rPr>
        <w:t xml:space="preserve"> </w:t>
      </w:r>
      <w:r w:rsidRPr="00532993">
        <w:rPr>
          <w:rFonts w:cstheme="minorHAnsi"/>
        </w:rPr>
        <w:t>any breach of the statutory requirements should expose the approved provider to a civil penalty at the suit of the regulator. If a person directly affected by the breach wants to be compensated, the regulator or the</w:t>
      </w:r>
      <w:r>
        <w:rPr>
          <w:rFonts w:cstheme="minorHAnsi"/>
        </w:rPr>
        <w:t xml:space="preserve"> </w:t>
      </w:r>
      <w:r w:rsidRPr="00532993">
        <w:rPr>
          <w:rFonts w:cstheme="minorHAnsi"/>
        </w:rPr>
        <w:t>person should have the power to seek an order for compensation.</w:t>
      </w:r>
    </w:p>
    <w:p w14:paraId="0E98EEBE" w14:textId="77777777" w:rsidR="00A00236" w:rsidRPr="00532993" w:rsidRDefault="00A00236" w:rsidP="004E5DD9">
      <w:pPr>
        <w:pStyle w:val="EndnoteText"/>
        <w:rPr>
          <w:rFonts w:cstheme="minorHAnsi"/>
        </w:rPr>
      </w:pPr>
      <w:r w:rsidRPr="00532993">
        <w:rPr>
          <w:rFonts w:cstheme="minorHAnsi"/>
        </w:rPr>
        <w:t>4. In the interim, the repeal of Part 4A of the Quality of Care Principles 2014 (Cth)</w:t>
      </w:r>
      <w:r>
        <w:rPr>
          <w:rFonts w:cstheme="minorHAnsi"/>
        </w:rPr>
        <w:t xml:space="preserve"> </w:t>
      </w:r>
      <w:r w:rsidRPr="00532993">
        <w:rPr>
          <w:rFonts w:cstheme="minorHAnsi"/>
        </w:rPr>
        <w:t>should be delayed until 31 December 2021.</w:t>
      </w:r>
    </w:p>
    <w:p w14:paraId="1C0BA8F2" w14:textId="3CDCC65A" w:rsidR="00A00236" w:rsidRPr="00684CB8" w:rsidRDefault="00A00236" w:rsidP="004E5DD9">
      <w:pPr>
        <w:pStyle w:val="EndnoteText"/>
        <w:rPr>
          <w:lang w:val="en-AU"/>
        </w:rPr>
      </w:pPr>
      <w:r w:rsidRPr="00532993">
        <w:rPr>
          <w:rFonts w:cstheme="minorHAnsi"/>
        </w:rPr>
        <w:t>5.Following the conclusion of the Royal Commission into Violence, Abuse,</w:t>
      </w:r>
      <w:r>
        <w:rPr>
          <w:rFonts w:cstheme="minorHAnsi"/>
        </w:rPr>
        <w:t xml:space="preserve"> </w:t>
      </w:r>
      <w:r w:rsidRPr="00532993">
        <w:rPr>
          <w:rFonts w:cstheme="minorHAnsi"/>
        </w:rPr>
        <w:t>Neglect and Exploitation of People with Disability, the Australian Government should consider the applicability to aged care of any findings from that Royal Commission about restrictive practices and make further legislative</w:t>
      </w:r>
      <w:r w:rsidR="00040ADB">
        <w:rPr>
          <w:rFonts w:cstheme="minorHAnsi"/>
        </w:rPr>
        <w:t xml:space="preserve"> </w:t>
      </w:r>
      <w:r w:rsidRPr="00532993">
        <w:rPr>
          <w:rFonts w:cstheme="minorHAnsi"/>
        </w:rPr>
        <w:t>amendments required to ensure that the treatment of people receiving</w:t>
      </w:r>
      <w:r>
        <w:rPr>
          <w:rFonts w:cstheme="minorHAnsi"/>
        </w:rPr>
        <w:t xml:space="preserve"> </w:t>
      </w:r>
      <w:r w:rsidRPr="00532993">
        <w:rPr>
          <w:rFonts w:cstheme="minorHAnsi"/>
        </w:rPr>
        <w:t>aged care services is consistent with the treatment of other members</w:t>
      </w:r>
      <w:r>
        <w:rPr>
          <w:rFonts w:cstheme="minorHAnsi"/>
        </w:rPr>
        <w:t xml:space="preserve"> </w:t>
      </w:r>
      <w:r w:rsidRPr="00532993">
        <w:rPr>
          <w:rFonts w:cstheme="minorHAnsi"/>
        </w:rPr>
        <w:t>of the community.:</w:t>
      </w:r>
      <w:r>
        <w:rPr>
          <w:rFonts w:cstheme="minorHAnsi"/>
        </w:rPr>
        <w:t xml:space="preserve"> </w:t>
      </w:r>
      <w:r>
        <w:rPr>
          <w:rFonts w:cstheme="minorHAnsi"/>
        </w:rPr>
        <w:fldChar w:fldCharType="begin"/>
      </w:r>
      <w:r>
        <w:rPr>
          <w:rFonts w:cstheme="minorHAnsi"/>
        </w:rPr>
        <w:instrText xml:space="preserve"> ADDIN ZOTERO_ITEM CSL_CITATION {"citationID":"JknZpnO4","properties":{"formattedCitation":"Royal Commission into Aged Care Quality and Safety, \\uc0\\u8216{}Final Report: Care, Dignity and Respect, Volume 1, Summary and Recommendations\\uc0\\u8217{} (n 51) 221\\uc0\\u8211{}222.","plainCitation":"Royal Commission into Aged Care Quality and Safety, ‘Final Report: Care, Dignity and Respect, Volume 1, Summary and Recommendations’ (n 51) 221–222.","noteIndex":55},"citationItems":[{"id":6172,"uris":["http://zotero.org/groups/2733877/items/96JHXXTJ"],"uri":["http://zotero.org/groups/2733877/items/96JHXXTJ"],"itemData":{"id":6172,"type":"report","event-place":"Canberra","publisher":"Commonwealth of Australia","publisher-place":"Canberra","title":"Final Report: Care, Dignity and Respect, volume 1, summary and recommendations","author":[{"family":"Royal Commission into Aged Care Quality and Safety","given":""}],"issued":{"date-parts":[["2021",3,1]]}},"locator":"221-222"}],"schema":"https://github.com/citation-style-language/schema/raw/master/csl-citation.json"} </w:instrText>
      </w:r>
      <w:r>
        <w:rPr>
          <w:rFonts w:cstheme="minorHAnsi"/>
        </w:rPr>
        <w:fldChar w:fldCharType="separate"/>
      </w:r>
      <w:r w:rsidRPr="00794E5D">
        <w:rPr>
          <w:rFonts w:ascii="Calibri" w:hAnsi="Calibri" w:cs="Calibri"/>
          <w:szCs w:val="24"/>
        </w:rPr>
        <w:t>Royal Commission into Aged Care Quality and Safety, ‘Final Report: Care, Dignity and Respect, Volume 1, Summary and Recommendations’ (n 51) 221–222.</w:t>
      </w:r>
      <w:r>
        <w:rPr>
          <w:rFonts w:cstheme="minorHAnsi"/>
        </w:rPr>
        <w:fldChar w:fldCharType="end"/>
      </w:r>
      <w:r w:rsidRPr="00532993">
        <w:rPr>
          <w:rFonts w:cstheme="minorHAnsi"/>
        </w:rPr>
        <w:t xml:space="preserve"> </w:t>
      </w:r>
      <w:r w:rsidRPr="00794E5D">
        <w:rPr>
          <w:rFonts w:cstheme="minorHAnsi"/>
        </w:rPr>
        <w:t xml:space="preserve">See also </w:t>
      </w:r>
      <w:r w:rsidRPr="00794E5D">
        <w:rPr>
          <w:rFonts w:cstheme="minorHAnsi"/>
        </w:rPr>
        <w:fldChar w:fldCharType="begin"/>
      </w:r>
      <w:r w:rsidRPr="00794E5D">
        <w:rPr>
          <w:rFonts w:cstheme="minorHAnsi"/>
        </w:rPr>
        <w:instrText xml:space="preserve"> ADDIN ZOTERO_ITEM CSL_CITATION {"citationID":"gtvr8FWH","properties":{"formattedCitation":"Royal Commission into Aged Care Quality and Safety, {\\i{}Final Report: Care, Dignity and Respect, Volume 3A, the New System} (Commonwealth of Australia) 116\\uc0\\u8211{}117.","plainCitation":"Royal Commission into Aged Care Quality and Safety, Final Report: Care, Dignity and Respect, Volume 3A, the New System (Commonwealth of Australia) 116–117.","noteIndex":55},"citationItems":[{"id":6171,"uris":["http://zotero.org/groups/2733877/items/YC8HB8WU"],"uri":["http://zotero.org/groups/2733877/items/YC8HB8WU"],"itemData":{"id":6171,"type":"report","event-place":"Canberra","publisher":"Commonwealth of Australia","publisher-place":"Canberra","title":"Final Report: Care, Dignity and Respect, Volume 3A, the new system","author":[{"family":"Royal Commission into Aged Care Quality and Safety","given":""}]},"locator":"116-117"}],"schema":"https://github.com/citation-style-language/schema/raw/master/csl-citation.json"} </w:instrText>
      </w:r>
      <w:r w:rsidRPr="00794E5D">
        <w:rPr>
          <w:rFonts w:cstheme="minorHAnsi"/>
        </w:rPr>
        <w:fldChar w:fldCharType="separate"/>
      </w:r>
      <w:r w:rsidRPr="00794E5D">
        <w:rPr>
          <w:rFonts w:ascii="Calibri" w:hAnsi="Calibri" w:cs="Calibri"/>
          <w:szCs w:val="24"/>
        </w:rPr>
        <w:t xml:space="preserve">Royal Commission into Aged Care Quality and Safety, </w:t>
      </w:r>
      <w:r w:rsidRPr="00794E5D">
        <w:rPr>
          <w:rFonts w:ascii="Calibri" w:hAnsi="Calibri" w:cs="Calibri"/>
          <w:i/>
          <w:iCs/>
          <w:szCs w:val="24"/>
        </w:rPr>
        <w:t>Final Report: Care, Dignity and Respect, Volume 3A, the New System</w:t>
      </w:r>
      <w:r w:rsidRPr="00794E5D">
        <w:rPr>
          <w:rFonts w:ascii="Calibri" w:hAnsi="Calibri" w:cs="Calibri"/>
          <w:szCs w:val="24"/>
        </w:rPr>
        <w:t xml:space="preserve"> (Commonwealth of Australia) 116–117.</w:t>
      </w:r>
      <w:r w:rsidRPr="00794E5D">
        <w:rPr>
          <w:rFonts w:cstheme="minorHAnsi"/>
        </w:rPr>
        <w:fldChar w:fldCharType="end"/>
      </w:r>
    </w:p>
  </w:endnote>
  <w:endnote w:id="56">
    <w:p w14:paraId="065D0F0E" w14:textId="10CEDD92" w:rsidR="00A00236" w:rsidRPr="00794E5D" w:rsidRDefault="00A00236" w:rsidP="004E5DD9">
      <w:pPr>
        <w:pStyle w:val="EndnoteText"/>
        <w:rPr>
          <w:lang w:val="en-AU"/>
        </w:rPr>
      </w:pPr>
      <w:r w:rsidRPr="00794E5D">
        <w:rPr>
          <w:rStyle w:val="EndnoteReference"/>
        </w:rPr>
        <w:endnoteRef/>
      </w:r>
      <w:r w:rsidRPr="00794E5D">
        <w:t xml:space="preserve"> </w:t>
      </w:r>
      <w:r w:rsidRPr="00794E5D">
        <w:rPr>
          <w:rFonts w:cstheme="minorHAnsi"/>
        </w:rPr>
        <w:fldChar w:fldCharType="begin"/>
      </w:r>
      <w:r w:rsidRPr="00794E5D">
        <w:rPr>
          <w:rFonts w:cstheme="minorHAnsi"/>
        </w:rPr>
        <w:instrText xml:space="preserve"> ADDIN ZOTERO_ITEM CSL_CITATION {"citationID":"kNKFpReY","properties":{"formattedCitation":"Royal Commission into Aged Care Quality and Safety, \\uc0\\u8216{}Final Report: Care, Dignity and Respect, Volume 1, Summary and Recommendations\\uc0\\u8217{} (n 51) 221\\uc0\\u8211{}222.","plainCitation":"Royal Commission into Aged Care Quality and Safety, ‘Final Report: Care, Dignity and Respect, Volume 1, Summary and Recommendations’ (n 51) 221–222.","noteIndex":56},"citationItems":[{"id":6172,"uris":["http://zotero.org/groups/2733877/items/96JHXXTJ"],"uri":["http://zotero.org/groups/2733877/items/96JHXXTJ"],"itemData":{"id":6172,"type":"report","event-place":"Canberra","publisher":"Commonwealth of Australia","publisher-place":"Canberra","title":"Final Report: Care, Dignity and Respect, volume 1, summary and recommendations","author":[{"family":"Royal Commission into Aged Care Quality and Safety","given":""}],"issued":{"date-parts":[["2021",3,1]]}},"locator":"221-222"}],"schema":"https://github.com/citation-style-language/schema/raw/master/csl-citation.json"} </w:instrText>
      </w:r>
      <w:r w:rsidRPr="00794E5D">
        <w:rPr>
          <w:rFonts w:cstheme="minorHAnsi"/>
        </w:rPr>
        <w:fldChar w:fldCharType="separate"/>
      </w:r>
      <w:r w:rsidRPr="00794E5D">
        <w:rPr>
          <w:rFonts w:ascii="Calibri" w:hAnsi="Calibri" w:cs="Calibri"/>
          <w:szCs w:val="24"/>
        </w:rPr>
        <w:t>Royal Commission into Aged Care Quality and Safety, ‘Final Report: Care, Dignity and Respect, Volume 1, Summary and Recommendations’ (n 51) 221–222.</w:t>
      </w:r>
      <w:r w:rsidRPr="00794E5D">
        <w:rPr>
          <w:rFonts w:cstheme="minorHAnsi"/>
        </w:rPr>
        <w:fldChar w:fldCharType="end"/>
      </w:r>
    </w:p>
  </w:endnote>
  <w:endnote w:id="57">
    <w:p w14:paraId="3B1735F9" w14:textId="11550E1A" w:rsidR="00A00236" w:rsidRPr="00794E5D" w:rsidRDefault="00A00236" w:rsidP="004E5DD9">
      <w:pPr>
        <w:pStyle w:val="EndnoteText"/>
        <w:rPr>
          <w:lang w:val="en-AU"/>
        </w:rPr>
      </w:pPr>
      <w:r w:rsidRPr="00794E5D">
        <w:rPr>
          <w:rStyle w:val="EndnoteReference"/>
        </w:rPr>
        <w:endnoteRef/>
      </w:r>
      <w:r w:rsidRPr="00794E5D">
        <w:t xml:space="preserve"> </w:t>
      </w:r>
      <w:r w:rsidRPr="00794E5D">
        <w:rPr>
          <w:rFonts w:cstheme="minorHAnsi"/>
        </w:rPr>
        <w:fldChar w:fldCharType="begin"/>
      </w:r>
      <w:r w:rsidRPr="00794E5D">
        <w:rPr>
          <w:rFonts w:cstheme="minorHAnsi"/>
        </w:rPr>
        <w:instrText xml:space="preserve"> ADDIN ZOTERO_ITEM CSL_CITATION {"citationID":"96c6RFwq","properties":{"formattedCitation":"Ibid 222.","plainCitation":"Ibid 222.","noteIndex":57},"citationItems":[{"id":6172,"uris":["http://zotero.org/groups/2733877/items/96JHXXTJ"],"uri":["http://zotero.org/groups/2733877/items/96JHXXTJ"],"itemData":{"id":6172,"type":"report","event-place":"Canberra","publisher":"Commonwealth of Australia","publisher-place":"Canberra","title":"Final Report: Care, Dignity and Respect, volume 1, summary and recommendations","author":[{"family":"Royal Commission into Aged Care Quality and Safety","given":""}],"issued":{"date-parts":[["2021",3,1]]}},"locator":"222"}],"schema":"https://github.com/citation-style-language/schema/raw/master/csl-citation.json"} </w:instrText>
      </w:r>
      <w:r w:rsidRPr="00794E5D">
        <w:rPr>
          <w:rFonts w:cstheme="minorHAnsi"/>
        </w:rPr>
        <w:fldChar w:fldCharType="separate"/>
      </w:r>
      <w:r w:rsidRPr="00794E5D">
        <w:rPr>
          <w:rFonts w:ascii="Calibri" w:hAnsi="Calibri" w:cs="Calibri"/>
        </w:rPr>
        <w:t>Ibid 222.</w:t>
      </w:r>
      <w:r w:rsidRPr="00794E5D">
        <w:rPr>
          <w:rFonts w:cstheme="minorHAnsi"/>
        </w:rPr>
        <w:fldChar w:fldCharType="end"/>
      </w:r>
    </w:p>
  </w:endnote>
  <w:endnote w:id="58">
    <w:p w14:paraId="047E598B" w14:textId="0828E141" w:rsidR="00A00236" w:rsidRPr="00794E5D" w:rsidRDefault="00A00236" w:rsidP="004E5DD9">
      <w:pPr>
        <w:pStyle w:val="EndnoteText"/>
        <w:rPr>
          <w:lang w:val="en-AU"/>
        </w:rPr>
      </w:pPr>
      <w:r w:rsidRPr="00794E5D">
        <w:rPr>
          <w:rStyle w:val="EndnoteReference"/>
        </w:rPr>
        <w:endnoteRef/>
      </w:r>
      <w:r w:rsidRPr="00794E5D">
        <w:t xml:space="preserve"> </w:t>
      </w:r>
      <w:r w:rsidRPr="00794E5D">
        <w:rPr>
          <w:rFonts w:cstheme="minorHAnsi"/>
        </w:rPr>
        <w:fldChar w:fldCharType="begin"/>
      </w:r>
      <w:r w:rsidRPr="00794E5D">
        <w:rPr>
          <w:rFonts w:cstheme="minorHAnsi"/>
        </w:rPr>
        <w:instrText xml:space="preserve"> ADDIN ZOTERO_ITEM CSL_CITATION {"citationID":"IiaRRDFe","properties":{"formattedCitation":"Royal Commission into Aged Care Quality and Safety, \\uc0\\u8216{}Final Report: Care, Dignity and Respect, Volume 3A, the New System\\uc0\\u8217{} (n 55) 18.","plainCitation":"Royal Commission into Aged Care Quality and Safety, ‘Final Report: Care, Dignity and Respect, Volume 3A, the New System’ (n 55) 18.","noteIndex":58},"citationItems":[{"id":6171,"uris":["http://zotero.org/groups/2733877/items/YC8HB8WU"],"uri":["http://zotero.org/groups/2733877/items/YC8HB8WU"],"itemData":{"id":6171,"type":"report","event-place":"Canberra","publisher":"Commonwealth of Australia","publisher-place":"Canberra","title":"Final Report: Care, Dignity and Respect, Volume 3A, the new system","author":[{"family":"Royal Commission into Aged Care Quality and Safety","given":""}]},"locator":"18"}],"schema":"https://github.com/citation-style-language/schema/raw/master/csl-citation.json"} </w:instrText>
      </w:r>
      <w:r w:rsidRPr="00794E5D">
        <w:rPr>
          <w:rFonts w:cstheme="minorHAnsi"/>
        </w:rPr>
        <w:fldChar w:fldCharType="separate"/>
      </w:r>
      <w:r w:rsidRPr="00794E5D">
        <w:rPr>
          <w:rFonts w:ascii="Calibri" w:hAnsi="Calibri" w:cs="Calibri"/>
          <w:szCs w:val="24"/>
        </w:rPr>
        <w:t>Royal Commission into Aged Care Quality and Safety, ‘Final Report: Care, Dignity and Respect, Volume 3A, the New System’ (n 55) 18.</w:t>
      </w:r>
      <w:r w:rsidRPr="00794E5D">
        <w:rPr>
          <w:rFonts w:cstheme="minorHAnsi"/>
        </w:rPr>
        <w:fldChar w:fldCharType="end"/>
      </w:r>
      <w:r w:rsidRPr="00794E5D">
        <w:rPr>
          <w:rFonts w:cstheme="minorHAnsi"/>
        </w:rPr>
        <w:t xml:space="preserve"> </w:t>
      </w:r>
    </w:p>
  </w:endnote>
  <w:endnote w:id="59">
    <w:p w14:paraId="7E3DD2EE" w14:textId="149E95BC" w:rsidR="00A00236" w:rsidRPr="00794E5D" w:rsidRDefault="00A00236" w:rsidP="004E5DD9">
      <w:pPr>
        <w:pStyle w:val="EndnoteText"/>
        <w:rPr>
          <w:lang w:val="en-AU"/>
        </w:rPr>
      </w:pPr>
      <w:r w:rsidRPr="00794E5D">
        <w:rPr>
          <w:rStyle w:val="EndnoteReference"/>
        </w:rPr>
        <w:endnoteRef/>
      </w:r>
      <w:r w:rsidRPr="00794E5D">
        <w:t xml:space="preserve"> </w:t>
      </w:r>
      <w:r w:rsidRPr="00794E5D">
        <w:rPr>
          <w:rFonts w:cstheme="minorHAnsi"/>
        </w:rPr>
        <w:fldChar w:fldCharType="begin"/>
      </w:r>
      <w:r w:rsidRPr="00794E5D">
        <w:rPr>
          <w:rFonts w:cstheme="minorHAnsi"/>
        </w:rPr>
        <w:instrText xml:space="preserve"> ADDIN ZOTERO_ITEM CSL_CITATION {"citationID":"tn7g73Ae","properties":{"formattedCitation":"Ibid.","plainCitation":"Ibid.","noteIndex":59},"citationItems":[{"id":6171,"uris":["http://zotero.org/groups/2733877/items/YC8HB8WU"],"uri":["http://zotero.org/groups/2733877/items/YC8HB8WU"],"itemData":{"id":6171,"type":"report","event-place":"Canberra","publisher":"Commonwealth of Australia","publisher-place":"Canberra","title":"Final Report: Care, Dignity and Respect, Volume 3A, the new system","author":[{"family":"Royal Commission into Aged Care Quality and Safety","given":""}]},"locator":"18"}],"schema":"https://github.com/citation-style-language/schema/raw/master/csl-citation.json"} </w:instrText>
      </w:r>
      <w:r w:rsidRPr="00794E5D">
        <w:rPr>
          <w:rFonts w:cstheme="minorHAnsi"/>
        </w:rPr>
        <w:fldChar w:fldCharType="separate"/>
      </w:r>
      <w:r w:rsidRPr="00794E5D">
        <w:rPr>
          <w:rFonts w:ascii="Calibri" w:hAnsi="Calibri" w:cs="Calibri"/>
        </w:rPr>
        <w:t>Ibid.</w:t>
      </w:r>
      <w:r w:rsidRPr="00794E5D">
        <w:rPr>
          <w:rFonts w:cstheme="minorHAnsi"/>
        </w:rPr>
        <w:fldChar w:fldCharType="end"/>
      </w:r>
      <w:r w:rsidRPr="00794E5D">
        <w:rPr>
          <w:rFonts w:cstheme="minorHAnsi"/>
        </w:rPr>
        <w:t xml:space="preserve"> </w:t>
      </w:r>
    </w:p>
  </w:endnote>
  <w:endnote w:id="60">
    <w:p w14:paraId="24D1DF76" w14:textId="7639B70E" w:rsidR="00A00236" w:rsidRPr="00F80EA4" w:rsidRDefault="00A00236" w:rsidP="004E5DD9">
      <w:pPr>
        <w:pStyle w:val="EndnoteText"/>
        <w:rPr>
          <w:lang w:val="en-AU"/>
        </w:rPr>
      </w:pPr>
      <w:r w:rsidRPr="00794E5D">
        <w:rPr>
          <w:rStyle w:val="EndnoteReference"/>
        </w:rPr>
        <w:endnoteRef/>
      </w:r>
      <w:r w:rsidRPr="00794E5D">
        <w:t xml:space="preserve"> </w:t>
      </w:r>
      <w:r w:rsidRPr="00794E5D">
        <w:rPr>
          <w:rFonts w:cstheme="minorHAnsi"/>
        </w:rPr>
        <w:fldChar w:fldCharType="begin"/>
      </w:r>
      <w:r w:rsidRPr="00794E5D">
        <w:rPr>
          <w:rFonts w:cstheme="minorHAnsi"/>
        </w:rPr>
        <w:instrText xml:space="preserve"> ADDIN ZOTERO_ITEM CSL_CITATION {"citationID":"pSdNIgvT","properties":{"formattedCitation":"Ibid 19.","plainCitation":"Ibid 19.","noteIndex":60},"citationItems":[{"id":6171,"uris":["http://zotero.org/groups/2733877/items/YC8HB8WU"],"uri":["http://zotero.org/groups/2733877/items/YC8HB8WU"],"itemData":{"id":6171,"type":"report","event-place":"Canberra","publisher":"Commonwealth of Australia","publisher-place":"Canberra","title":"Final Report: Care, Dignity and Respect, Volume 3A, the new system","author":[{"family":"Royal Commission into Aged Care Quality and Safety","given":""}]},"locator":"19"}],"schema":"https://github.com/citation-style-language/schema/raw/master/csl-citation.json"} </w:instrText>
      </w:r>
      <w:r w:rsidRPr="00794E5D">
        <w:rPr>
          <w:rFonts w:cstheme="minorHAnsi"/>
        </w:rPr>
        <w:fldChar w:fldCharType="separate"/>
      </w:r>
      <w:r w:rsidRPr="00794E5D">
        <w:rPr>
          <w:rFonts w:ascii="Calibri" w:hAnsi="Calibri" w:cs="Calibri"/>
        </w:rPr>
        <w:t>Ibid 19.</w:t>
      </w:r>
      <w:r w:rsidRPr="00794E5D">
        <w:rPr>
          <w:rFonts w:cstheme="minorHAnsi"/>
        </w:rPr>
        <w:fldChar w:fldCharType="end"/>
      </w:r>
    </w:p>
  </w:endnote>
  <w:endnote w:id="61">
    <w:p w14:paraId="2E4A27C0" w14:textId="74EDB8B4"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{"citationID":"RTWuUsjE","properties":{"formattedCitation":"Royal Commission into Violence, Abuse, Neglect and Exploitation of People with Disability, \\uc0\\u8216{}Key Terms\\uc0\\u8217{}, {\\i{}Royal Commission into Violence, Abuse, Neglect and Exploitation of People with Disability} &lt;https://disability.royalcommission.gov.au/about-royal-commission/key-terms&gt;.","plainCitation":"Royal Commission into Violence, Abuse, Neglect and Exploitation of People with Disability, ‘Key Terms’, Royal Commission into Violence, Abuse, Neglect and Exploitation of People with Disability &lt;https://disability.royalcommission.gov.au/about-royal-commission/key-terms&gt;.","noteIndex":61},"citationItems":[{"id":5968,"uris":["http://zotero.org/groups/2733877/items/MCXGDVGI"],"uri":["http://zotero.org/groups/2733877/items/MCXGDVGI"],"itemData":{"id":5968,"type":"webpage","abstract":"Discover what words like violence, abuse, neglect and exploitation mean when related to the Disability Royal Commission.","container-title":"Royal Commission into Violence, Abuse, Neglect and Exploitation of People with Disability","language":"en","title":"Key terms","URL":"https://disability.royalcommission.gov.au/about-royal-commission/key-terms","author":[{"family":"Royal Commission into Violence, Abuse, Neglect and Exploitation of People with Disability","given":""}],"accessed":{"date-parts":[["2021",2,1]]}}}],"schema":"https://github.com/citation-style-language/schema/raw/master/csl-citation.json"} </w:instrText>
      </w:r>
      <w:r w:rsidRPr="003F3D6D">
        <w:rPr>
          <w:rFonts w:cstheme="minorHAnsi"/>
        </w:rPr>
        <w:fldChar w:fldCharType="separate"/>
      </w:r>
      <w:r w:rsidRPr="00DA0132">
        <w:rPr>
          <w:rFonts w:ascii="Calibri" w:hAnsi="Calibri" w:cs="Calibri"/>
          <w:szCs w:val="24"/>
        </w:rPr>
        <w:t xml:space="preserve">Royal Commission into Violence, Abuse, Neglect and Exploitation of People with Disability, ‘Key Terms’, </w:t>
      </w:r>
      <w:r w:rsidRPr="00DA0132">
        <w:rPr>
          <w:rFonts w:ascii="Calibri" w:hAnsi="Calibri" w:cs="Calibri"/>
          <w:i/>
          <w:iCs/>
          <w:szCs w:val="24"/>
        </w:rPr>
        <w:t>Royal Commission into Violence, Abuse, Neglect and Exploitation of People with Disability</w:t>
      </w:r>
      <w:r w:rsidRPr="00DA0132">
        <w:rPr>
          <w:rFonts w:ascii="Calibri" w:hAnsi="Calibri" w:cs="Calibri"/>
          <w:szCs w:val="24"/>
        </w:rPr>
        <w:t xml:space="preserve"> &lt;https://disability.royalcommission.gov.au/about-royal-commission/key-terms&gt;.</w:t>
      </w:r>
      <w:r w:rsidRPr="003F3D6D">
        <w:rPr>
          <w:rFonts w:cstheme="minorHAnsi"/>
        </w:rPr>
        <w:fldChar w:fldCharType="end"/>
      </w:r>
    </w:p>
  </w:endnote>
  <w:endnote w:id="62">
    <w:p w14:paraId="09375448" w14:textId="439E17B2"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{"citationID":"IzbPwEx2","properties":{"formattedCitation":"See, for example, Disabled People\\uc0\\u8217{}s Organisations Australia, \\uc0\\u8216{}Ending Violence\\uc0\\u8217{}, {\\i{}Disabled People\\uc0\\u8217{}s Organisations Australia (DPO Australia)} &lt;https://dpoa.org.au/our-work/ending-violence/&gt;; see also Disabled People\\uc0\\u8217{}s Organisation Australia, {\\i{}Civil Society Statement to the Australian Government Calling for a Royal Commission into Violence, Abuse and Neglect of People with Disability} (DPO Australia, 8 June 2017) &lt;https://dpoa.org.au/civil-society-statement-rc/&gt;.","plainCitation":"See, for example, Disabled People’s Organisations Australia, ‘Ending Violence’, Disabled People’s Organisations Australia (DPO Australia) &lt;https://dpoa.org.au/our-work/ending-violence/&gt;; see also Disabled People’s Organisation Australia, Civil Society Statement to the Australian Government Calling for a Royal Commission into Violence, Abuse and Neglect of People with Disability (DPO Australia, 8 June 2017) &lt;https://dpoa.org.au/civil-society-statement-rc/&gt;.","noteIndex":62},"citationItems":[{"id":5927,"uris":["http://zotero.org/groups/2733877/items/SIEIUPPB"],"uri":["http://zotero.org/groups/2733877/items/SIEIUPPB"],"itemData":{"id":5927,"type":"webpage","abstract":"Ending and preventing all forms of violence against people with disability is a core focus of DPO Australia’s work and the work of our four member organisations. DPO Australia and our members have been calling on successive Australian Governments for many years to call an immediate Royal Commission into violence, abuse and neglect of people with disability. DPO…","container-title":"Disabled People's Organisations Australia (DPO Australia)","language":"en-US","title":"Ending Violence","URL":"https://dpoa.org.au/our-work/ending-violence/","author":[{"family":"Disabled People's Organisations Australia","given":""}],"accessed":{"date-parts":[["2021",1,27]]}},"prefix":"See, for example, "},{"id":5926,"uris":["http://zotero.org/groups/2733877/items/KR4AIDGW"],"uri":["http://zotero.org/groups/2733877/items/KR4AIDGW"],"itemData":{"id":5926,"type":"report","abstract":"In May 2017 Disabled People’s Organisations Australia (DPO Australia) coordinated a civil society statement to The Hon Malcom Turnbull, Prime Minister of Australia, calling for the immediate establishment of a Royal Commission into all forms of violence, abuse and neglect against people with disability. The Civil Society Statement was endorsed by over 160 organisations and 383 individuals. The statement…","event-place":"Sydney","language":"en-US","note":"section: News","publisher":"DPO Australia","publisher-place":"Sydney","title":"Civil Society Statement to the Australian Government Calling for a Royal Commission into Violence, Abuse and Neglect of People with Disability","URL":"https://dpoa.org.au/civil-society-statement-rc/","author":[{"family":"Disabled People's Organisation Australia","given":""}],"accessed":{"date-parts":[["2021",1,27]]},"issued":{"date-parts":[["2017",6,8]]}},"prefix":"see also "}],"schema":"https://github.com/citation-style-language/schema/raw/master/csl-citation.json"} </w:instrText>
      </w:r>
      <w:r w:rsidRPr="003F3D6D">
        <w:rPr>
          <w:rFonts w:cstheme="minorHAnsi"/>
        </w:rPr>
        <w:fldChar w:fldCharType="separate"/>
      </w:r>
      <w:r w:rsidRPr="003F3D6D">
        <w:rPr>
          <w:rFonts w:cstheme="minorHAnsi"/>
        </w:rPr>
        <w:t xml:space="preserve">See, for example, Disabled People’s Organisations Australia, ‘Ending Violence’, </w:t>
      </w:r>
      <w:r w:rsidRPr="003F3D6D">
        <w:rPr>
          <w:rFonts w:cstheme="minorHAnsi"/>
          <w:i/>
          <w:iCs/>
        </w:rPr>
        <w:t>Disabled People’s Organisations Australia (DPO Australia)</w:t>
      </w:r>
      <w:r w:rsidRPr="003F3D6D">
        <w:rPr>
          <w:rFonts w:cstheme="minorHAnsi"/>
        </w:rPr>
        <w:t xml:space="preserve"> &lt;https://dpoa.org.au/our-work/ending-violence/&gt;; see also Disabled People’s Organisation Australia, </w:t>
      </w:r>
      <w:r w:rsidRPr="003F3D6D">
        <w:rPr>
          <w:rFonts w:cstheme="minorHAnsi"/>
          <w:i/>
          <w:iCs/>
        </w:rPr>
        <w:t>Civil Society Statement to the Australian Government Calling for a Royal Commission into Violence, Abuse and Neglect of People with Disability</w:t>
      </w:r>
      <w:r w:rsidRPr="003F3D6D">
        <w:rPr>
          <w:rFonts w:cstheme="minorHAnsi"/>
        </w:rPr>
        <w:t xml:space="preserve"> (DPO Australia, 8 June 2017) &lt;https://dpoa.org.au/civil-society-statement-rc/&gt;.</w:t>
      </w:r>
      <w:r w:rsidRPr="003F3D6D">
        <w:rPr>
          <w:rFonts w:cstheme="minorHAnsi"/>
        </w:rPr>
        <w:fldChar w:fldCharType="end"/>
      </w:r>
    </w:p>
  </w:endnote>
  <w:endnote w:id="63">
    <w:p w14:paraId="6089EFF8" w14:textId="246DBB8A"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{"citationID":"sM1Uy43q","properties":{"formattedCitation":"Senate Community Affairs References Committee, \\uc0\\u8216{}Final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Disability\\uc0\\u8217{} (n 22).","plainCitation":"Senate Community Affairs References Committee, ‘Final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 (n 22).","noteIndex":63},"citationItems":[{"id":6011,"uris":["http://zotero.org/groups/2733877/items/LP79CCJJ"],"uri":["http://zotero.org/groups/2733877/items/LP79CCJJ"],"itemData":{"id":6011,"type":"report","abstract":"Report","archive_location":"Australia","language":"en-AU","note":"Last Modified: 2015-11-25\npublisher: corporateName=Commonwealth Parliament; address=Parliament House, Canberra, ACT, 2600; contact=+61 2 6277 7111","title":"Final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disability","URL":"https://www.aph.gov.au/Parliamentary_Business/Committees/Senate/Community_Affairs/Violence_abuse_neglect/Report","author":[{"family":"Senate Community Affairs References Committee","given":""}],"accessed":{"date-parts":[["2021",1,27]]},"issued":{"date-parts":[["2015",11]]}}}],"schema":"https://github.com/citation-style-language/schema/raw/master/csl-citation.json"} </w:instrText>
      </w:r>
      <w:r w:rsidRPr="003F3D6D">
        <w:rPr>
          <w:rFonts w:cstheme="minorHAnsi"/>
        </w:rPr>
        <w:fldChar w:fldCharType="separate"/>
      </w:r>
      <w:r w:rsidRPr="003509C3">
        <w:rPr>
          <w:rFonts w:ascii="Calibri" w:hAnsi="Calibri" w:cs="Calibri"/>
          <w:szCs w:val="24"/>
        </w:rPr>
        <w:t>Senate Community Affairs References Committee, ‘Final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 (n 22).</w:t>
      </w:r>
      <w:r w:rsidRPr="003F3D6D">
        <w:rPr>
          <w:rFonts w:cstheme="minorHAnsi"/>
        </w:rPr>
        <w:fldChar w:fldCharType="end"/>
      </w:r>
    </w:p>
  </w:endnote>
  <w:endnote w:id="64">
    <w:p w14:paraId="10A9CAA4" w14:textId="795A4223"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vIFIPUhY","properties":{"formattedCitation":"Ibid.","plainCitation":"Ibid.","noteIndex":64},"citationItems":[{"id":6011,"uris":["http://zotero.org/groups/2733877/items/LP79CCJJ"],"uri":["http://zotero.org/groups/2733877/items/LP79CCJJ"],"itemData":{"id":6011,"type":"report","abstract":"Report","archive_location":"Australia","language":"en-AU","note":"Last Modified: 2015-11-25\npublisher: corporateName=Commonwealth Parliament; address=Parliament House, Canberra, ACT, 2600; contact=+61 2 6277 7111","title":"Final Report: 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disability","URL":"https://www.aph.gov.au/Parliamentary_Business/Committees/Senate/Community_Affairs/Violence_abuse_neglect/Report","author":[{"family":"Senate Community Affairs References Committee","given":""}],"accessed":{"date-parts":[["2021",1,27]]},"issued":{"date-parts":[["2015",11]]}}}],"schema":"https://github.com/citation-style-language/schema/raw/master/csl-citation.json"}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65">
    <w:p w14:paraId="54E59812" w14:textId="4A918518"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{"citationID":"GtXmf0UX","properties":{"formattedCitation":"Royal Commission into Violence, Abuse, Neglect and Exploitation of People with Disability, \\uc0\\u8216{}Our Terms of Reference\\uc0\\u8217{}, {\\i{}Royal Commission into Violence, Abuse, Neglect and Exploitation of People with Disability} &lt;https://disability.royalcommission.gov.au/about-royal-commission/our-terms-reference&gt;.","plainCitation":"Royal Commission into Violence, Abuse, Neglect and Exploitation of People with Disability, ‘Our Terms of Reference’, Royal Commission into Violence, Abuse, Neglect and Exploitation of People with Disability &lt;https://disability.royalcommission.gov.au/about-royal-commission/our-terms-reference&gt;.","noteIndex":65},"citationItems":[{"id":5924,"uris":["http://zotero.org/groups/2733877/items/PCBU8CVV"],"uri":["http://zotero.org/groups/2733877/items/PCBU8CVV"],"itemData":{"id":5924,"type":"webpage","abstract":"The Terms of Reference set out the Letters Patent – this is the name of the official document that establishes the Royal Commission, appoints its Commissioners and gives us rules for how can operate.","container-title":"Royal Commission into Violence, Abuse, Neglect and Exploitation of People with Disability","language":"en","title":"Our Terms of Reference","URL":"https://disability.royalcommission.gov.au/about-royal-commission/our-terms-reference","author":[{"family":"Royal Commission into Violence, Abuse, Neglect and Exploitation of People with Disability","given":""}],"accessed":{"date-parts":[["2021",1,27]]}}}],"schema":"https://github.com/citation-style-language/schema/raw/master/csl-citation.json"} </w:instrText>
      </w:r>
      <w:r w:rsidRPr="003F3D6D">
        <w:rPr>
          <w:rFonts w:cstheme="minorHAnsi"/>
        </w:rPr>
        <w:fldChar w:fldCharType="separate"/>
      </w:r>
      <w:r w:rsidRPr="008602B7">
        <w:rPr>
          <w:rFonts w:ascii="Calibri" w:hAnsi="Calibri" w:cs="Calibri"/>
          <w:szCs w:val="24"/>
        </w:rPr>
        <w:t xml:space="preserve">Royal Commission into Violence, Abuse, Neglect and Exploitation of People with Disability, ‘Our Terms of Reference’, </w:t>
      </w:r>
      <w:r w:rsidRPr="008602B7">
        <w:rPr>
          <w:rFonts w:ascii="Calibri" w:hAnsi="Calibri" w:cs="Calibri"/>
          <w:i/>
          <w:iCs/>
          <w:szCs w:val="24"/>
        </w:rPr>
        <w:t>Royal Commission into Violence, Abuse, Neglect and Exploitation of People with Disability</w:t>
      </w:r>
      <w:r w:rsidRPr="008602B7">
        <w:rPr>
          <w:rFonts w:ascii="Calibri" w:hAnsi="Calibri" w:cs="Calibri"/>
          <w:szCs w:val="24"/>
        </w:rPr>
        <w:t xml:space="preserve"> &lt;https://disability.royalcommission.gov.au/about-royal-commission/our-terms-reference&gt;.</w:t>
      </w:r>
      <w:r w:rsidRPr="003F3D6D">
        <w:rPr>
          <w:rFonts w:cstheme="minorHAnsi"/>
        </w:rPr>
        <w:fldChar w:fldCharType="end"/>
      </w:r>
    </w:p>
  </w:endnote>
  <w:endnote w:id="66">
    <w:p w14:paraId="39C83D1C" w14:textId="005A60F8"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{"citationID":"IZjC8atQ","properties":{"formattedCitation":"Ibid para (e).","plainCitation":"Ibid para (e).","noteIndex":66},"citationItems":[{"id":5924,"uris":["http://zotero.org/groups/2733877/items/PCBU8CVV"],"uri":["http://zotero.org/groups/2733877/items/PCBU8CVV"],"itemData":{"id":5924,"type":"webpage","abstract":"The Terms of Reference set out the Letters Patent – this is the name of the official document that establishes the Royal Commission, appoints its Commissioners and gives us rules for how can operate.","container-title":"Royal Commission into Violence, Abuse, Neglect and Exploitation of People with Disability","language":"en","title":"Our Terms of Reference","URL":"https://disability.royalcommission.gov.au/about-royal-commission/our-terms-reference","author":[{"family":"Royal Commission into Violence, Abuse, Neglect and Exploitation of People with Disability","given":""}],"accessed":{"date-parts":[["2021",1,27]]}},"locator":"para (e)"}],"schema":"https://github.com/citation-style-language/schema/raw/master/csl-citation.json"} </w:instrText>
      </w:r>
      <w:r w:rsidRPr="003F3D6D">
        <w:rPr>
          <w:rFonts w:cstheme="minorHAnsi"/>
        </w:rPr>
        <w:fldChar w:fldCharType="separate"/>
      </w:r>
      <w:r w:rsidRPr="003F3D6D">
        <w:rPr>
          <w:rFonts w:cstheme="minorHAnsi"/>
        </w:rPr>
        <w:t>Ibid para (e).</w:t>
      </w:r>
      <w:r w:rsidRPr="003F3D6D">
        <w:rPr>
          <w:rFonts w:cstheme="minorHAnsi"/>
        </w:rPr>
        <w:fldChar w:fldCharType="end"/>
      </w:r>
    </w:p>
  </w:endnote>
  <w:endnote w:id="67">
    <w:p w14:paraId="43CF8F4A" w14:textId="03ED2214"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{"citationID":"oZwA3ESy","properties":{"formattedCitation":"Ibid para (g).","plainCitation":"Ibid para (g).","noteIndex":67},"citationItems":[{"id":5924,"uris":["http://zotero.org/groups/2733877/items/PCBU8CVV"],"uri":["http://zotero.org/groups/2733877/items/PCBU8CVV"],"itemData":{"id":5924,"type":"webpage","abstract":"The Terms of Reference set out the Letters Patent – this is the name of the official document that establishes the Royal Commission, appoints its Commissioners and gives us rules for how can operate.","container-title":"Royal Commission into Violence, Abuse, Neglect and Exploitation of People with Disability","language":"en","title":"Our Terms of Reference","URL":"https://disability.royalcommission.gov.au/about-royal-commission/our-terms-reference","author":[{"family":"Royal Commission into Violence, Abuse, Neglect and Exploitation of People with Disability","given":""}],"accessed":{"date-parts":[["2021",1,27]]}},"locator":"para (g)"}],"schema":"https://github.com/citation-style-language/schema/raw/master/csl-citation.json"} </w:instrText>
      </w:r>
      <w:r w:rsidRPr="003F3D6D">
        <w:rPr>
          <w:rFonts w:cstheme="minorHAnsi"/>
        </w:rPr>
        <w:fldChar w:fldCharType="separate"/>
      </w:r>
      <w:r w:rsidRPr="003F3D6D">
        <w:rPr>
          <w:rFonts w:cstheme="minorHAnsi"/>
          <w:noProof/>
        </w:rPr>
        <w:t>Ibid para (g).</w:t>
      </w:r>
      <w:r w:rsidRPr="003F3D6D">
        <w:rPr>
          <w:rFonts w:cstheme="minorHAnsi"/>
        </w:rPr>
        <w:fldChar w:fldCharType="end"/>
      </w:r>
    </w:p>
  </w:endnote>
  <w:endnote w:id="68">
    <w:p w14:paraId="2168AEF1" w14:textId="2D8D17F0"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{"citationID":"2DDmDqCh","properties":{"formattedCitation":"Committee on the Rights of Persons with Disabilities, \\uc0\\u8216{}Concluding Observations on the Combined Second and Third Periodic Reports of Australia, Adopted by the Committee at Its 511th Meeting (20 September 2019) of the 22nd Session\\uc0\\u8217{} (n 14).","plainCitation":"Committee on the Rights of Persons with Disabilities, ‘Concluding Observations on the Combined Second and Third Periodic Reports of Australia, Adopted by the Committee at Its 511th Meeting (20 September 2019) of the 22nd Session’ (n 14).","noteIndex":68},"citationItems":[{"id":5930,"uris":["http://zotero.org/groups/2733877/items/22NEYWVV"],"uri":["http://zotero.org/groups/2733877/items/22NEYWVV"],"itemData":{"id":5930,"type":"report","collection-title":"UN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Disabilities","given":""}],"issued":{"date-parts":[["2019",10,15]]}}}],"schema":"https://github.com/citation-style-language/schema/raw/master/csl-citation.json"} </w:instrText>
      </w:r>
      <w:r w:rsidRPr="003F3D6D">
        <w:rPr>
          <w:rFonts w:cstheme="minorHAnsi"/>
        </w:rPr>
        <w:fldChar w:fldCharType="separate"/>
      </w:r>
      <w:r w:rsidRPr="00C27B33">
        <w:rPr>
          <w:rFonts w:ascii="Calibri" w:hAnsi="Calibri" w:cs="Calibri"/>
          <w:szCs w:val="24"/>
        </w:rPr>
        <w:t>Committee on the Rights of Persons with Disabilities, ‘Concluding Observations on the Combined Second and Third Periodic Reports of Australia, Adopted by the Committee at Its 511th Meeting (20 September 2019) of the 22nd Session’ (n 14).</w:t>
      </w:r>
      <w:r w:rsidRPr="003F3D6D">
        <w:rPr>
          <w:rFonts w:cstheme="minorHAnsi"/>
        </w:rPr>
        <w:fldChar w:fldCharType="end"/>
      </w:r>
    </w:p>
  </w:endnote>
  <w:endnote w:id="69">
    <w:p w14:paraId="6AD44280" w14:textId="536E1096"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{"citationID":"NgKNOvfU","properties":{"formattedCitation":"Royal Commission into Violence, Abuse, Neglect and Exploitation of People with Disability, {\\i{}Interim Report} (Commonwealth of Australia, October 2020) 257 &lt;https://disability.royalcommission.gov.au/publications/interim-report&gt;.","plainCitation":"Royal Commission into Violence, Abuse, Neglect and Exploitation of People with Disability, Interim Report (Commonwealth of Australia, October 2020) 257 &lt;https://disability.royalcommission.gov.au/publications/interim-report&gt;.","noteIndex":69},"citationItems":[{"id":5967,"uris":["http://zotero.org/groups/2733877/items/NSCKRVDK"],"uri":["http://zotero.org/groups/2733877/items/NSCKRVDK"],"itemData":{"id":5967,"type":"report","abstract":"Annotation.","event-place":"Brisbane","language":"en","note":"OCLC: 1230218362","publisher":"Commonwealth of Australia","publisher-place":"Brisbane","source":"Open WorldCat","title":"Interim Report","URL":"https://disability.royalcommission.gov.au/publications/interim-report","author":[{"family":"Royal Commission into Violence, Abuse, Neglect and Exploitation of People with Disability","given":""}],"issued":{"date-parts":[["2020",10]]}},"locator":"257"}],"schema":"https://github.com/citation-style-language/schema/raw/master/csl-citation.json"} </w:instrText>
      </w:r>
      <w:r w:rsidRPr="003F3D6D">
        <w:rPr>
          <w:rFonts w:cstheme="minorHAnsi"/>
        </w:rPr>
        <w:fldChar w:fldCharType="separate"/>
      </w:r>
      <w:r w:rsidRPr="008602B7">
        <w:rPr>
          <w:rFonts w:ascii="Calibri" w:hAnsi="Calibri" w:cs="Calibri"/>
          <w:szCs w:val="24"/>
        </w:rPr>
        <w:t xml:space="preserve">Royal Commission into Violence, Abuse, Neglect and Exploitation of People with Disability, </w:t>
      </w:r>
      <w:r w:rsidRPr="008602B7">
        <w:rPr>
          <w:rFonts w:ascii="Calibri" w:hAnsi="Calibri" w:cs="Calibri"/>
          <w:i/>
          <w:iCs/>
          <w:szCs w:val="24"/>
        </w:rPr>
        <w:t>Interim Report</w:t>
      </w:r>
      <w:r w:rsidRPr="008602B7">
        <w:rPr>
          <w:rFonts w:ascii="Calibri" w:hAnsi="Calibri" w:cs="Calibri"/>
          <w:szCs w:val="24"/>
        </w:rPr>
        <w:t xml:space="preserve"> (Commonwealth of Australia, October 2020) 257 &lt;https://disability.royalcommission.gov.au/publications/interim-report&gt;.</w:t>
      </w:r>
      <w:r w:rsidRPr="003F3D6D">
        <w:rPr>
          <w:rFonts w:cstheme="minorHAnsi"/>
        </w:rPr>
        <w:fldChar w:fldCharType="end"/>
      </w:r>
    </w:p>
  </w:endnote>
  <w:endnote w:id="70">
    <w:p w14:paraId="02882BE3" w14:textId="3F2A5995" w:rsidR="00A00236" w:rsidRPr="006D4714" w:rsidRDefault="00A00236">
      <w:pPr>
        <w:pStyle w:val="EndnoteText"/>
        <w:rPr>
          <w:lang w:val="en-AU"/>
        </w:rPr>
      </w:pPr>
      <w:r>
        <w:rPr>
          <w:rStyle w:val="EndnoteReference"/>
        </w:rPr>
        <w:endnoteRef/>
      </w:r>
      <w:r>
        <w:t xml:space="preserve"> </w:t>
      </w:r>
      <w:r>
        <w:fldChar w:fldCharType="begin"/>
      </w:r>
      <w:r>
        <w:instrText xml:space="preserve"> ADDIN ZOTERO_ITEM CSL_CITATION {"citationID":"hLZYivCN","properties":{"formattedCitation":"Jess Cadwallader, Anne Kavanagh and Sally Robinson, \\uc0\\u8216{}We Count What Matters, and Violence Against People with Disability Matters\\uc0\\u8217{}, {\\i{}The Conversation} (27 November 2015) &lt;https://theconversation.com/we-count-what-matters-and-violence-against-people-with-disability-matters-51320&gt;.","plainCitation":"Jess Cadwallader, Anne Kavanagh and Sally Robinson, ‘We Count What Matters, and Violence Against People with Disability Matters’, The Conversation (27 November 2015) &lt;https://theconversation.com/we-count-what-matters-and-violence-against-people-with-disability-matters-51320&gt;.","noteIndex":70},"citationItems":[{"id":6147,"uris":["http://zotero.org/groups/2733877/items/48JE7U8A"],"uri":["http://zotero.org/groups/2733877/items/48JE7U8A"],"itemData":{"id":6147,"type":"post-weblog","container-title":"The Conversation","title":"We Count What Matters, and Violence Against People with Disability Matters","URL":"https://theconversation.com/we-count-what-matters-and-violence-against-people-with-disability-matters-51320","author":[{"family":"Cadwallader","given":"Jess"},{"family":"Kavanagh","given":"Anne"},{"family":"Robinson","given":"Sally"}],"issued":{"date-parts":[["2015",11,27]]}}}],"schema":"https://github.com/citation-style-language/schema/raw/master/csl-citation.json"} </w:instrText>
      </w:r>
      <w:r>
        <w:fldChar w:fldCharType="separate"/>
      </w:r>
      <w:r w:rsidRPr="006D4714">
        <w:rPr>
          <w:rFonts w:ascii="Calibri" w:hAnsi="Calibri" w:cs="Calibri"/>
          <w:szCs w:val="24"/>
        </w:rPr>
        <w:t xml:space="preserve">Jess Cadwallader, Anne Kavanagh and Sally Robinson, ‘We Count What Matters, and Violence Against People with Disability Matters’, </w:t>
      </w:r>
      <w:r w:rsidRPr="006D4714">
        <w:rPr>
          <w:rFonts w:ascii="Calibri" w:hAnsi="Calibri" w:cs="Calibri"/>
          <w:i/>
          <w:iCs/>
          <w:szCs w:val="24"/>
        </w:rPr>
        <w:t>The Conversation</w:t>
      </w:r>
      <w:r w:rsidRPr="006D4714">
        <w:rPr>
          <w:rFonts w:ascii="Calibri" w:hAnsi="Calibri" w:cs="Calibri"/>
          <w:szCs w:val="24"/>
        </w:rPr>
        <w:t xml:space="preserve"> (27 November 2015) &lt;https://theconversation.com/we-count-what-matters-and-violence-against-people-with-disability-matters-51320&gt;.</w:t>
      </w:r>
      <w:r>
        <w:fldChar w:fldCharType="end"/>
      </w:r>
    </w:p>
  </w:endnote>
  <w:endnote w:id="71">
    <w:p w14:paraId="41B5B9D0" w14:textId="3526A9E0"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{"citationID":"C7yqJSv2","properties":{"formattedCitation":"See, for example, Carolyn Frohmader, Leanne Dowse and Aminath Didi, {\\i{}Preventing Violence Against Women and Girls with Disabilities: Integrating A Human Rights Perspective} (Women With Disabilities Australia, 2015) &lt;https://wwda.org.au/wp-content/uploads/2013/12/Think_Piece_Revised_Edition.pdf&gt;; see also Disabled People\\uc0\\u8217{}s Organisation Australia, National Women\\uc0\\u8217{}s Alliances and Carolyn Frohmader, {\\i{}The Status of Women and Girls with Disability in Australia: Position Statement to the Commission on the Status of Women (CSW) Twenty-Fifth Anniversary of the Fourth World Conference on Women and The Beijing Declaration and Platform for Action} (November 2019) &lt;https://awava.org.au/2019/12/17/research-and-reports/position-paper-the-status-of-women-and-girls-with-disability-in-australia&gt;.","plainCitation":"See, for example, Carolyn Frohmader, Leanne Dowse and Aminath Didi, Preventing Violence Against Women and Girls with Disabilities: Integrating A Human Rights Perspective (Women With Disabilities Australia, 2015) &lt;https://wwda.org.au/wp-content/uploads/2013/12/Think_Piece_Revised_Edition.pdf&gt;; see also Disabled People’s Organisation Australia, National Women’s Alliances and Carolyn Frohmader, The Status of Women and Girls with Disability in Australia: Position Statement to the Commission on the Status of Women (CSW) Twenty-Fifth Anniversary of the Fourth World Conference on Women and The Beijing Declaration and Platform for Action (November 2019) &lt;https://awava.org.au/2019/12/17/research-and-reports/position-paper-the-status-of-women-and-girls-with-disability-in-australia&gt;.","noteIndex":71},"citationItems":[{"id":5988,"uris":["http://zotero.org/groups/2733877/items/BKM3VIZJ"],"uri":["http://zotero.org/groups/2733877/items/BKM3VIZJ"],"itemData":{"id":5988,"type":"report","event-place":"Hobart, Tasmania","publisher":"Women With Disabilities Australia","publisher-place":"Hobart, Tasmania","title":"Preventing Violence Against Women and Girls with Disabilities: Integrating A Human Rights Perspective","URL":"https://wwda.org.au/wp-content/uploads/2013/12/Think_Piece_Revised_Edition.pdf","author":[{"family":"Frohmader","given":"Carolyn"},{"family":"Dowse","given":"Leanne"},{"family":"Didi","given":"Aminath"}],"issued":{"date-parts":[["2015"]]}},"prefix":"See, for example, "},{"id":5987,"uris":["http://zotero.org/groups/2733877/items/32L96MQZ"],"uri":["http://zotero.org/groups/2733877/items/32L96MQZ"],"itemData":{"id":5987,"type":"report","title":"The Status of Women and Girls with Disability in Australia: Position Statement to the Commission on the Status of Women (CSW) Twenty-Fifth Anniversary of the Fourth World Conference on Women and The Beijing Declaration and Platform for Action","URL":"https://awava.org.au/2019/12/17/research-and-reports/position-paper-the-status-of-women-and-girls-with-disability-in-australia","author":[{"family":"Disabled People's Organisation Australia","given":""},{"family":"National Women's Alliances","given":""},{"family":"Frohmader","given":"Carolyn"}],"issued":{"date-parts":[["2019",11]]}},"prefix":"see also"}],"schema":"https://github.com/citation-style-language/schema/raw/master/csl-citation.json"} </w:instrText>
      </w:r>
      <w:r w:rsidRPr="003F3D6D">
        <w:rPr>
          <w:rFonts w:cstheme="minorHAnsi"/>
        </w:rPr>
        <w:fldChar w:fldCharType="separate"/>
      </w:r>
      <w:r w:rsidRPr="003F3D6D">
        <w:rPr>
          <w:rFonts w:cstheme="minorHAnsi"/>
        </w:rPr>
        <w:t xml:space="preserve">See, for example, Carolyn Frohmader, Leanne Dowse and Aminath Didi, </w:t>
      </w:r>
      <w:r w:rsidRPr="003F3D6D">
        <w:rPr>
          <w:rFonts w:cstheme="minorHAnsi"/>
          <w:i/>
          <w:iCs/>
        </w:rPr>
        <w:t>Preventing Violence Against Women and Girls with Disabilities: Integrating A Human Rights Perspective</w:t>
      </w:r>
      <w:r w:rsidRPr="003F3D6D">
        <w:rPr>
          <w:rFonts w:cstheme="minorHAnsi"/>
        </w:rPr>
        <w:t xml:space="preserve"> (Women With Disabilities Australia, 2015) &lt;https://wwda.org.au/wp-content/uploads/2013/12/Think_Piece_Revised_Edition.pdf&gt;; see also Disabled People’s Organisation Australia, National Women’s Alliances and Carolyn Frohmader, </w:t>
      </w:r>
      <w:r w:rsidRPr="003F3D6D">
        <w:rPr>
          <w:rFonts w:cstheme="minorHAnsi"/>
          <w:i/>
          <w:iCs/>
        </w:rPr>
        <w:t>The Status of Women and Girls with Disability in Australia: Position Statement to the Commission on the Status of Women (CSW) Twenty-Fifth Anniversary of the Fourth World Conference on Women and The Beijing Declaration and Platform for Action</w:t>
      </w:r>
      <w:r w:rsidRPr="003F3D6D">
        <w:rPr>
          <w:rFonts w:cstheme="minorHAnsi"/>
        </w:rPr>
        <w:t xml:space="preserve"> (November 2019) &lt;https://awava.org.au/2019/12/17/research-and-reports/position-paper-the-status-of-women-and-girls-with-disability-in-australia&gt;.</w:t>
      </w:r>
      <w:r w:rsidRPr="003F3D6D">
        <w:rPr>
          <w:rFonts w:cstheme="minorHAnsi"/>
        </w:rPr>
        <w:fldChar w:fldCharType="end"/>
      </w:r>
    </w:p>
  </w:endnote>
  <w:endnote w:id="72">
    <w:p w14:paraId="73A63C92" w14:textId="3BAD4E2F"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{"citationID":"xCSfLoFl","properties":{"formattedCitation":"National Cross-Disability Disabled People\\uc0\\u8217{}s Organisations and Carolyn Frohmader, {\\i{}Joint Submission from National Cross-Disability Disabled People\\uc0\\u8217{}s Organisations (DPO\\uc0\\u8217{}s) to the Senate Standing Committee on Finance and Public Administration \\uc0\\u8216{}Inquiry into Domestic Violence in Australia\\uc0\\u8217{}} (National Cross-Disability Organisations, September 2014).","plainCitation":"National Cross-Disability Disabled People’s Organisations and Carolyn Frohmader, Joint Submission from National Cross-Disability Disabled People’s Organisations (DPO’s) to the Senate Standing Committee on Finance and Public Administration ‘Inquiry into Domestic Violence in Australia’ (National Cross-Disability Organisations, September 2014).","noteIndex":72},"citationItems":[{"id":5984,"uris":["http://zotero.org/groups/2733877/items/GFK5RSXD"],"uri":["http://zotero.org/groups/2733877/items/GFK5RSXD"],"itemData":{"id":5984,"type":"report","publisher":"National Cross-Disability Organisations","title":"Joint Submission from National Cross-Disability Disabled People's Organisations (DPO's) to the Senate Standing Committee on Finance and Public Administration 'Inquiry into Domestic Violence in Australia'","author":[{"family":"National Cross-Disability Disabled People's Organisations","given":""},{"family":"Frohmader","given":"Carolyn"}],"issued":{"date-parts":[["2014",9]]}}}],"schema":"https://github.com/citation-style-language/schema/raw/master/csl-citation.json"} </w:instrText>
      </w:r>
      <w:r w:rsidRPr="003F3D6D">
        <w:rPr>
          <w:rFonts w:cstheme="minorHAnsi"/>
        </w:rPr>
        <w:fldChar w:fldCharType="separate"/>
      </w:r>
      <w:r w:rsidRPr="003F3D6D">
        <w:rPr>
          <w:rFonts w:cstheme="minorHAnsi"/>
        </w:rPr>
        <w:t xml:space="preserve">National Cross-Disability Disabled People’s Organisations and Carolyn Frohmader, </w:t>
      </w:r>
      <w:r w:rsidRPr="003F3D6D">
        <w:rPr>
          <w:rFonts w:cstheme="minorHAnsi"/>
          <w:i/>
          <w:iCs/>
        </w:rPr>
        <w:t>Joint Submission from National Cross-Disability Disabled People’s Organisations (DPO’s) to the Senate Standing Committee on Finance and Public Administration ‘Inquiry into Domestic Violence in Australia’</w:t>
      </w:r>
      <w:r w:rsidRPr="003F3D6D">
        <w:rPr>
          <w:rFonts w:cstheme="minorHAnsi"/>
        </w:rPr>
        <w:t xml:space="preserve"> (National Cross-Disability Organisations, September 2014).</w:t>
      </w:r>
      <w:r w:rsidRPr="003F3D6D">
        <w:rPr>
          <w:rFonts w:cstheme="minorHAnsi"/>
        </w:rPr>
        <w:fldChar w:fldCharType="end"/>
      </w:r>
    </w:p>
  </w:endnote>
  <w:endnote w:id="73">
    <w:p w14:paraId="4B6EAF57" w14:textId="297E75A3"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{"citationID":"cXYHznpH","properties":{"formattedCitation":"L Dowse et al, {\\i{}Stop the Violence: Addressing Violence Against Women and Girls with DIsabilities in Australia} (Background Paper, Women With Disabilities Australia, 25 October 2013) 98; see also Women With Disabilities Australia, {\\i{}Stop the Violence: Report of the Proceedings and Outcomes - National Symposium on Violence Against Women and Girls with Disabilities} (Outcomes Paper, Women With Disabilities Australia, 25 October 2013) 38.","plainCitation":"L Dowse et al, Stop the Violence: Addressing Violence Against Women and Girls with DIsabilities in Australia (Background Paper, Women With Disabilities Australia, 25 October 2013) 98; see also Women With Disabilities Australia, Stop the Violence: Report of the Proceedings and Outcomes - National Symposium on Violence Against Women and Girls with Disabilities (Outcomes Paper, Women With Disabilities Australia, 25 October 2013) 38.","noteIndex":73},"citationItems":[{"id":5983,"uris":["http://zotero.org/groups/2733877/items/E5HUUZIP"],"uri":["http://zotero.org/groups/2733877/items/E5HUUZIP"],"itemData":{"id":5983,"type":"report","event-place":"Hobart","genre":"Background Paper","language":"en","page":"98","publisher":"Women With Disabilities Australia","publisher-place":"Hobart","source":"Zotero","title":"Stop the Violence: Addressing Violence Against Women and Girls with DIsabilities in Australia","author":[{"family":"Dowse","given":"L"},{"family":"Soldatic","given":"K"},{"family":"Didi","given":"A"},{"family":"Frohmader","given":"C"},{"family":"Toorn","given":"G","non-dropping-particle":"van"}],"issued":{"date-parts":[["2013",10,25]]}}},{"id":6205,"uris":["http://zotero.org/groups/2733877/items/RXKNI336"],"uri":["http://zotero.org/groups/2733877/items/RXKNI336"],"itemData":{"id":6205,"type":"report","event-place":"Sydney","genre":"Outcomes Paper","language":"en","page":"38","publisher":"Women With Disabilities Australia","publisher-place":"Sydney","source":"Zotero","title":"Stop the Violence: Report of the Proceedings and Outcomes - National Symposium on Violence Against Women and Girls with Disabilities","author":[{"family":"Women With Disabilities Australia","given":""}],"issued":{"date-parts":[["2013",10,25]]}},"prefix":"see also"}],"schema":"https://github.com/citation-style-language/schema/raw/master/csl-citation.json"} </w:instrText>
      </w:r>
      <w:r w:rsidRPr="003F3D6D">
        <w:rPr>
          <w:rFonts w:cstheme="minorHAnsi"/>
        </w:rPr>
        <w:fldChar w:fldCharType="separate"/>
      </w:r>
      <w:r w:rsidRPr="003F3D6D">
        <w:rPr>
          <w:rFonts w:cstheme="minorHAnsi"/>
        </w:rPr>
        <w:t xml:space="preserve">L Dowse et al, </w:t>
      </w:r>
      <w:r w:rsidRPr="003F3D6D">
        <w:rPr>
          <w:rFonts w:cstheme="minorHAnsi"/>
          <w:i/>
          <w:iCs/>
        </w:rPr>
        <w:t>Stop the Violence: Addressing Violence Against Women and Girls with DIsabilities in Australia</w:t>
      </w:r>
      <w:r w:rsidRPr="003F3D6D">
        <w:rPr>
          <w:rFonts w:cstheme="minorHAnsi"/>
        </w:rPr>
        <w:t xml:space="preserve"> (Background Paper, Women With Disabilities Australia, 25 October 2013) 98; see also Women With Disabilities Australia, </w:t>
      </w:r>
      <w:r w:rsidRPr="003F3D6D">
        <w:rPr>
          <w:rFonts w:cstheme="minorHAnsi"/>
          <w:i/>
          <w:iCs/>
        </w:rPr>
        <w:t>Stop the Violence: Report of the Proceedings and Outcomes - National Symposium on Violence Against Women and Girls with Disabilities</w:t>
      </w:r>
      <w:r w:rsidRPr="003F3D6D">
        <w:rPr>
          <w:rFonts w:cstheme="minorHAnsi"/>
        </w:rPr>
        <w:t xml:space="preserve"> (Outcomes Paper, Women With Disabilities Australia, 25 October 2013) 38.</w:t>
      </w:r>
      <w:r w:rsidRPr="003F3D6D">
        <w:rPr>
          <w:rFonts w:cstheme="minorHAnsi"/>
        </w:rPr>
        <w:fldChar w:fldCharType="end"/>
      </w:r>
    </w:p>
  </w:endnote>
  <w:endnote w:id="74">
    <w:p w14:paraId="704971A5" w14:textId="033C6314"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{"citationID":"fFjvkqRl","properties":{"formattedCitation":"See, for example, Patsie Frawley, Sue Dyson and Sally Robinson, {\\i{}Whatever It Takes? Access for Women with Disabilities to Domestic and Family Violence Services: Key Findings and Future Directions} (Compass Issue 5, ANROWS, 2017) 30; see also Jane Maree Maher et al, {\\i{}Women, Disability and Violence: Barriers to Accessing Justice} (Final Report, ANROWS, 2018) &lt;https://www.anrows.org.au/publications/horizons/women-disability-and-violence-barriers-accessing-justice-final-report&gt;.","plainCitation":"See, for example, Patsie Frawley, Sue Dyson and Sally Robinson, Whatever It Takes? Access for Women with Disabilities to Domestic and Family Violence Services: Key Findings and Future Directions (Compass Issue 5, ANROWS, 2017) 30; see also Jane Maree Maher et al, Women, Disability and Violence: Barriers to Accessing Justice (Final Report, ANROWS, 2018) &lt;https://www.anrows.org.au/publications/horizons/women-disability-and-violence-barriers-accessing-justice-final-report&gt;.","noteIndex":74},"citationItems":[{"id":6191,"uris":["http://zotero.org/groups/2733877/items/RFS5N7YZ"],"uri":["http://zotero.org/groups/2733877/items/RFS5N7YZ"],"itemData":{"id":6191,"type":"report","event-place":"Sydney","genre":"Compass Issue 5","page":"30","publisher":"ANROWS","publisher-place":"Sydney","title":"Whatever it takes? Access for women with disabilities to domestic and family violence services: Key findings and future directions","author":[{"family":"Frawley","given":"Patsie"},{"family":"Dyson","given":"Sue"},{"family":"Robinson","given":"Sally"}],"issued":{"date-parts":[["2017"]]}},"prefix":"See, for example, "},{"id":6212,"uris":["http://zotero.org/groups/2733877/items/9V3WRJYS"],"uri":["http://zotero.org/groups/2733877/items/9V3WRJYS"],"itemData":{"id":6212,"type":"report","abstract":"This report explores how women with disability seek justice, redress, and support after experiencing violence - particularly sexual assault and intimate partner violence - and the pathways and barriers they encounter. It also examines how these women position and interpret experiences of violence in relation to their disability, the mechanisms and factors that lead to incidences of violence being reported, and their experiences of the service and justice systems. It draws on a small study with 36 women and 18 service providers in New South Wales and Victoria. The key findings for policy and practice are also discussed.","event-place":"Sydney","genre":"Final Report","language":"en","note":"OCLC: 1032597196","publisher":"ANROWS","publisher-place":"Sydney","source":"Open WorldCat","title":"Women, disability and violence: Barriers to accessing justice","URL":"https://www.anrows.org.au/publications/horizons/women-disability-and-violence-barriers-accessing-justice-final-report","author":[{"family":"Maher","given":"Jane Maree"},{"family":"Spivakovsky","given":"Claire"},{"family":"McCulloch","given":"Jude"},{"family":"McGowan","given":"Jasmine"},{"family":"Beavis","given":"Kara"},{"family":"Lea","given":"Meredith"},{"family":"Cadwallader","given":"Jess"},{"family":"Sands","given":"Therese"},{"literal":"Monash University"},{"literal":"People With Disability Australia Inc"},{"literal":"Australia's National Research Organisation for Women's Safety Limited"}],"accessed":{"date-parts":[["2021",1,28]]},"issued":{"date-parts":[["2018"]]}},"prefix":"see also"}],"schema":"https://github.com/citation-style-language/schema/raw/master/csl-citation.json"} </w:instrText>
      </w:r>
      <w:r w:rsidRPr="003F3D6D">
        <w:rPr>
          <w:rFonts w:cstheme="minorHAnsi"/>
        </w:rPr>
        <w:fldChar w:fldCharType="separate"/>
      </w:r>
      <w:r w:rsidRPr="003F3D6D">
        <w:rPr>
          <w:rFonts w:cstheme="minorHAnsi"/>
        </w:rPr>
        <w:t xml:space="preserve">See, for example, Patsie Frawley, Sue Dyson and Sally Robinson, </w:t>
      </w:r>
      <w:r w:rsidRPr="003F3D6D">
        <w:rPr>
          <w:rFonts w:cstheme="minorHAnsi"/>
          <w:i/>
          <w:iCs/>
        </w:rPr>
        <w:t>Whatever It Takes? Access for Women with Disabilities to Domestic and Family Violence Services: Key Findings and Future Directions</w:t>
      </w:r>
      <w:r w:rsidRPr="003F3D6D">
        <w:rPr>
          <w:rFonts w:cstheme="minorHAnsi"/>
        </w:rPr>
        <w:t xml:space="preserve"> (Compass Issue 5, ANROWS, 2017) 30; see also Jane Maree Maher et al, </w:t>
      </w:r>
      <w:r w:rsidRPr="003F3D6D">
        <w:rPr>
          <w:rFonts w:cstheme="minorHAnsi"/>
          <w:i/>
          <w:iCs/>
        </w:rPr>
        <w:t>Women, Disability and Violence: Barriers to Accessing Justice</w:t>
      </w:r>
      <w:r w:rsidRPr="003F3D6D">
        <w:rPr>
          <w:rFonts w:cstheme="minorHAnsi"/>
        </w:rPr>
        <w:t xml:space="preserve"> (Final Report, ANROWS, 2018) &lt;https://www.anrows.org.au/publications/horizons/women-disability-and-violence-barriers-accessing-justice-final-report&gt;.</w:t>
      </w:r>
      <w:r w:rsidRPr="003F3D6D">
        <w:rPr>
          <w:rFonts w:cstheme="minorHAnsi"/>
        </w:rPr>
        <w:fldChar w:fldCharType="end"/>
      </w:r>
    </w:p>
  </w:endnote>
  <w:endnote w:id="75">
    <w:p w14:paraId="4C99CD5D" w14:textId="282D9DE1"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{"citationID":"samuY2OM","properties":{"formattedCitation":"Frohmader, Dowse and Didi (n 71) (revised and updated version).","plainCitation":"Frohmader, Dowse and Didi (n 71) (revised and updated version).","noteIndex":75},"citationItems":[{"id":5988,"uris":["http://zotero.org/groups/2733877/items/BKM3VIZJ"],"uri":["http://zotero.org/groups/2733877/items/BKM3VIZJ"],"itemData":{"id":5988,"type":"report","event-place":"Hobart, Tasmania","publisher":"Women With Disabilities Australia","publisher-place":"Hobart, Tasmania","title":"Preventing Violence Against Women and Girls with Disabilities: Integrating A Human Rights Perspective","URL":"https://wwda.org.au/wp-content/uploads/2013/12/Think_Piece_Revised_Edition.pdf","author":[{"family":"Frohmader","given":"Carolyn"},{"family":"Dowse","given":"Leanne"},{"family":"Didi","given":"Aminath"}],"issued":{"date-parts":[["2015"]]}},"suffix":" (revised and updated version)"}],"schema":"https://github.com/citation-style-language/schema/raw/master/csl-citation.json"} </w:instrText>
      </w:r>
      <w:r w:rsidRPr="003F3D6D">
        <w:rPr>
          <w:rFonts w:cstheme="minorHAnsi"/>
        </w:rPr>
        <w:fldChar w:fldCharType="separate"/>
      </w:r>
      <w:r w:rsidRPr="00794E5D">
        <w:rPr>
          <w:rFonts w:ascii="Calibri" w:hAnsi="Calibri" w:cs="Calibri"/>
        </w:rPr>
        <w:t>Frohmader, Dowse and Didi (n 71) (revised and updated version).</w:t>
      </w:r>
      <w:r w:rsidRPr="003F3D6D">
        <w:rPr>
          <w:rFonts w:cstheme="minorHAnsi"/>
        </w:rPr>
        <w:fldChar w:fldCharType="end"/>
      </w:r>
    </w:p>
  </w:endnote>
  <w:endnote w:id="76">
    <w:p w14:paraId="53FC9E82" w14:textId="1D918A14" w:rsidR="00A00236" w:rsidRPr="00D93FD7" w:rsidRDefault="00A00236">
      <w:pPr>
        <w:pStyle w:val="EndnoteText"/>
        <w:rPr>
          <w:lang w:val="en-AU"/>
        </w:rPr>
      </w:pPr>
      <w:r>
        <w:rPr>
          <w:rStyle w:val="EndnoteReference"/>
        </w:rPr>
        <w:endnoteRef/>
      </w:r>
      <w:r>
        <w:t xml:space="preserve"> </w:t>
      </w:r>
      <w:r>
        <w:fldChar w:fldCharType="begin"/>
      </w:r>
      <w:r>
        <w:instrText xml:space="preserve"> ADDIN ZOTERO_ITEM CSL_CITATION {"citationID":"wGrn2MXN","properties":{"formattedCitation":"Centre of Research Excellence in Disability and Health (CRE-DH), {\\i{}Nature and Extent of Violence, Abuse, Neglect and Exploitation against People with Disability in Australia} (Royal Commission into Violence, Abuse, Neglect and Exploitation of People with Disability, March 2021) 6 &lt;https://disability.royalcommission.gov.au/system/files/2021-03/Research%20Report%20-%20Nature%20and%20extent%20of%20violence%2C%20abuse%2C%20neglect%20and%20exploitation%20against%20people%20with%20disability%20in%20Australia.pdf&gt;.","plainCitation":"Centre of Research Excellence in Disability and Health (CRE-DH), Nature and Extent of Violence, Abuse, Neglect and Exploitation against People with Disability in Australia (Royal Commission into Violence, Abuse, Neglect and Exploitation of People with Disability, March 2021) 6 &lt;https://disability.royalcommission.gov.au/system/files/2021-03/Research%20Report%20-%20Nature%20and%20extent%20of%20violence%2C%20abuse%2C%20neglect%20and%20exploitation%20against%20people%20with%20disability%20in%20Australia.pdf&gt;.","noteIndex":76},"citationItems":[{"id":6157,"uris":["http://zotero.org/groups/2733877/items/X3IH7B3H"],"uri":["http://zotero.org/groups/2733877/items/X3IH7B3H"],"itemData":{"id":6157,"type":"report","publisher":"Royal Commission into Violence, Abuse, Neglect and Exploitation of People with Disability","title":"Nature and extent of violence, abuse, neglect and exploitation against people with disability in Australia","URL":"https://disability.royalcommission.gov.au/system/files/2021-03/Research%20Report%20-%20Nature%20and%20extent%20of%20violence%2C%20abuse%2C%20neglect%20and%20exploitation%20against%20people%20with%20disability%20in%20Australia.pdf","author":[{"family":"Centre of Research Excellence in Disability and Health (CRE-DH)","given":""}],"issued":{"date-parts":[["2021",3]]}},"locator":"6"}],"schema":"https://github.com/citation-style-language/schema/raw/master/csl-citation.json"} </w:instrText>
      </w:r>
      <w:r>
        <w:fldChar w:fldCharType="separate"/>
      </w:r>
      <w:r w:rsidRPr="00D93FD7">
        <w:rPr>
          <w:rFonts w:ascii="Calibri" w:hAnsi="Calibri" w:cs="Calibri"/>
          <w:szCs w:val="24"/>
        </w:rPr>
        <w:t xml:space="preserve">Centre of Research Excellence in Disability and Health (CRE-DH), </w:t>
      </w:r>
      <w:r w:rsidRPr="00D93FD7">
        <w:rPr>
          <w:rFonts w:ascii="Calibri" w:hAnsi="Calibri" w:cs="Calibri"/>
          <w:i/>
          <w:iCs/>
          <w:szCs w:val="24"/>
        </w:rPr>
        <w:t>Nature and Extent of Violence, Abuse, Neglect and Exploitation against People with Disability in Australia</w:t>
      </w:r>
      <w:r w:rsidRPr="00D93FD7">
        <w:rPr>
          <w:rFonts w:ascii="Calibri" w:hAnsi="Calibri" w:cs="Calibri"/>
          <w:szCs w:val="24"/>
        </w:rPr>
        <w:t xml:space="preserve"> (Royal Commission into Violence, Abuse, Neglect and Exploitation of People with Disability, March 2021) 6 &lt;https://disability.royalcommission.gov.au/system/files/2021-03/Research%20Report%20-%20Nature%20and%20extent%20of%20violence%2C%20abuse%2C%20neglect%20and%20exploitation%20against%20people%20with%20disability%20in%20Australia.pdf&gt;.</w:t>
      </w:r>
      <w:r>
        <w:fldChar w:fldCharType="end"/>
      </w:r>
      <w:r>
        <w:t xml:space="preserve"> </w:t>
      </w:r>
      <w:r>
        <w:fldChar w:fldCharType="begin"/>
      </w:r>
      <w:r>
        <w:instrText xml:space="preserve"> ADDIN ZOTERO_ITEM CSL_CITATION {"citationID":"QYrYohWt","properties":{"formattedCitation":"See also Cadwallader, Kavanagh and Robinson (n 70).","plainCitation":"See also Cadwallader, Kavanagh and Robinson (n 70).","noteIndex":76},"citationItems":[{"id":6147,"uris":["http://zotero.org/groups/2733877/items/48JE7U8A"],"uri":["http://zotero.org/groups/2733877/items/48JE7U8A"],"itemData":{"id":6147,"type":"post-weblog","container-title":"The Conversation","title":"We Count What Matters, and Violence Against People with Disability Matters","URL":"https://theconversation.com/we-count-what-matters-and-violence-against-people-with-disability-matters-51320","author":[{"family":"Cadwallader","given":"Jess"},{"family":"Kavanagh","given":"Anne"},{"family":"Robinson","given":"Sally"}],"issued":{"date-parts":[["2015",11,27]]}},"prefix":"See also"}],"schema":"https://github.com/citation-style-language/schema/raw/master/csl-citation.json"} </w:instrText>
      </w:r>
      <w:r>
        <w:fldChar w:fldCharType="separate"/>
      </w:r>
      <w:r w:rsidRPr="00794E5D">
        <w:rPr>
          <w:rFonts w:ascii="Calibri" w:hAnsi="Calibri" w:cs="Calibri"/>
        </w:rPr>
        <w:t>See also Cadwallader, Kavanagh and Robinson (n 70).</w:t>
      </w:r>
      <w:r>
        <w:fldChar w:fldCharType="end"/>
      </w:r>
    </w:p>
  </w:endnote>
  <w:endnote w:id="77">
    <w:p w14:paraId="43683D87" w14:textId="3F15DB70"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{"citationID":"JhBtJMBv","properties":{"formattedCitation":"See, for example, Dowse et al (n 73); See also Women With Disabilities Australia, \\uc0\\u8216{}Stop the Violence: Report of the Proceedings and Outcomes - National Symposium on Violence Against Women and Girls with Disabilities\\uc0\\u8217{} (n 73); Frawley, Dyson and Robinson (n 74); Maher et al (n 74).","plainCitation":"See, for example, Dowse et al (n 73); See also Women With Disabilities Australia, ‘Stop the Violence: Report of the Proceedings and Outcomes - National Symposium on Violence Against Women and Girls with Disabilities’ (n 73); Frawley, Dyson and Robinson (n 74); Maher et al (n 74).","noteIndex":77},"citationItems":[{"id":5983,"uris":["http://zotero.org/groups/2733877/items/E5HUUZIP"],"uri":["http://zotero.org/groups/2733877/items/E5HUUZIP"],"itemData":{"id":5983,"type":"report","event-place":"Hobart","genre":"Background Paper","language":"en","page":"98","publisher":"Women With Disabilities Australia","publisher-place":"Hobart","source":"Zotero","title":"Stop the Violence: Addressing Violence Against Women and Girls with DIsabilities in Australia","author":[{"family":"Dowse","given":"L"},{"family":"Soldatic","given":"K"},{"family":"Didi","given":"A"},{"family":"Frohmader","given":"C"},{"family":"Toorn","given":"G","non-dropping-particle":"van"}],"issued":{"date-parts":[["2013",10,25]]}},"prefix":"See, for example, "},{"id":6205,"uris":["http://zotero.org/groups/2733877/items/RXKNI336"],"uri":["http://zotero.org/groups/2733877/items/RXKNI336"],"itemData":{"id":6205,"type":"report","event-place":"Sydney","genre":"Outcomes Paper","language":"en","page":"38","publisher":"Women With Disabilities Australia","publisher-place":"Sydney","source":"Zotero","title":"Stop the Violence: Report of the Proceedings and Outcomes - National Symposium on Violence Against Women and Girls with Disabilities","author":[{"family":"Women With Disabilities Australia","given":""}],"issued":{"date-parts":[["2013",10,25]]}},"prefix":"See also"},{"id":6191,"uris":["http://zotero.org/groups/2733877/items/RFS5N7YZ"],"uri":["http://zotero.org/groups/2733877/items/RFS5N7YZ"],"itemData":{"id":6191,"type":"report","event-place":"Sydney","genre":"Compass Issue 5","page":"30","publisher":"ANROWS","publisher-place":"Sydney","title":"Whatever it takes? Access for women with disabilities to domestic and family violence services: Key findings and future directions","author":[{"family":"Frawley","given":"Patsie"},{"family":"Dyson","given":"Sue"},{"family":"Robinson","given":"Sally"}],"issued":{"date-parts":[["2017"]]}}},{"id":6212,"uris":["http://zotero.org/groups/2733877/items/9V3WRJYS"],"uri":["http://zotero.org/groups/2733877/items/9V3WRJYS"],"itemData":{"id":6212,"type":"report","abstract":"This report explores how women with disability seek justice, redress, and support after experiencing violence - particularly sexual assault and intimate partner violence - and the pathways and barriers they encounter. It also examines how these women position and interpret experiences of violence in relation to their disability, the mechanisms and factors that lead to incidences of violence being reported, and their experiences of the service and justice systems. It draws on a small study with 36 women and 18 service providers in New South Wales and Victoria. The key findings for policy and practice are also discussed.","event-place":"Sydney","genre":"Final Report","language":"en","note":"OCLC: 1032597196","publisher":"ANROWS","publisher-place":"Sydney","source":"Open WorldCat","title":"Women, disability and violence: Barriers to accessing justice","URL":"https://www.anrows.org.au/publications/horizons/women-disability-and-violence-barriers-accessing-justice-final-report","author":[{"family":"Maher","given":"Jane Maree"},{"family":"Spivakovsky","given":"Claire"},{"family":"McCulloch","given":"Jude"},{"family":"McGowan","given":"Jasmine"},{"family":"Beavis","given":"Kara"},{"family":"Lea","given":"Meredith"},{"family":"Cadwallader","given":"Jess"},{"family":"Sands","given":"Therese"},{"literal":"Monash University"},{"literal":"People With Disability Australia Inc"},{"literal":"Australia's National Research Organisation for Women's Safety Limited"}],"accessed":{"date-parts":[["2021",1,28]]},"issued":{"date-parts":[["2018"]]}}}],"schema":"https://github.com/citation-style-language/schema/raw/master/csl-citation.json"} </w:instrText>
      </w:r>
      <w:r w:rsidRPr="003F3D6D">
        <w:rPr>
          <w:rFonts w:cstheme="minorHAnsi"/>
        </w:rPr>
        <w:fldChar w:fldCharType="separate"/>
      </w:r>
      <w:r w:rsidRPr="00794E5D">
        <w:rPr>
          <w:rFonts w:ascii="Calibri" w:hAnsi="Calibri" w:cs="Calibri"/>
          <w:szCs w:val="24"/>
        </w:rPr>
        <w:t>See, for example, Dowse et al (n 73); See also Women With Disabilities Australia, ‘Stop the Violence: Report of the Proceedings and Outcomes - National Symposium on Violence Against Women and Girls with Disabilities’ (n 73); Frawley, Dyson and Robinson (n 74); Maher et al (n 74).</w:t>
      </w:r>
      <w:r w:rsidRPr="003F3D6D">
        <w:rPr>
          <w:rFonts w:cstheme="minorHAnsi"/>
        </w:rPr>
        <w:fldChar w:fldCharType="end"/>
      </w:r>
    </w:p>
  </w:endnote>
  <w:endnote w:id="78">
    <w:p w14:paraId="110D4E98" w14:textId="620C6E0D"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{"citationID":"kXHftkOz","properties":{"formattedCitation":"Australian Bureau of Statistics, {\\i{}Personal Safety, Australia, 2016} (Cat. No. 4906.0, 11 August 2017) &lt;https://www.abs.gov.au/statistics/people/crime-and-justice/personal-safety-australia/latest-release&gt;.","plainCitation":"Australian Bureau of Statistics, Personal Safety, Australia, 2016 (Cat. No. 4906.0, 11 August 2017) &lt;https://www.abs.gov.au/statistics/people/crime-and-justice/personal-safety-australia/latest-release&gt;.","noteIndex":78},"citationItems":[{"id":5981,"uris":["http://zotero.org/groups/2733877/items/KPNFJTY3"],"uri":["http://zotero.org/groups/2733877/items/KPNFJTY3"],"itemData":{"id":5981,"type":"report","abstract":"Statistics for family, domestic, sexual violence, physical assault, partner emotional abuse, child abuse, sexual harassment, stalking and safety","genre":"Cat. No. 4906.0","language":"en","title":"Personal Safety, Australia, 2016","URL":"https://www.abs.gov.au/statistics/people/crime-and-justice/personal-safety-australia/latest-release","author":[{"family":"Australian Bureau of Statistics","given":""}],"accessed":{"date-parts":[["2021",1,28]]},"issued":{"date-parts":[["2017",8,11]]}}}],"schema":"https://github.com/citation-style-language/schema/raw/master/csl-citation.json"} </w:instrText>
      </w:r>
      <w:r w:rsidRPr="003F3D6D">
        <w:rPr>
          <w:rFonts w:cstheme="minorHAnsi"/>
        </w:rPr>
        <w:fldChar w:fldCharType="separate"/>
      </w:r>
      <w:r w:rsidRPr="003F3D6D">
        <w:rPr>
          <w:rFonts w:cstheme="minorHAnsi"/>
        </w:rPr>
        <w:t xml:space="preserve">Australian Bureau of Statistics, </w:t>
      </w:r>
      <w:r w:rsidRPr="003F3D6D">
        <w:rPr>
          <w:rFonts w:cstheme="minorHAnsi"/>
          <w:i/>
          <w:iCs/>
        </w:rPr>
        <w:t>Personal Safety, Australia, 2016</w:t>
      </w:r>
      <w:r w:rsidRPr="003F3D6D">
        <w:rPr>
          <w:rFonts w:cstheme="minorHAnsi"/>
        </w:rPr>
        <w:t xml:space="preserve"> (Cat. No. 4906.0, 11 August 2017) &lt;https://www.abs.gov.au/statistics/people/crime-and-justice/personal-safety-australia/latest-release&gt;.</w:t>
      </w:r>
      <w:r w:rsidRPr="003F3D6D">
        <w:rPr>
          <w:rFonts w:cstheme="minorHAnsi"/>
        </w:rPr>
        <w:fldChar w:fldCharType="end"/>
      </w:r>
    </w:p>
  </w:endnote>
  <w:endnote w:id="79">
    <w:p w14:paraId="468CDBEF" w14:textId="777DCB74"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{"citationID":"D2D3na9a","properties":{"formattedCitation":"Our Watch, {\\i{}Personal Safety Survey 2016 Factsheet} (ANROWS, 2017) &lt;https://d2rn9gno7zhxqg.cloudfront.net/wp-content/uploads/2019/01/19030553/ANROWS-PSS2016-Fact-Sheet-HR.pdf&gt;.","plainCitation":"Our Watch, Personal Safety Survey 2016 Factsheet (ANROWS, 2017) &lt;https://d2rn9gno7zhxqg.cloudfront.net/wp-content/uploads/2019/01/19030553/ANROWS-PSS2016-Fact-Sheet-HR.pdf&gt;.","noteIndex":79},"citationItems":[{"id":5982,"uris":["http://zotero.org/groups/2733877/items/HRSUHHYG"],"uri":["http://zotero.org/groups/2733877/items/HRSUHHYG"],"itemData":{"id":5982,"type":"report","publisher":"ANROWS","title":"Personal Safety Survey 2016 Factsheet","URL":"https://d2rn9gno7zhxqg.cloudfront.net/wp-content/uploads/2019/01/19030553/ANROWS-PSS2016-Fact-Sheet-HR.pdf","author":[{"family":"Our Watch","given":""}],"issued":{"date-parts":[["2017"]]}}}],"schema":"https://github.com/citation-style-language/schema/raw/master/csl-citation.json"} </w:instrText>
      </w:r>
      <w:r w:rsidRPr="003F3D6D">
        <w:rPr>
          <w:rFonts w:cstheme="minorHAnsi"/>
        </w:rPr>
        <w:fldChar w:fldCharType="separate"/>
      </w:r>
      <w:r w:rsidRPr="003F3D6D">
        <w:rPr>
          <w:rFonts w:cstheme="minorHAnsi"/>
        </w:rPr>
        <w:t xml:space="preserve">Our Watch, </w:t>
      </w:r>
      <w:r w:rsidRPr="003F3D6D">
        <w:rPr>
          <w:rFonts w:cstheme="minorHAnsi"/>
          <w:i/>
          <w:iCs/>
        </w:rPr>
        <w:t>Personal Safety Survey 2016 Factsheet</w:t>
      </w:r>
      <w:r w:rsidRPr="003F3D6D">
        <w:rPr>
          <w:rFonts w:cstheme="minorHAnsi"/>
        </w:rPr>
        <w:t xml:space="preserve"> (ANROWS, 2017) &lt;https://d2rn9gno7zhxqg.cloudfront.net/wp-content/uploads/2019/01/19030553/ANROWS-PSS2016-Fact-Sheet-HR.pdf&gt;.</w:t>
      </w:r>
      <w:r w:rsidRPr="003F3D6D">
        <w:rPr>
          <w:rFonts w:cstheme="minorHAnsi"/>
        </w:rPr>
        <w:fldChar w:fldCharType="end"/>
      </w:r>
    </w:p>
  </w:endnote>
  <w:endnote w:id="80">
    <w:p w14:paraId="24DE3AF0" w14:textId="77777777"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lang w:val="en-AU"/>
        </w:rPr>
        <w:t>Services included those in the disability, family violence and sexual assault sectors, housing/homelessness sector, the youth services sector, child welfare, employment and training, health, aged care and the justice sector.</w:t>
      </w:r>
    </w:p>
  </w:endnote>
  <w:endnote w:id="81">
    <w:p w14:paraId="7C87DE3A" w14:textId="5B5FFAD4"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{"citationID":"h1qls4Da","properties":{"formattedCitation":"ABC News, \\uc0\\u8216{}Domestic Violence Service Says More Support Needed for Aboriginal Women and the Disabled\\uc0\\u8217{} (4 July 2014) &lt;https://www.abc.net.au/news/2014-07-04/domestic-violence-service-says-more-support-needed-for-aborigin/5570856&gt;.","plainCitation":"ABC News, ‘Domestic Violence Service Says More Support Needed for Aboriginal Women and the Disabled’ (4 July 2014) &lt;https://www.abc.net.au/news/2014-07-04/domestic-violence-service-says-more-support-needed-for-aborigin/5570856&gt;.","noteIndex":81},"citationItems":[{"id":5980,"uris":["http://zotero.org/groups/2733877/items/HD6DVF4R"],"uri":["http://zotero.org/groups/2733877/items/HD6DVF4R"],"itemData":{"id":5980,"type":"webpage","abstract":"A Hunter domestic violence support service says Aboriginal women and people with a disability face additional hurdles when trying to escape abusive relationships.","language":"en-AU","title":"Domestic violence service says more support needed for Aboriginal women and the disabled","URL":"https://www.abc.net.au/news/2014-07-04/domestic-violence-service-says-more-support-needed-for-aborigin/5570856","author":[{"family":"ABC News","given":""}],"accessed":{"date-parts":[["2021",1,28]]},"issued":{"date-parts":[["2014",7,4]]}}}],"schema":"https://github.com/citation-style-language/schema/raw/master/csl-citation.json"} </w:instrText>
      </w:r>
      <w:r w:rsidRPr="003F3D6D">
        <w:rPr>
          <w:rFonts w:cstheme="minorHAnsi"/>
        </w:rPr>
        <w:fldChar w:fldCharType="separate"/>
      </w:r>
      <w:r w:rsidRPr="003F3D6D">
        <w:rPr>
          <w:rFonts w:cstheme="minorHAnsi"/>
        </w:rPr>
        <w:t>ABC News, ‘Domestic Violence Service Says More Support Needed for Aboriginal Women and the Disabled’ (4 July 2014) &lt;https://www.abc.net.au/news/2014-07-04/domestic-violence-service-says-more-support-needed-for-aborigin/5570856&gt;.</w:t>
      </w:r>
      <w:r w:rsidRPr="003F3D6D">
        <w:rPr>
          <w:rFonts w:cstheme="minorHAnsi"/>
        </w:rPr>
        <w:fldChar w:fldCharType="end"/>
      </w:r>
    </w:p>
  </w:endnote>
  <w:endnote w:id="82">
    <w:p w14:paraId="03655D7F" w14:textId="6DFD0763"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{"citationID":"S57ROVYN","properties":{"formattedCitation":"Carolyn Frohmader and Cristina Ricci, {\\i{}Improving Service Responses for Women with Disability Experiencing Violence: 1800RESPECT} (Final Report, Women With Disabilities Australia, 2016).","plainCitation":"Carolyn Frohmader and Cristina Ricci, Improving Service Responses for Women with Disability Experiencing Violence: 1800RESPECT (Final Report, Women With Disabilities Australia, 2016).","noteIndex":82},"citationItems":[{"id":5979,"uris":["http://zotero.org/groups/2733877/items/YMTNYCBZ"],"uri":["http://zotero.org/groups/2733877/items/YMTNYCBZ"],"itemData":{"id":5979,"type":"report","event-place":"Hobart, Tasmania","genre":"Final Report","publisher":"Women With Disabilities Australia","publisher-place":"Hobart, Tasmania","title":"Improving service responses for Women with Disability Experiencing Violence: 1800RESPECT","author":[{"family":"Frohmader","given":"Carolyn"},{"family":"Ricci","given":"Cristina"}],"issued":{"date-parts":[["2016"]]}}}],"schema":"https://github.com/citation-style-language/schema/raw/master/csl-citation.json"} </w:instrText>
      </w:r>
      <w:r w:rsidRPr="003F3D6D">
        <w:rPr>
          <w:rFonts w:cstheme="minorHAnsi"/>
        </w:rPr>
        <w:fldChar w:fldCharType="separate"/>
      </w:r>
      <w:r w:rsidRPr="003F3D6D">
        <w:rPr>
          <w:rFonts w:cstheme="minorHAnsi"/>
        </w:rPr>
        <w:t xml:space="preserve">Carolyn Frohmader and Cristina Ricci, </w:t>
      </w:r>
      <w:r w:rsidRPr="003F3D6D">
        <w:rPr>
          <w:rFonts w:cstheme="minorHAnsi"/>
          <w:i/>
          <w:iCs/>
        </w:rPr>
        <w:t>Improving Service Responses for Women with Disability Experiencing Violence: 1800RESPECT</w:t>
      </w:r>
      <w:r w:rsidRPr="003F3D6D">
        <w:rPr>
          <w:rFonts w:cstheme="minorHAnsi"/>
        </w:rPr>
        <w:t xml:space="preserve"> (Final Report, Women With Disabilities Australia, 2016).</w:t>
      </w:r>
      <w:r w:rsidRPr="003F3D6D">
        <w:rPr>
          <w:rFonts w:cstheme="minorHAnsi"/>
        </w:rPr>
        <w:fldChar w:fldCharType="end"/>
      </w:r>
    </w:p>
  </w:endnote>
  <w:endnote w:id="83">
    <w:p w14:paraId="62C07F84" w14:textId="79C1F071"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{"citationID":"AqLQyAZc","properties":{"formattedCitation":"Disabled People\\uc0\\u8217{}s Organisation Australia, National Women\\uc0\\u8217{}s Alliances and Frohmader (n 71); Carolyn Frohmader, {\\i{}\\uc0\\u8216{}Gender Blind, Gender Neutral\\uc0\\u8217{}: The Effectiveness of the National Disability Strategy in Improving the Lives of Women and Girls with Disabilities} (Prepared for Women With Disabilities Australia (WWDA), April 2014) 1 &lt;https://wwda.org.au/wp-content/uploads/2013/12/WWDA_Sub_NDS_Review2014.pdf&gt;; See also Committee on the Rights of Persons with Disabilities, \\uc0\\u8216{}Concluding Observations on the Initial Report of Australia, Adopted by the Committee at Its Tenth Session (2-13 September 2013)\\uc0\\u8217{} (n 12).","plainCitation":"Disabled People’s Organisation Australia, National Women’s Alliances and Frohmader (n 71); Carolyn Frohmader, ‘Gender Blind, Gender Neutral’: The Effectiveness of the National Disability Strategy in Improving the Lives of Women and Girls with Disabilities (Prepared for Women With Disabilities Australia (WWDA), April 2014) 1 &lt;https://wwda.org.au/wp-content/uploads/2013/12/WWDA_Sub_NDS_Review2014.pdf&gt;; See also Committee on the Rights of Persons with Disabilities, ‘Concluding Observations on the Initial Report of Australia, Adopted by the Committee at Its Tenth Session (2-13 September 2013)’ (n 12).","noteIndex":83},"citationItems":[{"id":5987,"uris":["http://zotero.org/groups/2733877/items/32L96MQZ"],"uri":["http://zotero.org/groups/2733877/items/32L96MQZ"],"itemData":{"id":5987,"type":"report","title":"The Status of Women and Girls with Disability in Australia: Position Statement to the Commission on the Status of Women (CSW) Twenty-Fifth Anniversary of the Fourth World Conference on Women and The Beijing Declaration and Platform for Action","URL":"https://awava.org.au/2019/12/17/research-and-reports/position-paper-the-status-of-women-and-girls-with-disability-in-australia","author":[{"family":"Disabled People's Organisation Australia","given":""},{"family":"National Women's Alliances","given":""},{"family":"Frohmader","given":"Carolyn"}],"issued":{"date-parts":[["2019",11]]}}},{"id":5920,"uris":["http://zotero.org/groups/2733877/items/HSD4QDBK"],"uri":["http://zotero.org/groups/2733877/items/HSD4QDBK"],"itemData":{"id":5920,"type":"report","event-place":"Hobart, Tasmania","page":"1-82","publisher":"Prepared for Women With Disabilities Australia (WWDA)","publisher-place":"Hobart, Tasmania","source":"ISBN: 978-0-9585268-2-1","title":"\"Gender Blind, Gender Neutral\": The effectiveness of the National Disability Strategy in improving the lives of women and girls with disabilities","URL":"https://wwda.org.au/wp-content/uploads/2013/12/WWDA_Sub_NDS_Review2014.pdf","author":[{"family":"Frohmader","given":"Carolyn"}],"issued":{"date-parts":[["2014",4]]}}},{"id":6044,"uris":["http://zotero.org/groups/2733877/items/GW86GCS8"],"uri":["http://zotero.org/groups/2733877/items/GW86GCS8"],"itemData":{"id":6044,"type":"report","collection-title":"UN Doc","genre":"CRPD/C/AUS/CO/1","language":"en","publisher":"United Nations","title":"Concluding observations on the initial report of Australia, adopted by the Committee at its tenth session (2-13 September 2013)","URL":"https://www.refworld.org/docid/5280b5cb4.html","author":[{"family":"Committee on the Rights of Persons with Disabilities","given":""}],"accessed":{"date-parts":[["2021",1,27]]},"issued":{"date-parts":[["2013",10,21]]}},"prefix":"See also"}],"schema":"https://github.com/citation-style-language/schema/raw/master/csl-citation.json"} </w:instrText>
      </w:r>
      <w:r w:rsidRPr="003F3D6D">
        <w:rPr>
          <w:rFonts w:cstheme="minorHAnsi"/>
        </w:rPr>
        <w:fldChar w:fldCharType="separate"/>
      </w:r>
      <w:r w:rsidRPr="00794E5D">
        <w:rPr>
          <w:rFonts w:ascii="Calibri" w:hAnsi="Calibri" w:cs="Calibri"/>
          <w:szCs w:val="24"/>
        </w:rPr>
        <w:t xml:space="preserve">Disabled People’s Organisation Australia, National Women’s Alliances and Frohmader (n 71); Carolyn Frohmader, </w:t>
      </w:r>
      <w:r w:rsidRPr="00794E5D">
        <w:rPr>
          <w:rFonts w:ascii="Calibri" w:hAnsi="Calibri" w:cs="Calibri"/>
          <w:i/>
          <w:iCs/>
          <w:szCs w:val="24"/>
        </w:rPr>
        <w:t>‘Gender Blind, Gender Neutral’: The Effectiveness of the National Disability Strategy in Improving the Lives of Women and Girls with Disabilities</w:t>
      </w:r>
      <w:r w:rsidRPr="00794E5D">
        <w:rPr>
          <w:rFonts w:ascii="Calibri" w:hAnsi="Calibri" w:cs="Calibri"/>
          <w:szCs w:val="24"/>
        </w:rPr>
        <w:t xml:space="preserve"> (Prepared for Women With Disabilities Australia (WWDA), April 2014) 1 &lt;https://wwda.org.au/wp-content/uploads/2013/12/WWDA_Sub_NDS_Review2014.pdf&gt;; See also Committee on the Rights of Persons with Disabilities, ‘Concluding Observations on the Initial Report of Australia, Adopted by the Committee at Its Tenth Session (2-13 September 2013)’ (n 12).</w:t>
      </w:r>
      <w:r w:rsidRPr="003F3D6D">
        <w:rPr>
          <w:rFonts w:cstheme="minorHAnsi"/>
        </w:rPr>
        <w:fldChar w:fldCharType="end"/>
      </w:r>
    </w:p>
  </w:endnote>
  <w:endnote w:id="84">
    <w:p w14:paraId="0DE8D581" w14:textId="36D5A674"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{"citationID":"vI8aCo3V","properties":{"formattedCitation":"Trishima Mitra-Kahn and Carolyn Frohmader, {\\i{}Submission to the House Standing Committee on Social Policy and Legal Affairs\\uc0\\u8217{} Inquiry into Family, Domestic and Sexual Violence} (Women With Disabilities Australia, 2020).","plainCitation":"Trishima Mitra-Kahn and Carolyn Frohmader, Submission to the House Standing Committee on Social Policy and Legal Affairs’ Inquiry into Family, Domestic and Sexual Violence (Women With Disabilities Australia, 2020).","noteIndex":84},"citationItems":[{"id":6185,"uris":["http://zotero.org/groups/2733877/items/XUHZU7CJ"],"uri":["http://zotero.org/groups/2733877/items/XUHZU7CJ"],"itemData":{"id":6185,"type":"report","event-place":"Hobart, Tasmania","publisher":"Women With Disabilities Australia","publisher-place":"Hobart, Tasmania","title":"Submission to the House Standing Committee on Social Policy and Legal Affairs' Inquiry into family, domestic and sexual violence","author":[{"family":"Mitra-Kahn","given":"Trishima"},{"family":"Frohmader","given":"Carolyn"}],"issued":{"date-parts":[["2020"]]}}}],"schema":"https://github.com/citation-style-language/schema/raw/master/csl-citation.json"} </w:instrText>
      </w:r>
      <w:r w:rsidRPr="003F3D6D">
        <w:rPr>
          <w:rFonts w:cstheme="minorHAnsi"/>
        </w:rPr>
        <w:fldChar w:fldCharType="separate"/>
      </w:r>
      <w:r w:rsidRPr="003F3D6D">
        <w:rPr>
          <w:rFonts w:cstheme="minorHAnsi"/>
        </w:rPr>
        <w:t xml:space="preserve">Trishima Mitra-Kahn and Carolyn Frohmader, </w:t>
      </w:r>
      <w:r w:rsidRPr="003F3D6D">
        <w:rPr>
          <w:rFonts w:cstheme="minorHAnsi"/>
          <w:i/>
          <w:iCs/>
        </w:rPr>
        <w:t>Submission to the House Standing Committee on Social Policy and Legal Affairs’ Inquiry into Family, Domestic and Sexual Violence</w:t>
      </w:r>
      <w:r w:rsidRPr="003F3D6D">
        <w:rPr>
          <w:rFonts w:cstheme="minorHAnsi"/>
        </w:rPr>
        <w:t xml:space="preserve"> (Women With Disabilities Australia, 2020).</w:t>
      </w:r>
      <w:r w:rsidRPr="003F3D6D">
        <w:rPr>
          <w:rFonts w:cstheme="minorHAnsi"/>
        </w:rPr>
        <w:fldChar w:fldCharType="end"/>
      </w:r>
    </w:p>
  </w:endnote>
  <w:endnote w:id="85">
    <w:p w14:paraId="38537494" w14:textId="22D9768E"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{"citationID":"SywkLKSW","properties":{"formattedCitation":"Committee on the Rights of Persons with Disabilities, \\uc0\\u8216{}Concluding Observations on the Initial Report of Australia, Adopted by the Committee at Its Tenth Session (2-13 September 2013)\\uc0\\u8217{} (n 12); Committee on the Elimination of Discrimination Against Women, {\\i{}Concluding Comments of the Committee on the Elimination of Discrimination against Women: Australia} (CEDAW/C/AUL/CO/5, United Nations, 3 February 2006) &lt;https://www.refworld.org/docid/441183430.html&gt;; Committee on the Rights of Persons with Disabilities, \\uc0\\u8216{}Concluding Observations on the Combined Second and Third Periodic Reports of Australia, Adopted by the Committee at Its 511th Meeting (20 September 2019) of the 22nd Session\\uc0\\u8217{} (n 14); Committee on the Elimination of Discrimination Against Women, {\\i{}Concluding Observations on the Eighth Periodic Report of Australia} (CEDAW/C/AUS/CO/8, United Nations, 25 July 2018) &lt;https://tbinternet.ohchr.org/_layouts/15/treatybodyexternal/Download.aspx?symbolno=CEDAW/C/AUS/CO/8&amp;Lang=En&gt;.","plainCitation":"Committee on the Rights of Persons with Disabilities, ‘Concluding Observations on the Initial Report of Australia, Adopted by the Committee at Its Tenth Session (2-13 September 2013)’ (n 12); Committee on the Elimination of Discrimination Against Women, Concluding Comments of the Committee on the Elimination of Discrimination against Women: Australia (CEDAW/C/AUL/CO/5, United Nations, 3 February 2006) &lt;https://www.refworld.org/docid/441183430.html&gt;; Committee on the Rights of Persons with Disabilities, ‘Concluding Observations on the Combined Second and Third Periodic Reports of Australia, Adopted by the Committee at Its 511th Meeting (20 September 2019) of the 22nd Session’ (n 14); Committee on the Elimination of Discrimination Against Women, Concluding Observations on the Eighth Periodic Report of Australia (CEDAW/C/AUS/CO/8, United Nations, 25 July 2018) &lt;https://tbinternet.ohchr.org/_layouts/15/treatybodyexternal/Download.aspx?symbolno=CEDAW/C/AUS/CO/8&amp;Lang=En&gt;.","noteIndex":85},"citationItems":[{"id":6044,"uris":["http://zotero.org/groups/2733877/items/GW86GCS8"],"uri":["http://zotero.org/groups/2733877/items/GW86GCS8"],"itemData":{"id":6044,"type":"report","collection-title":"UN Doc","genre":"CRPD/C/AUS/CO/1","language":"en","publisher":"United Nations","title":"Concluding observations on the initial report of Australia, adopted by the Committee at its tenth session (2-13 September 2013)","URL":"https://www.refworld.org/docid/5280b5cb4.html","author":[{"family":"Committee on the Rights of Persons with Disabilities","given":""}],"accessed":{"date-parts":[["2021",1,27]]},"issued":{"date-parts":[["2013",10,21]]}}},{"id":6045,"uris":["http://zotero.org/groups/2733877/items/GEXXRGUP"],"uri":["http://zotero.org/groups/2733877/items/GEXXRGUP"],"itemData":{"id":6045,"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bodies.","genre":"CEDAW/C/AUL/CO/5","language":"en","publisher":"United Nations","title":"Concluding Comments of the Committee on the Elimination of Discrimination against Women: Australia","URL":"https://www.refworld.org/docid/441183430.html","author":[{"family":"Committee on the Elimination of Discrimination Against Women","given":""}],"accessed":{"date-parts":[["2021",1,28]]},"issued":{"date-parts":[["2006",2,3]]}}},{"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id":5978,"uris":["http://zotero.org/groups/2733877/items/EJ9IDSHP"],"uri":["http://zotero.org/groups/2733877/items/EJ9IDSHP"],"itemData":{"id":5978,"type":"report","genre":"CEDAW/C/AUS/CO/8","publisher":"United Nations","title":"Concluding observations on the eighth periodic report of Australia","URL":"https://tbinternet.ohchr.org/_layouts/15/treatybodyexternal/Download.aspx?symbolno=CEDAW/C/AUS/CO/8&amp;Lang=En","author":[{"family":"Committee on the Elimination of Discrimination Against Women","given":""}],"issued":{"date-parts":[["2018",7,25]]}}}],"schema":"https://github.com/citation-style-language/schema/raw/master/csl-citation.json"} </w:instrText>
      </w:r>
      <w:r w:rsidRPr="003F3D6D">
        <w:rPr>
          <w:rFonts w:cstheme="minorHAnsi"/>
        </w:rPr>
        <w:fldChar w:fldCharType="separate"/>
      </w:r>
      <w:r w:rsidRPr="00C27B33">
        <w:rPr>
          <w:rFonts w:ascii="Calibri" w:hAnsi="Calibri" w:cs="Calibri"/>
          <w:szCs w:val="24"/>
        </w:rPr>
        <w:t xml:space="preserve">Committee on the Rights of Persons with Disabilities, ‘Concluding Observations on the Initial Report of Australia, Adopted by the Committee at Its Tenth Session (2-13 September 2013)’ (n 12); Committee on the Elimination of Discrimination Against Women, </w:t>
      </w:r>
      <w:r w:rsidRPr="00C27B33">
        <w:rPr>
          <w:rFonts w:ascii="Calibri" w:hAnsi="Calibri" w:cs="Calibri"/>
          <w:i/>
          <w:iCs/>
          <w:szCs w:val="24"/>
        </w:rPr>
        <w:t>Concluding Comments of the Committee on the Elimination of Discrimination against Women: Australia</w:t>
      </w:r>
      <w:r w:rsidRPr="00C27B33">
        <w:rPr>
          <w:rFonts w:ascii="Calibri" w:hAnsi="Calibri" w:cs="Calibri"/>
          <w:szCs w:val="24"/>
        </w:rPr>
        <w:t xml:space="preserve"> (CEDAW/C/AUL/CO/5, United Nations, 3 February 2006) &lt;https://www.refworld.org/docid/441183430.html&gt;; Committee on the Rights of Persons with Disabilities, ‘Concluding Observations on the Combined Second and Third Periodic Reports of Australia, Adopted by the Committee at Its 511th Meeting (20 September 2019) of the 22nd Session’ (n 14); Committee on the Elimination of Discrimination Against Women, </w:t>
      </w:r>
      <w:r w:rsidRPr="00C27B33">
        <w:rPr>
          <w:rFonts w:ascii="Calibri" w:hAnsi="Calibri" w:cs="Calibri"/>
          <w:i/>
          <w:iCs/>
          <w:szCs w:val="24"/>
        </w:rPr>
        <w:t>Concluding Observations on the Eighth Periodic Report of Australia</w:t>
      </w:r>
      <w:r w:rsidRPr="00C27B33">
        <w:rPr>
          <w:rFonts w:ascii="Calibri" w:hAnsi="Calibri" w:cs="Calibri"/>
          <w:szCs w:val="24"/>
        </w:rPr>
        <w:t xml:space="preserve"> (CEDAW/C/AUS/CO/8, United Nations, 25 July 2018) &lt;https://tbinternet.ohchr.org/_layouts/15/treatybodyexternal/Download.aspx?symbolno=CEDAW/C/AUS/CO/8&amp;Lang=En&gt;.</w:t>
      </w:r>
      <w:r w:rsidRPr="003F3D6D">
        <w:rPr>
          <w:rFonts w:cstheme="minorHAnsi"/>
        </w:rPr>
        <w:fldChar w:fldCharType="end"/>
      </w:r>
    </w:p>
  </w:endnote>
  <w:endnote w:id="86">
    <w:p w14:paraId="74AC2CE0" w14:textId="36134E2B"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{"citationID":"kSt4mnVH","properties":{"formattedCitation":"Dubravka Simonovic, {\\i{}Report of the Special Rapporteur on Violence against Women, Its Causes and Consequences on Her Mission to Australia} (A/HRC/38/47/Add.1, UN, 17 April 2018) 20[93] &lt;http://digitallibrary.un.org/record/1627464&gt;; See similarly Committee on the Rights of Persons with Disabilities, \\uc0\\u8216{}Concluding Observations on the Initial Report of Australia, Adopted by the Committee at Its Tenth Session (2-13 September 2013)\\uc0\\u8217{} (n 12); Committee on the Elimination of Discrimination Against Women, \\uc0\\u8216{}Concluding Comments of the Committee on the Elimination of Discrimination against Women: Australia\\uc0\\u8217{} (n 85); Committee on the Elimination of All Forms of Discrimination Against Women, {\\i{}Concluding Observations of the Committee on the Elimination of Discrimination against Women: Australia} (CEDAW/C/AUL/CO/7, United Nations, 30 July 2010) &lt;https://www.refworld.org/docid/52dd07654.html&gt;.","plainCitation":"Dubravka Simonovic, Report of the Special Rapporteur on Violence against Women, Its Causes and Consequences on Her Mission to Australia (A/HRC/38/47/Add.1, UN, 17 April 2018) 20[93] &lt;http://digitallibrary.un.org/record/1627464&gt;; See similarly Committee on the Rights of Persons with Disabilities, ‘Concluding Observations on the Initial Report of Australia, Adopted by the Committee at Its Tenth Session (2-13 September 2013)’ (n 12); Committee on the Elimination of Discrimination Against Women, ‘Concluding Comments of the Committee on the Elimination of Discrimination against Women: Australia’ (n 85); Committee on the Elimination of All Forms of Discrimination Against Women, Concluding Observations of the Committee on the Elimination of Discrimination against Women: Australia (CEDAW/C/AUL/CO/7, United Nations, 30 July 2010) &lt;https://www.refworld.org/docid/52dd07654.html&gt;.","noteIndex":86},"citationItems":[{"id":6223,"uris":["http://zotero.org/groups/2733877/items/XWTAT747"],"uri":["http://zotero.org/groups/2733877/items/XWTAT747"],"itemData":{"id":6223,"type":"report","abstract":"Simonovic, Dubravka","genre":"A/HRC/38/47/Add.1","language":"en","note":"publisher: UN,","source":"digitallibrary.un.org","title":"Report of the Special Rapporteur on Violence against Women, its Causes and Consequences on her mission to Australia","URL":"http://digitallibrary.un.org/record/1627464","author":[{"family":"Simonovic","given":"Dubravka"}],"accessed":{"date-parts":[["2021",1,28]]},"issued":{"date-parts":[["2018",4,17]]}},"locator":"20[93]"},{"id":6044,"uris":["http://zotero.org/groups/2733877/items/GW86GCS8"],"uri":["http://zotero.org/groups/2733877/items/GW86GCS8"],"itemData":{"id":6044,"type":"report","collection-title":"UN Doc","genre":"CRPD/C/AUS/CO/1","language":"en","publisher":"United Nations","title":"Concluding observations on the initial report of Australia, adopted by the Committee at its tenth session (2-13 September 2013)","URL":"https://www.refworld.org/docid/5280b5cb4.html","author":[{"family":"Committee on the Rights of Persons with Disabilities","given":""}],"accessed":{"date-parts":[["2021",1,27]]},"issued":{"date-parts":[["2013",10,21]]}},"prefix":"See similarly"},{"id":6045,"uris":["http://zotero.org/groups/2733877/items/GEXXRGUP"],"uri":["http://zotero.org/groups/2733877/items/GEXXRGUP"],"itemData":{"id":6045,"type":"report","abstract":"Refworld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bodies.","genre":"CEDAW/C/AUL/CO/5","language":"en","publisher":"United Nations","title":"Concluding Comments of the Committee on the Elimination of Discrimination against Women: Australia","URL":"https://www.refworld.org/docid/441183430.html","author":[{"family":"Committee on the Elimination of Discrimination Against Women","given":""}],"accessed":{"date-parts":[["2021",1,28]]},"issued":{"date-parts":[["2006",2,3]]}}},{"id":5977,"uris":["http://zotero.org/groups/2733877/items/JHA3EF47"],"uri":["http://zotero.org/groups/2733877/items/JHA3EF47"],"itemData":{"id":5977,"type":"report","genre":"CEDAW/C/AUL/CO/7","language":"en","publisher":"United Nations","title":"Concluding observations of the Committee on the Elimination of Discrimination against Women: Australia","URL":"https://www.refworld.org/docid/52dd07654.html","author":[{"family":"Committee on the Elimination of All Forms of Discrimination Against Women","given":""}],"accessed":{"date-parts":[["2021",1,28]]},"issued":{"date-parts":[["2010",7,30]]}}}],"schema":"https://github.com/citation-style-language/schema/raw/master/csl-citation.json"} </w:instrText>
      </w:r>
      <w:r w:rsidRPr="003F3D6D">
        <w:rPr>
          <w:rFonts w:cstheme="minorHAnsi"/>
        </w:rPr>
        <w:fldChar w:fldCharType="separate"/>
      </w:r>
      <w:r w:rsidRPr="00794E5D">
        <w:rPr>
          <w:rFonts w:ascii="Calibri" w:hAnsi="Calibri" w:cs="Calibri"/>
          <w:szCs w:val="24"/>
        </w:rPr>
        <w:t xml:space="preserve">Dubravka Simonovic, </w:t>
      </w:r>
      <w:r w:rsidRPr="00794E5D">
        <w:rPr>
          <w:rFonts w:ascii="Calibri" w:hAnsi="Calibri" w:cs="Calibri"/>
          <w:i/>
          <w:iCs/>
          <w:szCs w:val="24"/>
        </w:rPr>
        <w:t>Report of the Special Rapporteur on Violence against Women, Its Causes and Consequences on Her Mission to Australia</w:t>
      </w:r>
      <w:r w:rsidRPr="00794E5D">
        <w:rPr>
          <w:rFonts w:ascii="Calibri" w:hAnsi="Calibri" w:cs="Calibri"/>
          <w:szCs w:val="24"/>
        </w:rPr>
        <w:t xml:space="preserve"> (A/HRC/38/47/Add.1, UN, 17 April 2018) 20[93] &lt;http://digitallibrary.un.org/record/1627464&gt;; See similarly Committee on the Rights of Persons with Disabilities, ‘Concluding Observations on the Initial Report of Australia, Adopted by the Committee at Its Tenth Session (2-13 September 2013)’ (n 12); Committee on the Elimination of Discrimination Against Women, ‘Concluding Comments of the Committee on the Elimination of Discrimination against Women: Australia’ (n 85); Committee on the Elimination of All Forms of Discrimination Against Women, </w:t>
      </w:r>
      <w:r w:rsidRPr="00794E5D">
        <w:rPr>
          <w:rFonts w:ascii="Calibri" w:hAnsi="Calibri" w:cs="Calibri"/>
          <w:i/>
          <w:iCs/>
          <w:szCs w:val="24"/>
        </w:rPr>
        <w:t>Concluding Observations of the Committee on the Elimination of Discrimination against Women: Australia</w:t>
      </w:r>
      <w:r w:rsidRPr="00794E5D">
        <w:rPr>
          <w:rFonts w:ascii="Calibri" w:hAnsi="Calibri" w:cs="Calibri"/>
          <w:szCs w:val="24"/>
        </w:rPr>
        <w:t xml:space="preserve"> (CEDAW/C/AUL/CO/7, United Nations, 30 July 2010) &lt;https://www.refworld.org/docid/52dd07654.html&gt;.</w:t>
      </w:r>
      <w:r w:rsidRPr="003F3D6D">
        <w:rPr>
          <w:rFonts w:cstheme="minorHAnsi"/>
        </w:rPr>
        <w:fldChar w:fldCharType="end"/>
      </w:r>
    </w:p>
  </w:endnote>
  <w:endnote w:id="87">
    <w:p w14:paraId="0C4288C9" w14:textId="4FC41C4E"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{"citationID":"ZrwFc7M1","properties":{"formattedCitation":"See, for example, Carolyn Frohmader and Therese Sands, {\\i{}Submission to the Senate Inquiry into Violence, Abuse and Neglect against People with Disability in Institutional and Residential Settings} (Australian Cross Disability Alliance (ACDA), 2015) &lt;https://wwda.org.au/wp-content/uploads/2013/12/ACDA_Sub_Sen_Inquiry_Violence_Institutions.pdf&gt;; Dowse et al (n 73); Women With Disabilities Australia, \\uc0\\u8216{}Stop the Violence: Report of the Proceedings and Outcomes - National Symposium on Violence Against Women and Girls with Disabilities\\uc0\\u8217{} (n 73); Frohmader (n 83); Frohmader and Ricci (n 82); Women With Disabilities Australia, {\\i{}Submission to the Parliamentary Inquiry into Pay Equity and Associated Issues Related to Increasing Female Participation in the Workforce} (WWDA, August 2008); Australian Civil Society CRPD Shadow Report Working Group, {\\i{}Australian Civil Society Shadow Report to the United Nations Committee on the Rights of Persons with Disabilities (2019) in Response to the List of Issues Prior to the Submission of the Combined Second and Third Periodic Reports of Australia [CRPD/C/AUS/QPR/2-3]} (July 2019) &lt;https://dpoa.org.au/wp-content/uploads/2019/08/CRPD-Shadow-Report-2019-English-PDF.pdf&gt;; House of Representatives Standing Committee on Employment and Workplace Relations, {\\i{}Making It Fair: Pay Equity and Associated Issues Related to Increasing Female Participation in the Workforce} (Commonwealth of Australia, November 2009) &lt;https://www.aph.gov.au/Parliamentary_Business/Committees/House_of_Representatives_Committees?url=ewr/payequity/report.htm&gt;.","plainCitation":"See, for example, Carolyn Frohmader and Therese Sands, Submission to the Senate Inquiry into Violence, Abuse and Neglect against People with Disability in Institutional and Residential Settings (Australian Cross Disability Alliance (ACDA), 2015) &lt;https://wwda.org.au/wp-content/uploads/2013/12/ACDA_Sub_Sen_Inquiry_Violence_Institutions.pdf&gt;; Dowse et al (n 73); Women With Disabilities Australia, ‘Stop the Violence: Report of the Proceedings and Outcomes - National Symposium on Violence Against Women and Girls with Disabilities’ (n 73); Frohmader (n 83); Frohmader and Ricci (n 82); Women With Disabilities Australia, Submission to the Parliamentary Inquiry into Pay Equity and Associated Issues Related to Increasing Female Participation in the Workforce (WWDA, August 2008); Australian Civil Society CRPD Shadow Report Working Group, Australian Civil Society Shadow Report to the United Nations Committee on the Rights of Persons with Disabilities (2019) in Response to the List of Issues Prior to the Submission of the Combined Second and Third Periodic Reports of Australia [CRPD/C/AUS/QPR/2-3] (July 2019) &lt;https://dpoa.org.au/wp-content/uploads/2019/08/CRPD-Shadow-Report-2019-English-PDF.pdf&gt;; House of Representatives Standing Committee on Employment and Workplace Relations, Making It Fair: Pay Equity and Associated Issues Related to Increasing Female Participation in the Workforce (Commonwealth of Australia, November 2009) &lt;https://www.aph.gov.au/Parliamentary_Business/Committees/House_of_Representatives_Committees?url=ewr/payequity/report.htm&gt;.","noteIndex":87},"citationItems":[{"id":6130,"uris":["http://zotero.org/groups/2733877/items/C292ZK32"],"uri":["http://zotero.org/groups/2733877/items/C292ZK32"],"itemData":{"id":6130,"type":"report","event-place":"Sydney, Australia","language":"en","publisher":"Australian Cross Disability Alliance (ACDA)","publisher-place":"Sydney, Australia","source":"Zotero","title":"Submission to the Senate Inquiry into Violence, abuse and neglect against people with disability in institutional and residential settings","URL":"https://wwda.org.au/wp-content/uploads/2013/12/ACDA_Sub_Sen_Inquiry_Violence_Institutions.pdf","author":[{"family":"Frohmader","given":"Carolyn"},{"family":"Sands","given":"Therese"}],"issued":{"date-parts":[["2015"]]}},"prefix":"See, for example, "},{"id":5983,"uris":["http://zotero.org/groups/2733877/items/E5HUUZIP"],"uri":["http://zotero.org/groups/2733877/items/E5HUUZIP"],"itemData":{"id":5983,"type":"report","event-place":"Hobart","genre":"Background Paper","language":"en","page":"98","publisher":"Women With Disabilities Australia","publisher-place":"Hobart","source":"Zotero","title":"Stop the Violence: Addressing Violence Against Women and Girls with DIsabilities in Australia","author":[{"family":"Dowse","given":"L"},{"family":"Soldatic","given":"K"},{"family":"Didi","given":"A"},{"family":"Frohmader","given":"C"},{"family":"Toorn","given":"G","non-dropping-particle":"van"}],"issued":{"date-parts":[["2013",10,25]]}}},{"id":6205,"uris":["http://zotero.org/groups/2733877/items/RXKNI336"],"uri":["http://zotero.org/groups/2733877/items/RXKNI336"],"itemData":{"id":6205,"type":"report","event-place":"Sydney","genre":"Outcomes Paper","language":"en","page":"38","publisher":"Women With Disabilities Australia","publisher-place":"Sydney","source":"Zotero","title":"Stop the Violence: Report of the Proceedings and Outcomes - National Symposium on Violence Against Women and Girls with Disabilities","author":[{"family":"Women With Disabilities Australia","given":""}],"issued":{"date-parts":[["2013",10,25]]}}},{"id":5920,"uris":["http://zotero.org/groups/2733877/items/HSD4QDBK"],"uri":["http://zotero.org/groups/2733877/items/HSD4QDBK"],"itemData":{"id":5920,"type":"report","event-place":"Hobart, Tasmania","page":"1-82","publisher":"Prepared for Women With Disabilities Australia (WWDA)","publisher-place":"Hobart, Tasmania","source":"ISBN: 978-0-9585268-2-1","title":"\"Gender Blind, Gender Neutral\": The effectiveness of the National Disability Strategy in improving the lives of women and girls with disabilities","URL":"https://wwda.org.au/wp-content/uploads/2013/12/WWDA_Sub_NDS_Review2014.pdf","author":[{"family":"Frohmader","given":"Carolyn"}],"issued":{"date-parts":[["2014",4]]}}},{"id":5979,"uris":["http://zotero.org/groups/2733877/items/YMTNYCBZ"],"uri":["http://zotero.org/groups/2733877/items/YMTNYCBZ"],"itemData":{"id":5979,"type":"report","event-place":"Hobart, Tasmania","genre":"Final Report","publisher":"Women With Disabilities Australia","publisher-place":"Hobart, Tasmania","title":"Improving service responses for Women with Disability Experiencing Violence: 1800RESPECT","author":[{"family":"Frohmader","given":"Carolyn"},{"family":"Ricci","given":"Cristina"}],"issued":{"date-parts":[["2016"]]}}},{"id":5975,"uris":["http://zotero.org/groups/2733877/items/AGA5UL5T"],"uri":["http://zotero.org/groups/2733877/items/AGA5UL5T"],"itemData":{"id":5975,"type":"report","event-place":"Hobart, Tasmania","publisher":"WWDA","publisher-place":"Hobart, Tasmania","title":"Submission to the Parliamentary Inquiry into pay equity and associated issues related to increasing female participation in the workforce","author":[{"family":"Women With Disabilities Australia","given":""}],"issued":{"date-parts":[["2008",8]]}}},{"id":5974,"uris":["http://zotero.org/groups/2733877/items/2YV5F4ID"],"uri":["http://zotero.org/groups/2733877/items/2YV5F4ID"],"itemData":{"id":5974,"type":"report","title":"Australian Civil Society Shadow Report to the United Nations Committee on the Rights of Persons with Disabilities (2019) in response to the List of issues prior to the submission of the combined second and third periodic reports of Australia [CRPD/C/AUS/QPR/2-3]","URL":"https://dpoa.org.au/wp-content/uploads/2019/08/CRPD-Shadow-Report-2019-English-PDF.pdf","author":[{"family":"Australian Civil Society CRPD Shadow Report Working Group","given":""}],"issued":{"date-parts":[["2019",7]]}}},{"id":5973,"uris":["http://zotero.org/groups/2733877/items/FKZQSKR6"],"uri":["http://zotero.org/groups/2733877/items/FKZQSKR6"],"itemData":{"id":5973,"type":"report","event-place":"Canberra","publisher":"Commonwealth of Australia","publisher-place":"Canberra","title":"Making it Fair: Pay equity and associated issues related to increasing female participation in the workforce","URL":"https://www.aph.gov.au/Parliamentary_Business/Committees/House_of_Representatives_Committees?url=ewr/payequity/report.htm","author":[{"family":"House of Representatives Standing Committee on Employment and Workplace Relations","given":""}],"issued":{"date-parts":[["2009",11]]}}}],"schema":"https://github.com/citation-style-language/schema/raw/master/csl-citation.json"} </w:instrText>
      </w:r>
      <w:r w:rsidRPr="003F3D6D">
        <w:rPr>
          <w:rFonts w:cstheme="minorHAnsi"/>
        </w:rPr>
        <w:fldChar w:fldCharType="separate"/>
      </w:r>
      <w:r w:rsidRPr="00794E5D">
        <w:rPr>
          <w:rFonts w:ascii="Calibri" w:hAnsi="Calibri" w:cs="Calibri"/>
          <w:szCs w:val="24"/>
        </w:rPr>
        <w:t xml:space="preserve">See, for example, Carolyn Frohmader and Therese Sands, </w:t>
      </w:r>
      <w:r w:rsidRPr="00794E5D">
        <w:rPr>
          <w:rFonts w:ascii="Calibri" w:hAnsi="Calibri" w:cs="Calibri"/>
          <w:i/>
          <w:iCs/>
          <w:szCs w:val="24"/>
        </w:rPr>
        <w:t>Submission to the Senate Inquiry into Violence, Abuse and Neglect against People with Disability in Institutional and Residential Settings</w:t>
      </w:r>
      <w:r w:rsidRPr="00794E5D">
        <w:rPr>
          <w:rFonts w:ascii="Calibri" w:hAnsi="Calibri" w:cs="Calibri"/>
          <w:szCs w:val="24"/>
        </w:rPr>
        <w:t xml:space="preserve"> (Australian Cross Disability Alliance (ACDA), 2015) &lt;https://wwda.org.au/wp-content/uploads/2013/12/ACDA_Sub_Sen_Inquiry_Violence_Institutions.pdf&gt;; Dowse et al (n 73); Women With Disabilities Australia, ‘Stop the Violence: Report of the Proceedings and Outcomes - National Symposium on Violence Against Women and Girls with Disabilities’ (n 73); Frohmader (n 83); Frohmader and Ricci (n 82); Women With Disabilities Australia, </w:t>
      </w:r>
      <w:r w:rsidRPr="00794E5D">
        <w:rPr>
          <w:rFonts w:ascii="Calibri" w:hAnsi="Calibri" w:cs="Calibri"/>
          <w:i/>
          <w:iCs/>
          <w:szCs w:val="24"/>
        </w:rPr>
        <w:t>Submission to the Parliamentary Inquiry into Pay Equity and Associated Issues Related to Increasing Female Participation in the Workforce</w:t>
      </w:r>
      <w:r w:rsidRPr="00794E5D">
        <w:rPr>
          <w:rFonts w:ascii="Calibri" w:hAnsi="Calibri" w:cs="Calibri"/>
          <w:szCs w:val="24"/>
        </w:rPr>
        <w:t xml:space="preserve"> (WWDA, August 2008); Australian Civil Society CRPD Shadow Report Working Group, </w:t>
      </w:r>
      <w:r w:rsidRPr="00794E5D">
        <w:rPr>
          <w:rFonts w:ascii="Calibri" w:hAnsi="Calibri" w:cs="Calibri"/>
          <w:i/>
          <w:iCs/>
          <w:szCs w:val="24"/>
        </w:rPr>
        <w:t>Australian Civil Society Shadow Report to the United Nations Committee on the Rights of Persons with Disabilities (2019) in Response to the List of Issues Prior to the Submission of the Combined Second and Third Periodic Reports of Australia [CRPD/C/AUS/QPR/2-3]</w:t>
      </w:r>
      <w:r w:rsidRPr="00794E5D">
        <w:rPr>
          <w:rFonts w:ascii="Calibri" w:hAnsi="Calibri" w:cs="Calibri"/>
          <w:szCs w:val="24"/>
        </w:rPr>
        <w:t xml:space="preserve"> (July 2019) &lt;https://dpoa.org.au/wp-content/uploads/2019/08/CRPD-Shadow-Report-2019-English-PDF.pdf&gt;; House of Representatives Standing Committee on Employment and Workplace Relations, </w:t>
      </w:r>
      <w:r w:rsidRPr="00794E5D">
        <w:rPr>
          <w:rFonts w:ascii="Calibri" w:hAnsi="Calibri" w:cs="Calibri"/>
          <w:i/>
          <w:iCs/>
          <w:szCs w:val="24"/>
        </w:rPr>
        <w:t>Making It Fair: Pay Equity and Associated Issues Related to Increasing Female Participation in the Workforce</w:t>
      </w:r>
      <w:r w:rsidRPr="00794E5D">
        <w:rPr>
          <w:rFonts w:ascii="Calibri" w:hAnsi="Calibri" w:cs="Calibri"/>
          <w:szCs w:val="24"/>
        </w:rPr>
        <w:t xml:space="preserve"> (Commonwealth of Australia, November 2009) &lt;https://www.aph.gov.au/Parliamentary_Business/Committees/House_of_Representatives_Committees?url=ewr/payequity/report.htm&gt;.</w:t>
      </w:r>
      <w:r w:rsidRPr="003F3D6D">
        <w:rPr>
          <w:rFonts w:cstheme="minorHAnsi"/>
        </w:rPr>
        <w:fldChar w:fldCharType="end"/>
      </w:r>
    </w:p>
  </w:endnote>
  <w:endnote w:id="88">
    <w:p w14:paraId="0ACD9626" w14:textId="6D90994D" w:rsidR="00A00236" w:rsidRPr="00BC3076" w:rsidRDefault="00A00236">
      <w:pPr>
        <w:pStyle w:val="EndnoteText"/>
        <w:rPr>
          <w:lang w:val="en-AU"/>
        </w:rPr>
      </w:pPr>
      <w:r>
        <w:rPr>
          <w:rStyle w:val="EndnoteReference"/>
        </w:rPr>
        <w:endnoteRef/>
      </w:r>
      <w:r>
        <w:t xml:space="preserve"> </w:t>
      </w:r>
      <w:r>
        <w:rPr>
          <w:lang w:val="en-AU"/>
        </w:rPr>
        <w:t>‘Parens patriae’ is defined as ‘</w:t>
      </w:r>
      <w:r>
        <w:rPr>
          <w:rStyle w:val="ssleftalign"/>
        </w:rPr>
        <w:t xml:space="preserve">the parent of his or her country. A common law doctrine by which the Sovereign has an obligation to protect the interests of those unable to protect themselves, such as protecting the assets of children and 'lunatics’: </w:t>
      </w:r>
      <w:r>
        <w:rPr>
          <w:rStyle w:val="ssleftalign"/>
        </w:rPr>
        <w:fldChar w:fldCharType="begin"/>
      </w:r>
      <w:r>
        <w:rPr>
          <w:rStyle w:val="ssleftalign"/>
        </w:rPr>
        <w:instrText xml:space="preserve"> ADDIN ZOTERO_ITEM CSL_CITATION {"citationID":"jOOmnGaw","properties":{"formattedCitation":"Peter Butt and PE Nygh, {\\i{}Butterworths Encyclopaedic Australian Legal Dictionary} (Butterworths, 1997).","plainCitation":"Peter Butt and PE Nygh, Butterworths Encyclopaedic Australian Legal Dictionary (Butterworths, 1997).","noteIndex":88},"citationItems":[{"id":8717,"uris":["http://zotero.org/users/5279374/items/XDU4W5EG"],"uri":["http://zotero.org/users/5279374/items/XDU4W5EG"],"itemData":{"id":8717,"type":"book","event-place":"North Ryde","publisher":"Butterworths","publisher-place":"North Ryde","title":"Butterworths Encyclopaedic Australian Legal Dictionary","author":[{"family":"Butt","given":"Peter"},{"family":"Nygh","given":"PE"}],"issued":{"date-parts":[["1997"]]}}}],"schema":"https://github.com/citation-style-language/schema/raw/master/csl-citation.json"} </w:instrText>
      </w:r>
      <w:r>
        <w:rPr>
          <w:rStyle w:val="ssleftalign"/>
        </w:rPr>
        <w:fldChar w:fldCharType="separate"/>
      </w:r>
      <w:r w:rsidRPr="00573F56">
        <w:rPr>
          <w:rFonts w:ascii="Calibri" w:hAnsi="Calibri" w:cs="Calibri"/>
          <w:szCs w:val="24"/>
        </w:rPr>
        <w:t xml:space="preserve">Peter Butt and PE Nygh, </w:t>
      </w:r>
      <w:r w:rsidRPr="00573F56">
        <w:rPr>
          <w:rFonts w:ascii="Calibri" w:hAnsi="Calibri" w:cs="Calibri"/>
          <w:i/>
          <w:iCs/>
          <w:szCs w:val="24"/>
        </w:rPr>
        <w:t>Butterworths Encyclopaedic Australian Legal Dictionary</w:t>
      </w:r>
      <w:r w:rsidRPr="00573F56">
        <w:rPr>
          <w:rFonts w:ascii="Calibri" w:hAnsi="Calibri" w:cs="Calibri"/>
          <w:szCs w:val="24"/>
        </w:rPr>
        <w:t xml:space="preserve"> (Butterworths, 1997).</w:t>
      </w:r>
      <w:r>
        <w:rPr>
          <w:rStyle w:val="ssleftalign"/>
        </w:rPr>
        <w:fldChar w:fldCharType="end"/>
      </w:r>
      <w:r>
        <w:rPr>
          <w:rStyle w:val="ssleftalign"/>
        </w:rPr>
        <w:t xml:space="preserve"> The</w:t>
      </w:r>
      <w:r w:rsidR="0095487D">
        <w:rPr>
          <w:rStyle w:val="ssleftalign"/>
        </w:rPr>
        <w:t xml:space="preserve"> common law doctrine of</w:t>
      </w:r>
      <w:r>
        <w:rPr>
          <w:rStyle w:val="ssleftalign"/>
        </w:rPr>
        <w:t xml:space="preserve"> parens patriae </w:t>
      </w:r>
      <w:r w:rsidR="0095487D">
        <w:rPr>
          <w:rStyle w:val="ssleftalign"/>
        </w:rPr>
        <w:t>is applied</w:t>
      </w:r>
      <w:r>
        <w:rPr>
          <w:rStyle w:val="ssleftalign"/>
        </w:rPr>
        <w:t xml:space="preserve"> by state and territory Supreme Courts, </w:t>
      </w:r>
      <w:r w:rsidR="0095487D">
        <w:rPr>
          <w:rStyle w:val="ssleftalign"/>
        </w:rPr>
        <w:t>and is also reflected in modern specialised</w:t>
      </w:r>
      <w:r>
        <w:rPr>
          <w:rStyle w:val="ssleftalign"/>
        </w:rPr>
        <w:t xml:space="preserve"> courts and tribunals </w:t>
      </w:r>
      <w:r w:rsidR="0095487D">
        <w:rPr>
          <w:rStyle w:val="ssleftalign"/>
        </w:rPr>
        <w:t>for</w:t>
      </w:r>
      <w:r>
        <w:rPr>
          <w:rStyle w:val="ssleftalign"/>
        </w:rPr>
        <w:t xml:space="preserve"> children and people with psychosocial and cognitive disabilities.</w:t>
      </w:r>
    </w:p>
  </w:endnote>
  <w:endnote w:id="89">
    <w:p w14:paraId="6F8640C9" w14:textId="0D9680D0"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{"citationID":"7RQ8csof","properties":{"formattedCitation":"{\\i{}John Fairfax &amp; Sons Limited v Police Tribunal of NSW} (1986) 5 NSWLR 465, [476]-[477] (McHugh JA, Glass JA agreeing).","plainCitation":"John Fairfax &amp; Sons Limited v Police Tribunal of NSW (1986) 5 NSWLR 465, [476]-[477] (McHugh JA, Glass JA agreeing).","noteIndex":89},"citationItems":[{"id":5972,"uris":["http://zotero.org/groups/2733877/items/XW65ZKVS"],"uri":["http://zotero.org/groups/2733877/items/XW65ZKVS"],"itemData":{"id":5972,"type":"legal_case","container-title":"NSWLR","page":"465","title":"John Fairfax &amp; Sons Limited v Police Tribunal of NSW","volume":"5","issued":{"date-parts":[["1986"]]}},"locator":"[476]-[477] (McHugh JA, Glass JA agreeing)"}],"schema":"https://github.com/citation-style-language/schema/raw/master/csl-citation.json"} </w:instrText>
      </w:r>
      <w:r w:rsidRPr="003F3D6D">
        <w:rPr>
          <w:rFonts w:cstheme="minorHAnsi"/>
        </w:rPr>
        <w:fldChar w:fldCharType="separate"/>
      </w:r>
      <w:r w:rsidRPr="003F3D6D">
        <w:rPr>
          <w:rFonts w:cstheme="minorHAnsi"/>
          <w:i/>
          <w:iCs/>
        </w:rPr>
        <w:t>John Fairfax &amp; Sons Limited v Police Tribunal of NSW</w:t>
      </w:r>
      <w:r w:rsidRPr="003F3D6D">
        <w:rPr>
          <w:rFonts w:cstheme="minorHAnsi"/>
        </w:rPr>
        <w:t xml:space="preserve"> (1986) 5 NSWLR 465, [476]-[477] (McHugh JA, Glass JA agreeing).</w:t>
      </w:r>
      <w:r w:rsidRPr="003F3D6D">
        <w:rPr>
          <w:rFonts w:cstheme="minorHAnsi"/>
        </w:rPr>
        <w:fldChar w:fldCharType="end"/>
      </w:r>
    </w:p>
  </w:endnote>
  <w:endnote w:id="90">
    <w:p w14:paraId="0C7060F3" w14:textId="39EBE936"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{"citationID":"ybU31UA3","properties":{"formattedCitation":"{\\i{}Russell v Russell} (1976) 134 CLR 495, 520.","plainCitation":"Russell v Russell (1976) 134 CLR 495, 520.","noteIndex":90},"citationItems":[{"id":5971,"uris":["http://zotero.org/groups/2733877/items/FXFE6RHC"],"uri":["http://zotero.org/groups/2733877/items/FXFE6RHC"],"itemData":{"id":5971,"type":"legal_case","container-title":"CLR","page":"495","title":"Russell v Russell","volume":"134","issued":{"date-parts":[["1976"]]}},"locator":"520"}],"schema":"https://github.com/citation-style-language/schema/raw/master/csl-citation.json"} </w:instrText>
      </w:r>
      <w:r w:rsidRPr="003F3D6D">
        <w:rPr>
          <w:rFonts w:cstheme="minorHAnsi"/>
        </w:rPr>
        <w:fldChar w:fldCharType="separate"/>
      </w:r>
      <w:r w:rsidRPr="003F3D6D">
        <w:rPr>
          <w:rFonts w:cstheme="minorHAnsi"/>
          <w:i/>
          <w:iCs/>
        </w:rPr>
        <w:t>Russell v Russell</w:t>
      </w:r>
      <w:r w:rsidRPr="003F3D6D">
        <w:rPr>
          <w:rFonts w:cstheme="minorHAnsi"/>
        </w:rPr>
        <w:t xml:space="preserve"> (1976) 134 CLR 495, 520.</w:t>
      </w:r>
      <w:r w:rsidRPr="003F3D6D">
        <w:rPr>
          <w:rFonts w:cstheme="minorHAnsi"/>
        </w:rPr>
        <w:fldChar w:fldCharType="end"/>
      </w:r>
    </w:p>
  </w:endnote>
  <w:endnote w:id="91">
    <w:p w14:paraId="4E43FC8E" w14:textId="32187887" w:rsidR="00A00236" w:rsidRPr="003F3D6D" w:rsidRDefault="00A00236" w:rsidP="009D5EE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{"citationID":"8WW6k8e0","properties":{"formattedCitation":"{\\i{}Hogan v Hinch} (2011) 243 CLR 506, [21] (French CJ).","plainCitation":"Hogan v Hinch (2011) 243 CLR 506, [21] (French CJ).","noteIndex":91},"citationItems":[{"id":5970,"uris":["http://zotero.org/groups/2733877/items/4R8PIT9M"],"uri":["http://zotero.org/groups/2733877/items/4R8PIT9M"],"itemData":{"id":5970,"type":"legal_case","container-title":"CLR","page":"506","title":"Hogan v Hinch","volume":"243","issued":{"date-parts":[["2011"]]}},"locator":"[21] (French CJ)"}],"schema":"https://github.com/citation-style-language/schema/raw/master/csl-citation.json"} </w:instrText>
      </w:r>
      <w:r w:rsidRPr="003F3D6D">
        <w:rPr>
          <w:rFonts w:cstheme="minorHAnsi"/>
        </w:rPr>
        <w:fldChar w:fldCharType="separate"/>
      </w:r>
      <w:r w:rsidRPr="003F3D6D">
        <w:rPr>
          <w:rFonts w:cstheme="minorHAnsi"/>
          <w:i/>
          <w:iCs/>
        </w:rPr>
        <w:t>Hogan v Hinch</w:t>
      </w:r>
      <w:r w:rsidRPr="003F3D6D">
        <w:rPr>
          <w:rFonts w:cstheme="minorHAnsi"/>
        </w:rPr>
        <w:t xml:space="preserve"> (2011) 243 CLR 506, [21] (French CJ).</w:t>
      </w:r>
      <w:r w:rsidRPr="003F3D6D">
        <w:rPr>
          <w:rFonts w:cstheme="minorHAnsi"/>
        </w:rPr>
        <w:fldChar w:fldCharType="end"/>
      </w:r>
      <w:r>
        <w:rPr>
          <w:rFonts w:cstheme="minorHAnsi"/>
        </w:rPr>
        <w:t xml:space="preserve"> </w:t>
      </w:r>
      <w:r>
        <w:rPr>
          <w:rFonts w:cstheme="minorHAnsi"/>
        </w:rPr>
        <w:fldChar w:fldCharType="begin"/>
      </w:r>
      <w:r>
        <w:rPr>
          <w:rFonts w:cstheme="minorHAnsi"/>
        </w:rPr>
        <w:instrText xml:space="preserve"> ADDIN ZOTERO_ITEM CSL_CITATION {"citationID":"19Xkrcg6","properties":{"formattedCitation":"See also Linda Steele, {\\i{}Open Justice: Court and Tribunal Information: Access, Disclosure and Publication} (Consultation Paper No 22, New South Wales Law Reform Commission, December 2020) 27\\uc0\\u8211{}29 &lt;https://www.lawreform.justice.nsw.gov.au/Documents/Publications/Consultation-Papers/CP22.pdf&gt;.","plainCitation":"See also Linda Steele, Open Justice: Court and Tribunal Information: Access, Disclosure and Publication (Consultation Paper No 22, New South Wales Law Reform Commission, December 2020) 27–29 &lt;https://www.lawreform.justice.nsw.gov.au/Documents/Publications/Consultation-Papers/CP22.pdf&gt;.","noteIndex":91},"citationItems":[{"id":6146,"uris":["http://zotero.org/groups/2733877/items/ZYUFWU46"],"uri":["http://zotero.org/groups/2733877/items/ZYUFWU46"],"itemData":{"id":6146,"type":"report","event-place":"Sydney","genre":"Consultation Paper","number":"22","publisher":"New South Wales Law Reform Commission","publisher-place":"Sydney","title":"Open Justice: Court and Tribunal Information: Access, Disclosure and Publication","URL":"https://www.lawreform.justice.nsw.gov.au/Documents/Publications/Consultation-Papers/CP22.pdf","author":[{"family":"Steele","given":"Linda"}],"issued":{"date-parts":[["2020",12]]}},"locator":"27-29","prefix":"See also"}],"schema":"https://github.com/citation-style-language/schema/raw/master/csl-citation.json"} </w:instrText>
      </w:r>
      <w:r>
        <w:rPr>
          <w:rFonts w:cstheme="minorHAnsi"/>
        </w:rPr>
        <w:fldChar w:fldCharType="separate"/>
      </w:r>
      <w:r w:rsidRPr="00C95AA8">
        <w:rPr>
          <w:rFonts w:ascii="Calibri" w:hAnsi="Calibri" w:cs="Calibri"/>
          <w:szCs w:val="24"/>
        </w:rPr>
        <w:t xml:space="preserve">See also Linda Steele, </w:t>
      </w:r>
      <w:r w:rsidRPr="00C95AA8">
        <w:rPr>
          <w:rFonts w:ascii="Calibri" w:hAnsi="Calibri" w:cs="Calibri"/>
          <w:i/>
          <w:iCs/>
          <w:szCs w:val="24"/>
        </w:rPr>
        <w:t>Open Justice: Court and Tribunal Information: Access, Disclosure and Publication</w:t>
      </w:r>
      <w:r w:rsidRPr="00C95AA8">
        <w:rPr>
          <w:rFonts w:ascii="Calibri" w:hAnsi="Calibri" w:cs="Calibri"/>
          <w:szCs w:val="24"/>
        </w:rPr>
        <w:t xml:space="preserve"> (Consultation Paper No 22, New South Wales Law Reform Commission, December 2020) 27–29 &lt;https://www.lawreform.justice.nsw.gov.au/Documents/Publications/Consultation-Papers/CP22.pdf&gt;.</w:t>
      </w:r>
      <w:r>
        <w:rPr>
          <w:rFonts w:cstheme="minorHAnsi"/>
        </w:rPr>
        <w:fldChar w:fldCharType="end"/>
      </w:r>
    </w:p>
  </w:endnote>
  <w:endnote w:id="92">
    <w:p w14:paraId="369B0AA1" w14:textId="3231EF0C" w:rsidR="00A00236" w:rsidRPr="00C95AA8" w:rsidRDefault="00A00236">
      <w:pPr>
        <w:pStyle w:val="EndnoteText"/>
        <w:rPr>
          <w:lang w:val="en-AU"/>
        </w:rPr>
      </w:pPr>
      <w:r>
        <w:rPr>
          <w:rStyle w:val="EndnoteReference"/>
        </w:rPr>
        <w:endnoteRef/>
      </w:r>
      <w:r>
        <w:t xml:space="preserve"> </w:t>
      </w:r>
      <w:r>
        <w:fldChar w:fldCharType="begin"/>
      </w:r>
      <w:r>
        <w:instrText xml:space="preserve"> ADDIN ZOTERO_ITEM CSL_CITATION {"citationID":"paOL4IQ5","properties":{"formattedCitation":"Linda Steele, {\\i{}Submission on Open Justice and Legal Violence Against People with Disability to the New South Wales Law Reform Commission Open Justice Review} (2021).","plainCitation":"Linda Steele, Submission on Open Justice and Legal Violence Against People with Disability to the New South Wales Law Reform Commission Open Justice Review (2021).","noteIndex":92},"citationItems":[{"id":6145,"uris":["http://zotero.org/groups/2733877/items/KEZVIQRJ"],"uri":["http://zotero.org/groups/2733877/items/KEZVIQRJ"],"itemData":{"id":6145,"type":"report","title":"Submission on Open Justice and Legal Violence Against People with Disability to the New South Wales Law Reform Commission Open Justice Review","author":[{"family":"Steele","given":"Linda"}],"issued":{"date-parts":[["2021"]]}}}],"schema":"https://github.com/citation-style-language/schema/raw/master/csl-citation.json"} </w:instrText>
      </w:r>
      <w:r>
        <w:fldChar w:fldCharType="separate"/>
      </w:r>
      <w:r w:rsidRPr="00C95AA8">
        <w:rPr>
          <w:rFonts w:ascii="Calibri" w:hAnsi="Calibri" w:cs="Calibri"/>
          <w:szCs w:val="24"/>
        </w:rPr>
        <w:t xml:space="preserve">Linda Steele, </w:t>
      </w:r>
      <w:r w:rsidRPr="00C95AA8">
        <w:rPr>
          <w:rFonts w:ascii="Calibri" w:hAnsi="Calibri" w:cs="Calibri"/>
          <w:i/>
          <w:iCs/>
          <w:szCs w:val="24"/>
        </w:rPr>
        <w:t>Submission on Open Justice and Legal Violence Against People with Disability to the New South Wales Law Reform Commission Open Justice Review</w:t>
      </w:r>
      <w:r w:rsidRPr="00C95AA8">
        <w:rPr>
          <w:rFonts w:ascii="Calibri" w:hAnsi="Calibri" w:cs="Calibri"/>
          <w:szCs w:val="24"/>
        </w:rPr>
        <w:t xml:space="preserve"> (2021).</w:t>
      </w:r>
      <w:r>
        <w:fldChar w:fldCharType="end"/>
      </w:r>
    </w:p>
  </w:endnote>
  <w:endnote w:id="93">
    <w:p w14:paraId="21D6D8A6" w14:textId="333268DC" w:rsidR="00A00236" w:rsidRPr="001E5C8F" w:rsidRDefault="00A00236" w:rsidP="00C9327E">
      <w:pPr>
        <w:pStyle w:val="EndnoteText"/>
        <w:rPr>
          <w:lang w:val="en-AU"/>
        </w:rPr>
      </w:pPr>
      <w:r>
        <w:rPr>
          <w:rStyle w:val="EndnoteReference"/>
        </w:rPr>
        <w:endnoteRef/>
      </w:r>
      <w:r>
        <w:t xml:space="preserve"> </w:t>
      </w:r>
      <w:r>
        <w:fldChar w:fldCharType="begin"/>
      </w:r>
      <w:r>
        <w:instrText xml:space="preserve"> ADDIN ZOTERO_ITEM CSL_CITATION {"citationID":"mM3Rk5iv","properties":{"formattedCitation":"Royal Commission into Violence, Abuse, Neglect and Exploitation of People with Disability, {\\i{}Our Terms of Reference} (n 65).","plainCitation":"Royal Commission into Violence, Abuse, Neglect and Exploitation of People with Disability, Our Terms of Reference (n 65).","noteIndex":93},"citationItems":[{"id":5924,"uris":["http://zotero.org/groups/2733877/items/PCBU8CVV"],"uri":["http://zotero.org/groups/2733877/items/PCBU8CVV"],"itemData":{"id":5924,"type":"webpage","abstract":"The Terms of Reference set out the Letters Patent – this is the name of the official document that establishes the Royal Commission, appoints its Commissioners and gives us rules for how can operate.","container-title":"Royal Commission into Violence, Abuse, Neglect and Exploitation of People with Disability","language":"en","title":"Our Terms of Reference","URL":"https://disability.royalcommission.gov.au/about-royal-commission/our-terms-reference","author":[{"family":"Royal Commission into Violence, Abuse, Neglect and Exploitation of People with Disability","given":""}],"accessed":{"date-parts":[["2021",1,27]]}}}],"schema":"https://github.com/citation-style-language/schema/raw/master/csl-citation.json"} </w:instrText>
      </w:r>
      <w:r>
        <w:fldChar w:fldCharType="separate"/>
      </w:r>
      <w:r w:rsidRPr="003509C3">
        <w:rPr>
          <w:rFonts w:ascii="Calibri" w:hAnsi="Calibri" w:cs="Calibri"/>
          <w:szCs w:val="24"/>
        </w:rPr>
        <w:t xml:space="preserve">Royal Commission into Violence, Abuse, Neglect and Exploitation of People with Disability, </w:t>
      </w:r>
      <w:r w:rsidRPr="003509C3">
        <w:rPr>
          <w:rFonts w:ascii="Calibri" w:hAnsi="Calibri" w:cs="Calibri"/>
          <w:i/>
          <w:iCs/>
          <w:szCs w:val="24"/>
        </w:rPr>
        <w:t>Our Terms of Reference</w:t>
      </w:r>
      <w:r w:rsidRPr="003509C3">
        <w:rPr>
          <w:rFonts w:ascii="Calibri" w:hAnsi="Calibri" w:cs="Calibri"/>
          <w:szCs w:val="24"/>
        </w:rPr>
        <w:t xml:space="preserve"> (n 65).</w:t>
      </w:r>
      <w:r>
        <w:fldChar w:fldCharType="end"/>
      </w:r>
    </w:p>
  </w:endnote>
  <w:endnote w:id="94">
    <w:p w14:paraId="4124F119" w14:textId="1AB0E353" w:rsidR="00A00236" w:rsidRPr="00854F4D" w:rsidRDefault="00A00236">
      <w:pPr>
        <w:pStyle w:val="EndnoteText"/>
        <w:rPr>
          <w:lang w:val="en-AU"/>
        </w:rPr>
      </w:pPr>
      <w:r>
        <w:rPr>
          <w:rStyle w:val="EndnoteReference"/>
        </w:rPr>
        <w:endnoteRef/>
      </w:r>
      <w:r>
        <w:t xml:space="preserve"> </w:t>
      </w:r>
      <w:r>
        <w:fldChar w:fldCharType="begin"/>
      </w:r>
      <w:r>
        <w:instrText xml:space="preserve"> ADDIN ZOTERO_ITEM CSL_CITATION {"citationID":"4rqgZXqz","properties":{"formattedCitation":"Royal Commission into Violence, Abuse, Neglect and Exploitation of People with Disability, {\\i{}Accessibility and Inclusion Strategy} (19 August 2019) 2 &lt;https://disability.royalcommission.gov.au/publications/accessibility-and-inclusion-strategy&gt;.","plainCitation":"Royal Commission into Violence, Abuse, Neglect and Exploitation of People with Disability, Accessibility and Inclusion Strategy (19 August 2019) 2 &lt;https://disability.royalcommission.gov.au/publications/accessibility-and-inclusion-strategy&gt;.","noteIndex":94},"citationItems":[{"id":5922,"uris":["http://zotero.org/groups/2733877/items/N2FBEYTB"],"uri":["http://zotero.org/groups/2733877/items/N2FBEYTB"],"itemData":{"id":5922,"type":"report","abstract":"The Disability Royal Commission's Accessibility and Inclusion Strategy states the principles that will guide the Royal Commission in its engagement with people with disability.","language":"en","title":"Accessibility and Inclusion Strategy","URL":"https://disability.royalcommission.gov.au/publications/accessibility-and-inclusion-strategy","author":[{"family":"Royal Commission into Violence, Abuse, Neglect and Exploitation of People with Disability","given":""}],"accessed":{"date-parts":[["2021",1,27]]},"issued":{"date-parts":[["2019",8,19]]}},"locator":"2"}],"schema":"https://github.com/citation-style-language/schema/raw/master/csl-citation.json"} </w:instrText>
      </w:r>
      <w:r>
        <w:fldChar w:fldCharType="separate"/>
      </w:r>
      <w:r w:rsidRPr="00854F4D">
        <w:rPr>
          <w:rFonts w:ascii="Calibri" w:hAnsi="Calibri" w:cs="Calibri"/>
          <w:szCs w:val="24"/>
        </w:rPr>
        <w:t xml:space="preserve">Royal Commission into Violence, Abuse, Neglect and Exploitation of People with Disability, </w:t>
      </w:r>
      <w:r w:rsidRPr="00854F4D">
        <w:rPr>
          <w:rFonts w:ascii="Calibri" w:hAnsi="Calibri" w:cs="Calibri"/>
          <w:i/>
          <w:iCs/>
          <w:szCs w:val="24"/>
        </w:rPr>
        <w:t>Accessibility and Inclusion Strategy</w:t>
      </w:r>
      <w:r w:rsidRPr="00854F4D">
        <w:rPr>
          <w:rFonts w:ascii="Calibri" w:hAnsi="Calibri" w:cs="Calibri"/>
          <w:szCs w:val="24"/>
        </w:rPr>
        <w:t xml:space="preserve"> (19 August 2019) 2 &lt;https://disability.royalcommission.gov.au/publications/accessibility-and-inclusion-strategy&gt;.</w:t>
      </w:r>
      <w:r>
        <w:fldChar w:fldCharType="end"/>
      </w:r>
    </w:p>
  </w:endnote>
  <w:endnote w:id="95">
    <w:p w14:paraId="67E0E0C8" w14:textId="4FFE98ED" w:rsidR="00A00236" w:rsidRPr="00854F4D" w:rsidRDefault="00A00236">
      <w:pPr>
        <w:pStyle w:val="EndnoteText"/>
        <w:rPr>
          <w:lang w:val="en-AU"/>
        </w:rPr>
      </w:pPr>
      <w:r>
        <w:rPr>
          <w:rStyle w:val="EndnoteReference"/>
        </w:rPr>
        <w:endnoteRef/>
      </w:r>
      <w:r>
        <w:t xml:space="preserve"> </w:t>
      </w:r>
      <w:r>
        <w:fldChar w:fldCharType="begin"/>
      </w:r>
      <w:r>
        <w:instrText xml:space="preserve"> ADDIN ZOTERO_ITEM CSL_CITATION {"citationID":"9CRwEt0F","properties":{"formattedCitation":"Ibid 5.","plainCitation":"Ibid 5.","noteIndex":95},"citationItems":[{"id":5922,"uris":["http://zotero.org/groups/2733877/items/N2FBEYTB"],"uri":["http://zotero.org/groups/2733877/items/N2FBEYTB"],"itemData":{"id":5922,"type":"report","abstract":"The Disability Royal Commission's Accessibility and Inclusion Strategy states the principles that will guide the Royal Commission in its engagement with people with disability.","language":"en","title":"Accessibility and Inclusion Strategy","URL":"https://disability.royalcommission.gov.au/publications/accessibility-and-inclusion-strategy","author":[{"family":"Royal Commission into Violence, Abuse, Neglect and Exploitation of People with Disability","given":""}],"accessed":{"date-parts":[["2021",1,27]]},"issued":{"date-parts":[["2019",8,19]]}},"locator":"5"}],"schema":"https://github.com/citation-style-language/schema/raw/master/csl-citation.json"} </w:instrText>
      </w:r>
      <w:r>
        <w:fldChar w:fldCharType="separate"/>
      </w:r>
      <w:r w:rsidRPr="00854F4D">
        <w:rPr>
          <w:rFonts w:ascii="Calibri" w:hAnsi="Calibri" w:cs="Calibri"/>
        </w:rPr>
        <w:t>Ibid 5.</w:t>
      </w:r>
      <w:r>
        <w:fldChar w:fldCharType="end"/>
      </w:r>
    </w:p>
  </w:endnote>
  <w:endnote w:id="96">
    <w:p w14:paraId="2828C683" w14:textId="140724F8" w:rsidR="00A00236" w:rsidRPr="003F3D6D" w:rsidRDefault="00A00236" w:rsidP="0092265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{"citationID":"AvyscIwO","properties":{"formattedCitation":"Committee on the Rights of Persons with Disabilities, {\\i{}General Comment No. 3 on Article 6: Women and Girls with Disabilities} (CRPD/C/GC/3, United Nations, 2 September 2016) 3 &lt;https://www.refworld.org/docid/57c977344.html&gt;.","plainCitation":"Committee on the Rights of Persons with Disabilities, General Comment No. 3 on Article 6: Women and Girls with Disabilities (CRPD/C/GC/3, United Nations, 2 September 2016) 3 &lt;https://www.refworld.org/docid/57c977344.html&gt;.","noteIndex":96},"citationItems":[{"id":6048,"uris":["http://zotero.org/groups/2733877/items/EJBHWJ76"],"uri":["http://zotero.org/groups/2733877/items/EJBHWJ76"],"itemData":{"id":6048,"type":"report","abstract":"Advance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Disabilities","given":""}],"accessed":{"date-parts":[["2021",2,1]]},"issued":{"date-parts":[["2016",9,2]]}},"locator":"3"}],"schema":"https://github.com/citation-style-language/schema/raw/master/csl-citation.json"} </w:instrText>
      </w:r>
      <w:r w:rsidRPr="003F3D6D">
        <w:rPr>
          <w:rFonts w:cstheme="minorHAnsi"/>
        </w:rPr>
        <w:fldChar w:fldCharType="separate"/>
      </w:r>
      <w:r w:rsidRPr="00DA0132">
        <w:rPr>
          <w:rFonts w:ascii="Calibri" w:hAnsi="Calibri" w:cs="Calibri"/>
          <w:szCs w:val="24"/>
        </w:rPr>
        <w:t xml:space="preserve">Committee on the Rights of Persons with Disabilities, </w:t>
      </w:r>
      <w:r w:rsidRPr="00DA0132">
        <w:rPr>
          <w:rFonts w:ascii="Calibri" w:hAnsi="Calibri" w:cs="Calibri"/>
          <w:i/>
          <w:iCs/>
          <w:szCs w:val="24"/>
        </w:rPr>
        <w:t>General Comment No. 3 on Article 6: Women and Girls with Disabilities</w:t>
      </w:r>
      <w:r w:rsidRPr="00DA0132">
        <w:rPr>
          <w:rFonts w:ascii="Calibri" w:hAnsi="Calibri" w:cs="Calibri"/>
          <w:szCs w:val="24"/>
        </w:rPr>
        <w:t xml:space="preserve"> (CRPD/C/GC/3, United Nations, 2 September 2016) 3 &lt;https://www.refworld.org/docid/57c977344.html&gt;.</w:t>
      </w:r>
      <w:r w:rsidRPr="003F3D6D">
        <w:rPr>
          <w:rFonts w:cstheme="minorHAnsi"/>
        </w:rPr>
        <w:fldChar w:fldCharType="end"/>
      </w:r>
    </w:p>
  </w:endnote>
  <w:endnote w:id="97">
    <w:p w14:paraId="3F545772" w14:textId="7E3CCCC9" w:rsidR="00A00236" w:rsidRPr="003F3D6D" w:rsidRDefault="00A00236" w:rsidP="0092265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{"citationID":"YyMg78Ff","properties":{"formattedCitation":"Committee on the Rights of Persons with Disabilities, \\uc0\\u8216{}General Comment No. 7 on the Participation of Persons with Disabilities, Including Children with Disabilities, through Their Representative Organizations, in the Implementing and Monitoring of the Convention\\uc0\\u8217{} (n 1) 7.","plainCitation":"Committee on the Rights of Persons with Disabilities, ‘General Comment No. 7 on the Participation of Persons with Disabilities, Including Children with Disabilities, through Their Representative Organizations, in the Implementing and Monitoring of the Convention’ (n 1) 7.","noteIndex":97},"citationItems":[{"id":5931,"uris":["http://zotero.org/groups/2733877/items/NP9ZTZK9"],"uri":["http://zotero.org/groups/2733877/items/NP9ZTZK9"],"itemData":{"id":5931,"type":"report","collection-title":"UN Doc","genre":"CRPD/C/GC/7","publisher":"United Nations","title":"General Comment No. 7 on the participation of persons with disabilities, including children with disabilities, through their representative organizations, in the implementing and monitoring of the Convention","URL":"https://undocs.org/en/CRPD/C/GC/7","author":[{"family":"Committee on the Rights of Persons with Disabilities","given":""}],"issued":{"date-parts":[["2018",11,9]]}},"locator":"7"}],"schema":"https://github.com/citation-style-language/schema/raw/master/csl-citation.json"} </w:instrText>
      </w:r>
      <w:r w:rsidRPr="003F3D6D">
        <w:rPr>
          <w:rFonts w:cstheme="minorHAnsi"/>
        </w:rPr>
        <w:fldChar w:fldCharType="separate"/>
      </w:r>
      <w:r w:rsidRPr="00C27B33">
        <w:rPr>
          <w:rFonts w:ascii="Calibri" w:hAnsi="Calibri" w:cs="Calibri"/>
          <w:szCs w:val="24"/>
        </w:rPr>
        <w:t>Committee on the Rights of Persons with Disabilities, ‘General Comment No. 7 on the Participation of Persons with Disabilities, Including Children with Disabilities, through Their Representative Organizations, in the Implementing and Monitoring of the Convention’ (n 1) 7.</w:t>
      </w:r>
      <w:r w:rsidRPr="003F3D6D">
        <w:rPr>
          <w:rFonts w:cstheme="minorHAnsi"/>
        </w:rPr>
        <w:fldChar w:fldCharType="end"/>
      </w:r>
    </w:p>
  </w:endnote>
  <w:endnote w:id="98">
    <w:p w14:paraId="2C441101" w14:textId="2229D600" w:rsidR="00A00236" w:rsidRPr="00794E5D" w:rsidRDefault="00A00236" w:rsidP="00A24D4C">
      <w:pPr>
        <w:pStyle w:val="EndnoteText"/>
        <w:rPr>
          <w:lang w:val="en-AU"/>
        </w:rPr>
      </w:pPr>
      <w:r w:rsidRPr="00794E5D">
        <w:rPr>
          <w:rStyle w:val="EndnoteReference"/>
        </w:rPr>
        <w:endnoteRef/>
      </w:r>
      <w:r w:rsidRPr="00794E5D">
        <w:t xml:space="preserve"> </w:t>
      </w:r>
      <w:r w:rsidRPr="00794E5D">
        <w:fldChar w:fldCharType="begin"/>
      </w:r>
      <w:r>
        <w:instrText xml:space="preserve"> ADDIN ZOTERO_ITEM CSL_CITATION {"citationID":"7UHIzKVY","properties":{"formattedCitation":"Royal Commission into Violence, Abuse, Neglect and Exploitation of People with Disability, \\uc0\\u8216{}Interim Report\\uc0\\u8217{} (n 69) 33\\uc0\\u8211{}37.","plainCitation":"Royal Commission into Violence, Abuse, Neglect and Exploitation of People with Disability, ‘Interim Report’ (n 69) 33–37.","noteIndex":98},"citationItems":[{"id":5967,"uris":["http://zotero.org/groups/2733877/items/NSCKRVDK"],"uri":["http://zotero.org/groups/2733877/items/NSCKRVDK"],"itemData":{"id":5967,"type":"report","abstract":"Annotation.","event-place":"Brisbane","language":"en","note":"OCLC: 1230218362","publisher":"Commonwealth of Australia","publisher-place":"Brisbane","source":"Open WorldCat","title":"Interim Report","URL":"https://disability.royalcommission.gov.au/publications/interim-report","author":[{"family":"Royal Commission into Violence, Abuse, Neglect and Exploitation of People with Disability","given":""}],"issued":{"date-parts":[["2020",10]]}},"locator":"33-37"}],"schema":"https://github.com/citation-style-language/schema/raw/master/csl-citation.json"} </w:instrText>
      </w:r>
      <w:r w:rsidRPr="00794E5D">
        <w:fldChar w:fldCharType="separate"/>
      </w:r>
      <w:r w:rsidRPr="00794E5D">
        <w:rPr>
          <w:rFonts w:ascii="Calibri" w:hAnsi="Calibri" w:cs="Calibri"/>
          <w:szCs w:val="24"/>
        </w:rPr>
        <w:t>Royal Commission into Violence, Abuse, Neglect and Exploitation of People with Disability, ‘Interim Report’ (n 69) 33–37.</w:t>
      </w:r>
      <w:r w:rsidRPr="00794E5D">
        <w:fldChar w:fldCharType="end"/>
      </w:r>
      <w:r w:rsidRPr="00794E5D">
        <w:t xml:space="preserve"> </w:t>
      </w:r>
    </w:p>
  </w:endnote>
  <w:endnote w:id="99">
    <w:p w14:paraId="564B4AE9" w14:textId="78485C0A" w:rsidR="00A00236" w:rsidRPr="001324FB" w:rsidRDefault="00A00236" w:rsidP="00C26D44">
      <w:pPr>
        <w:pStyle w:val="EndnoteText"/>
        <w:rPr>
          <w:lang w:val="en-AU"/>
        </w:rPr>
      </w:pPr>
      <w:r w:rsidRPr="00794E5D">
        <w:rPr>
          <w:rStyle w:val="EndnoteReference"/>
        </w:rPr>
        <w:endnoteRef/>
      </w:r>
      <w:r w:rsidRPr="00794E5D">
        <w:t xml:space="preserve"> </w:t>
      </w:r>
      <w:r w:rsidRPr="00794E5D">
        <w:fldChar w:fldCharType="begin"/>
      </w:r>
      <w:r>
        <w:instrText xml:space="preserve"> ADDIN ZOTERO_ITEM CSL_CITATION {"citationID":"vs0aRqbn","properties":{"formattedCitation":"Ibid 14.","plainCitation":"Ibid 14.","noteIndex":99},"citationItems":[{"id":5967,"uris":["http://zotero.org/groups/2733877/items/NSCKRVDK"],"uri":["http://zotero.org/groups/2733877/items/NSCKRVDK"],"itemData":{"id":5967,"type":"report","abstract":"Annotation.","event-place":"Brisbane","language":"en","note":"OCLC: 1230218362","publisher":"Commonwealth of Australia","publisher-place":"Brisbane","source":"Open WorldCat","title":"Interim Report","URL":"https://disability.royalcommission.gov.au/publications/interim-report","author":[{"family":"Royal Commission into Violence, Abuse, Neglect and Exploitation of People with Disability","given":""}],"issued":{"date-parts":[["2020",10]]}},"locator":"14"}],"schema":"https://github.com/citation-style-language/schema/raw/master/csl-citation.json"} </w:instrText>
      </w:r>
      <w:r w:rsidRPr="00794E5D">
        <w:fldChar w:fldCharType="separate"/>
      </w:r>
      <w:r w:rsidRPr="00794E5D">
        <w:rPr>
          <w:rFonts w:ascii="Calibri" w:hAnsi="Calibri" w:cs="Calibri"/>
        </w:rPr>
        <w:t>Ibid 14.</w:t>
      </w:r>
      <w:r w:rsidRPr="00794E5D">
        <w:fldChar w:fldCharType="end"/>
      </w:r>
    </w:p>
  </w:endnote>
  <w:endnote w:id="100">
    <w:p w14:paraId="2185A031" w14:textId="64582067" w:rsidR="00A00236" w:rsidRPr="001324FB" w:rsidRDefault="00A00236" w:rsidP="00C26D44">
      <w:pPr>
        <w:pStyle w:val="EndnoteText"/>
        <w:rPr>
          <w:lang w:val="en-AU"/>
        </w:rPr>
      </w:pPr>
      <w:r>
        <w:rPr>
          <w:rStyle w:val="EndnoteReference"/>
        </w:rPr>
        <w:endnoteRef/>
      </w:r>
      <w:r>
        <w:t xml:space="preserve"> </w:t>
      </w:r>
      <w:r>
        <w:fldChar w:fldCharType="begin"/>
      </w:r>
      <w:r>
        <w:instrText xml:space="preserve"> ADDIN ZOTERO_ITEM CSL_CITATION {"citationID":"IqJLUeb3","properties":{"formattedCitation":"Ibid xii.","plainCitation":"Ibid xii.","noteIndex":100},"citationItems":[{"id":5967,"uris":["http://zotero.org/groups/2733877/items/NSCKRVDK"],"uri":["http://zotero.org/groups/2733877/items/NSCKRVDK"],"itemData":{"id":5967,"type":"report","abstract":"Annotation.","event-place":"Brisbane","language":"en","note":"OCLC: 1230218362","publisher":"Commonwealth of Australia","publisher-place":"Brisbane","source":"Open WorldCat","title":"Interim Report","URL":"https://disability.royalcommission.gov.au/publications/interim-report","author":[{"family":"Royal Commission into Violence, Abuse, Neglect and Exploitation of People with Disability","given":""}],"issued":{"date-parts":[["2020",10]]}},"locator":"xii"}],"schema":"https://github.com/citation-style-language/schema/raw/master/csl-citation.json"} </w:instrText>
      </w:r>
      <w:r>
        <w:fldChar w:fldCharType="separate"/>
      </w:r>
      <w:r w:rsidRPr="001324FB">
        <w:rPr>
          <w:rFonts w:ascii="Calibri" w:hAnsi="Calibri" w:cs="Calibri"/>
        </w:rPr>
        <w:t>Ibid xii.</w:t>
      </w:r>
      <w:r>
        <w:fldChar w:fldCharType="end"/>
      </w:r>
    </w:p>
  </w:endnote>
  <w:endnote w:id="101">
    <w:p w14:paraId="2230C371" w14:textId="3C189915" w:rsidR="00A00236" w:rsidRPr="006949E1" w:rsidRDefault="00A00236">
      <w:pPr>
        <w:pStyle w:val="EndnoteText"/>
        <w:rPr>
          <w:lang w:val="en-AU"/>
        </w:rPr>
      </w:pPr>
      <w:r>
        <w:rPr>
          <w:rStyle w:val="EndnoteReference"/>
        </w:rPr>
        <w:endnoteRef/>
      </w:r>
      <w:r>
        <w:t xml:space="preserve"> </w:t>
      </w:r>
      <w:r>
        <w:fldChar w:fldCharType="begin"/>
      </w:r>
      <w:r>
        <w:instrText xml:space="preserve"> ADDIN ZOTERO_ITEM CSL_CITATION {"citationID":"NN2UXdiS","properties":{"formattedCitation":"Ibid 311.","plainCitation":"Ibid 311.","noteIndex":101},"citationItems":[{"id":5967,"uris":["http://zotero.org/groups/2733877/items/NSCKRVDK"],"uri":["http://zotero.org/groups/2733877/items/NSCKRVDK"],"itemData":{"id":5967,"type":"report","abstract":"Annotation.","event-place":"Brisbane","language":"en","note":"OCLC: 1230218362","publisher":"Commonwealth of Australia","publisher-place":"Brisbane","source":"Open WorldCat","title":"Interim Report","URL":"https://disability.royalcommission.gov.au/publications/interim-report","author":[{"family":"Royal Commission into Violence, Abuse, Neglect and Exploitation of People with Disability","given":""}],"issued":{"date-parts":[["2020",10]]}},"locator":"311"}],"schema":"https://github.com/citation-style-language/schema/raw/master/csl-citation.json"} </w:instrText>
      </w:r>
      <w:r>
        <w:fldChar w:fldCharType="separate"/>
      </w:r>
      <w:r w:rsidRPr="00562342">
        <w:rPr>
          <w:rFonts w:ascii="Calibri" w:hAnsi="Calibri" w:cs="Calibri"/>
        </w:rPr>
        <w:t>Ibid 311.</w:t>
      </w:r>
      <w:r>
        <w:fldChar w:fldCharType="end"/>
      </w:r>
    </w:p>
  </w:endnote>
  <w:endnote w:id="102">
    <w:p w14:paraId="4EEB5579" w14:textId="723C7ABD" w:rsidR="00A00236" w:rsidRPr="003F3D6D" w:rsidRDefault="00A00236" w:rsidP="009E3FD3">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{"citationID":"qxxrzdVv","properties":{"formattedCitation":"Committee on the Rights of Persons with Disabilities, \\uc0\\u8216{}General Comment No. 3 on Article 6: Women and Girls with Disabilities\\uc0\\u8217{} (n 96). Examples of violence include forced sterilisation, forced abortion, forced contraception, denial of legal capacity, forced treatment, restrictive practices, seclusion, restraint, indefinite detention, and forced and coerced marriage.","plainCitation":"Committee on the Rights of Persons with Disabilities, ‘General Comment No. 3 on Article 6: Women and Girls with Disabilities’ (n 96). Examples of violence include forced sterilisation, forced abortion, forced contraception, denial of legal capacity, forced treatment, restrictive practices, seclusion, restraint, indefinite detention, and forced and coerced marriage.","noteIndex":102},"citationItems":[{"id":6048,"uris":["http://zotero.org/groups/2733877/items/EJBHWJ76"],"uri":["http://zotero.org/groups/2733877/items/EJBHWJ76"],"itemData":{"id":6048,"type":"report","abstract":"Advance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Disabilities","given":""}],"accessed":{"date-parts":[["2021",2,1]]},"issued":{"date-parts":[["2016",9,2]]}},"suffix":". Examples of violence include forced sterilisation, forced abortion, forced contraception, denial of legal capacity, forced treatment, restrictive practices, seclusion, restraint, indefinite detention, and forced and coerced marriage."}],"schema":"https://github.com/citation-style-language/schema/raw/master/csl-citation.json"} </w:instrText>
      </w:r>
      <w:r w:rsidRPr="003F3D6D">
        <w:rPr>
          <w:rFonts w:cstheme="minorHAnsi"/>
        </w:rPr>
        <w:fldChar w:fldCharType="separate"/>
      </w:r>
      <w:r w:rsidRPr="00562342">
        <w:rPr>
          <w:rFonts w:ascii="Calibri" w:hAnsi="Calibri" w:cs="Calibri"/>
          <w:szCs w:val="24"/>
        </w:rPr>
        <w:t>Committee on the Rights of Persons with Disabilities, ‘General Comment No. 3 on Article 6: Women and Girls with Disabilities’ (n 96). Examples of violence include forced sterilisation, forced abortion, forced contraception, denial of legal capacity, forced treatment, restrictive practices, seclusion, restraint, indefinite detention, and forced and coerced marriage.</w:t>
      </w:r>
      <w:r w:rsidRPr="003F3D6D">
        <w:rPr>
          <w:rFonts w:cstheme="minorHAnsi"/>
        </w:rPr>
        <w:fldChar w:fldCharType="end"/>
      </w:r>
    </w:p>
  </w:endnote>
  <w:endnote w:id="103">
    <w:p w14:paraId="353AECFB" w14:textId="215DEA3A" w:rsidR="00A00236" w:rsidRPr="00CF26A7" w:rsidRDefault="00A00236" w:rsidP="009E3FD3">
      <w:pPr>
        <w:pStyle w:val="EndnoteText"/>
        <w:rPr>
          <w:lang w:val="en-AU"/>
        </w:rPr>
      </w:pPr>
      <w:r>
        <w:rPr>
          <w:rStyle w:val="EndnoteReference"/>
        </w:rPr>
        <w:endnoteRef/>
      </w:r>
      <w:r>
        <w:t xml:space="preserve"> </w:t>
      </w:r>
      <w:r>
        <w:fldChar w:fldCharType="begin"/>
      </w:r>
      <w:r>
        <w:instrText xml:space="preserve"> ADDIN ZOTERO_ITEM CSL_CITATION {"citationID":"REq1rkIW","properties":{"formattedCitation":"Centre of Research Excellence in Disability and Health (CRE-DH) (n 76) 11.","plainCitation":"Centre of Research Excellence in Disability and Health (CRE-DH) (n 76) 11.","noteIndex":103},"citationItems":[{"id":6157,"uris":["http://zotero.org/groups/2733877/items/X3IH7B3H"],"uri":["http://zotero.org/groups/2733877/items/X3IH7B3H"],"itemData":{"id":6157,"type":"report","publisher":"Royal Commission into Violence, Abuse, Neglect and Exploitation of People with Disability","title":"Nature and extent of violence, abuse, neglect and exploitation against people with disability in Australia","URL":"https://disability.royalcommission.gov.au/system/files/2021-03/Research%20Report%20-%20Nature%20and%20extent%20of%20violence%2C%20abuse%2C%20neglect%20and%20exploitation%20against%20people%20with%20disability%20in%20Australia.pdf","author":[{"family":"Centre of Research Excellence in Disability and Health (CRE-DH)","given":""}],"issued":{"date-parts":[["2021",3]]}},"locator":"11","label":"page"}],"schema":"https://github.com/citation-style-language/schema/raw/master/csl-citation.json"} </w:instrText>
      </w:r>
      <w:r>
        <w:fldChar w:fldCharType="separate"/>
      </w:r>
      <w:r w:rsidRPr="00794E5D">
        <w:rPr>
          <w:rFonts w:ascii="Calibri" w:hAnsi="Calibri" w:cs="Calibri"/>
        </w:rPr>
        <w:t>Centre of Research Excellence in Disability and Health (CRE-DH) (n 76) 11.</w:t>
      </w:r>
      <w:r>
        <w:fldChar w:fldCharType="end"/>
      </w:r>
    </w:p>
  </w:endnote>
  <w:endnote w:id="104">
    <w:p w14:paraId="30A233D9" w14:textId="1547A536" w:rsidR="00A00236" w:rsidRPr="00CF26A7" w:rsidRDefault="00A00236" w:rsidP="009E3FD3">
      <w:pPr>
        <w:pStyle w:val="EndnoteText"/>
        <w:rPr>
          <w:lang w:val="en-AU"/>
        </w:rPr>
      </w:pPr>
      <w:r>
        <w:rPr>
          <w:rStyle w:val="EndnoteReference"/>
        </w:rPr>
        <w:endnoteRef/>
      </w:r>
      <w:r>
        <w:t xml:space="preserve"> </w:t>
      </w:r>
      <w:r>
        <w:fldChar w:fldCharType="begin"/>
      </w:r>
      <w:r>
        <w:instrText xml:space="preserve"> ADDIN ZOTERO_ITEM CSL_CITATION {"citationID":"eLeBOksO","properties":{"formattedCitation":"Ibid.","plainCitation":"Ibid.","noteIndex":104},"citationItems":[{"id":6157,"uris":["http://zotero.org/groups/2733877/items/X3IH7B3H"],"uri":["http://zotero.org/groups/2733877/items/X3IH7B3H"],"itemData":{"id":6157,"type":"report","publisher":"Royal Commission into Violence, Abuse, Neglect and Exploitation of People with Disability","title":"Nature and extent of violence, abuse, neglect and exploitation against people with disability in Australia","URL":"https://disability.royalcommission.gov.au/system/files/2021-03/Research%20Report%20-%20Nature%20and%20extent%20of%20violence%2C%20abuse%2C%20neglect%20and%20exploitation%20against%20people%20with%20disability%20in%20Australia.pdf","author":[{"family":"Centre of Research Excellence in Disability and Health (CRE-DH)","given":""}],"issued":{"date-parts":[["2021",3]]}},"locator":"11","label":"page"}],"schema":"https://github.com/citation-style-language/schema/raw/master/csl-citation.json"} </w:instrText>
      </w:r>
      <w:r>
        <w:fldChar w:fldCharType="separate"/>
      </w:r>
      <w:r w:rsidRPr="00CF26A7">
        <w:rPr>
          <w:rFonts w:ascii="Calibri" w:hAnsi="Calibri" w:cs="Calibri"/>
        </w:rPr>
        <w:t>Ibid.</w:t>
      </w:r>
      <w:r>
        <w:fldChar w:fldCharType="end"/>
      </w:r>
    </w:p>
  </w:endnote>
  <w:endnote w:id="105">
    <w:p w14:paraId="59ABDD6D" w14:textId="003615E7" w:rsidR="00A00236" w:rsidRPr="00CF26A7" w:rsidRDefault="00A00236" w:rsidP="009E3FD3">
      <w:pPr>
        <w:pStyle w:val="EndnoteText"/>
        <w:rPr>
          <w:lang w:val="en-AU"/>
        </w:rPr>
      </w:pPr>
      <w:r>
        <w:rPr>
          <w:rStyle w:val="EndnoteReference"/>
        </w:rPr>
        <w:endnoteRef/>
      </w:r>
      <w:r>
        <w:t xml:space="preserve"> </w:t>
      </w:r>
      <w:r>
        <w:fldChar w:fldCharType="begin"/>
      </w:r>
      <w:r>
        <w:instrText xml:space="preserve"> ADDIN ZOTERO_ITEM CSL_CITATION {"citationID":"SahG1rdN","properties":{"formattedCitation":"Ibid 12.","plainCitation":"Ibid 12.","noteIndex":105},"citationItems":[{"id":6157,"uris":["http://zotero.org/groups/2733877/items/X3IH7B3H"],"uri":["http://zotero.org/groups/2733877/items/X3IH7B3H"],"itemData":{"id":6157,"type":"report","publisher":"Royal Commission into Violence, Abuse, Neglect and Exploitation of People with Disability","title":"Nature and extent of violence, abuse, neglect and exploitation against people with disability in Australia","URL":"https://disability.royalcommission.gov.au/system/files/2021-03/Research%20Report%20-%20Nature%20and%20extent%20of%20violence%2C%20abuse%2C%20neglect%20and%20exploitation%20against%20people%20with%20disability%20in%20Australia.pdf","author":[{"family":"Centre of Research Excellence in Disability and Health (CRE-DH)","given":""}],"issued":{"date-parts":[["2021",3]]}},"locator":"12","label":"page"}],"schema":"https://github.com/citation-style-language/schema/raw/master/csl-citation.json"} </w:instrText>
      </w:r>
      <w:r>
        <w:fldChar w:fldCharType="separate"/>
      </w:r>
      <w:r w:rsidRPr="00CF26A7">
        <w:rPr>
          <w:rFonts w:ascii="Calibri" w:hAnsi="Calibri" w:cs="Calibri"/>
        </w:rPr>
        <w:t>Ibid 12.</w:t>
      </w:r>
      <w:r>
        <w:fldChar w:fldCharType="end"/>
      </w:r>
    </w:p>
  </w:endnote>
  <w:endnote w:id="106">
    <w:p w14:paraId="315A9762" w14:textId="7C0D91DD" w:rsidR="00A00236" w:rsidRPr="00CF26A7" w:rsidRDefault="00A00236" w:rsidP="009E3FD3">
      <w:pPr>
        <w:pStyle w:val="EndnoteText"/>
        <w:rPr>
          <w:lang w:val="en-AU"/>
        </w:rPr>
      </w:pPr>
      <w:r>
        <w:rPr>
          <w:rStyle w:val="EndnoteReference"/>
        </w:rPr>
        <w:endnoteRef/>
      </w:r>
      <w:r>
        <w:t xml:space="preserve"> </w:t>
      </w:r>
      <w:r>
        <w:fldChar w:fldCharType="begin"/>
      </w:r>
      <w:r>
        <w:instrText xml:space="preserve"> ADDIN ZOTERO_ITEM CSL_CITATION {"citationID":"zRxtbNpK","properties":{"formattedCitation":"Ibid.","plainCitation":"Ibid.","noteIndex":106},"citationItems":[{"id":6157,"uris":["http://zotero.org/groups/2733877/items/X3IH7B3H"],"uri":["http://zotero.org/groups/2733877/items/X3IH7B3H"],"itemData":{"id":6157,"type":"report","publisher":"Royal Commission into Violence, Abuse, Neglect and Exploitation of People with Disability","title":"Nature and extent of violence, abuse, neglect and exploitation against people with disability in Australia","URL":"https://disability.royalcommission.gov.au/system/files/2021-03/Research%20Report%20-%20Nature%20and%20extent%20of%20violence%2C%20abuse%2C%20neglect%20and%20exploitation%20against%20people%20with%20disability%20in%20Australia.pdf","author":[{"family":"Centre of Research Excellence in Disability and Health (CRE-DH)","given":""}],"issued":{"date-parts":[["2021",3]]}},"locator":"12","label":"page"}],"schema":"https://github.com/citation-style-language/schema/raw/master/csl-citation.json"} </w:instrText>
      </w:r>
      <w:r>
        <w:fldChar w:fldCharType="separate"/>
      </w:r>
      <w:r w:rsidRPr="00CF26A7">
        <w:rPr>
          <w:rFonts w:ascii="Calibri" w:hAnsi="Calibri" w:cs="Calibri"/>
        </w:rPr>
        <w:t>Ibid.</w:t>
      </w:r>
      <w:r>
        <w:fldChar w:fldCharType="end"/>
      </w:r>
    </w:p>
  </w:endnote>
  <w:endnote w:id="107">
    <w:p w14:paraId="7B6E5CF2" w14:textId="56E52ECA" w:rsidR="00A00236" w:rsidRPr="00CF26A7" w:rsidRDefault="00A00236" w:rsidP="009E3FD3">
      <w:pPr>
        <w:pStyle w:val="EndnoteText"/>
        <w:rPr>
          <w:lang w:val="en-AU"/>
        </w:rPr>
      </w:pPr>
      <w:r>
        <w:rPr>
          <w:rStyle w:val="EndnoteReference"/>
        </w:rPr>
        <w:endnoteRef/>
      </w:r>
      <w:r>
        <w:t xml:space="preserve"> </w:t>
      </w:r>
      <w:r>
        <w:fldChar w:fldCharType="begin"/>
      </w:r>
      <w:r>
        <w:instrText xml:space="preserve"> ADDIN ZOTERO_ITEM CSL_CITATION {"citationID":"PBALzTzl","properties":{"formattedCitation":"Ibid 14.","plainCitation":"Ibid 14.","noteIndex":107},"citationItems":[{"id":6157,"uris":["http://zotero.org/groups/2733877/items/X3IH7B3H"],"uri":["http://zotero.org/groups/2733877/items/X3IH7B3H"],"itemData":{"id":6157,"type":"report","publisher":"Royal Commission into Violence, Abuse, Neglect and Exploitation of People with Disability","title":"Nature and extent of violence, abuse, neglect and exploitation against people with disability in Australia","URL":"https://disability.royalcommission.gov.au/system/files/2021-03/Research%20Report%20-%20Nature%20and%20extent%20of%20violence%2C%20abuse%2C%20neglect%20and%20exploitation%20against%20people%20with%20disability%20in%20Australia.pdf","author":[{"family":"Centre of Research Excellence in Disability and Health (CRE-DH)","given":""}],"issued":{"date-parts":[["2021",3]]}},"locator":"14","label":"page"}],"schema":"https://github.com/citation-style-language/schema/raw/master/csl-citation.json"} </w:instrText>
      </w:r>
      <w:r>
        <w:fldChar w:fldCharType="separate"/>
      </w:r>
      <w:r w:rsidRPr="00CF26A7">
        <w:rPr>
          <w:rFonts w:ascii="Calibri" w:hAnsi="Calibri" w:cs="Calibri"/>
        </w:rPr>
        <w:t>Ibid 14.</w:t>
      </w:r>
      <w:r>
        <w:fldChar w:fldCharType="end"/>
      </w:r>
    </w:p>
  </w:endnote>
  <w:endnote w:id="108">
    <w:p w14:paraId="53F0A1A8" w14:textId="74B6CDB5" w:rsidR="00A00236" w:rsidRPr="00CF26A7" w:rsidRDefault="00A00236" w:rsidP="009E3FD3">
      <w:pPr>
        <w:pStyle w:val="EndnoteText"/>
        <w:rPr>
          <w:lang w:val="en-AU"/>
        </w:rPr>
      </w:pPr>
      <w:r>
        <w:rPr>
          <w:rStyle w:val="EndnoteReference"/>
        </w:rPr>
        <w:endnoteRef/>
      </w:r>
      <w:r>
        <w:t xml:space="preserve"> </w:t>
      </w:r>
      <w:r>
        <w:fldChar w:fldCharType="begin"/>
      </w:r>
      <w:r>
        <w:instrText xml:space="preserve"> ADDIN ZOTERO_ITEM CSL_CITATION {"citationID":"uJsSPFzE","properties":{"formattedCitation":"Ibid.","plainCitation":"Ibid.","noteIndex":108},"citationItems":[{"id":6157,"uris":["http://zotero.org/groups/2733877/items/X3IH7B3H"],"uri":["http://zotero.org/groups/2733877/items/X3IH7B3H"],"itemData":{"id":6157,"type":"report","publisher":"Royal Commission into Violence, Abuse, Neglect and Exploitation of People with Disability","title":"Nature and extent of violence, abuse, neglect and exploitation against people with disability in Australia","URL":"https://disability.royalcommission.gov.au/system/files/2021-03/Research%20Report%20-%20Nature%20and%20extent%20of%20violence%2C%20abuse%2C%20neglect%20and%20exploitation%20against%20people%20with%20disability%20in%20Australia.pdf","author":[{"family":"Centre of Research Excellence in Disability and Health (CRE-DH)","given":""}],"issued":{"date-parts":[["2021",3]]}},"locator":"14","label":"page"}],"schema":"https://github.com/citation-style-language/schema/raw/master/csl-citation.json"} </w:instrText>
      </w:r>
      <w:r>
        <w:fldChar w:fldCharType="separate"/>
      </w:r>
      <w:r w:rsidRPr="00540208">
        <w:rPr>
          <w:rFonts w:ascii="Calibri" w:hAnsi="Calibri" w:cs="Calibri"/>
        </w:rPr>
        <w:t>Ibid.</w:t>
      </w:r>
      <w:r>
        <w:fldChar w:fldCharType="end"/>
      </w:r>
    </w:p>
  </w:endnote>
  <w:endnote w:id="109">
    <w:p w14:paraId="517679AE" w14:textId="09D930F6" w:rsidR="00A00236" w:rsidRPr="00640B37" w:rsidRDefault="00A00236" w:rsidP="009E3FD3">
      <w:pPr>
        <w:pStyle w:val="EndnoteText"/>
        <w:rPr>
          <w:lang w:val="en-AU"/>
        </w:rPr>
      </w:pPr>
      <w:r>
        <w:rPr>
          <w:rStyle w:val="EndnoteReference"/>
        </w:rPr>
        <w:endnoteRef/>
      </w:r>
      <w:r>
        <w:t xml:space="preserve"> </w:t>
      </w:r>
      <w:r>
        <w:fldChar w:fldCharType="begin"/>
      </w:r>
      <w:r>
        <w:instrText xml:space="preserve"> ADDIN ZOTERO_ITEM CSL_CITATION {"citationID":"okPLjfNY","properties":{"formattedCitation":"Carolyn Frohmader, {\\i{}Violence, Abuse, Exploitation and Neglect  Against People with Disability in Australia Available Data as at March 2019} (Disabled People\\uc0\\u8217{}s Organisations Australia, 2019) 3 &lt;https://dpoa.org.au/violence-abuse-exploitation-neglect-people-disability-australia-available-data-march-2019/violence-against-people-with-disability_dpoa_march-2019/&gt;.","plainCitation":"Carolyn Frohmader, Violence, Abuse, Exploitation and Neglect  Against People with Disability in Australia Available Data as at March 2019 (Disabled People’s Organisations Australia, 2019) 3 &lt;https://dpoa.org.au/violence-abuse-exploitation-neglect-people-disability-australia-available-data-march-2019/violence-against-people-with-disability_dpoa_march-2019/&gt;.","noteIndex":109},"citationItems":[{"id":6156,"uris":["http://zotero.org/groups/2733877/items/TSLWP3MN"],"uri":["http://zotero.org/groups/2733877/items/TSLWP3MN"],"itemData":{"id":6156,"type":"report","publisher":"Disabled People's Organisations Australia","title":"Violence, Abuse, Exploitation and Neglect  Against People with Disability in Australia Available Data as at March 2019","URL":"https://dpoa.org.au/violence-abuse-exploitation-neglect-people-disability-australia-available-data-march-2019/violence-against-people-with-disability_dpoa_march-2019/","author":[{"family":"Frohmader","given":"Carolyn"}],"issued":{"date-parts":[["2019"]]}},"locator":"3","label":"page"}],"schema":"https://github.com/citation-style-language/schema/raw/master/csl-citation.json"} </w:instrText>
      </w:r>
      <w:r>
        <w:fldChar w:fldCharType="separate"/>
      </w:r>
      <w:r w:rsidRPr="00C70A45">
        <w:rPr>
          <w:rFonts w:ascii="Calibri" w:hAnsi="Calibri" w:cs="Calibri"/>
          <w:szCs w:val="24"/>
        </w:rPr>
        <w:t xml:space="preserve">Carolyn Frohmader, </w:t>
      </w:r>
      <w:r w:rsidRPr="00C70A45">
        <w:rPr>
          <w:rFonts w:ascii="Calibri" w:hAnsi="Calibri" w:cs="Calibri"/>
          <w:i/>
          <w:iCs/>
          <w:szCs w:val="24"/>
        </w:rPr>
        <w:t>Violence, Abuse, Exploitation and Neglect  Against People with Disability in Australia Available Data as at March 2019</w:t>
      </w:r>
      <w:r w:rsidRPr="00C70A45">
        <w:rPr>
          <w:rFonts w:ascii="Calibri" w:hAnsi="Calibri" w:cs="Calibri"/>
          <w:szCs w:val="24"/>
        </w:rPr>
        <w:t xml:space="preserve"> (Disabled People’s Organisations Australia, 2019) 3 &lt;https://dpoa.org.au/violence-abuse-exploitation-neglect-people-disability-australia-available-data-march-2019/violence-against-people-with-disability_dpoa_march-2019/&gt;.</w:t>
      </w:r>
      <w:r>
        <w:fldChar w:fldCharType="end"/>
      </w:r>
    </w:p>
  </w:endnote>
  <w:endnote w:id="110">
    <w:p w14:paraId="4926E546" w14:textId="6511D2AB" w:rsidR="00A00236" w:rsidRPr="00B94E47" w:rsidRDefault="00A00236" w:rsidP="009E3FD3">
      <w:pPr>
        <w:pStyle w:val="EndnoteText"/>
        <w:rPr>
          <w:lang w:val="en-AU"/>
        </w:rPr>
      </w:pPr>
      <w:r>
        <w:rPr>
          <w:rStyle w:val="EndnoteReference"/>
        </w:rPr>
        <w:endnoteRef/>
      </w:r>
      <w:r>
        <w:t xml:space="preserve"> </w:t>
      </w:r>
      <w:r>
        <w:fldChar w:fldCharType="begin"/>
      </w:r>
      <w:r>
        <w:instrText xml:space="preserve"> ADDIN ZOTERO_ITEM CSL_CITATION {"citationID":"52Pos4oB","properties":{"formattedCitation":"Kylie Cripps, Leanne Miller and Jody Saxton-Barney, \\uc0\\u8216{}\\uc0\\u8220{}Too Hard to Handle\\uc0\\u8221{}: Indigenous Victims of Violence with Disabilities\\uc0\\u8217{} (2010) 7(21 (November/December)) {\\i{}Indigenous Law Bulletin} 3.","plainCitation":"Kylie Cripps, Leanne Miller and Jody Saxton-Barney, ‘“Too Hard to Handle”: Indigenous Victims of Violence with Disabilities’ (2010) 7(21 (November/December)) Indigenous Law Bulletin 3.","noteIndex":110},"citationItems":[{"id":6155,"uris":["http://zotero.org/groups/2733877/items/W9U2J49D"],"uri":["http://zotero.org/groups/2733877/items/W9U2J49D"],"itemData":{"id":6155,"type":"article-journal","container-title":"Indigenous Law Bulletin","issue":"21 (November/December)","page":"3-6","title":"‘Too Hard to Handle’: Indigenous Victims of Violence with Disabilities","volume":"7","author":[{"family":"Cripps","given":"Kylie"},{"family":"Miller","given":"Leanne"},{"family":"Saxton-Barney","given":"Jody"}],"issued":{"date-parts":[["2010"]]}}}],"schema":"https://github.com/citation-style-language/schema/raw/master/csl-citation.json"} </w:instrText>
      </w:r>
      <w:r>
        <w:fldChar w:fldCharType="separate"/>
      </w:r>
      <w:r w:rsidRPr="00B94E47">
        <w:rPr>
          <w:rFonts w:ascii="Calibri" w:hAnsi="Calibri" w:cs="Calibri"/>
          <w:szCs w:val="24"/>
        </w:rPr>
        <w:t xml:space="preserve">Kylie Cripps, Leanne Miller and Jody Saxton-Barney, ‘“Too Hard to Handle”: Indigenous Victims of Violence with Disabilities’ (2010) 7(21 (November/December)) </w:t>
      </w:r>
      <w:r w:rsidRPr="00B94E47">
        <w:rPr>
          <w:rFonts w:ascii="Calibri" w:hAnsi="Calibri" w:cs="Calibri"/>
          <w:i/>
          <w:iCs/>
          <w:szCs w:val="24"/>
        </w:rPr>
        <w:t>Indigenous Law Bulletin</w:t>
      </w:r>
      <w:r w:rsidRPr="00B94E47">
        <w:rPr>
          <w:rFonts w:ascii="Calibri" w:hAnsi="Calibri" w:cs="Calibri"/>
          <w:szCs w:val="24"/>
        </w:rPr>
        <w:t xml:space="preserve"> 3.</w:t>
      </w:r>
      <w:r>
        <w:fldChar w:fldCharType="end"/>
      </w:r>
    </w:p>
  </w:endnote>
  <w:endnote w:id="111">
    <w:p w14:paraId="4D6B84B5" w14:textId="34161912" w:rsidR="00A00236" w:rsidRPr="003F3D6D" w:rsidRDefault="00A00236" w:rsidP="001D23E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{"citationID":"fJZzVOJ4","properties":{"formattedCitation":"Australian Bureau of Statistics, {\\i{}Disability, Australia, 2009} (Cat. No. 4446.0, 2 May 2011) &lt;https://www.abs.gov.au/ausstats/abs@.nsf/mf/4446.0&gt;.","plainCitation":"Australian Bureau of Statistics, Disability, Australia, 2009 (Cat. No. 4446.0, 2 May 2011) &lt;https://www.abs.gov.au/ausstats/abs@.nsf/mf/4446.0&gt;.","noteIndex":111},"citationItems":[{"id":6049,"uris":["http://zotero.org/groups/2733877/items/G6YH56D9"],"uri":["http://zotero.org/groups/2733877/items/G6YH56D9"],"itemData":{"id":6049,"type":"report","abstract":"This is a summary from publication Contents which contains key figures, key points and notes from the publication.","genre":"Cat. No. 4446.0","language":"en","title":"Disability, Australia, 2009","URL":"https://www.abs.gov.au/ausstats/abs@.nsf/mf/4446.0","author":[{"family":"Australian Bureau of Statistics","given":""}],"accessed":{"date-parts":[["2021",1,27]]},"issued":{"date-parts":[["2011",5,2]]}}}],"schema":"https://github.com/citation-style-language/schema/raw/master/csl-citation.json"} </w:instrText>
      </w:r>
      <w:r w:rsidRPr="003F3D6D">
        <w:rPr>
          <w:rFonts w:cstheme="minorHAnsi"/>
        </w:rPr>
        <w:fldChar w:fldCharType="separate"/>
      </w:r>
      <w:r w:rsidRPr="003F3D6D">
        <w:rPr>
          <w:rFonts w:cstheme="minorHAnsi"/>
        </w:rPr>
        <w:t xml:space="preserve">Australian Bureau of Statistics, </w:t>
      </w:r>
      <w:r w:rsidRPr="003F3D6D">
        <w:rPr>
          <w:rFonts w:cstheme="minorHAnsi"/>
          <w:i/>
          <w:iCs/>
        </w:rPr>
        <w:t>Disability, Australia, 2009</w:t>
      </w:r>
      <w:r w:rsidRPr="003F3D6D">
        <w:rPr>
          <w:rFonts w:cstheme="minorHAnsi"/>
        </w:rPr>
        <w:t xml:space="preserve"> (Cat. No. 4446.0, 2 May 2011) &lt;https://www.abs.gov.au/ausstats/abs@.nsf/mf/4446.0&gt;.</w:t>
      </w:r>
      <w:r w:rsidRPr="003F3D6D">
        <w:rPr>
          <w:rFonts w:cstheme="minorHAnsi"/>
        </w:rPr>
        <w:fldChar w:fldCharType="end"/>
      </w:r>
    </w:p>
  </w:endnote>
  <w:endnote w:id="112">
    <w:p w14:paraId="30CEFAC8" w14:textId="46508F0B" w:rsidR="00A00236" w:rsidRPr="005C250B" w:rsidRDefault="00A00236" w:rsidP="001D23E9">
      <w:pPr>
        <w:pStyle w:val="EndnoteText"/>
        <w:rPr>
          <w:lang w:val="en-AU"/>
        </w:rPr>
      </w:pPr>
      <w:r w:rsidRPr="00794E5D">
        <w:rPr>
          <w:rStyle w:val="EndnoteReference"/>
        </w:rPr>
        <w:endnoteRef/>
      </w:r>
      <w:r w:rsidRPr="00794E5D">
        <w:t xml:space="preserve"> </w:t>
      </w:r>
      <w:r w:rsidRPr="00794E5D">
        <w:rPr>
          <w:rFonts w:cstheme="minorHAnsi"/>
        </w:rPr>
        <w:fldChar w:fldCharType="begin"/>
      </w:r>
      <w:r>
        <w:rPr>
          <w:rFonts w:cstheme="minorHAnsi"/>
        </w:rPr>
        <w:instrText xml:space="preserve"> ADDIN ZOTERO_ITEM CSL_CITATION {"citationID":"47O44Xff","properties":{"formattedCitation":"Royal Commission into Violence, Abuse, Neglect and Exploitation of People with Disability, \\uc0\\u8216{}Restrictive Practices Issues Paper\\uc0\\u8217{} (n 3) 3.","plainCitation":"Royal Commission into Violence, Abuse, Neglect and Exploitation of People with Disability, ‘Restrictive Practices Issues Paper’ (n 3) 3.","noteIndex":112},"citationItems":[{"id":6209,"uris":["http://zotero.org/groups/2733877/items/TGUJIQJE"],"uri":["http://zotero.org/groups/2733877/items/TGUJIQJE"],"itemData":{"id":6209,"type":"report","language":"en","page":"1-14","source":"Zotero","title":"Restrictive Practices Issues Paper","author":[{"family":"Royal Commission into Violence, Abuse, Neglect and Exploitation of People with Disability","given":""}],"issued":{"date-parts":[["2020",5,26]]}},"locator":"3"}],"schema":"https://github.com/citation-style-language/schema/raw/master/csl-citation.json"} </w:instrText>
      </w:r>
      <w:r w:rsidRPr="00794E5D">
        <w:rPr>
          <w:rFonts w:cstheme="minorHAnsi"/>
        </w:rPr>
        <w:fldChar w:fldCharType="separate"/>
      </w:r>
      <w:r w:rsidRPr="00794E5D">
        <w:rPr>
          <w:rFonts w:ascii="Calibri" w:hAnsi="Calibri" w:cs="Calibri"/>
          <w:szCs w:val="24"/>
        </w:rPr>
        <w:t>Royal Commission into Violence, Abuse, Neglect and Exploitation of People with Disability, ‘Restrictive Practices Issues Paper’ (n 3) 3.</w:t>
      </w:r>
      <w:r w:rsidRPr="00794E5D">
        <w:rPr>
          <w:rFonts w:cstheme="minorHAnsi"/>
        </w:rPr>
        <w:fldChar w:fldCharType="end"/>
      </w:r>
    </w:p>
  </w:endnote>
  <w:endnote w:id="113">
    <w:p w14:paraId="18FCE3F6" w14:textId="2DD5CD72" w:rsidR="00A00236" w:rsidRPr="003F3D6D" w:rsidRDefault="00A00236" w:rsidP="00050A4C">
      <w:pPr>
        <w:pStyle w:val="EndnoteText"/>
        <w:jc w:val="both"/>
        <w:rPr>
          <w:rFonts w:cstheme="minorHAnsi"/>
          <w:lang w:val="en-AU"/>
        </w:rPr>
      </w:pPr>
      <w:r w:rsidRPr="007C63D9">
        <w:rPr>
          <w:rStyle w:val="EndnoteReference"/>
          <w:rFonts w:cstheme="minorHAnsi"/>
        </w:rPr>
        <w:endnoteRef/>
      </w:r>
      <w:r w:rsidRPr="007C63D9">
        <w:rPr>
          <w:rFonts w:cstheme="minorHAnsi"/>
        </w:rPr>
        <w:t xml:space="preserve"> </w:t>
      </w:r>
      <w:r w:rsidRPr="007C63D9">
        <w:rPr>
          <w:rFonts w:cstheme="minorHAnsi"/>
        </w:rPr>
        <w:fldChar w:fldCharType="begin"/>
      </w:r>
      <w:r>
        <w:rPr>
          <w:rFonts w:cstheme="minorHAnsi"/>
        </w:rPr>
        <w:instrText xml:space="preserve"> ADDIN ZOTERO_ITEM CSL_CITATION {"citationID":"XJxgayi1","properties":{"formattedCitation":"Women With Disabilities Australia, {\\i{}Forgotten Sisters - A Global Review of Violence against Women with Disabilities} (WWDA Resource Manual on Violence Against Women with Disabilities, Women With Disabilities Australia).","plainCitation":"Women With Disabilities Australia, Forgotten Sisters - A Global Review of Violence against Women with Disabilities (WWDA Resource Manual on Violence Against Women with Disabilities, Women With Disabilities Australia).","noteIndex":113},"citationItems":[{"id":5917,"uris":["http://zotero.org/groups/2733877/items/U82A6PRK"],"uri":["http://zotero.org/groups/2733877/items/U82A6PRK"],"itemData":{"id":5917,"type":"report","event-place":"Hobart, Tasmania","genre":"WWDA Resource Manual on Violence Against Women with Disabilities","publisher":"Women With Disabilities Australia","publisher-place":"Hobart, Tasmania","title":"Forgotten Sisters - A Global Review of Violence against Women with Disabilities","author":[{"family":"Women With Disabilities Australia","given":""}]}}],"schema":"https://github.com/citation-style-language/schema/raw/master/csl-citation.json"} </w:instrText>
      </w:r>
      <w:r w:rsidRPr="007C63D9">
        <w:rPr>
          <w:rFonts w:cstheme="minorHAnsi"/>
        </w:rPr>
        <w:fldChar w:fldCharType="separate"/>
      </w:r>
      <w:r w:rsidRPr="007C63D9">
        <w:rPr>
          <w:rFonts w:cstheme="minorHAnsi"/>
        </w:rPr>
        <w:t xml:space="preserve">Women With Disabilities Australia, </w:t>
      </w:r>
      <w:r w:rsidRPr="007C63D9">
        <w:rPr>
          <w:rFonts w:cstheme="minorHAnsi"/>
          <w:i/>
          <w:iCs/>
        </w:rPr>
        <w:t>Forgotten Sisters - A Global Review of Violence against Women with Disabilities</w:t>
      </w:r>
      <w:r w:rsidRPr="007C63D9">
        <w:rPr>
          <w:rFonts w:cstheme="minorHAnsi"/>
        </w:rPr>
        <w:t xml:space="preserve"> (WWDA Resource Manual on Violence Against Women with Disabilities, Women With Disabilities Australia).</w:t>
      </w:r>
      <w:r w:rsidRPr="007C63D9">
        <w:rPr>
          <w:rFonts w:cstheme="minorHAnsi"/>
        </w:rPr>
        <w:fldChar w:fldCharType="end"/>
      </w:r>
    </w:p>
  </w:endnote>
  <w:endnote w:id="114">
    <w:p w14:paraId="2C24242A" w14:textId="025EA7FD" w:rsidR="00A00236" w:rsidRPr="00366E8C" w:rsidRDefault="00A00236" w:rsidP="00587934">
      <w:pPr>
        <w:pStyle w:val="EndnoteText"/>
        <w:rPr>
          <w:lang w:val="en-AU"/>
        </w:rPr>
      </w:pPr>
      <w:r w:rsidRPr="00F57902">
        <w:rPr>
          <w:rStyle w:val="EndnoteReference"/>
        </w:rPr>
        <w:endnoteRef/>
      </w:r>
      <w:r w:rsidRPr="00F57902">
        <w:t xml:space="preserve"> For a discussion of some of the political issues, albeit not in the Australian context, see generally  </w:t>
      </w:r>
      <w:r w:rsidRPr="00F57902">
        <w:fldChar w:fldCharType="begin"/>
      </w:r>
      <w:r>
        <w:instrText xml:space="preserve"> ADDIN ZOTERO_ITEM CSL_CITATION {"citationID":"iYNMiwFN","properties":{"formattedCitation":"Chris Chapman and AJ Withers, {\\i{}A Violent History of Benevolence: Interlocking Oppression and Moral Economies of Social Working} (University of Toronto Press, 2019) 125\\uc0\\u8211{}181 &lt;https://utorontopress.com/us/a-violent-history-of-benevolence-2&gt;; Andrea Daley and Lori E Ross, \\uc0\\u8216{}Uncovering the Heteronormative Order of the Psychiatric Institution: A Queer Reading of Chart Documentation and Language Use\\uc0\\u8217{} in {\\i{}Containing Madness: Gender and \\uc0\\u8216{}Psy\\uc0\\u8217{} in Institutional Contexts} (Palgrave Macmillan) 169; Merrick Pilling, \\uc0\\u8216{}Changing Directions or Staying Course? Recovery, Gender, and Sexuality in Canada\\uc0\\u8217{}s Mental Health Strategy\\uc0\\u8217{} in {\\i{}Madness, Violence and Power: A Critical Collection} (University of Toronto Press) 97; Jake Pyne, \\uc0\\u8216{}Arresting Ashley X: Trans Youth, Puberty Blockers and the Question of Whether Time Is on Your Side\\uc0\\u8217{} (2017) 7(1) {\\i{}Somatechnics} 95.","plainCitation":"Chris Chapman and AJ Withers, A Violent History of Benevolence: Interlocking Oppression and Moral Economies of Social Working (University of Toronto Press, 2019) 125–181 &lt;https://utorontopress.com/us/a-violent-history-of-benevolence-2&gt;; Andrea Daley and Lori E Ross, ‘Uncovering the Heteronormative Order of the Psychiatric Institution: A Queer Reading of Chart Documentation and Language Use’ in Containing Madness: Gender and ‘Psy’ in Institutional Contexts (Palgrave Macmillan) 169; Merrick Pilling, ‘Changing Directions or Staying Course? Recovery, Gender, and Sexuality in Canada’s Mental Health Strategy’ in Madness, Violence and Power: A Critical Collection (University of Toronto Press) 97; Jake Pyne, ‘Arresting Ashley X: Trans Youth, Puberty Blockers and the Question of Whether Time Is on Your Side’ (2017) 7(1) Somatechnics 95.","noteIndex":114},"citationItems":[{"id":6079,"uris":["http://zotero.org/groups/2733877/items/WYT2YLFU"],"uri":["http://zotero.org/groups/2733877/items/WYT2YLFU"],"itemData":{"id":6079,"type":"book","abstract":"A Violent History of Benevolence traces how normative histories of liberalism, progress, and social work enact and obscure systemic violences. Chris Chapman and A.J. Withers explore how normative social work history is structured in such a way that contemporary social workers can know many details about social work&amp;#x2019;s violences, without ever imagining that they may also be complicit in these violences. Framings of social work history actively create present-day political and ethical irresponsibility, even among those who imagine themselves to be anti-oppressive, liberal, or radical.\nThe authors document many histories usually left out of social work discourse, including communities of Black social workers (who, among other things, never removed children from their homes involuntarily), the role of early social workers in advancing eugenics and mass confinement, and the resonant emergence of colonial education, psychiatry, and the penitentiary in the same decade. Ultimately, A Violent History of Benevolence aims to invite contemporary social workers and others to reflect on the complex nature of contemporary social work, and specifically on the present-day structural violences that social work enacts in the name of benevolence.","event-place":"Toronto","ISBN":"978-1-4426-2886-1","language":"en","publisher":"University of Toronto Press","publisher-place":"Toronto","source":"utorontopress.com","title":"A Violent History of Benevolence: Interlocking Oppression and Moral Economies of Social Working","URL":"https://utorontopress.com/us/a-violent-history-of-benevolence-2","author":[{"family":"Chapman","given":"Chris"},{"family":"Withers","given":"AJ"}],"accessed":{"date-parts":[["2021",2,2]]},"issued":{"date-parts":[["2019"]]}},"locator":"125-181"},{"id":6163,"uris":["http://zotero.org/groups/2733877/items/6P9FRHWK"],"uri":["http://zotero.org/groups/2733877/items/6P9FRHWK"],"itemData":{"id":6163,"type":"chapter","container-title":"Containing Madness: Gender and 'Psy' in Institutional Contexts","event-place":"Cham","page":"169-189","publisher":"Palgrave Macmillan","publisher-place":"Cham","title":"Uncovering the Heteronormative Order of the Psychiatric Institution: A Queer Reading of Chart Documentation and Language Use","author":[{"family":"Daley","given":"Andrea"},{"family":"Ross","given":"Lori E"}]}},{"id":6164,"uris":["http://zotero.org/groups/2733877/items/B3TLP6AE"],"uri":["http://zotero.org/groups/2733877/items/B3TLP6AE"],"itemData":{"id":6164,"type":"chapter","container-title":"Madness, Violence and Power: A Critical Collection","event-place":"Toronto","page":"97-114","publisher":"University of Toronto Press","publisher-place":"Toronto","title":"Changing Directions or Staying Course? Recovery, Gender, and Sexuality in Canada's Mental Health Strategy","author":[{"family":"Pilling","given":"Merrick"}]}},{"id":6161,"uris":["http://zotero.org/groups/2733877/items/YJRYLZ8G"],"uri":["http://zotero.org/groups/2733877/items/YJRYLZ8G"],"itemData":{"id":6161,"type":"article-journal","container-title":"Somatechnics","DOI":"https://www.euppublishing.com/doi/abs/10.3366/soma.2017.0208","issue":"1","page":"95-123","title":"Arresting Ashley X: Trans Youth, Puberty Blockers and the Question of Whether Time is on Your Side","volume":"7","author":[{"family":"Pyne","given":"Jake"}],"issued":{"date-parts":[["2017"]]}}}],"schema":"https://github.com/citation-style-language/schema/raw/master/csl-citation.json"} </w:instrText>
      </w:r>
      <w:r w:rsidRPr="00F57902">
        <w:fldChar w:fldCharType="separate"/>
      </w:r>
      <w:r w:rsidRPr="00F57902">
        <w:rPr>
          <w:rFonts w:ascii="Calibri" w:hAnsi="Calibri" w:cs="Calibri"/>
          <w:szCs w:val="24"/>
        </w:rPr>
        <w:t xml:space="preserve">Chris Chapman and AJ Withers, </w:t>
      </w:r>
      <w:r w:rsidRPr="00F57902">
        <w:rPr>
          <w:rFonts w:ascii="Calibri" w:hAnsi="Calibri" w:cs="Calibri"/>
          <w:i/>
          <w:iCs/>
          <w:szCs w:val="24"/>
        </w:rPr>
        <w:t>A Violent History of Benevolence: Interlocking Oppression and Moral Economies of Social Working</w:t>
      </w:r>
      <w:r w:rsidRPr="00F57902">
        <w:rPr>
          <w:rFonts w:ascii="Calibri" w:hAnsi="Calibri" w:cs="Calibri"/>
          <w:szCs w:val="24"/>
        </w:rPr>
        <w:t xml:space="preserve"> (University of Toronto Press, 2019) 125–181 &lt;https://utorontopress.com/us/a-violent-history-of-benevolence-2&gt;; Andrea Daley and Lori E Ross, ‘Uncovering the Heteronormative Order of the Psychiatric Institution: A Queer Reading of Chart Documentation and Language Use’ in </w:t>
      </w:r>
      <w:r w:rsidRPr="00F57902">
        <w:rPr>
          <w:rFonts w:ascii="Calibri" w:hAnsi="Calibri" w:cs="Calibri"/>
          <w:i/>
          <w:iCs/>
          <w:szCs w:val="24"/>
        </w:rPr>
        <w:t>Containing Madness: Gender and ‘Psy’ in Institutional Contexts</w:t>
      </w:r>
      <w:r w:rsidRPr="00F57902">
        <w:rPr>
          <w:rFonts w:ascii="Calibri" w:hAnsi="Calibri" w:cs="Calibri"/>
          <w:szCs w:val="24"/>
        </w:rPr>
        <w:t xml:space="preserve"> (Palgrave Macmillan) 169; Merrick Pilling, ‘Changing Directions or Staying Course? Recovery, Gender, and Sexuality in Canada’s Mental Health Strategy’ in </w:t>
      </w:r>
      <w:r w:rsidRPr="00F57902">
        <w:rPr>
          <w:rFonts w:ascii="Calibri" w:hAnsi="Calibri" w:cs="Calibri"/>
          <w:i/>
          <w:iCs/>
          <w:szCs w:val="24"/>
        </w:rPr>
        <w:t>Madness, Violence and Power: A Critical Collection</w:t>
      </w:r>
      <w:r w:rsidRPr="00F57902">
        <w:rPr>
          <w:rFonts w:ascii="Calibri" w:hAnsi="Calibri" w:cs="Calibri"/>
          <w:szCs w:val="24"/>
        </w:rPr>
        <w:t xml:space="preserve"> (University of Toronto Press) 97; Jake Pyne, ‘Arresting Ashley X: Trans Youth, Puberty Blockers and the Question of Whether Time Is on Your Side’ (2017) 7(1) </w:t>
      </w:r>
      <w:r w:rsidRPr="00F57902">
        <w:rPr>
          <w:rFonts w:ascii="Calibri" w:hAnsi="Calibri" w:cs="Calibri"/>
          <w:i/>
          <w:iCs/>
          <w:szCs w:val="24"/>
        </w:rPr>
        <w:t>Somatechnics</w:t>
      </w:r>
      <w:r w:rsidRPr="00F57902">
        <w:rPr>
          <w:rFonts w:ascii="Calibri" w:hAnsi="Calibri" w:cs="Calibri"/>
          <w:szCs w:val="24"/>
        </w:rPr>
        <w:t xml:space="preserve"> 95.</w:t>
      </w:r>
      <w:r w:rsidRPr="00F57902">
        <w:fldChar w:fldCharType="end"/>
      </w:r>
    </w:p>
  </w:endnote>
  <w:endnote w:id="115">
    <w:p w14:paraId="0F779B22" w14:textId="5B7E8F18" w:rsidR="00A00236" w:rsidRPr="00F57902" w:rsidRDefault="00A00236" w:rsidP="001D23E9">
      <w:pPr>
        <w:pStyle w:val="EndnoteText"/>
        <w:rPr>
          <w:lang w:val="en-AU"/>
        </w:rPr>
      </w:pPr>
      <w:r w:rsidRPr="00F57902">
        <w:rPr>
          <w:rStyle w:val="EndnoteReference"/>
        </w:rPr>
        <w:endnoteRef/>
      </w:r>
      <w:r w:rsidRPr="00F57902">
        <w:t xml:space="preserve"> </w:t>
      </w:r>
      <w:r w:rsidRPr="00F57902">
        <w:fldChar w:fldCharType="begin"/>
      </w:r>
      <w:r>
        <w:instrText xml:space="preserve"> ADDIN ZOTERO_ITEM CSL_CITATION {"citationID":"mkXaHtWL","properties":{"formattedCitation":"Centre of Research Excellence in Disability and Health (CRE-DH) (n 76) 6.","plainCitation":"Centre of Research Excellence in Disability and Health (CRE-DH) (n 76) 6.","noteIndex":115},"citationItems":[{"id":6157,"uris":["http://zotero.org/groups/2733877/items/X3IH7B3H"],"uri":["http://zotero.org/groups/2733877/items/X3IH7B3H"],"itemData":{"id":6157,"type":"report","publisher":"Royal Commission into Violence, Abuse, Neglect and Exploitation of People with Disability","title":"Nature and extent of violence, abuse, neglect and exploitation against people with disability in Australia","URL":"https://disability.royalcommission.gov.au/system/files/2021-03/Research%20Report%20-%20Nature%20and%20extent%20of%20violence%2C%20abuse%2C%20neglect%20and%20exploitation%20against%20people%20with%20disability%20in%20Australia.pdf","author":[{"family":"Centre of Research Excellence in Disability and Health (CRE-DH)","given":""}],"issued":{"date-parts":[["2021",3]]}},"locator":"6","label":"page"}],"schema":"https://github.com/citation-style-language/schema/raw/master/csl-citation.json"} </w:instrText>
      </w:r>
      <w:r w:rsidRPr="00F57902">
        <w:fldChar w:fldCharType="separate"/>
      </w:r>
      <w:r w:rsidRPr="00F57902">
        <w:rPr>
          <w:rFonts w:ascii="Calibri" w:hAnsi="Calibri" w:cs="Calibri"/>
        </w:rPr>
        <w:t>Centre of Research Excellence in Disability and Health (CRE-DH) (n 76) 6.</w:t>
      </w:r>
      <w:r w:rsidRPr="00F57902">
        <w:fldChar w:fldCharType="end"/>
      </w:r>
    </w:p>
  </w:endnote>
  <w:endnote w:id="116">
    <w:p w14:paraId="7A871DF9" w14:textId="5FDDA904" w:rsidR="00A00236" w:rsidRPr="00F57902" w:rsidRDefault="00A00236" w:rsidP="001D23E9">
      <w:pPr>
        <w:pStyle w:val="EndnoteText"/>
        <w:rPr>
          <w:lang w:val="en-AU"/>
        </w:rPr>
      </w:pPr>
      <w:r w:rsidRPr="00F57902">
        <w:rPr>
          <w:rStyle w:val="EndnoteReference"/>
        </w:rPr>
        <w:endnoteRef/>
      </w:r>
      <w:r w:rsidRPr="00F57902">
        <w:t xml:space="preserve"> </w:t>
      </w:r>
      <w:r w:rsidRPr="00F57902">
        <w:rPr>
          <w:lang w:val="en-AU"/>
        </w:rPr>
        <w:t xml:space="preserve">There is passing reference to prescription of contraceptive pill to a woman with Down Syndrome, but this is focused on the unknown/under-researched side effects of the pill on women with Down Syndrome and did not explore the prescription of the pill as an issue of restrictive practice or violence: </w:t>
      </w:r>
      <w:r w:rsidRPr="00F57902">
        <w:rPr>
          <w:lang w:val="en-AU"/>
        </w:rPr>
        <w:fldChar w:fldCharType="begin"/>
      </w:r>
      <w:r>
        <w:rPr>
          <w:lang w:val="en-AU"/>
        </w:rPr>
        <w:instrText xml:space="preserve"> ADDIN ZOTERO_ITEM CSL_CITATION {"citationID":"5pmdOwEq","properties":{"formattedCitation":"Public Hearing: Health Care and Services for People with Cognitive Disability 2020 278.","plainCitation":"Public Hearing: Health Care and Services for People with Cognitive Disability 2020 278.","noteIndex":116},"citationItems":[{"id":6167,"uris":["http://zotero.org/groups/2733877/items/YXRH9HU3"],"uri":["http://zotero.org/groups/2733877/items/YXRH9HU3"],"itemData":{"id":6167,"type":"bill","event-place":"Sydney","publisher-place":"Sydney","section":"Royal Commission into Violence, Abuse, Neglect and  Exploitation of People with Disability","title":"Public Hearing: Health Care and Services for People with Cognitive Disability","URL":"https://disability.royalcommission.gov.au/publications/transcript-day-4-health-care-sydney","issued":{"date-parts":[["2020",2,21]]}},"locator":"278"}],"schema":"https://github.com/citation-style-language/schema/raw/master/csl-citation.json"} </w:instrText>
      </w:r>
      <w:r w:rsidRPr="00F57902">
        <w:rPr>
          <w:lang w:val="en-AU"/>
        </w:rPr>
        <w:fldChar w:fldCharType="separate"/>
      </w:r>
      <w:r w:rsidRPr="00F57902">
        <w:rPr>
          <w:rFonts w:ascii="Calibri" w:hAnsi="Calibri" w:cs="Calibri"/>
        </w:rPr>
        <w:t>Public Hearing: Health Care and Services for People with Cognitive Disability 2020 278.</w:t>
      </w:r>
      <w:r w:rsidRPr="00F57902">
        <w:rPr>
          <w:lang w:val="en-AU"/>
        </w:rPr>
        <w:fldChar w:fldCharType="end"/>
      </w:r>
    </w:p>
  </w:endnote>
  <w:endnote w:id="117">
    <w:p w14:paraId="2C95C342" w14:textId="56C425F0" w:rsidR="00A00236" w:rsidRPr="00F57902" w:rsidRDefault="00A00236" w:rsidP="001D23E9">
      <w:pPr>
        <w:pStyle w:val="EndnoteText"/>
        <w:rPr>
          <w:lang w:val="en-AU"/>
        </w:rPr>
      </w:pPr>
      <w:r w:rsidRPr="00F57902">
        <w:rPr>
          <w:rStyle w:val="EndnoteReference"/>
        </w:rPr>
        <w:endnoteRef/>
      </w:r>
      <w:r w:rsidRPr="00F57902">
        <w:t xml:space="preserve"> </w:t>
      </w:r>
      <w:r w:rsidRPr="00F57902">
        <w:fldChar w:fldCharType="begin"/>
      </w:r>
      <w:r>
        <w:instrText xml:space="preserve"> ADDIN ZOTERO_ITEM CSL_CITATION {"citationID":"BhnOshNl","properties":{"formattedCitation":"Royal Commission into Violence, Abuse, Neglect and Exploitation of People with Disability, \\uc0\\u8216{}Interim Report\\uc0\\u8217{} (n 69) 304.","plainCitation":"Royal Commission into Violence, Abuse, Neglect and Exploitation of People with Disability, ‘Interim Report’ (n 69) 304.","noteIndex":117},"citationItems":[{"id":5967,"uris":["http://zotero.org/groups/2733877/items/NSCKRVDK"],"uri":["http://zotero.org/groups/2733877/items/NSCKRVDK"],"itemData":{"id":5967,"type":"report","abstract":"Annotation.","event-place":"Brisbane","language":"en","note":"OCLC: 1230218362","publisher":"Commonwealth of Australia","publisher-place":"Brisbane","source":"Open WorldCat","title":"Interim Report","URL":"https://disability.royalcommission.gov.au/publications/interim-report","author":[{"family":"Royal Commission into Violence, Abuse, Neglect and Exploitation of People with Disability","given":""}],"issued":{"date-parts":[["2020",10]]}},"locator":"304"}],"schema":"https://github.com/citation-style-language/schema/raw/master/csl-citation.json"} </w:instrText>
      </w:r>
      <w:r w:rsidRPr="00F57902">
        <w:fldChar w:fldCharType="separate"/>
      </w:r>
      <w:r w:rsidRPr="00F57902">
        <w:rPr>
          <w:rFonts w:ascii="Calibri" w:hAnsi="Calibri" w:cs="Calibri"/>
          <w:szCs w:val="24"/>
        </w:rPr>
        <w:t>Royal Commission into Violence, Abuse, Neglect and Exploitation of People with Disability, ‘Interim Report’ (n 69) 304.</w:t>
      </w:r>
      <w:r w:rsidRPr="00F57902">
        <w:fldChar w:fldCharType="end"/>
      </w:r>
      <w:r w:rsidRPr="00F57902">
        <w:t xml:space="preserve"> There are a number of references in this report to sterilisation in a </w:t>
      </w:r>
      <w:r w:rsidRPr="00F57902">
        <w:rPr>
          <w:i/>
        </w:rPr>
        <w:t>historical</w:t>
      </w:r>
      <w:r w:rsidRPr="00F57902">
        <w:t xml:space="preserve"> context: </w:t>
      </w:r>
      <w:r w:rsidRPr="00F57902">
        <w:fldChar w:fldCharType="begin"/>
      </w:r>
      <w:r>
        <w:instrText xml:space="preserve"> ADDIN ZOTERO_ITEM CSL_CITATION {"citationID":"8scp7uZa","properties":{"formattedCitation":"Ibid 51, 52, 57.","plainCitation":"Ibid 51, 52, 57.","noteIndex":117},"citationItems":[{"id":5967,"uris":["http://zotero.org/groups/2733877/items/NSCKRVDK"],"uri":["http://zotero.org/groups/2733877/items/NSCKRVDK"],"itemData":{"id":5967,"type":"report","abstract":"Annotation.","event-place":"Brisbane","language":"en","note":"OCLC: 1230218362","publisher":"Commonwealth of Australia","publisher-place":"Brisbane","source":"Open WorldCat","title":"Interim Report","URL":"https://disability.royalcommission.gov.au/publications/interim-report","author":[{"family":"Royal Commission into Violence, Abuse, Neglect and Exploitation of People with Disability","given":""}],"issued":{"date-parts":[["2020",10]]}},"locator":"51, 52, 57"}],"schema":"https://github.com/citation-style-language/schema/raw/master/csl-citation.json"} </w:instrText>
      </w:r>
      <w:r w:rsidRPr="00F57902">
        <w:fldChar w:fldCharType="separate"/>
      </w:r>
      <w:r w:rsidRPr="00F57902">
        <w:rPr>
          <w:rFonts w:ascii="Calibri" w:hAnsi="Calibri" w:cs="Calibri"/>
        </w:rPr>
        <w:t>Ibid 51, 52, 57.</w:t>
      </w:r>
      <w:r w:rsidRPr="00F57902">
        <w:fldChar w:fldCharType="end"/>
      </w:r>
    </w:p>
  </w:endnote>
  <w:endnote w:id="118">
    <w:p w14:paraId="087080BD" w14:textId="08A61F64" w:rsidR="00A00236" w:rsidRPr="00A851B9" w:rsidRDefault="00A00236" w:rsidP="001D23E9">
      <w:pPr>
        <w:pStyle w:val="EndnoteText"/>
        <w:rPr>
          <w:lang w:val="en-AU"/>
        </w:rPr>
      </w:pPr>
      <w:r w:rsidRPr="00F57902">
        <w:rPr>
          <w:rStyle w:val="EndnoteReference"/>
        </w:rPr>
        <w:endnoteRef/>
      </w:r>
      <w:r w:rsidRPr="00F57902">
        <w:t xml:space="preserve"> </w:t>
      </w:r>
      <w:r w:rsidRPr="00F57902">
        <w:fldChar w:fldCharType="begin"/>
      </w:r>
      <w:r>
        <w:instrText xml:space="preserve"> ADDIN ZOTERO_ITEM CSL_CITATION {"citationID":"NnbCdpjf","properties":{"formattedCitation":"Royal Commission into Violence, Abuse, Neglect and Exploitation of People with Disability, \\uc0\\u8216{}Interim Report\\uc0\\u8217{} (n 69) 26, 407.","plainCitation":"Royal Commission into Violence, Abuse, Neglect and Exploitation of People with Disability, ‘Interim Report’ (n 69) 26, 407.","noteIndex":118},"citationItems":[{"id":5967,"uris":["http://zotero.org/groups/2733877/items/NSCKRVDK"],"uri":["http://zotero.org/groups/2733877/items/NSCKRVDK"],"itemData":{"id":5967,"type":"report","abstract":"Annotation.","event-place":"Brisbane","language":"en","note":"OCLC: 1230218362","publisher":"Commonwealth of Australia","publisher-place":"Brisbane","source":"Open WorldCat","title":"Interim Report","URL":"https://disability.royalcommission.gov.au/publications/interim-report","author":[{"family":"Royal Commission into Violence, Abuse, Neglect and Exploitation of People with Disability","given":""}],"issued":{"date-parts":[["2020",10]]}},"locator":"26, 407"}],"schema":"https://github.com/citation-style-language/schema/raw/master/csl-citation.json"} </w:instrText>
      </w:r>
      <w:r w:rsidRPr="00F57902">
        <w:fldChar w:fldCharType="separate"/>
      </w:r>
      <w:r w:rsidRPr="00F57902">
        <w:rPr>
          <w:rFonts w:ascii="Calibri" w:hAnsi="Calibri" w:cs="Calibri"/>
          <w:szCs w:val="24"/>
        </w:rPr>
        <w:t>Royal Commission into Violence, Abuse, Neglect and Exploitation of People with Disability, ‘Interim Report’ (n 69) 26, 407.</w:t>
      </w:r>
      <w:r w:rsidRPr="00F57902">
        <w:fldChar w:fldCharType="end"/>
      </w:r>
    </w:p>
  </w:endnote>
  <w:endnote w:id="119">
    <w:p w14:paraId="694D3EFF" w14:textId="755051A3" w:rsidR="00A00236" w:rsidRPr="003F3D6D" w:rsidRDefault="00A00236" w:rsidP="00697B4B">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{"citationID":"LSJVOIb9","properties":{"formattedCitation":"See, for example, \\uc0\\u8216{}The Criminalisation of Abortion Ends in Queensland: Spotlight Turns to SA and NSW\\uc0\\u8217{}, {\\i{}Human Rights Law Centre} (3 December 2018) &lt;https://www.hrlc.org.au/news/2018/12/3/the-criminalisation-of-abortion-ends-in-qld-spotlight-turns-to-sa-and-nsw&gt;; Helen Pringle, \\uc0\\u8216{}After 119 Years, NSW Is Set to Decriminalise Abortion. Why Has Reform Taken so Long?\\uc0\\u8217{}, {\\i{}The Conversation} (31 July 2019) &lt;http://theconversation.com/after-119-years-nsw-is-set-to-decriminalise-abortion-why-has-reform-taken-so-long-121112&gt;.","plainCitation":"See, for example, ‘The Criminalisation of Abortion Ends in Queensland: Spotlight Turns to SA and NSW’, Human Rights Law Centre (3 December 2018) &lt;https://www.hrlc.org.au/news/2018/12/3/the-criminalisation-of-abortion-ends-in-qld-spotlight-turns-to-sa-and-nsw&gt;; Helen Pringle, ‘After 119 Years, NSW Is Set to Decriminalise Abortion. Why Has Reform Taken so Long?’, The Conversation (31 July 2019) &lt;http://theconversation.com/after-119-years-nsw-is-set-to-decriminalise-abortion-why-has-reform-taken-so-long-121112&gt;.","noteIndex":119},"citationItems":[{"id":6213,"uris":["http://zotero.org/groups/2733877/items/R64VPKIA"],"uri":["http://zotero.org/groups/2733877/items/R64VPKIA"],"itemData":{"id":6213,"type":"webpage","abstract":"Queensland women will finally have the freedom to decide what is right for their bodies with the  Termination of Pregnancy Act 2018 coming into force  today.","container-title":"Human Rights Law Centre","language":"en-AU","title":"The criminalisation of abortion ends in Queensland: spotlight turns to SA and NSW","URL":"https://www.hrlc.org.au/news/2018/12/3/the-criminalisation-of-abortion-ends-in-qld-spotlight-turns-to-sa-and-nsw","accessed":{"date-parts":[["2021",1,27]]},"issued":{"date-parts":[["2018",12,3]]}},"prefix":"See, for example, "},{"id":5910,"uris":["http://zotero.org/groups/2733877/items/A3YNYYHF"],"uri":["http://zotero.org/groups/2733877/items/A3YNYYHF"],"itemData":{"id":5910,"type":"webpage","abstract":"Although abortions have been legally performed in NSW for years, doctors have long called for greater clarity in the law in regard to the possible criminality of their actions.","container-title":"The Conversation","language":"en","title":"After 119 years, NSW is set to decriminalise abortion. Why has reform taken so long?","URL":"http://theconversation.com/after-119-years-nsw-is-set-to-decriminalise-abortion-why-has-reform-taken-so-long-121112","author":[{"family":"Pringle","given":"Helen"}],"accessed":{"date-parts":[["2021",1,27]]},"issued":{"date-parts":[["2019",7,31]]}}}],"schema":"https://github.com/citation-style-language/schema/raw/master/csl-citation.json"} </w:instrText>
      </w:r>
      <w:r w:rsidRPr="003F3D6D">
        <w:rPr>
          <w:rFonts w:cstheme="minorHAnsi"/>
        </w:rPr>
        <w:fldChar w:fldCharType="separate"/>
      </w:r>
      <w:r w:rsidRPr="003F3D6D">
        <w:rPr>
          <w:rFonts w:cstheme="minorHAnsi"/>
        </w:rPr>
        <w:t xml:space="preserve">See, for example, ‘The Criminalisation of Abortion Ends in Queensland: Spotlight Turns to SA and NSW’, </w:t>
      </w:r>
      <w:r w:rsidRPr="003F3D6D">
        <w:rPr>
          <w:rFonts w:cstheme="minorHAnsi"/>
          <w:i/>
          <w:iCs/>
        </w:rPr>
        <w:t>Human Rights Law Centre</w:t>
      </w:r>
      <w:r w:rsidRPr="003F3D6D">
        <w:rPr>
          <w:rFonts w:cstheme="minorHAnsi"/>
        </w:rPr>
        <w:t xml:space="preserve"> (3 December 2018) &lt;https://www.hrlc.org.au/news/2018/12/3/the-criminalisation-of-abortion-ends-in-qld-spotlight-turns-to-sa-and-nsw&gt;; Helen Pringle, ‘After 119 Years, NSW Is Set to Decriminalise Abortion. Why Has Reform Taken so Long?’, </w:t>
      </w:r>
      <w:r w:rsidRPr="003F3D6D">
        <w:rPr>
          <w:rFonts w:cstheme="minorHAnsi"/>
          <w:i/>
          <w:iCs/>
        </w:rPr>
        <w:t>The Conversation</w:t>
      </w:r>
      <w:r w:rsidRPr="003F3D6D">
        <w:rPr>
          <w:rFonts w:cstheme="minorHAnsi"/>
        </w:rPr>
        <w:t xml:space="preserve"> (31 July 2019) &lt;http://theconversation.com/after-119-years-nsw-is-set-to-decriminalise-abortion-why-has-reform-taken-so-long-121112&gt;.</w:t>
      </w:r>
      <w:r w:rsidRPr="003F3D6D">
        <w:rPr>
          <w:rFonts w:cstheme="minorHAnsi"/>
        </w:rPr>
        <w:fldChar w:fldCharType="end"/>
      </w:r>
    </w:p>
  </w:endnote>
  <w:endnote w:id="120">
    <w:p w14:paraId="5376A9A8" w14:textId="122BB6F1" w:rsidR="00A00236" w:rsidRPr="003F3D6D" w:rsidRDefault="00A00236" w:rsidP="00697B4B">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{"citationID":"SNuM3TVR","properties":{"formattedCitation":"Rhea Dempsey, \\uc0\\u8216{}Birth Rights and the Hidden Threat of Obstetric Violence\\uc0\\u8217{}, {\\i{}Crikey} (8 March 2018) &lt;https://www.crikey.com.au/2018/03/08/birth-rights-and-the-hidden-threat-of-obstetric-violence/&gt;.","plainCitation":"Rhea Dempsey, ‘Birth Rights and the Hidden Threat of Obstetric Violence’, Crikey (8 March 2018) &lt;https://www.crikey.com.au/2018/03/08/birth-rights-and-the-hidden-threat-of-obstetric-violence/&gt;.","noteIndex":120},"citationItems":[{"id":5909,"uris":["http://zotero.org/groups/2733877/items/98RQMPMS"],"uri":["http://zotero.org/groups/2733877/items/98RQMPMS"],"itemData":{"id":5909,"type":"webpage","abstract":"Today, International Women’s Day, impassioned women, their partners, midwives and doulas are marching to demand birth rights.","container-title":"Crikey","language":"en-US","title":"Birth rights and the hidden threat of obstetric violence","URL":"https://www.crikey.com.au/2018/03/08/birth-rights-and-the-hidden-threat-of-obstetric-violence/","author":[{"family":"Dempsey","given":"Rhea"}],"accessed":{"date-parts":[["2021",1,27]]},"issued":{"date-parts":[["2018",3,8]]}}}],"schema":"https://github.com/citation-style-language/schema/raw/master/csl-citation.json"} </w:instrText>
      </w:r>
      <w:r w:rsidRPr="003F3D6D">
        <w:rPr>
          <w:rFonts w:cstheme="minorHAnsi"/>
        </w:rPr>
        <w:fldChar w:fldCharType="separate"/>
      </w:r>
      <w:r w:rsidRPr="003F3D6D">
        <w:rPr>
          <w:rFonts w:cstheme="minorHAnsi"/>
        </w:rPr>
        <w:t xml:space="preserve">Rhea Dempsey, ‘Birth Rights and the Hidden Threat of Obstetric Violence’, </w:t>
      </w:r>
      <w:r w:rsidRPr="003F3D6D">
        <w:rPr>
          <w:rFonts w:cstheme="minorHAnsi"/>
          <w:i/>
          <w:iCs/>
        </w:rPr>
        <w:t>Crikey</w:t>
      </w:r>
      <w:r w:rsidRPr="003F3D6D">
        <w:rPr>
          <w:rFonts w:cstheme="minorHAnsi"/>
        </w:rPr>
        <w:t xml:space="preserve"> (8 March 2018) &lt;https://www.crikey.com.au/2018/03/08/birth-rights-and-the-hidden-threat-of-obstetric-violence/&gt;.</w:t>
      </w:r>
      <w:r w:rsidRPr="003F3D6D">
        <w:rPr>
          <w:rFonts w:cstheme="minorHAnsi"/>
        </w:rPr>
        <w:fldChar w:fldCharType="end"/>
      </w:r>
    </w:p>
  </w:endnote>
  <w:endnote w:id="121">
    <w:p w14:paraId="0A5776E3" w14:textId="1DBC3F86" w:rsidR="00A00236" w:rsidRPr="003F3D6D" w:rsidRDefault="00A00236" w:rsidP="00697B4B">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{"citationID":"cNZ7Cp8M","properties":{"formattedCitation":"Paul McGorrery and Marilyn McMahon, \\uc0\\u8216{}Coercive Control Is a Key Part of Domestic Violence. So Why Isn\\uc0\\u8217{}t It a Crime across Australia?\\uc0\\u8217{}, {\\i{}The Conversation} (27 February 2020) &lt;http://theconversation.com/coercive-control-is-a-key-part-of-domestic-violence-so-why-isnt-it-a-crime-across-australia-132444&gt;.","plainCitation":"Paul McGorrery and Marilyn McMahon, ‘Coercive Control Is a Key Part of Domestic Violence. So Why Isn’t It a Crime across Australia?’, The Conversation (27 February 2020) &lt;http://theconversation.com/coercive-control-is-a-key-part-of-domestic-violence-so-why-isnt-it-a-crime-across-australia-132444&gt;.","noteIndex":121},"citationItems":[{"id":5908,"uris":["http://zotero.org/groups/2733877/items/KJLXY83I"],"uri":["http://zotero.org/groups/2733877/items/KJLXY83I"],"itemData":{"id":5908,"type":"webpage","abstract":"Psychological abuse and controlling behaviours can be apparent before perpetrators murder their partners. So let's take these coercive behaviours more seriously and make them a crime.","container-title":"The Conversation","language":"en","title":"Coercive control is a key part of domestic violence. So why isn't it a crime across Australia?","URL":"http://theconversation.com/coercive-control-is-a-key-part-of-domestic-violence-so-why-isnt-it-a-crime-across-australia-132444","author":[{"family":"McGorrery","given":"Paul"},{"family":"McMahon","given":"Marilyn"}],"accessed":{"date-parts":[["2021",1,27]]},"issued":{"date-parts":[["2020",2,27]]}}}],"schema":"https://github.com/citation-style-language/schema/raw/master/csl-citation.json"} </w:instrText>
      </w:r>
      <w:r w:rsidRPr="003F3D6D">
        <w:rPr>
          <w:rFonts w:cstheme="minorHAnsi"/>
        </w:rPr>
        <w:fldChar w:fldCharType="separate"/>
      </w:r>
      <w:r w:rsidRPr="003F3D6D">
        <w:rPr>
          <w:rFonts w:cstheme="minorHAnsi"/>
        </w:rPr>
        <w:t xml:space="preserve">Paul McGorrery and Marilyn McMahon, ‘Coercive Control Is a Key Part of Domestic Violence. So Why Isn’t It a Crime across Australia?’, </w:t>
      </w:r>
      <w:r w:rsidRPr="003F3D6D">
        <w:rPr>
          <w:rFonts w:cstheme="minorHAnsi"/>
          <w:i/>
          <w:iCs/>
        </w:rPr>
        <w:t>The Conversation</w:t>
      </w:r>
      <w:r w:rsidRPr="003F3D6D">
        <w:rPr>
          <w:rFonts w:cstheme="minorHAnsi"/>
        </w:rPr>
        <w:t xml:space="preserve"> (27 February 2020) &lt;http://theconversation.com/coercive-control-is-a-key-part-of-domestic-violence-so-why-isnt-it-a-crime-across-australia-132444&gt;.</w:t>
      </w:r>
      <w:r w:rsidRPr="003F3D6D">
        <w:rPr>
          <w:rFonts w:cstheme="minorHAnsi"/>
        </w:rPr>
        <w:fldChar w:fldCharType="end"/>
      </w:r>
    </w:p>
  </w:endnote>
  <w:endnote w:id="122">
    <w:p w14:paraId="5878A8AC" w14:textId="7BCEB8ED" w:rsidR="00A00236" w:rsidRPr="000F7799" w:rsidRDefault="00A00236" w:rsidP="00697B4B">
      <w:pPr>
        <w:pStyle w:val="EndnoteText"/>
        <w:rPr>
          <w:lang w:val="en-AU"/>
        </w:rPr>
      </w:pPr>
      <w:r>
        <w:rPr>
          <w:rStyle w:val="EndnoteReference"/>
        </w:rPr>
        <w:endnoteRef/>
      </w:r>
      <w:r>
        <w:t xml:space="preserve"> </w:t>
      </w:r>
      <w:r>
        <w:rPr>
          <w:lang w:val="en-AU"/>
        </w:rPr>
        <w:t xml:space="preserve">See concerns raised in the UK context: </w:t>
      </w:r>
      <w:r>
        <w:rPr>
          <w:lang w:val="en-AU"/>
        </w:rPr>
        <w:fldChar w:fldCharType="begin"/>
      </w:r>
      <w:r>
        <w:rPr>
          <w:lang w:val="en-AU"/>
        </w:rPr>
        <w:instrText xml:space="preserve"> ADDIN ZOTERO_ITEM CSL_CITATION {"citationID":"Vy2yrg4g","properties":{"formattedCitation":"Karen McVeigh, \\uc0\\u8216{}Women with Disabilities Excluded from Domestic Abuse Law, Say Campaigners\\uc0\\u8217{}, {\\i{}The Guardian (Online)} (online, 29 January 2015) &lt;https://www.theguardian.com/society/2015/jan/28/coercive-control-women-carers-disability-serious-crime-bill&gt;.","plainCitation":"Karen McVeigh, ‘Women with Disabilities Excluded from Domestic Abuse Law, Say Campaigners’, The Guardian (Online) (online, 29 January 2015) &lt;https://www.theguardian.com/society/2015/jan/28/coercive-control-women-carers-disability-serious-crime-bill&gt;.","noteIndex":122},"citationItems":[{"id":6160,"uris":["http://zotero.org/groups/2733877/items/LDYLVZTE"],"uri":["http://zotero.org/groups/2733877/items/LDYLVZTE"],"itemData":{"id":6160,"type":"article-newspaper","container-title":"The Guardian (Online)","title":"Women with disabilities excluded from domestic abuse law, say campaigners","URL":"https://www.theguardian.com/society/2015/jan/28/coercive-control-women-carers-disability-serious-crime-bill","author":[{"family":"McVeigh","given":"Karen"}],"issued":{"date-parts":[["2015",1,29]]}}}],"schema":"https://github.com/citation-style-language/schema/raw/master/csl-citation.json"} </w:instrText>
      </w:r>
      <w:r>
        <w:rPr>
          <w:lang w:val="en-AU"/>
        </w:rPr>
        <w:fldChar w:fldCharType="separate"/>
      </w:r>
      <w:r w:rsidRPr="008602B7">
        <w:rPr>
          <w:rFonts w:ascii="Calibri" w:hAnsi="Calibri" w:cs="Calibri"/>
          <w:szCs w:val="24"/>
        </w:rPr>
        <w:t xml:space="preserve">Karen McVeigh, ‘Women with Disabilities Excluded from Domestic Abuse Law, Say Campaigners’, </w:t>
      </w:r>
      <w:r w:rsidRPr="008602B7">
        <w:rPr>
          <w:rFonts w:ascii="Calibri" w:hAnsi="Calibri" w:cs="Calibri"/>
          <w:i/>
          <w:iCs/>
          <w:szCs w:val="24"/>
        </w:rPr>
        <w:t>The Guardian (Online)</w:t>
      </w:r>
      <w:r w:rsidRPr="008602B7">
        <w:rPr>
          <w:rFonts w:ascii="Calibri" w:hAnsi="Calibri" w:cs="Calibri"/>
          <w:szCs w:val="24"/>
        </w:rPr>
        <w:t xml:space="preserve"> (online, 29 January 2015) &lt;https://www.theguardian.com/society/2015/jan/28/coercive-control-women-carers-disability-serious-crime-bill&gt;.</w:t>
      </w:r>
      <w:r>
        <w:rPr>
          <w:lang w:val="en-AU"/>
        </w:rPr>
        <w:fldChar w:fldCharType="end"/>
      </w:r>
      <w:r>
        <w:rPr>
          <w:lang w:val="en-AU"/>
        </w:rPr>
        <w:t>.</w:t>
      </w:r>
    </w:p>
  </w:endnote>
  <w:endnote w:id="123">
    <w:p w14:paraId="766DB0EC" w14:textId="0A7708B2" w:rsidR="00A00236" w:rsidRPr="003F3D6D" w:rsidRDefault="00A00236" w:rsidP="001D23E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{"citationID":"KAz8eO5Q","properties":{"formattedCitation":"Royal Commission into Violence, Abuse, Neglect and Exploitation of People with Disability, {\\i{}Key Terms} (n 61).","plainCitation":"Royal Commission into Violence, Abuse, Neglect and Exploitation of People with Disability, Key Terms (n 61).","noteIndex":123},"citationItems":[{"id":5968,"uris":["http://zotero.org/groups/2733877/items/MCXGDVGI"],"uri":["http://zotero.org/groups/2733877/items/MCXGDVGI"],"itemData":{"id":5968,"type":"webpage","abstract":"Discover what words like violence, abuse, neglect and exploitation mean when related to the Disability Royal Commission.","container-title":"Royal Commission into Violence, Abuse, Neglect and Exploitation of People with Disability","language":"en","title":"Key terms","URL":"https://disability.royalcommission.gov.au/about-royal-commission/key-terms","author":[{"family":"Royal Commission into Violence, Abuse, Neglect and Exploitation of People with Disability","given":""}],"accessed":{"date-parts":[["2021",2,1]]}}}],"schema":"https://github.com/citation-style-language/schema/raw/master/csl-citation.json"} </w:instrText>
      </w:r>
      <w:r w:rsidRPr="003F3D6D">
        <w:rPr>
          <w:rFonts w:cstheme="minorHAnsi"/>
        </w:rPr>
        <w:fldChar w:fldCharType="separate"/>
      </w:r>
      <w:r w:rsidRPr="003509C3">
        <w:rPr>
          <w:rFonts w:ascii="Calibri" w:hAnsi="Calibri" w:cs="Calibri"/>
          <w:szCs w:val="24"/>
        </w:rPr>
        <w:t xml:space="preserve">Royal Commission into Violence, Abuse, Neglect and Exploitation of People with Disability, </w:t>
      </w:r>
      <w:r w:rsidRPr="003509C3">
        <w:rPr>
          <w:rFonts w:ascii="Calibri" w:hAnsi="Calibri" w:cs="Calibri"/>
          <w:i/>
          <w:iCs/>
          <w:szCs w:val="24"/>
        </w:rPr>
        <w:t>Key Terms</w:t>
      </w:r>
      <w:r w:rsidRPr="003509C3">
        <w:rPr>
          <w:rFonts w:ascii="Calibri" w:hAnsi="Calibri" w:cs="Calibri"/>
          <w:szCs w:val="24"/>
        </w:rPr>
        <w:t xml:space="preserve"> (n 61).</w:t>
      </w:r>
      <w:r w:rsidRPr="003F3D6D">
        <w:rPr>
          <w:rFonts w:cstheme="minorHAnsi"/>
        </w:rPr>
        <w:fldChar w:fldCharType="end"/>
      </w:r>
    </w:p>
  </w:endnote>
  <w:endnote w:id="124">
    <w:p w14:paraId="77A1398A" w14:textId="08BB0135" w:rsidR="00A00236" w:rsidRPr="00DA0132" w:rsidRDefault="00A00236">
      <w:pPr>
        <w:pStyle w:val="EndnoteText"/>
        <w:rPr>
          <w:lang w:val="en-AU"/>
        </w:rPr>
      </w:pPr>
      <w:r>
        <w:rPr>
          <w:rStyle w:val="EndnoteReference"/>
        </w:rPr>
        <w:endnoteRef/>
      </w:r>
      <w:r>
        <w:t xml:space="preserve"> </w:t>
      </w:r>
      <w:r>
        <w:fldChar w:fldCharType="begin"/>
      </w:r>
      <w:r>
        <w:instrText xml:space="preserve"> ADDIN ZOTERO_ITEM CSL_CITATION {"citationID":"Rv0103fr","properties":{"formattedCitation":"Royal Commission into Violence, Abuse, Neglect and Exploitation of People with Disability, {\\i{}Our Terms of Reference} (n 65).","plainCitation":"Royal Commission into Violence, Abuse, Neglect and Exploitation of People with Disability, Our Terms of Reference (n 65).","noteIndex":124},"citationItems":[{"id":5924,"uris":["http://zotero.org/groups/2733877/items/PCBU8CVV"],"uri":["http://zotero.org/groups/2733877/items/PCBU8CVV"],"itemData":{"id":5924,"type":"webpage","abstract":"The Terms of Reference set out the Letters Patent – this is the name of the official document that establishes the Royal Commission, appoints its Commissioners and gives us rules for how can operate.","container-title":"Royal Commission into Violence, Abuse, Neglect and Exploitation of People with Disability","language":"en","title":"Our Terms of Reference","URL":"https://disability.royalcommission.gov.au/about-royal-commission/our-terms-reference","author":[{"family":"Royal Commission into Violence, Abuse, Neglect and Exploitation of People with Disability","given":""}],"accessed":{"date-parts":[["2021",1,27]]}}}],"schema":"https://github.com/citation-style-language/schema/raw/master/csl-citation.json"} </w:instrText>
      </w:r>
      <w:r>
        <w:fldChar w:fldCharType="separate"/>
      </w:r>
      <w:r w:rsidRPr="003509C3">
        <w:rPr>
          <w:rFonts w:ascii="Calibri" w:hAnsi="Calibri" w:cs="Calibri"/>
          <w:szCs w:val="24"/>
        </w:rPr>
        <w:t xml:space="preserve">Royal Commission into Violence, Abuse, Neglect and Exploitation of People with Disability, </w:t>
      </w:r>
      <w:r w:rsidRPr="003509C3">
        <w:rPr>
          <w:rFonts w:ascii="Calibri" w:hAnsi="Calibri" w:cs="Calibri"/>
          <w:i/>
          <w:iCs/>
          <w:szCs w:val="24"/>
        </w:rPr>
        <w:t>Our Terms of Reference</w:t>
      </w:r>
      <w:r w:rsidRPr="003509C3">
        <w:rPr>
          <w:rFonts w:ascii="Calibri" w:hAnsi="Calibri" w:cs="Calibri"/>
          <w:szCs w:val="24"/>
        </w:rPr>
        <w:t xml:space="preserve"> (n 65).</w:t>
      </w:r>
      <w:r>
        <w:fldChar w:fldCharType="end"/>
      </w:r>
    </w:p>
  </w:endnote>
  <w:endnote w:id="125">
    <w:p w14:paraId="0A79866B" w14:textId="7517DDA9" w:rsidR="00A00236" w:rsidRPr="00DA0132" w:rsidRDefault="00A00236">
      <w:pPr>
        <w:pStyle w:val="EndnoteText"/>
        <w:rPr>
          <w:lang w:val="en-AU"/>
        </w:rPr>
      </w:pPr>
      <w:r>
        <w:rPr>
          <w:rStyle w:val="EndnoteReference"/>
        </w:rPr>
        <w:endnoteRef/>
      </w:r>
      <w:r>
        <w:t xml:space="preserve"> </w:t>
      </w:r>
      <w:r>
        <w:fldChar w:fldCharType="begin"/>
      </w:r>
      <w:r>
        <w:instrText xml:space="preserve"> ADDIN ZOTERO_ITEM CSL_CITATION {"citationID":"BZRlEhAQ","properties":{"formattedCitation":"Ibid.","plainCitation":"Ibid.","noteIndex":125},"citationItems":[{"id":5924,"uris":["http://zotero.org/groups/2733877/items/PCBU8CVV"],"uri":["http://zotero.org/groups/2733877/items/PCBU8CVV"],"itemData":{"id":5924,"type":"webpage","abstract":"The Terms of Reference set out the Letters Patent – this is the name of the official document that establishes the Royal Commission, appoints its Commissioners and gives us rules for how can operate.","container-title":"Royal Commission into Violence, Abuse, Neglect and Exploitation of People with Disability","language":"en","title":"Our Terms of Reference","URL":"https://disability.royalcommission.gov.au/about-royal-commission/our-terms-reference","author":[{"family":"Royal Commission into Violence, Abuse, Neglect and Exploitation of People with Disability","given":""}],"accessed":{"date-parts":[["2021",1,27]]}}}],"schema":"https://github.com/citation-style-language/schema/raw/master/csl-citation.json"} </w:instrText>
      </w:r>
      <w:r>
        <w:fldChar w:fldCharType="separate"/>
      </w:r>
      <w:r w:rsidRPr="00D27A13">
        <w:rPr>
          <w:rFonts w:ascii="Calibri" w:hAnsi="Calibri" w:cs="Calibri"/>
        </w:rPr>
        <w:t>Ibid.</w:t>
      </w:r>
      <w:r>
        <w:fldChar w:fldCharType="end"/>
      </w:r>
    </w:p>
  </w:endnote>
  <w:endnote w:id="126">
    <w:p w14:paraId="1341B9A3" w14:textId="30F63AEB" w:rsidR="00A00236" w:rsidRPr="00D27A13" w:rsidRDefault="00A00236">
      <w:pPr>
        <w:pStyle w:val="EndnoteText"/>
        <w:rPr>
          <w:lang w:val="en-AU"/>
        </w:rPr>
      </w:pPr>
      <w:r>
        <w:rPr>
          <w:rStyle w:val="EndnoteReference"/>
        </w:rPr>
        <w:endnoteRef/>
      </w:r>
      <w:r>
        <w:t xml:space="preserve">  </w:t>
      </w:r>
      <w:r>
        <w:fldChar w:fldCharType="begin"/>
      </w:r>
      <w:r>
        <w:instrText xml:space="preserve"> ADDIN ZOTERO_ITEM CSL_CITATION {"citationID":"cUixo2iy","properties":{"formattedCitation":"Royal Commission into Violence, Abuse, Neglect and Exploitation of People with Disability, \\uc0\\u8216{}Restrictive Practices Issues Paper\\uc0\\u8217{} (n 3) 2.","plainCitation":"Royal Commission into Violence, Abuse, Neglect and Exploitation of People with Disability, ‘Restrictive Practices Issues Paper’ (n 3) 2.","noteIndex":126},"citationItems":[{"id":6209,"uris":["http://zotero.org/groups/2733877/items/TGUJIQJE"],"uri":["http://zotero.org/groups/2733877/items/TGUJIQJE"],"itemData":{"id":6209,"type":"report","language":"en","page":"1-14","source":"Zotero","title":"Restrictive Practices Issues Paper","author":[{"family":"Royal Commission into Violence, Abuse, Neglect and Exploitation of People with Disability","given":""}],"issued":{"date-parts":[["2020",5,26]]}},"locator":"2"}],"schema":"https://github.com/citation-style-language/schema/raw/master/csl-citation.json"} </w:instrText>
      </w:r>
      <w:r>
        <w:fldChar w:fldCharType="separate"/>
      </w:r>
      <w:r w:rsidRPr="003509C3">
        <w:rPr>
          <w:rFonts w:ascii="Calibri" w:hAnsi="Calibri" w:cs="Calibri"/>
          <w:szCs w:val="24"/>
        </w:rPr>
        <w:t>Royal Commission into Violence, Abuse, Neglect and Exploitation of People with Disability, ‘Restrictive Practices Issues Paper’ (n 3) 2.</w:t>
      </w:r>
      <w:r>
        <w:fldChar w:fldCharType="end"/>
      </w:r>
    </w:p>
  </w:endnote>
  <w:endnote w:id="127">
    <w:p w14:paraId="15EAA2AB" w14:textId="0DF8D5D6" w:rsidR="00A00236" w:rsidRPr="00D27A13" w:rsidRDefault="00A00236" w:rsidP="009E0F0D">
      <w:pPr>
        <w:pStyle w:val="EndnoteText"/>
        <w:rPr>
          <w:lang w:val="en-AU"/>
        </w:rPr>
      </w:pPr>
      <w:r>
        <w:rPr>
          <w:rStyle w:val="EndnoteReference"/>
        </w:rPr>
        <w:endnoteRef/>
      </w:r>
      <w:r>
        <w:t xml:space="preserve"> </w:t>
      </w:r>
      <w:r>
        <w:fldChar w:fldCharType="begin"/>
      </w:r>
      <w:r>
        <w:instrText xml:space="preserve"> ADDIN ZOTERO_ITEM CSL_CITATION {"citationID":"eORXPgru","properties":{"formattedCitation":"Royal Commission into Violence, Abuse, Neglect and Exploitation of People with Disability, {\\i{}Our Terms of Reference} (n 65).","plainCitation":"Royal Commission into Violence, Abuse, Neglect and Exploitation of People with Disability, Our Terms of Reference (n 65).","noteIndex":127},"citationItems":[{"id":5924,"uris":["http://zotero.org/groups/2733877/items/PCBU8CVV"],"uri":["http://zotero.org/groups/2733877/items/PCBU8CVV"],"itemData":{"id":5924,"type":"webpage","abstract":"The Terms of Reference set out the Letters Patent – this is the name of the official document that establishes the Royal Commission, appoints its Commissioners and gives us rules for how can operate.","container-title":"Royal Commission into Violence, Abuse, Neglect and Exploitation of People with Disability","language":"en","title":"Our Terms of Reference","URL":"https://disability.royalcommission.gov.au/about-royal-commission/our-terms-reference","author":[{"family":"Royal Commission into Violence, Abuse, Neglect and Exploitation of People with Disability","given":""}],"accessed":{"date-parts":[["2021",1,27]]}}}],"schema":"https://github.com/citation-style-language/schema/raw/master/csl-citation.json"} </w:instrText>
      </w:r>
      <w:r>
        <w:fldChar w:fldCharType="separate"/>
      </w:r>
      <w:r w:rsidRPr="003509C3">
        <w:rPr>
          <w:rFonts w:ascii="Calibri" w:hAnsi="Calibri" w:cs="Calibri"/>
          <w:szCs w:val="24"/>
        </w:rPr>
        <w:t xml:space="preserve">Royal Commission into Violence, Abuse, Neglect and Exploitation of People with Disability, </w:t>
      </w:r>
      <w:r w:rsidRPr="003509C3">
        <w:rPr>
          <w:rFonts w:ascii="Calibri" w:hAnsi="Calibri" w:cs="Calibri"/>
          <w:i/>
          <w:iCs/>
          <w:szCs w:val="24"/>
        </w:rPr>
        <w:t>Our Terms of Reference</w:t>
      </w:r>
      <w:r w:rsidRPr="003509C3">
        <w:rPr>
          <w:rFonts w:ascii="Calibri" w:hAnsi="Calibri" w:cs="Calibri"/>
          <w:szCs w:val="24"/>
        </w:rPr>
        <w:t xml:space="preserve"> (n 65).</w:t>
      </w:r>
      <w:r>
        <w:fldChar w:fldCharType="end"/>
      </w:r>
    </w:p>
  </w:endnote>
  <w:endnote w:id="128">
    <w:p w14:paraId="656F41C0" w14:textId="70F5402E" w:rsidR="00A00236" w:rsidRPr="00791DFE" w:rsidRDefault="00A00236" w:rsidP="009E0F0D">
      <w:pPr>
        <w:pStyle w:val="EndnoteText"/>
        <w:rPr>
          <w:lang w:val="en-AU"/>
        </w:rPr>
      </w:pPr>
      <w:r>
        <w:rPr>
          <w:rStyle w:val="EndnoteReference"/>
        </w:rPr>
        <w:endnoteRef/>
      </w:r>
      <w:r>
        <w:t xml:space="preserve"> </w:t>
      </w:r>
      <w:r>
        <w:fldChar w:fldCharType="begin"/>
      </w:r>
      <w:r>
        <w:instrText xml:space="preserve"> ADDIN ZOTERO_ITEM CSL_CITATION {"citationID":"eS4blV8p","properties":{"formattedCitation":"Royal Commission into Violence, Abuse, Neglect and Exploitation of People with Disability, \\uc0\\u8216{}Restrictive Practices Issues Paper\\uc0\\u8217{} (n 3) 2 (emphasis added).","plainCitation":"Royal Commission into Violence, Abuse, Neglect and Exploitation of People with Disability, ‘Restrictive Practices Issues Paper’ (n 3) 2 (emphasis added).","noteIndex":128},"citationItems":[{"id":6209,"uris":["http://zotero.org/groups/2733877/items/TGUJIQJE"],"uri":["http://zotero.org/groups/2733877/items/TGUJIQJE"],"itemData":{"id":6209,"type":"report","language":"en","page":"1-14","source":"Zotero","title":"Restrictive Practices Issues Paper","author":[{"family":"Royal Commission into Violence, Abuse, Neglect and Exploitation of People with Disability","given":""}],"issued":{"date-parts":[["2020",5,26]]}},"locator":"2","suffix":"(emphasis added)"}],"schema":"https://github.com/citation-style-language/schema/raw/master/csl-citation.json"} </w:instrText>
      </w:r>
      <w:r>
        <w:fldChar w:fldCharType="separate"/>
      </w:r>
      <w:r w:rsidRPr="003509C3">
        <w:rPr>
          <w:rFonts w:ascii="Calibri" w:hAnsi="Calibri" w:cs="Calibri"/>
          <w:szCs w:val="24"/>
        </w:rPr>
        <w:t>Royal Commission into Violence, Abuse, Neglect and Exploitation of People with Disability, ‘Restrictive Practices Issues Paper’ (n 3) 2 (emphasis added).</w:t>
      </w:r>
      <w:r>
        <w:fldChar w:fldCharType="end"/>
      </w:r>
    </w:p>
  </w:endnote>
  <w:endnote w:id="129">
    <w:p w14:paraId="50BECCB4" w14:textId="1182FC9B" w:rsidR="00A00236" w:rsidRPr="003F3D6D" w:rsidRDefault="00A00236" w:rsidP="00033B3A">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{"citationID":"OinObkKn","properties":{"formattedCitation":"Our Watch, \\uc0\\u8216{}Change the Story: What Drives Violence against Women?\\uc0\\u8217{}, {\\i{}Our Watch} &lt;https://www.ourwatch.org.au/change-the-story/&gt;.","plainCitation":"Our Watch, ‘Change the Story: What Drives Violence against Women?’, Our Watch &lt;https://www.ourwatch.org.au/change-the-story/&gt;.","noteIndex":129},"citationItems":[{"id":5913,"uris":["http://zotero.org/groups/2733877/items/NZENPX7S"],"uri":["http://zotero.org/groups/2733877/items/NZENPX7S"],"itemData":{"id":5913,"type":"webpage","abstract":"Change the story is our national framework for a consistent and integrated approach to preventing violence against women and their children in Australia.","container-title":"Our Watch","language":"en","title":"Change the Story: What drives violence against women?","URL":"https://www.ourwatch.org.au/change-the-story/","author":[{"family":"Our Watch","given":""}],"accessed":{"date-parts":[["2021",1,27]]}}}],"schema":"https://github.com/citation-style-language/schema/raw/master/csl-citation.json"} </w:instrText>
      </w:r>
      <w:r w:rsidRPr="003F3D6D">
        <w:rPr>
          <w:rFonts w:cstheme="minorHAnsi"/>
        </w:rPr>
        <w:fldChar w:fldCharType="separate"/>
      </w:r>
      <w:r w:rsidRPr="003F3D6D">
        <w:rPr>
          <w:rFonts w:cstheme="minorHAnsi"/>
        </w:rPr>
        <w:t xml:space="preserve">Our Watch, ‘Change the Story: What Drives Violence against Women?’, </w:t>
      </w:r>
      <w:r w:rsidRPr="003F3D6D">
        <w:rPr>
          <w:rFonts w:cstheme="minorHAnsi"/>
          <w:i/>
          <w:iCs/>
        </w:rPr>
        <w:t>Our Watch</w:t>
      </w:r>
      <w:r w:rsidRPr="003F3D6D">
        <w:rPr>
          <w:rFonts w:cstheme="minorHAnsi"/>
        </w:rPr>
        <w:t xml:space="preserve"> &lt;https://www.ourwatch.org.au/change-the-story/&gt;.</w:t>
      </w:r>
      <w:r w:rsidRPr="003F3D6D">
        <w:rPr>
          <w:rFonts w:cstheme="minorHAnsi"/>
        </w:rPr>
        <w:fldChar w:fldCharType="end"/>
      </w:r>
    </w:p>
  </w:endnote>
  <w:endnote w:id="130">
    <w:p w14:paraId="42BFFED1" w14:textId="28EF41B0" w:rsidR="00A00236" w:rsidRPr="003F3D6D" w:rsidRDefault="00A00236" w:rsidP="00033B3A">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{"citationID":"156xGOmy","properties":{"formattedCitation":"See, for example, Council of Australian Governments, {\\i{}National Plan to Reduce Violence against Women and Their Children} (Australian Government, 2011) &lt;https://plan4womenssafety.dss.gov.au/&gt;; see also Our Watch, {\\i{}#BecauseWhy, Doing Nothing Causes Harm and Awards Campaigns}; Australian Government, \\uc0\\u8216{}Stop It at the Start Campaign\\uc0\\u8217{}, {\\i{}Respect} &lt;https://www.respect.gov.au/&gt;; Department of Education and Training, \\uc0\\u8216{}Respectful Relationships\\uc0\\u8217{}, {\\i{}Victoria State Government} (2020) &lt;https://www.education.vic.gov.au:443/about/programs/Pages/respectfulrelationships.aspx&gt;.","plainCitation":"See, for example, Council of Australian Governments, National Plan to Reduce Violence against Women and Their Children (Australian Government, 2011) &lt;https://plan4womenssafety.dss.gov.au/&gt;; see also Our Watch, #BecauseWhy, Doing Nothing Causes Harm and Awards Campaigns; Australian Government, ‘Stop It at the Start Campaign’, Respect &lt;https://www.respect.gov.au/&gt;; Department of Education and Training, ‘Respectful Relationships’, Victoria State Government (2020) &lt;https://www.education.vic.gov.au:443/about/programs/Pages/respectfulrelationships.aspx&gt;.","noteIndex":130},"citationItems":[{"id":5916,"uris":["http://zotero.org/groups/2733877/items/Q4RASAV6"],"uri":["http://zotero.org/groups/2733877/items/Q4RASAV6"],"itemData":{"id":5916,"type":"report","event-place":"Canberra","publisher":"Australian Government","publisher-place":"Canberra","title":"National Plan to Reduce Violence against Women and their Children","URL":"https://plan4womenssafety.dss.gov.au/","author":[{"family":"Council of Australian Governments","given":""}],"accessed":{"date-parts":[["2021",1,27]]},"issued":{"date-parts":[["2011"]]}},"prefix":"See, for example, "},{"id":5914,"uris":["http://zotero.org/groups/2733877/items/XUUVTDXF"],"uri":["http://zotero.org/groups/2733877/items/XUUVTDXF"],"itemData":{"id":5914,"type":"report","title":"#BecauseWhy, Doing Nothing Causes Harm and Awards Campaigns","author":[{"family":"Our Watch","given":""}]},"prefix":"see also"},{"id":5912,"uris":["http://zotero.org/groups/2733877/items/TFRCPQVT"],"uri":["http://zotero.org/groups/2733877/items/TFRCPQVT"],"itemData":{"id":5912,"type":"webpage","container-title":"Respect","title":"Stop it at the start campaign","URL":"https://www.respect.gov.au/","author":[{"family":"Australian Government","given":""}],"accessed":{"date-parts":[["2021",1,27]]}}},{"id":5911,"uris":["http://zotero.org/groups/2733877/items/XDZUPNRY"],"uri":["http://zotero.org/groups/2733877/items/XDZUPNRY"],"itemData":{"id":5911,"type":"webpage","abstract":"respectful relationships education in schools","container-title":"Victoria State Government","language":"en","title":"Respectful Relationships","URL":"https://www.education.vic.gov.au:443/about/programs/Pages/respectfulrelationships.aspx","author":[{"family":"Department of Education and Training","given":""}],"accessed":{"date-parts":[["2021",1,27]]},"issued":{"date-parts":[["2020"]]}}}],"schema":"https://github.com/citation-style-language/schema/raw/master/csl-citation.json"} </w:instrText>
      </w:r>
      <w:r w:rsidRPr="003F3D6D">
        <w:rPr>
          <w:rFonts w:cstheme="minorHAnsi"/>
        </w:rPr>
        <w:fldChar w:fldCharType="separate"/>
      </w:r>
      <w:r w:rsidRPr="003F3D6D">
        <w:rPr>
          <w:rFonts w:cstheme="minorHAnsi"/>
        </w:rPr>
        <w:t xml:space="preserve">See, for example, Council of Australian Governments, </w:t>
      </w:r>
      <w:r w:rsidRPr="003F3D6D">
        <w:rPr>
          <w:rFonts w:cstheme="minorHAnsi"/>
          <w:i/>
          <w:iCs/>
        </w:rPr>
        <w:t>National Plan to Reduce Violence against Women and Their Children</w:t>
      </w:r>
      <w:r w:rsidRPr="003F3D6D">
        <w:rPr>
          <w:rFonts w:cstheme="minorHAnsi"/>
        </w:rPr>
        <w:t xml:space="preserve"> (Australian Government, 2011) &lt;https://plan4womenssafety.dss.gov.au/&gt;; see also Our Watch, </w:t>
      </w:r>
      <w:r w:rsidRPr="003F3D6D">
        <w:rPr>
          <w:rFonts w:cstheme="minorHAnsi"/>
          <w:i/>
          <w:iCs/>
        </w:rPr>
        <w:t>#BecauseWhy, Doing Nothing Causes Harm and Awards Campaigns</w:t>
      </w:r>
      <w:r w:rsidRPr="003F3D6D">
        <w:rPr>
          <w:rFonts w:cstheme="minorHAnsi"/>
        </w:rPr>
        <w:t xml:space="preserve">; Australian Government, ‘Stop It at the Start Campaign’, </w:t>
      </w:r>
      <w:r w:rsidRPr="003F3D6D">
        <w:rPr>
          <w:rFonts w:cstheme="minorHAnsi"/>
          <w:i/>
          <w:iCs/>
        </w:rPr>
        <w:t>Respect</w:t>
      </w:r>
      <w:r w:rsidRPr="003F3D6D">
        <w:rPr>
          <w:rFonts w:cstheme="minorHAnsi"/>
        </w:rPr>
        <w:t xml:space="preserve"> &lt;https://www.respect.gov.au/&gt;; Department of Education and Training, ‘Respectful Relationships’, </w:t>
      </w:r>
      <w:r w:rsidRPr="003F3D6D">
        <w:rPr>
          <w:rFonts w:cstheme="minorHAnsi"/>
          <w:i/>
          <w:iCs/>
        </w:rPr>
        <w:t>Victoria State Government</w:t>
      </w:r>
      <w:r w:rsidRPr="003F3D6D">
        <w:rPr>
          <w:rFonts w:cstheme="minorHAnsi"/>
        </w:rPr>
        <w:t xml:space="preserve"> (2020) &lt;https://www.education.vic.gov.au:443/about/programs/Pages/respectfulrelationships.aspx&gt;.</w:t>
      </w:r>
      <w:r w:rsidRPr="003F3D6D">
        <w:rPr>
          <w:rFonts w:cstheme="minorHAnsi"/>
        </w:rPr>
        <w:fldChar w:fldCharType="end"/>
      </w:r>
    </w:p>
  </w:endnote>
  <w:endnote w:id="131">
    <w:p w14:paraId="32DD6FAF" w14:textId="7F5C6D9C" w:rsidR="00A00236" w:rsidRPr="008664CB" w:rsidRDefault="00A00236">
      <w:pPr>
        <w:pStyle w:val="EndnoteText"/>
        <w:rPr>
          <w:lang w:val="en-AU"/>
        </w:rPr>
      </w:pPr>
      <w:r>
        <w:rPr>
          <w:rStyle w:val="EndnoteReference"/>
        </w:rPr>
        <w:endnoteRef/>
      </w:r>
      <w:r>
        <w:t xml:space="preserve"> </w:t>
      </w:r>
      <w:r>
        <w:fldChar w:fldCharType="begin"/>
      </w:r>
      <w:r>
        <w:instrText xml:space="preserve"> ADDIN ZOTERO_ITEM CSL_CITATION {"citationID":"VHUBfjPM","properties":{"formattedCitation":"Royal Commission into Violence, Abuse, Neglect and Exploitation of People with Disability, \\uc0\\u8216{}Restrictive Practices Issues Paper\\uc0\\u8217{} (n 3) 3.","plainCitation":"Royal Commission into Violence, Abuse, Neglect and Exploitation of People with Disability, ‘Restrictive Practices Issues Paper’ (n 3) 3.","noteIndex":131},"citationItems":[{"id":6209,"uris":["http://zotero.org/groups/2733877/items/TGUJIQJE"],"uri":["http://zotero.org/groups/2733877/items/TGUJIQJE"],"itemData":{"id":6209,"type":"report","language":"en","page":"1-14","source":"Zotero","title":"Restrictive Practices Issues Paper","author":[{"family":"Royal Commission into Violence, Abuse, Neglect and Exploitation of People with Disability","given":""}],"issued":{"date-parts":[["2020",5,26]]}},"locator":"3"}],"schema":"https://github.com/citation-style-language/schema/raw/master/csl-citation.json"} </w:instrText>
      </w:r>
      <w:r>
        <w:fldChar w:fldCharType="separate"/>
      </w:r>
      <w:r w:rsidRPr="00562342">
        <w:rPr>
          <w:rFonts w:ascii="Calibri" w:hAnsi="Calibri" w:cs="Calibri"/>
          <w:szCs w:val="24"/>
        </w:rPr>
        <w:t>Royal Commission into Violence, Abuse, Neglect and Exploitation of People with Disability, ‘Restrictive Practices Issues Paper’ (n 3) 3.</w:t>
      </w:r>
      <w:r>
        <w:fldChar w:fldCharType="end"/>
      </w:r>
    </w:p>
  </w:endnote>
  <w:endnote w:id="132">
    <w:p w14:paraId="4604A05D" w14:textId="1878207B" w:rsidR="00A00236" w:rsidRPr="001979F1" w:rsidRDefault="00A00236">
      <w:pPr>
        <w:pStyle w:val="EndnoteText"/>
        <w:rPr>
          <w:lang w:val="en-AU"/>
        </w:rPr>
      </w:pPr>
      <w:r>
        <w:rPr>
          <w:rStyle w:val="EndnoteReference"/>
        </w:rPr>
        <w:endnoteRef/>
      </w:r>
      <w:r>
        <w:t xml:space="preserve"> </w:t>
      </w:r>
      <w:r>
        <w:fldChar w:fldCharType="begin"/>
      </w:r>
      <w:r>
        <w:instrText xml:space="preserve"> ADDIN ZOTERO_ITEM CSL_CITATION {"citationID":"SziljmKV","properties":{"formattedCitation":"Alice Wong, \\uc0\\u8216{}I\\uc0\\u8217{}m Disabled and Need a Ventilator to Live. Am I Expendable During This Pandemic?\\uc0\\u8217{}, {\\i{}Vox} (4 April 2020) &lt;https://www.vox.com/first-person/2020/4/4/21204261/coronavirus-covid-19-disabled-people-disabilities-triage&gt;.","plainCitation":"Alice Wong, ‘I’m Disabled and Need a Ventilator to Live. Am I Expendable During This Pandemic?’, Vox (4 April 2020) &lt;https://www.vox.com/first-person/2020/4/4/21204261/coronavirus-covid-19-disabled-people-disabilities-triage&gt;.","noteIndex":132},"citationItems":[{"id":6148,"uris":["http://zotero.org/groups/2733877/items/6IEDCHZP"],"uri":["http://zotero.org/groups/2733877/items/6IEDCHZP"],"itemData":{"id":6148,"type":"post-weblog","container-title":"Vox","title":"I’m Disabled and Need a Ventilator to Live. Am I Expendable During this Pandemic?","URL":"https://www.vox.com/first-person/2020/4/4/21204261/coronavirus-covid-19-disabled-people-disabilities-triage","author":[{"family":"Wong","given":"Alice"}],"issued":{"date-parts":[["2020",4,4]]}}}],"schema":"https://github.com/citation-style-language/schema/raw/master/csl-citation.json"} </w:instrText>
      </w:r>
      <w:r>
        <w:fldChar w:fldCharType="separate"/>
      </w:r>
      <w:r w:rsidRPr="006F4120">
        <w:rPr>
          <w:rFonts w:ascii="Calibri" w:hAnsi="Calibri" w:cs="Calibri"/>
          <w:szCs w:val="24"/>
        </w:rPr>
        <w:t xml:space="preserve">Alice Wong, ‘I’m Disabled and Need a Ventilator to Live. Am I Expendable During This Pandemic?’, </w:t>
      </w:r>
      <w:r w:rsidRPr="006F4120">
        <w:rPr>
          <w:rFonts w:ascii="Calibri" w:hAnsi="Calibri" w:cs="Calibri"/>
          <w:i/>
          <w:iCs/>
          <w:szCs w:val="24"/>
        </w:rPr>
        <w:t>Vox</w:t>
      </w:r>
      <w:r w:rsidRPr="006F4120">
        <w:rPr>
          <w:rFonts w:ascii="Calibri" w:hAnsi="Calibri" w:cs="Calibri"/>
          <w:szCs w:val="24"/>
        </w:rPr>
        <w:t xml:space="preserve"> (4 April 2020) &lt;https://www.vox.com/first-person/2020/4/4/21204261/coronavirus-covid-19-disabled-people-disabilities-triage&gt;.</w:t>
      </w:r>
      <w:r>
        <w:fldChar w:fldCharType="end"/>
      </w:r>
    </w:p>
  </w:endnote>
  <w:endnote w:id="133">
    <w:p w14:paraId="307DA15D" w14:textId="69BE3115" w:rsidR="00A00236" w:rsidRPr="002E62E4" w:rsidRDefault="00A00236">
      <w:pPr>
        <w:pStyle w:val="EndnoteText"/>
        <w:rPr>
          <w:lang w:val="en-AU"/>
        </w:rPr>
      </w:pPr>
      <w:r>
        <w:rPr>
          <w:rStyle w:val="EndnoteReference"/>
        </w:rPr>
        <w:endnoteRef/>
      </w:r>
      <w:r>
        <w:t xml:space="preserve"> </w:t>
      </w:r>
      <w:r>
        <w:fldChar w:fldCharType="begin"/>
      </w:r>
      <w:r>
        <w:instrText xml:space="preserve"> ADDIN ZOTERO_ITEM CSL_CITATION {"citationID":"rIafVi8F","properties":{"formattedCitation":"Royal Commission into Violence, Abuse, Neglect and Exploitation of People with Disability, \\uc0\\u8216{}Restrictive Practices Issues Paper\\uc0\\u8217{} (n 3) 1.","plainCitation":"Royal Commission into Violence, Abuse, Neglect and Exploitation of People with Disability, ‘Restrictive Practices Issues Paper’ (n 3) 1.","noteIndex":133},"citationItems":[{"id":6209,"uris":["http://zotero.org/groups/2733877/items/TGUJIQJE"],"uri":["http://zotero.org/groups/2733877/items/TGUJIQJE"],"itemData":{"id":6209,"type":"report","language":"en","page":"1-14","source":"Zotero","title":"Restrictive Practices Issues Paper","author":[{"family":"Royal Commission into Violence, Abuse, Neglect and Exploitation of People with Disability","given":""}],"issued":{"date-parts":[["2020",5,26]]}},"locator":"1"}],"schema":"https://github.com/citation-style-language/schema/raw/master/csl-citation.json"} </w:instrText>
      </w:r>
      <w:r>
        <w:fldChar w:fldCharType="separate"/>
      </w:r>
      <w:r w:rsidRPr="003509C3">
        <w:rPr>
          <w:rFonts w:ascii="Calibri" w:hAnsi="Calibri" w:cs="Calibri"/>
          <w:szCs w:val="24"/>
        </w:rPr>
        <w:t>Royal Commission into Violence, Abuse, Neglect and Exploitation of People with Disability, ‘Restrictive Practices Issues Paper’ (n 3) 1.</w:t>
      </w:r>
      <w:r>
        <w:fldChar w:fldCharType="end"/>
      </w:r>
    </w:p>
  </w:endnote>
  <w:endnote w:id="134">
    <w:p w14:paraId="0263E662" w14:textId="5B597D69" w:rsidR="00A00236" w:rsidRPr="00C8218E" w:rsidRDefault="00A00236" w:rsidP="00C8218E">
      <w:pPr>
        <w:pStyle w:val="definition"/>
        <w:spacing w:before="0" w:beforeAutospacing="0" w:after="0" w:afterAutospacing="0"/>
        <w:rPr>
          <w:rFonts w:asciiTheme="minorHAnsi" w:hAnsiTheme="minorHAnsi" w:cstheme="minorHAnsi"/>
          <w:sz w:val="20"/>
          <w:szCs w:val="20"/>
        </w:rPr>
      </w:pPr>
      <w:r w:rsidRPr="00F57902">
        <w:rPr>
          <w:rStyle w:val="EndnoteReference"/>
          <w:rFonts w:asciiTheme="minorHAnsi" w:hAnsiTheme="minorHAnsi" w:cstheme="minorHAnsi"/>
          <w:sz w:val="20"/>
          <w:szCs w:val="20"/>
        </w:rPr>
        <w:endnoteRef/>
      </w:r>
      <w:r w:rsidRPr="00F57902">
        <w:rPr>
          <w:rFonts w:asciiTheme="minorHAnsi" w:hAnsiTheme="minorHAnsi" w:cstheme="minorHAnsi"/>
          <w:sz w:val="20"/>
          <w:szCs w:val="20"/>
        </w:rPr>
        <w:t xml:space="preserve"> ‘</w:t>
      </w:r>
      <w:r w:rsidRPr="00F57902">
        <w:rPr>
          <w:rFonts w:asciiTheme="minorHAnsi" w:hAnsiTheme="minorHAnsi" w:cstheme="minorHAnsi"/>
          <w:i/>
          <w:sz w:val="20"/>
          <w:szCs w:val="20"/>
        </w:rPr>
        <w:t>R</w:t>
      </w:r>
      <w:r w:rsidRPr="00F57902">
        <w:rPr>
          <w:rFonts w:asciiTheme="minorHAnsi" w:hAnsiTheme="minorHAnsi" w:cstheme="minorHAnsi"/>
          <w:bCs/>
          <w:i/>
          <w:iCs/>
          <w:sz w:val="20"/>
          <w:szCs w:val="20"/>
        </w:rPr>
        <w:t>estrictive practice</w:t>
      </w:r>
      <w:r w:rsidRPr="00F57902">
        <w:rPr>
          <w:rFonts w:asciiTheme="minorHAnsi" w:hAnsiTheme="minorHAnsi" w:cstheme="minorHAnsi"/>
          <w:sz w:val="20"/>
          <w:szCs w:val="20"/>
        </w:rPr>
        <w:t xml:space="preserve"> means any practice or intervention that has the effect of restricting the rights or freedom of</w:t>
      </w:r>
      <w:r w:rsidRPr="00C8218E">
        <w:rPr>
          <w:rFonts w:asciiTheme="minorHAnsi" w:hAnsiTheme="minorHAnsi" w:cstheme="minorHAnsi"/>
          <w:sz w:val="20"/>
          <w:szCs w:val="20"/>
        </w:rPr>
        <w:t xml:space="preserve"> movement of a person with disability’: </w:t>
      </w:r>
      <w:r w:rsidRPr="00C8218E">
        <w:rPr>
          <w:rFonts w:asciiTheme="minorHAnsi" w:hAnsiTheme="minorHAnsi" w:cstheme="minorHAnsi"/>
          <w:sz w:val="20"/>
          <w:szCs w:val="20"/>
        </w:rPr>
        <w:fldChar w:fldCharType="begin"/>
      </w:r>
      <w:r>
        <w:rPr>
          <w:rFonts w:asciiTheme="minorHAnsi" w:hAnsiTheme="minorHAnsi" w:cstheme="minorHAnsi"/>
          <w:sz w:val="20"/>
          <w:szCs w:val="20"/>
        </w:rPr>
        <w:instrText xml:space="preserve"> ADDIN ZOTERO_ITEM CSL_CITATION {"citationID":"93eRC03a","properties":{"formattedCitation":"{\\i{}National Disability Insurance Scheme Act 2013} (Cth) 9.","plainCitation":"National Disability Insurance Scheme Act 2013 (Cth) 9.","noteIndex":134},"citationItems":[{"id":6017,"uris":["http://zotero.org/groups/2733877/items/3S2HP4B6"],"uri":["http://zotero.org/groups/2733877/items/3S2HP4B6"],"itemData":{"id":6017,"type":"legislation","container-title":"Cth","title":"National Disability Insurance Scheme Act 2013"},"locator":"9","label":"section"}],"schema":"https://github.com/citation-style-language/schema/raw/master/csl-citation.json"} </w:instrText>
      </w:r>
      <w:r w:rsidRPr="00C8218E">
        <w:rPr>
          <w:rFonts w:asciiTheme="minorHAnsi" w:hAnsiTheme="minorHAnsi" w:cstheme="minorHAnsi"/>
          <w:sz w:val="20"/>
          <w:szCs w:val="20"/>
        </w:rPr>
        <w:fldChar w:fldCharType="separate"/>
      </w:r>
      <w:r w:rsidRPr="00C8218E">
        <w:rPr>
          <w:rFonts w:asciiTheme="minorHAnsi" w:hAnsiTheme="minorHAnsi" w:cstheme="minorHAnsi"/>
          <w:i/>
          <w:iCs/>
          <w:sz w:val="20"/>
          <w:szCs w:val="20"/>
        </w:rPr>
        <w:t>National Disability Insurance Scheme Act 2013</w:t>
      </w:r>
      <w:r w:rsidRPr="00C8218E">
        <w:rPr>
          <w:rFonts w:asciiTheme="minorHAnsi" w:hAnsiTheme="minorHAnsi" w:cstheme="minorHAnsi"/>
          <w:sz w:val="20"/>
          <w:szCs w:val="20"/>
        </w:rPr>
        <w:t xml:space="preserve"> (Cth) 9.</w:t>
      </w:r>
      <w:r w:rsidRPr="00C8218E">
        <w:rPr>
          <w:rFonts w:asciiTheme="minorHAnsi" w:hAnsiTheme="minorHAnsi" w:cstheme="minorHAnsi"/>
          <w:sz w:val="20"/>
          <w:szCs w:val="20"/>
        </w:rPr>
        <w:fldChar w:fldCharType="end"/>
      </w:r>
    </w:p>
  </w:endnote>
  <w:endnote w:id="135">
    <w:p w14:paraId="7635173F" w14:textId="6D4F6E66" w:rsidR="00A00236" w:rsidRPr="00595305" w:rsidRDefault="00A00236">
      <w:pPr>
        <w:pStyle w:val="EndnoteText"/>
        <w:rPr>
          <w:lang w:val="en-AU"/>
        </w:rPr>
      </w:pPr>
      <w:r w:rsidRPr="00F57902">
        <w:rPr>
          <w:rStyle w:val="EndnoteReference"/>
        </w:rPr>
        <w:endnoteRef/>
      </w:r>
      <w:r w:rsidRPr="00F57902">
        <w:t xml:space="preserve"> </w:t>
      </w:r>
      <w:r w:rsidRPr="00F57902">
        <w:rPr>
          <w:lang w:val="en-AU"/>
        </w:rPr>
        <w:t xml:space="preserve">See for eg: National Disability Insurance Commission (NDIS) Quality &amp; Safeguards Commission (2021) Regulated restrictive practices. Accessed online February 2021 at: </w:t>
      </w:r>
      <w:hyperlink r:id="rId2" w:history="1">
        <w:r w:rsidRPr="00F57902">
          <w:rPr>
            <w:rStyle w:val="Hyperlink"/>
            <w:lang w:val="en-AU"/>
          </w:rPr>
          <w:t>https://www.ndiscommission.gov.au/regulated-restrictive-practices</w:t>
        </w:r>
      </w:hyperlink>
      <w:r>
        <w:rPr>
          <w:lang w:val="en-AU"/>
        </w:rPr>
        <w:t xml:space="preserve"> </w:t>
      </w:r>
    </w:p>
  </w:endnote>
  <w:endnote w:id="136">
    <w:p w14:paraId="4D0EA4B6" w14:textId="6ED88A5A" w:rsidR="00A00236" w:rsidRPr="00F57902" w:rsidRDefault="00A00236" w:rsidP="00C8218E">
      <w:pPr>
        <w:pStyle w:val="EndnoteText"/>
        <w:rPr>
          <w:lang w:val="en-AU"/>
        </w:rPr>
      </w:pPr>
      <w:r w:rsidRPr="00C8218E">
        <w:rPr>
          <w:rStyle w:val="EndnoteReference"/>
          <w:rFonts w:cstheme="minorHAnsi"/>
        </w:rPr>
        <w:endnoteRef/>
      </w:r>
      <w:r w:rsidRPr="00C8218E">
        <w:rPr>
          <w:rFonts w:cstheme="minorHAnsi"/>
        </w:rPr>
        <w:t xml:space="preserve"> </w:t>
      </w:r>
      <w:r w:rsidRPr="00F57902">
        <w:rPr>
          <w:rFonts w:cstheme="minorHAnsi"/>
        </w:rPr>
        <w:fldChar w:fldCharType="begin"/>
      </w:r>
      <w:r>
        <w:rPr>
          <w:rFonts w:cstheme="minorHAnsi"/>
        </w:rPr>
        <w:instrText xml:space="preserve"> ADDIN ZOTERO_ITEM CSL_CITATION {"citationID":"s95ZUmjR","properties":{"formattedCitation":"Cashelle Dunn, {\\i{}Sterilisation of Girls with Disability: The State Responsibility to Protect Human Rights} (Women With Disabilities Australia) 3 &lt;https://wwda.org.au/2018/09/sterilisation-state-responsibility/&gt;.","plainCitation":"Cashelle Dunn, Sterilisation of Girls with Disability: The State Responsibility to Protect Human Rights (Women With Disabilities Australia) 3 &lt;https://wwda.org.au/2018/09/sterilisation-state-responsibility/&gt;.","noteIndex":136},"citationItems":[{"id":6144,"uris":["http://zotero.org/groups/2733877/items/Q3FMIY2K"],"uri":["http://zotero.org/groups/2733877/items/Q3FMIY2K"],"itemData":{"id":6144,"type":"report","event-place":"Hobart, Tasmania","publisher":"Women With Disabilities Australia","publisher-place":"Hobart, Tasmania","title":"Sterilisation of Girls with Disability: The State Responsibility to Protect Human Rights","URL":"https://wwda.org.au/2018/09/sterilisation-state-responsibility/","author":[{"family":"Dunn","given":"Cashelle"}]},"locator":"3"}],"schema":"https://github.com/citation-style-language/schema/raw/master/csl-citation.json"} </w:instrText>
      </w:r>
      <w:r w:rsidRPr="00F57902">
        <w:rPr>
          <w:rFonts w:cstheme="minorHAnsi"/>
        </w:rPr>
        <w:fldChar w:fldCharType="separate"/>
      </w:r>
      <w:r w:rsidRPr="00F57902">
        <w:rPr>
          <w:rFonts w:cstheme="minorHAnsi"/>
        </w:rPr>
        <w:t xml:space="preserve">Cashelle Dunn, </w:t>
      </w:r>
      <w:r w:rsidRPr="00F57902">
        <w:rPr>
          <w:rFonts w:cstheme="minorHAnsi"/>
          <w:i/>
          <w:iCs/>
        </w:rPr>
        <w:t>Sterilisation of Girls with Disability: The State Responsibility to Protect Human Rights</w:t>
      </w:r>
      <w:r w:rsidRPr="00F57902">
        <w:rPr>
          <w:rFonts w:cstheme="minorHAnsi"/>
        </w:rPr>
        <w:t xml:space="preserve"> (Women With Disabilities Australia) 3 &lt;https://wwda.org.au/2018/09/sterilisation-state-responsibility/&gt;.</w:t>
      </w:r>
      <w:r w:rsidRPr="00F57902">
        <w:rPr>
          <w:rFonts w:cstheme="minorHAnsi"/>
        </w:rPr>
        <w:fldChar w:fldCharType="end"/>
      </w:r>
    </w:p>
  </w:endnote>
  <w:endnote w:id="137">
    <w:p w14:paraId="50DFD158" w14:textId="58A58A5D" w:rsidR="00A00236" w:rsidRPr="009C4DA7" w:rsidRDefault="00A00236" w:rsidP="00F166EE">
      <w:pPr>
        <w:pStyle w:val="EndnoteText"/>
      </w:pPr>
      <w:r w:rsidRPr="00F57902">
        <w:rPr>
          <w:rStyle w:val="EndnoteReference"/>
        </w:rPr>
        <w:endnoteRef/>
      </w:r>
      <w:r w:rsidRPr="00F57902">
        <w:t xml:space="preserve"> </w:t>
      </w:r>
      <w:r w:rsidRPr="00F57902">
        <w:fldChar w:fldCharType="begin"/>
      </w:r>
      <w:r>
        <w:instrText xml:space="preserve"> ADDIN ZOTERO_ITEM CSL_CITATION {"citationID":"eyO9yHPA","properties":{"formattedCitation":"Tess McCarthy, {\\i{}National Project on Sterilisation Data Collection Practices: Report} (Office of the Public Advocate, November 2015).","plainCitation":"Tess McCarthy, National Project on Sterilisation Data Collection Practices: Report (Office of the Public Advocate, November 2015).","noteIndex":137},"citationItems":[{"id":8572,"uris":["http://zotero.org/users/5279374/items/6GRSJL6U"],"uri":["http://zotero.org/users/5279374/items/6GRSJL6U"],"itemData":{"id":8572,"type":"report","publisher":"Office of the Public Advocate","title":"National Project on Sterilisation Data Collection Practices: Report","author":[{"family":"McCarthy","given":"Tess"}],"issued":{"date-parts":[["2015",11]]}}}],"schema":"https://github.com/citation-style-language/schema/raw/master/csl-citation.json"} </w:instrText>
      </w:r>
      <w:r w:rsidRPr="00F57902">
        <w:fldChar w:fldCharType="separate"/>
      </w:r>
      <w:r w:rsidRPr="00F57902">
        <w:rPr>
          <w:rFonts w:ascii="Calibri" w:hAnsi="Calibri" w:cs="Calibri"/>
          <w:szCs w:val="24"/>
        </w:rPr>
        <w:t xml:space="preserve">Tess McCarthy, </w:t>
      </w:r>
      <w:r w:rsidRPr="00F57902">
        <w:rPr>
          <w:rFonts w:ascii="Calibri" w:hAnsi="Calibri" w:cs="Calibri"/>
          <w:i/>
          <w:iCs/>
          <w:szCs w:val="24"/>
        </w:rPr>
        <w:t>National Project on Sterilisation Data Collection Practices: Report</w:t>
      </w:r>
      <w:r w:rsidRPr="00F57902">
        <w:rPr>
          <w:rFonts w:ascii="Calibri" w:hAnsi="Calibri" w:cs="Calibri"/>
          <w:szCs w:val="24"/>
        </w:rPr>
        <w:t xml:space="preserve"> (Office of the Public Advocate, November 2015).</w:t>
      </w:r>
      <w:r w:rsidRPr="00F57902">
        <w:fldChar w:fldCharType="end"/>
      </w:r>
      <w:r>
        <w:t xml:space="preserve"> See also: </w:t>
      </w:r>
      <w:r>
        <w:fldChar w:fldCharType="begin"/>
      </w:r>
      <w:r>
        <w:instrText xml:space="preserve"> ADDIN ZOTERO_ITEM CSL_CITATION {"citationID":"ht7SnfXc","properties":{"formattedCitation":"Attorney-General\\uc0\\u8217{}s Department, {\\i{}Australia\\uc0\\u8217{}s Combined Second and Third Periodic Report under the Convention on the Rights of Persons with Disabilities; Response to the List of Issues Prior to Submission of the Combined Second and Third Periodic Reports of Australia} (Commonwealth of Australia, 2018); Laura Elliott, \\uc0\\u8216{}Victims of Violence: The Forced Sterilisation of Women and Girls with Disabilities in Australia\\uc0\\u8217{} (2017) 6(3) {\\i{}Laws} 1 (\\uc0\\u8216{}Victims of Violence\\uc0\\u8217{}); Senate Community Affairs Committee (n 9).","plainCitation":"Attorney-General’s Department, Australia’s Combined Second and Third Periodic Report under the Convention on the Rights of Persons with Disabilities; Response to the List of Issues Prior to Submission of the Combined Second and Third Periodic Reports of Australia (Commonwealth of Australia, 2018); Laura Elliott, ‘Victims of Violence: The Forced Sterilisation of Women and Girls with Disabilities in Australia’ (2017) 6(3) Laws 1 (‘Victims of Violence’); Senate Community Affairs Committee (n 9).","noteIndex":137},"citationItems":[{"id":8701,"uris":["http://zotero.org/users/5279374/items/G3U3HECY"],"uri":["http://zotero.org/users/5279374/items/G3U3HECY"],"itemData":{"id":8701,"type":"report","event-place":"Canberra","publisher":"Commonwealth of Australia","publisher-place":"Canberra","title":"Australia’s Combined Second and Third Periodic Report under the Convention on the Rights of Persons with Disabilities; Response to the List of Issues Prior to Submission of the Combined Second and Third Periodic Reports of Australia","author":[{"literal":"Attorney-General's Department"}],"issued":{"date-parts":[["2018"]]}}},{"id":6600,"uris":["http://zotero.org/groups/2796689/items/RRILFK44"],"uri":["http://zotero.org/groups/2796689/items/RRILFK44"],"itemData":{"id":6600,"type":"article-journal","container-title":"Laws","issue":"3","journalAbbreviation":"Laws","language":"eng","page":"1-19","source":"HeinOnline","title":"Victims of Violence: The Forced Sterilisation of Women and Girls with Disabilities in Australia","title-short":"Victims of Violence","volume":"6","author":[{"family":"Elliott","given":"Laura"}],"issued":{"date-parts":[["2017"]]}}},{"id":6015,"uris":["http://zotero.org/groups/2733877/items/67LC7VM3"],"uri":["http://zotero.org/groups/2733877/items/67LC7VM3"],"itemData":{"id":6015,"type":"report","event-place":"Canberra","publisher":"Parliament of Australia","publisher-place":"Canberra","title":"Involuntary or Coerced Sterilisation of People with Disabilities in Australia","author":[{"family":"Senate Community Affairs Committee","given":""}],"issued":{"date-parts":[["2013",7]]}}}],"schema":"https://github.com/citation-style-language/schema/raw/master/csl-citation.json"} </w:instrText>
      </w:r>
      <w:r>
        <w:fldChar w:fldCharType="separate"/>
      </w:r>
      <w:r w:rsidRPr="00F57902">
        <w:rPr>
          <w:rFonts w:ascii="Calibri" w:hAnsi="Calibri" w:cs="Calibri"/>
          <w:szCs w:val="24"/>
        </w:rPr>
        <w:t xml:space="preserve">Attorney-General’s Department, </w:t>
      </w:r>
      <w:r w:rsidRPr="00F57902">
        <w:rPr>
          <w:rFonts w:ascii="Calibri" w:hAnsi="Calibri" w:cs="Calibri"/>
          <w:i/>
          <w:iCs/>
          <w:szCs w:val="24"/>
        </w:rPr>
        <w:t>Australia’s Combined Second and Third Periodic Report under the Convention on the Rights of Persons with Disabilities; Response to the List of Issues Prior to Submission of the Combined Second and Third Periodic Reports of Australia</w:t>
      </w:r>
      <w:r w:rsidRPr="00F57902">
        <w:rPr>
          <w:rFonts w:ascii="Calibri" w:hAnsi="Calibri" w:cs="Calibri"/>
          <w:szCs w:val="24"/>
        </w:rPr>
        <w:t xml:space="preserve"> (Commonwealth of Australia, 2018); Laura Elliott, ‘Victims of Violence: The Forced Sterilisation of Women and Girls with Disabilities in Australia’ (2017) 6(3) </w:t>
      </w:r>
      <w:r w:rsidRPr="00F57902">
        <w:rPr>
          <w:rFonts w:ascii="Calibri" w:hAnsi="Calibri" w:cs="Calibri"/>
          <w:i/>
          <w:iCs/>
          <w:szCs w:val="24"/>
        </w:rPr>
        <w:t>Laws</w:t>
      </w:r>
      <w:r w:rsidRPr="00F57902">
        <w:rPr>
          <w:rFonts w:ascii="Calibri" w:hAnsi="Calibri" w:cs="Calibri"/>
          <w:szCs w:val="24"/>
        </w:rPr>
        <w:t xml:space="preserve"> 1 (‘Victims of Violence’); Senate Community Affairs Committee (n 9).</w:t>
      </w:r>
      <w:r>
        <w:fldChar w:fldCharType="end"/>
      </w:r>
      <w:r>
        <w:t xml:space="preserve"> </w:t>
      </w:r>
    </w:p>
  </w:endnote>
  <w:endnote w:id="138">
    <w:p w14:paraId="1D088A56" w14:textId="3E150CD1" w:rsidR="00A00236" w:rsidRPr="00866C17" w:rsidRDefault="00A00236">
      <w:pPr>
        <w:pStyle w:val="EndnoteText"/>
        <w:rPr>
          <w:lang w:val="en-AU"/>
        </w:rPr>
      </w:pPr>
      <w:r w:rsidRPr="00866C17">
        <w:rPr>
          <w:rStyle w:val="EndnoteReference"/>
        </w:rPr>
        <w:endnoteRef/>
      </w:r>
      <w:r w:rsidRPr="00866C17">
        <w:t xml:space="preserve"> </w:t>
      </w:r>
      <w:r w:rsidRPr="00866C17">
        <w:fldChar w:fldCharType="begin"/>
      </w:r>
      <w:r>
        <w:instrText xml:space="preserve"> ADDIN ZOTERO_ITEM CSL_CITATION {"citationID":"IXf4e7bY","properties":{"formattedCitation":"Senate Community Affairs Committee (n 9).","plainCitation":"Senate Community Affairs Committee (n 9).","noteIndex":138},"citationItems":[{"id":6015,"uris":["http://zotero.org/groups/2733877/items/67LC7VM3"],"uri":["http://zotero.org/groups/2733877/items/67LC7VM3"],"itemData":{"id":6015,"type":"report","event-place":"Canberra","publisher":"Parliament of Australia","publisher-place":"Canberra","title":"Involuntary or Coerced Sterilisation of People with Disabilities in Australia","author":[{"family":"Senate Community Affairs Committee","given":""}],"issued":{"date-parts":[["2013",7]]}}}],"schema":"https://github.com/citation-style-language/schema/raw/master/csl-citation.json"} </w:instrText>
      </w:r>
      <w:r w:rsidRPr="00866C17">
        <w:fldChar w:fldCharType="separate"/>
      </w:r>
      <w:r w:rsidRPr="00866C17">
        <w:rPr>
          <w:rFonts w:ascii="Calibri" w:hAnsi="Calibri" w:cs="Calibri"/>
        </w:rPr>
        <w:t>Senate Community Affairs Committee (n 9).</w:t>
      </w:r>
      <w:r w:rsidRPr="00866C17">
        <w:fldChar w:fldCharType="end"/>
      </w:r>
    </w:p>
  </w:endnote>
  <w:endnote w:id="139">
    <w:p w14:paraId="2BB56629" w14:textId="50A2EB34" w:rsidR="00A00236" w:rsidRPr="00866C17" w:rsidRDefault="00A00236">
      <w:pPr>
        <w:pStyle w:val="EndnoteText"/>
        <w:rPr>
          <w:lang w:val="en-AU"/>
        </w:rPr>
      </w:pPr>
      <w:r w:rsidRPr="00866C17">
        <w:rPr>
          <w:rStyle w:val="EndnoteReference"/>
        </w:rPr>
        <w:endnoteRef/>
      </w:r>
      <w:r w:rsidRPr="00866C17">
        <w:t xml:space="preserve"> </w:t>
      </w:r>
      <w:r w:rsidRPr="00866C17">
        <w:fldChar w:fldCharType="begin"/>
      </w:r>
      <w:r>
        <w:instrText xml:space="preserve"> ADDIN ZOTERO_ITEM CSL_CITATION {"citationID":"9KHYaeCB","properties":{"formattedCitation":"McCarthy (n 137).","plainCitation":"McCarthy (n 137).","noteIndex":139},"citationItems":[{"id":8572,"uris":["http://zotero.org/users/5279374/items/6GRSJL6U"],"uri":["http://zotero.org/users/5279374/items/6GRSJL6U"],"itemData":{"id":8572,"type":"report","publisher":"Office of the Public Advocate","title":"National Project on Sterilisation Data Collection Practices: Report","author":[{"family":"McCarthy","given":"Tess"}],"issued":{"date-parts":[["2015",11]]}}}],"schema":"https://github.com/citation-style-language/schema/raw/master/csl-citation.json"} </w:instrText>
      </w:r>
      <w:r w:rsidRPr="00866C17">
        <w:fldChar w:fldCharType="separate"/>
      </w:r>
      <w:r w:rsidRPr="00573F56">
        <w:rPr>
          <w:rFonts w:ascii="Calibri" w:hAnsi="Calibri" w:cs="Calibri"/>
        </w:rPr>
        <w:t>McCarthy (n 137).</w:t>
      </w:r>
      <w:r w:rsidRPr="00866C17">
        <w:fldChar w:fldCharType="end"/>
      </w:r>
    </w:p>
  </w:endnote>
  <w:endnote w:id="140">
    <w:p w14:paraId="5EF5BADD" w14:textId="453E6D92" w:rsidR="00A00236" w:rsidRPr="00E704D1" w:rsidRDefault="00A00236">
      <w:pPr>
        <w:pStyle w:val="EndnoteText"/>
        <w:rPr>
          <w:lang w:val="en-AU"/>
        </w:rPr>
      </w:pPr>
      <w:r w:rsidRPr="00866C17">
        <w:rPr>
          <w:rStyle w:val="EndnoteReference"/>
        </w:rPr>
        <w:endnoteRef/>
      </w:r>
      <w:r w:rsidRPr="00866C17">
        <w:t xml:space="preserve"> The word tribunal is used in the report as a standard, general identifier to refer to each state and territory body, which has jurisdiction to decide capacity, guardianship and administration (financial management) matters. This </w:t>
      </w:r>
      <w:r w:rsidRPr="00E704D1">
        <w:t xml:space="preserve">includes all Boards and Tribunals with guardianship jurisdiction across Australia: </w:t>
      </w:r>
      <w:r w:rsidRPr="00E704D1">
        <w:fldChar w:fldCharType="begin"/>
      </w:r>
      <w:r>
        <w:instrText xml:space="preserve"> ADDIN ZOTERO_ITEM CSL_CITATION {"citationID":"a5kJy452","properties":{"formattedCitation":"Ibid.","plainCitation":"Ibid.","noteIndex":140},"citationItems":[{"id":8572,"uris":["http://zotero.org/users/5279374/items/6GRSJL6U"],"uri":["http://zotero.org/users/5279374/items/6GRSJL6U"],"itemData":{"id":8572,"type":"report","publisher":"Office of the Public Advocate","title":"National Project on Sterilisation Data Collection Practices: Report","author":[{"family":"McCarthy","given":"Tess"}],"issued":{"date-parts":[["2015",11]]}}}],"schema":"https://github.com/citation-style-language/schema/raw/master/csl-citation.json"} </w:instrText>
      </w:r>
      <w:r w:rsidRPr="00E704D1">
        <w:fldChar w:fldCharType="separate"/>
      </w:r>
      <w:r w:rsidRPr="00E704D1">
        <w:rPr>
          <w:rFonts w:ascii="Calibri" w:hAnsi="Calibri" w:cs="Calibri"/>
        </w:rPr>
        <w:t>Ibid.</w:t>
      </w:r>
      <w:r w:rsidRPr="00E704D1">
        <w:fldChar w:fldCharType="end"/>
      </w:r>
    </w:p>
  </w:endnote>
  <w:endnote w:id="141">
    <w:p w14:paraId="19569015" w14:textId="7001DC12" w:rsidR="00A00236" w:rsidRPr="00866C17" w:rsidRDefault="00A00236">
      <w:pPr>
        <w:pStyle w:val="EndnoteText"/>
        <w:rPr>
          <w:lang w:val="en-AU"/>
        </w:rPr>
      </w:pPr>
      <w:r w:rsidRPr="00E704D1">
        <w:rPr>
          <w:rStyle w:val="EndnoteReference"/>
        </w:rPr>
        <w:endnoteRef/>
      </w:r>
      <w:r w:rsidRPr="00E704D1">
        <w:t xml:space="preserve"> </w:t>
      </w:r>
      <w:r w:rsidRPr="00E704D1">
        <w:fldChar w:fldCharType="begin"/>
      </w:r>
      <w:r>
        <w:instrText xml:space="preserve"> ADDIN ZOTERO_ITEM CSL_CITATION {"citationID":"r9gXx6IO","properties":{"formattedCitation":"Australian Guardianship and Administration Council, {\\i{}Australian Sterilisation Data Report: Report on Tribunal and Board-Approved Sterilisation of Adults with Cognitive Impairment} (2016) &lt;https://www.agac.org.au/assets/images/agac-sterilisation-data-rep-2016-2017.pdf&gt;; Australian Guardianship and Administration Council, {\\i{}Australian Sterilisation Data Report: Report on Tribunal and Board-Approved Sterilisation of Adults with Cognitive Impairment 1 July 2016 \\uc0\\u8211{}30 June 2017} (2017) &lt;https://www.agac.org.au/assets/images/agac-sterilisation-data-rep-2016-2017.pdf&gt;; Australian Guardianship and Administration Council, {\\i{}Australian Sterilisation Data Report: Report on Tribunal and Board-Approved Sterilisation of Adults with Cognitive Impairment 1 July 2017\\uc0\\u8211{}30 June 2018} (2018) &lt;https://www.agac.org.au/assets/document-archive/AGAC-Sterilisation-Data-Report-2018-2019.pdf&gt;; Australian Guardianship and Administration Council, {\\i{}Australian Sterilisation Data Report: Report on Tribunal and Board-Approved Sterilisation of Adults with Cognitive Impairment 1 July 2018\\uc0\\u8211{}30 June 2019} (2019) &lt;https://www.agac.org.au/assets/document-archive/AGAC-Sterilisation-Data-Report-2018-2019.pdf&gt;; Australian Guardianship and Administration Council, {\\i{}Australian Sterilisation Data Report: Report on Tribunal and Board-Approved Medical Procedures That Resulted in the Sterilisation of Adults with Cognitive Impairment 1 July 2019 \\uc0\\u8211{} 30 June 2020} (2020) &lt;https://www.agac.org.au/publications&gt;.","plainCitation":"Australian Guardianship and Administration Council, Australian Sterilisation Data Report: Report on Tribunal and Board-Approved Sterilisation of Adults with Cognitive Impairment (2016) &lt;https://www.agac.org.au/assets/images/agac-sterilisation-data-rep-2016-2017.pdf&gt;; Australian Guardianship and Administration Council, Australian Sterilisation Data Report: Report on Tribunal and Board-Approved Sterilisation of Adults with Cognitive Impairment 1 July 2016 –30 June 2017 (2017) &lt;https://www.agac.org.au/assets/images/agac-sterilisation-data-rep-2016-2017.pdf&gt;; Australian Guardianship and Administration Council, Australian Sterilisation Data Report: Report on Tribunal and Board-Approved Sterilisation of Adults with Cognitive Impairment 1 July 2017–30 June 2018 (2018) &lt;https://www.agac.org.au/assets/document-archive/AGAC-Sterilisation-Data-Report-2018-2019.pdf&gt;; Australian Guardianship and Administration Council, Australian Sterilisation Data Report: Report on Tribunal and Board-Approved Sterilisation of Adults with Cognitive Impairment 1 July 2018–30 June 2019 (2019) &lt;https://www.agac.org.au/assets/document-archive/AGAC-Sterilisation-Data-Report-2018-2019.pdf&gt;; Australian Guardianship and Administration Council, Australian Sterilisation Data Report: Report on Tribunal and Board-Approved Medical Procedures That Resulted in the Sterilisation of Adults with Cognitive Impairment 1 July 2019 – 30 June 2020 (2020) &lt;https://www.agac.org.au/publications&gt;.","noteIndex":141},"citationItems":[{"id":8579,"uris":["http://zotero.org/users/5279374/items/FEB52XLD"],"uri":["http://zotero.org/users/5279374/items/FEB52XLD"],"itemData":{"id":8579,"type":"report","title":"Australian Sterilisation Data Report: Report on Tribunal and Board-Approved Sterilisation of Adults with Cognitive Impairment","URL":"https://www.agac.org.au/assets/images/agac-sterilisation-data-rep-2016-2017.pdf","author":[{"family":"Australian Guardianship and Administration Council","given":""}],"issued":{"date-parts":[["2016"]]}}},{"id":8578,"uris":["http://zotero.org/users/5279374/items/DSUDYTNL"],"uri":["http://zotero.org/users/5279374/items/DSUDYTNL"],"itemData":{"id":8578,"type":"report","title":"Australian Sterilisation Data Report: Report on Tribunal and Board-Approved Sterilisation of Adults with Cognitive Impairment 1 July 2016 –30 June 2017","URL":"https://www.agac.org.au/assets/images/agac-sterilisation-data-rep-2016-2017.pdf","author":[{"family":"Australian Guardianship and Administration Council","given":""}],"issued":{"date-parts":[["2017"]]}}},{"id":8577,"uris":["http://zotero.org/users/5279374/items/IJA73GTI"],"uri":["http://zotero.org/users/5279374/items/IJA73GTI"],"itemData":{"id":8577,"type":"report","title":"Australian Sterilisation Data Report: Report on Tribunal and Board-Approved Sterilisation of Adults with Cognitive Impairment 1 July 2017–30 June 2018","URL":"https://www.agac.org.au/assets/document-archive/AGAC-Sterilisation-Data-Report-2018-2019.pdf","author":[{"family":"Australian Guardianship and Administration Council","given":""}],"issued":{"date-parts":[["2018"]]}}},{"id":8576,"uris":["http://zotero.org/users/5279374/items/SC3KW69Q"],"uri":["http://zotero.org/users/5279374/items/SC3KW69Q"],"itemData":{"id":8576,"type":"report","title":"Australian Sterilisation Data Report: Report on Tribunal and Board-Approved Sterilisation of Adults with Cognitive Impairment 1 July 2018–30 June 2019","URL":"https://www.agac.org.au/assets/document-archive/AGAC-Sterilisation-Data-Report-2018-2019.pdf","author":[{"family":"Australian Guardianship and Administration Council","given":""}],"issued":{"date-parts":[["2019"]]}}},{"id":8574,"uris":["http://zotero.org/users/5279374/items/SNL7NUSX"],"uri":["http://zotero.org/users/5279374/items/SNL7NUSX"],"itemData":{"id":8574,"type":"report","title":"Australian Sterilisation Data Report: Report on Tribunal and Board-Approved Medical Procedures that Resulted in the Sterilisation of Adults with Cognitive Impairment 1 July 2019 – 30 June 2020","URL":"https://www.agac.org.au/publications","author":[{"family":"Australian Guardianship and Administration Council","given":""}],"issued":{"date-parts":[["2020"]]}}}],"schema":"https://github.com/citation-style-language/schema/raw/master/csl-citation.json"} </w:instrText>
      </w:r>
      <w:r w:rsidRPr="00E704D1">
        <w:fldChar w:fldCharType="separate"/>
      </w:r>
      <w:r w:rsidRPr="00E704D1">
        <w:rPr>
          <w:rFonts w:ascii="Calibri" w:hAnsi="Calibri" w:cs="Calibri"/>
          <w:szCs w:val="24"/>
        </w:rPr>
        <w:t xml:space="preserve">Australian Guardianship and Administration Council, </w:t>
      </w:r>
      <w:r w:rsidRPr="00E704D1">
        <w:rPr>
          <w:rFonts w:ascii="Calibri" w:hAnsi="Calibri" w:cs="Calibri"/>
          <w:i/>
          <w:iCs/>
          <w:szCs w:val="24"/>
        </w:rPr>
        <w:t>Australian Sterilisation Data Report: Report on Tribunal and Board-Approved Sterilisation of Adults with Cognitive Impairment</w:t>
      </w:r>
      <w:r w:rsidRPr="00E704D1">
        <w:rPr>
          <w:rFonts w:ascii="Calibri" w:hAnsi="Calibri" w:cs="Calibri"/>
          <w:szCs w:val="24"/>
        </w:rPr>
        <w:t xml:space="preserve"> (2016) &lt;https://www.agac.org.au/assets/images/agac-sterilisation-data-rep-2016-2017.pdf&gt;; Australian Guardianship and Administration Council, </w:t>
      </w:r>
      <w:r w:rsidRPr="00E704D1">
        <w:rPr>
          <w:rFonts w:ascii="Calibri" w:hAnsi="Calibri" w:cs="Calibri"/>
          <w:i/>
          <w:iCs/>
          <w:szCs w:val="24"/>
        </w:rPr>
        <w:t>Australian Sterilisation Data Report: Report on Tribunal and Board-Approved Sterilisation of Adults with Cognitive Impairment 1 July 2016 –30 June 2017</w:t>
      </w:r>
      <w:r w:rsidRPr="00E704D1">
        <w:rPr>
          <w:rFonts w:ascii="Calibri" w:hAnsi="Calibri" w:cs="Calibri"/>
          <w:szCs w:val="24"/>
        </w:rPr>
        <w:t xml:space="preserve"> (2017) &lt;https://www.agac.org.au/assets/images/agac-sterilisation-data-rep-2016-2017.pdf&gt;; Australian Guardianship and Administration Council, </w:t>
      </w:r>
      <w:r w:rsidRPr="00E704D1">
        <w:rPr>
          <w:rFonts w:ascii="Calibri" w:hAnsi="Calibri" w:cs="Calibri"/>
          <w:i/>
          <w:iCs/>
          <w:szCs w:val="24"/>
        </w:rPr>
        <w:t>Australian Sterilisation Data Report: Report on Tribunal and Board-Approved Sterilisation of Adults with Cognitive Impairment 1 July 2017–30 June 2018</w:t>
      </w:r>
      <w:r w:rsidRPr="00E704D1">
        <w:rPr>
          <w:rFonts w:ascii="Calibri" w:hAnsi="Calibri" w:cs="Calibri"/>
          <w:szCs w:val="24"/>
        </w:rPr>
        <w:t xml:space="preserve"> (2018) &lt;https://www.agac.org.au/assets/document-archive/AGAC-Sterilisation-Data-Report-2018-2019.pdf&gt;; Australian Guardianship and Administration Council, </w:t>
      </w:r>
      <w:r w:rsidRPr="00E704D1">
        <w:rPr>
          <w:rFonts w:ascii="Calibri" w:hAnsi="Calibri" w:cs="Calibri"/>
          <w:i/>
          <w:iCs/>
          <w:szCs w:val="24"/>
        </w:rPr>
        <w:t>Australian Sterilisation Data Report: Report on Tribunal and Board-Approved Sterilisation of Adults with Cognitive Impairment 1 July 2018–30 June 2019</w:t>
      </w:r>
      <w:r w:rsidRPr="00E704D1">
        <w:rPr>
          <w:rFonts w:ascii="Calibri" w:hAnsi="Calibri" w:cs="Calibri"/>
          <w:szCs w:val="24"/>
        </w:rPr>
        <w:t xml:space="preserve"> (2019) &lt;https://www.agac.org.au/assets/document-archive/AGAC-Sterilisation-Data-Report-2018-2019.pdf&gt;; Australian Guardianship and Administration Council, </w:t>
      </w:r>
      <w:r w:rsidRPr="00E704D1">
        <w:rPr>
          <w:rFonts w:ascii="Calibri" w:hAnsi="Calibri" w:cs="Calibri"/>
          <w:i/>
          <w:iCs/>
          <w:szCs w:val="24"/>
        </w:rPr>
        <w:t>Australian Sterilisation Data Report: Report on Tribunal and Board-Approved Medical Procedures That Resulted in the Sterilisation of Adults with Cognitive Impairment 1 July 2019 – 30 June 2020</w:t>
      </w:r>
      <w:r w:rsidRPr="00E704D1">
        <w:rPr>
          <w:rFonts w:ascii="Calibri" w:hAnsi="Calibri" w:cs="Calibri"/>
          <w:szCs w:val="24"/>
        </w:rPr>
        <w:t xml:space="preserve"> (2020) &lt;https://www.agac.org.au/publications&gt;.</w:t>
      </w:r>
      <w:r w:rsidRPr="00E704D1">
        <w:fldChar w:fldCharType="end"/>
      </w:r>
    </w:p>
  </w:endnote>
  <w:endnote w:id="142">
    <w:p w14:paraId="0E278AB6" w14:textId="10514C91" w:rsidR="00A00236" w:rsidRPr="00866C17" w:rsidRDefault="00A00236">
      <w:pPr>
        <w:pStyle w:val="EndnoteText"/>
        <w:rPr>
          <w:lang w:val="en-AU"/>
        </w:rPr>
      </w:pPr>
      <w:r w:rsidRPr="00866C17">
        <w:rPr>
          <w:rStyle w:val="EndnoteReference"/>
        </w:rPr>
        <w:endnoteRef/>
      </w:r>
      <w:r w:rsidRPr="00866C17">
        <w:t xml:space="preserve"> </w:t>
      </w:r>
      <w:r w:rsidRPr="00866C17">
        <w:fldChar w:fldCharType="begin"/>
      </w:r>
      <w:r>
        <w:instrText xml:space="preserve"> ADDIN ZOTERO_ITEM CSL_CITATION {"citationID":"5uKwZ6Hc","properties":{"formattedCitation":"McCarthy (n 137).","plainCitation":"McCarthy (n 137).","noteIndex":142},"citationItems":[{"id":8572,"uris":["http://zotero.org/users/5279374/items/6GRSJL6U"],"uri":["http://zotero.org/users/5279374/items/6GRSJL6U"],"itemData":{"id":8572,"type":"report","publisher":"Office of the Public Advocate","title":"National Project on Sterilisation Data Collection Practices: Report","author":[{"family":"McCarthy","given":"Tess"}],"issued":{"date-parts":[["2015",11]]}}}],"schema":"https://github.com/citation-style-language/schema/raw/master/csl-citation.json"} </w:instrText>
      </w:r>
      <w:r w:rsidRPr="00866C17">
        <w:fldChar w:fldCharType="separate"/>
      </w:r>
      <w:r w:rsidRPr="00573F56">
        <w:rPr>
          <w:rFonts w:ascii="Calibri" w:hAnsi="Calibri" w:cs="Calibri"/>
        </w:rPr>
        <w:t>McCarthy (n 137).</w:t>
      </w:r>
      <w:r w:rsidRPr="00866C17">
        <w:fldChar w:fldCharType="end"/>
      </w:r>
    </w:p>
  </w:endnote>
  <w:endnote w:id="143">
    <w:p w14:paraId="41DF3A0B" w14:textId="50DDD48E" w:rsidR="00A00236" w:rsidRPr="00866C17" w:rsidRDefault="00A00236" w:rsidP="005C6E05">
      <w:pPr>
        <w:pStyle w:val="EndnoteText"/>
        <w:rPr>
          <w:lang w:val="en-AU"/>
        </w:rPr>
      </w:pPr>
      <w:r w:rsidRPr="00866C17">
        <w:rPr>
          <w:rStyle w:val="EndnoteReference"/>
        </w:rPr>
        <w:endnoteRef/>
      </w:r>
      <w:r w:rsidRPr="00866C17">
        <w:rPr>
          <w:lang w:val="en-AU"/>
        </w:rPr>
        <w:t xml:space="preserve"> </w:t>
      </w:r>
      <w:r w:rsidRPr="00866C17">
        <w:rPr>
          <w:lang w:val="en-AU"/>
        </w:rPr>
        <w:fldChar w:fldCharType="begin"/>
      </w:r>
      <w:r>
        <w:rPr>
          <w:lang w:val="en-AU"/>
        </w:rPr>
        <w:instrText xml:space="preserve"> ADDIN ZOTERO_ITEM CSL_CITATION {"citationID":"1qhkPOPY","properties":{"formattedCitation":"Ibid.","plainCitation":"Ibid.","noteIndex":143},"citationItems":[{"id":8572,"uris":["http://zotero.org/users/5279374/items/6GRSJL6U"],"uri":["http://zotero.org/users/5279374/items/6GRSJL6U"],"itemData":{"id":8572,"type":"report","publisher":"Office of the Public Advocate","title":"National Project on Sterilisation Data Collection Practices: Report","author":[{"family":"McCarthy","given":"Tess"}],"issued":{"date-parts":[["2015",11]]}}}],"schema":"https://github.com/citation-style-language/schema/raw/master/csl-citation.json"} </w:instrText>
      </w:r>
      <w:r w:rsidRPr="00866C17">
        <w:rPr>
          <w:lang w:val="en-AU"/>
        </w:rPr>
        <w:fldChar w:fldCharType="separate"/>
      </w:r>
      <w:r w:rsidRPr="00866C17">
        <w:rPr>
          <w:rFonts w:ascii="Calibri" w:hAnsi="Calibri" w:cs="Calibri"/>
        </w:rPr>
        <w:t>Ibid.</w:t>
      </w:r>
      <w:r w:rsidRPr="00866C17">
        <w:rPr>
          <w:lang w:val="en-AU"/>
        </w:rPr>
        <w:fldChar w:fldCharType="end"/>
      </w:r>
    </w:p>
  </w:endnote>
  <w:endnote w:id="144">
    <w:p w14:paraId="79E8C2D2" w14:textId="201EC4E4" w:rsidR="00A00236" w:rsidRPr="00866C17" w:rsidRDefault="00A00236">
      <w:pPr>
        <w:pStyle w:val="EndnoteText"/>
        <w:rPr>
          <w:lang w:val="en-AU"/>
        </w:rPr>
      </w:pPr>
      <w:r w:rsidRPr="00866C17">
        <w:rPr>
          <w:rStyle w:val="EndnoteReference"/>
        </w:rPr>
        <w:endnoteRef/>
      </w:r>
      <w:r w:rsidRPr="00866C17">
        <w:t xml:space="preserve"> </w:t>
      </w:r>
      <w:r w:rsidRPr="00866C17">
        <w:fldChar w:fldCharType="begin"/>
      </w:r>
      <w:r>
        <w:instrText xml:space="preserve"> ADDIN ZOTERO_ITEM CSL_CITATION {"citationID":"4TkJ7t3r","properties":{"formattedCitation":"Australian Lawyers for Human Rights, {\\i{}Australian Women and Girls with Disabilities Still Face Forced Sterilisation and Abortions} (28 July 2018) &lt;https://alhr.org.au/australian-women-girls-disabilities-still-face-forced-sterilisation-abortions/&gt;.","plainCitation":"Australian Lawyers for Human Rights, Australian Women and Girls with Disabilities Still Face Forced Sterilisation and Abortions (28 July 2018) &lt;https://alhr.org.au/australian-women-girls-disabilities-still-face-forced-sterilisation-abortions/&gt;.","noteIndex":144},"citationItems":[{"id":8702,"uris":["http://zotero.org/users/5279374/items/I4GQ7Z8P"],"uri":["http://zotero.org/users/5279374/items/I4GQ7Z8P"],"itemData":{"id":8702,"type":"report","title":"Australian Women and Girls with Disabilities Still Face Forced Sterilisation and Abortions","URL":"https://alhr.org.au/australian-women-girls-disabilities-still-face-forced-sterilisation-abortions/","author":[{"literal":"Australian Lawyers for Human Rights"}],"issued":{"date-parts":[["2018",7,28]]}}}],"schema":"https://github.com/citation-style-language/schema/raw/master/csl-citation.json"} </w:instrText>
      </w:r>
      <w:r w:rsidRPr="00866C17">
        <w:fldChar w:fldCharType="separate"/>
      </w:r>
      <w:r w:rsidRPr="00866C17">
        <w:rPr>
          <w:rFonts w:ascii="Calibri" w:hAnsi="Calibri" w:cs="Calibri"/>
          <w:szCs w:val="24"/>
        </w:rPr>
        <w:t xml:space="preserve">Australian Lawyers for Human Rights, </w:t>
      </w:r>
      <w:r w:rsidRPr="00866C17">
        <w:rPr>
          <w:rFonts w:ascii="Calibri" w:hAnsi="Calibri" w:cs="Calibri"/>
          <w:i/>
          <w:iCs/>
          <w:szCs w:val="24"/>
        </w:rPr>
        <w:t>Australian Women and Girls with Disabilities Still Face Forced Sterilisation and Abortions</w:t>
      </w:r>
      <w:r w:rsidRPr="00866C17">
        <w:rPr>
          <w:rFonts w:ascii="Calibri" w:hAnsi="Calibri" w:cs="Calibri"/>
          <w:szCs w:val="24"/>
        </w:rPr>
        <w:t xml:space="preserve"> (28 July 2018) &lt;https://alhr.org.au/australian-women-girls-disabilities-still-face-forced-sterilisation-abortions/&gt;.</w:t>
      </w:r>
      <w:r w:rsidRPr="00866C17">
        <w:fldChar w:fldCharType="end"/>
      </w:r>
      <w:r w:rsidRPr="00866C17">
        <w:t xml:space="preserve"> </w:t>
      </w:r>
    </w:p>
  </w:endnote>
  <w:endnote w:id="145">
    <w:p w14:paraId="5FB5B436" w14:textId="07307130" w:rsidR="00A00236" w:rsidRPr="00866C17" w:rsidRDefault="00A00236" w:rsidP="00754EBE">
      <w:pPr>
        <w:pStyle w:val="EndnoteText"/>
        <w:rPr>
          <w:lang w:val="en-AU"/>
        </w:rPr>
      </w:pPr>
      <w:r w:rsidRPr="00866C17">
        <w:rPr>
          <w:rStyle w:val="EndnoteReference"/>
        </w:rPr>
        <w:endnoteRef/>
      </w:r>
      <w:r w:rsidRPr="00866C17">
        <w:t xml:space="preserve"> </w:t>
      </w:r>
      <w:r w:rsidRPr="00866C17">
        <w:rPr>
          <w:lang w:val="en-AU"/>
        </w:rPr>
        <w:t xml:space="preserve">See: </w:t>
      </w:r>
      <w:r w:rsidRPr="00866C17">
        <w:rPr>
          <w:lang w:val="en-AU"/>
        </w:rPr>
        <w:fldChar w:fldCharType="begin"/>
      </w:r>
      <w:r>
        <w:rPr>
          <w:lang w:val="en-AU"/>
        </w:rPr>
        <w:instrText xml:space="preserve"> ADDIN ZOTERO_ITEM CSL_CITATION {"citationID":"SNMocuCK","properties":{"formattedCitation":"Senate Community Affairs Committee (n 9).","plainCitation":"Senate Community Affairs Committee (n 9).","noteIndex":145},"citationItems":[{"id":6015,"uris":["http://zotero.org/groups/2733877/items/67LC7VM3"],"uri":["http://zotero.org/groups/2733877/items/67LC7VM3"],"itemData":{"id":6015,"type":"report","event-place":"Canberra","publisher":"Parliament of Australia","publisher-place":"Canberra","title":"Involuntary or Coerced Sterilisation of People with Disabilities in Australia","author":[{"family":"Senate Community Affairs Committee","given":""}],"issued":{"date-parts":[["2013",7]]}}}],"schema":"https://github.com/citation-style-language/schema/raw/master/csl-citation.json"} </w:instrText>
      </w:r>
      <w:r w:rsidRPr="00866C17">
        <w:rPr>
          <w:lang w:val="en-AU"/>
        </w:rPr>
        <w:fldChar w:fldCharType="separate"/>
      </w:r>
      <w:r w:rsidRPr="00866C17">
        <w:rPr>
          <w:rFonts w:ascii="Calibri" w:hAnsi="Calibri" w:cs="Calibri"/>
        </w:rPr>
        <w:t>Senate Community Affairs Committee (n 9).</w:t>
      </w:r>
      <w:r w:rsidRPr="00866C17">
        <w:rPr>
          <w:lang w:val="en-AU"/>
        </w:rPr>
        <w:fldChar w:fldCharType="end"/>
      </w:r>
      <w:r w:rsidRPr="00866C17">
        <w:rPr>
          <w:lang w:val="en-AU"/>
        </w:rPr>
        <w:t xml:space="preserve"> </w:t>
      </w:r>
    </w:p>
  </w:endnote>
  <w:endnote w:id="146">
    <w:p w14:paraId="34332995" w14:textId="0DE00F0F" w:rsidR="00A00236" w:rsidRPr="007529C5" w:rsidRDefault="00A00236">
      <w:pPr>
        <w:pStyle w:val="EndnoteText"/>
        <w:rPr>
          <w:lang w:val="en-AU"/>
        </w:rPr>
      </w:pPr>
      <w:r w:rsidRPr="00866C17">
        <w:rPr>
          <w:rStyle w:val="EndnoteReference"/>
        </w:rPr>
        <w:endnoteRef/>
      </w:r>
      <w:r w:rsidRPr="00866C17">
        <w:t xml:space="preserve"> </w:t>
      </w:r>
      <w:r w:rsidRPr="007529C5">
        <w:fldChar w:fldCharType="begin"/>
      </w:r>
      <w:r>
        <w:instrText xml:space="preserve"> ADDIN ZOTERO_ITEM CSL_CITATION {"citationID":"qr53bSaQ","properties":{"formattedCitation":"Women With Disabilities Australia, {\\i{}WWDA Position Statement 4: Sexual and Reproductive Rights} (Women With Disabilities Australia, September 2016) 8 &lt;https://wwda.org.au/wp-content/uploads/2016/10/Position_Statement_4_-_Sexual_and_Reproductive_Rights_FINAL_WEB.pdf&gt;.","plainCitation":"Women With Disabilities Australia, WWDA Position Statement 4: Sexual and Reproductive Rights (Women With Disabilities Australia, September 2016) 8 &lt;https://wwda.org.au/wp-content/uploads/2016/10/Position_Statement_4_-_Sexual_and_Reproductive_Rights_FINAL_WEB.pdf&gt;.","noteIndex":146},"citationItems":[{"id":6143,"uris":["http://zotero.org/groups/2733877/items/6V522IRC"],"uri":["http://zotero.org/groups/2733877/items/6V522IRC"],"itemData":{"id":6143,"type":"report","event-place":"Hobart, Tasmania","publisher":"Women With Disabilities Australia","publisher-place":"Hobart, Tasmania","title":"WWDA Position Statement 4: Sexual and Reproductive Rights","URL":"https://wwda.org.au/wp-content/uploads/2016/10/Position_Statement_4_-_Sexual_and_Reproductive_Rights_FINAL_WEB.pdf","author":[{"family":"Women With Disabilities Australia","given":""}],"issued":{"date-parts":[["2016",9]]}},"locator":"8"}],"schema":"https://github.com/citation-style-language/schema/raw/master/csl-citation.json"} </w:instrText>
      </w:r>
      <w:r w:rsidRPr="007529C5">
        <w:fldChar w:fldCharType="separate"/>
      </w:r>
      <w:r w:rsidRPr="007529C5">
        <w:rPr>
          <w:rFonts w:ascii="Calibri" w:hAnsi="Calibri" w:cs="Calibri"/>
        </w:rPr>
        <w:t xml:space="preserve">Women With Disabilities Australia, </w:t>
      </w:r>
      <w:r w:rsidRPr="007529C5">
        <w:rPr>
          <w:rFonts w:ascii="Calibri" w:hAnsi="Calibri" w:cs="Calibri"/>
          <w:i/>
          <w:iCs/>
        </w:rPr>
        <w:t>WWDA Position Statement 4: Sexual and Reproductive Rights</w:t>
      </w:r>
      <w:r w:rsidRPr="007529C5">
        <w:rPr>
          <w:rFonts w:ascii="Calibri" w:hAnsi="Calibri" w:cs="Calibri"/>
        </w:rPr>
        <w:t xml:space="preserve"> (Women With Disabilities Australia, September 2016) 8 &lt;https://wwda.org.au/wp-content/uploads/2016/10/Position_Statement_4_-_Sexual_and_Reproductive_Rights_FINAL_WEB.pdf&gt;.</w:t>
      </w:r>
      <w:r w:rsidRPr="007529C5">
        <w:fldChar w:fldCharType="end"/>
      </w:r>
    </w:p>
  </w:endnote>
  <w:endnote w:id="147">
    <w:p w14:paraId="3075CC53" w14:textId="6405E480" w:rsidR="00A00236" w:rsidRPr="007529C5" w:rsidRDefault="00A00236" w:rsidP="00CC6C73">
      <w:pPr>
        <w:pStyle w:val="EndnoteText"/>
      </w:pPr>
      <w:r w:rsidRPr="007529C5">
        <w:rPr>
          <w:rStyle w:val="EndnoteReference"/>
        </w:rPr>
        <w:endnoteRef/>
      </w:r>
      <w:r w:rsidRPr="007529C5">
        <w:t xml:space="preserve"> </w:t>
      </w:r>
      <w:r w:rsidRPr="007529C5">
        <w:fldChar w:fldCharType="begin"/>
      </w:r>
      <w:r>
        <w:instrText xml:space="preserve"> ADDIN ZOTERO_ITEM CSL_CITATION {"citationID":"Haqoe2L7","properties":{"formattedCitation":"Queensland Advocacy Incorporated, {\\i{}Sterilisation of People with Disability: Background Paper} (November 2004).","plainCitation":"Queensland Advocacy Incorporated, Sterilisation of People with Disability: Background Paper (November 2004).","noteIndex":147},"citationItems":[{"id":8703,"uris":["http://zotero.org/users/5279374/items/BC5IMG8W"],"uri":["http://zotero.org/users/5279374/items/BC5IMG8W"],"itemData":{"id":8703,"type":"report","title":"Sterilisation of People with Disability: Background Paper","author":[{"family":"Queensland Advocacy Incorporated","given":""}],"issued":{"date-parts":[["2004",11]]}}}],"schema":"https://github.com/citation-style-language/schema/raw/master/csl-citation.json"} </w:instrText>
      </w:r>
      <w:r w:rsidRPr="007529C5">
        <w:fldChar w:fldCharType="separate"/>
      </w:r>
      <w:r w:rsidRPr="007529C5">
        <w:rPr>
          <w:rFonts w:ascii="Calibri" w:hAnsi="Calibri" w:cs="Calibri"/>
        </w:rPr>
        <w:t xml:space="preserve">Queensland Advocacy Incorporated, </w:t>
      </w:r>
      <w:r w:rsidRPr="007529C5">
        <w:rPr>
          <w:rFonts w:ascii="Calibri" w:hAnsi="Calibri" w:cs="Calibri"/>
          <w:i/>
          <w:iCs/>
        </w:rPr>
        <w:t>Sterilisation of People with Disability: Background Paper</w:t>
      </w:r>
      <w:r w:rsidRPr="007529C5">
        <w:rPr>
          <w:rFonts w:ascii="Calibri" w:hAnsi="Calibri" w:cs="Calibri"/>
        </w:rPr>
        <w:t xml:space="preserve"> (November 2004).</w:t>
      </w:r>
      <w:r w:rsidRPr="007529C5">
        <w:fldChar w:fldCharType="end"/>
      </w:r>
      <w:r w:rsidRPr="007529C5">
        <w:t xml:space="preserve"> See also </w:t>
      </w:r>
      <w:r w:rsidRPr="007529C5">
        <w:fldChar w:fldCharType="begin"/>
      </w:r>
      <w:r>
        <w:instrText xml:space="preserve"> ADDIN ZOTERO_ITEM CSL_CITATION {"citationID":"HLINVUk6","properties":{"formattedCitation":"Susan M Brady and Sonia Grover, {\\i{}The Sterilisation of Girls and Young Women in Australia: A Legal, Medical and Social Context. A Report Commissioned by the Federal Disability Discrimination Commissioner for the Human Rights and Equal Opportunity Commission} (December 1997).","plainCitation":"Susan M Brady and Sonia Grover, The Sterilisation of Girls and Young Women in Australia: A Legal, Medical and Social Context. A Report Commissioned by the Federal Disability Discrimination Commissioner for the Human Rights and Equal Opportunity Commission (December 1997).","noteIndex":147},"citationItems":[{"id":8704,"uris":["http://zotero.org/users/5279374/items/2ULM8S4P"],"uri":["http://zotero.org/users/5279374/items/2ULM8S4P"],"itemData":{"id":8704,"type":"report","title":"The Sterilisation of Girls and Young Women in Australia: A Legal, Medical and Social Context. A report commissioned by the Federal Disability Discrimination Commissioner for the Human Rights and Equal Opportunity Commission","author":[{"family":"Brady","given":"Susan M"},{"family":"Grover","given":"Sonia"}],"issued":{"date-parts":[["1997",12]]}}}],"schema":"https://github.com/citation-style-language/schema/raw/master/csl-citation.json"} </w:instrText>
      </w:r>
      <w:r w:rsidRPr="007529C5">
        <w:fldChar w:fldCharType="separate"/>
      </w:r>
      <w:r w:rsidRPr="007529C5">
        <w:rPr>
          <w:rFonts w:ascii="Calibri" w:hAnsi="Calibri" w:cs="Calibri"/>
        </w:rPr>
        <w:t xml:space="preserve">Susan M Brady and Sonia Grover, </w:t>
      </w:r>
      <w:r w:rsidRPr="007529C5">
        <w:rPr>
          <w:rFonts w:ascii="Calibri" w:hAnsi="Calibri" w:cs="Calibri"/>
          <w:i/>
          <w:iCs/>
        </w:rPr>
        <w:t>The Sterilisation of Girls and Young Women in Australia: A Legal, Medical and Social Context. A Report Commissioned by the Federal Disability Discrimination Commissioner for the Human Rights and Equal Opportunity Commission</w:t>
      </w:r>
      <w:r w:rsidRPr="007529C5">
        <w:rPr>
          <w:rFonts w:ascii="Calibri" w:hAnsi="Calibri" w:cs="Calibri"/>
        </w:rPr>
        <w:t xml:space="preserve"> (December 1997).</w:t>
      </w:r>
      <w:r w:rsidRPr="007529C5">
        <w:fldChar w:fldCharType="end"/>
      </w:r>
    </w:p>
  </w:endnote>
  <w:endnote w:id="148">
    <w:p w14:paraId="0A20DBC4" w14:textId="7CB24894" w:rsidR="00A00236" w:rsidRPr="007529C5" w:rsidRDefault="00A00236" w:rsidP="00723AE2">
      <w:pPr>
        <w:pStyle w:val="EndnoteText"/>
        <w:rPr>
          <w:rFonts w:cs="Arial"/>
        </w:rPr>
      </w:pPr>
      <w:r w:rsidRPr="007529C5">
        <w:rPr>
          <w:rStyle w:val="EndnoteReference"/>
          <w:rFonts w:cs="Arial"/>
        </w:rPr>
        <w:endnoteRef/>
      </w:r>
      <w:r w:rsidRPr="007529C5">
        <w:rPr>
          <w:rFonts w:cs="Arial"/>
        </w:rPr>
        <w:t xml:space="preserve"> </w:t>
      </w:r>
      <w:r w:rsidRPr="007529C5">
        <w:rPr>
          <w:rFonts w:cs="Arial"/>
        </w:rPr>
        <w:fldChar w:fldCharType="begin"/>
      </w:r>
      <w:r>
        <w:rPr>
          <w:rFonts w:cs="Arial"/>
        </w:rPr>
        <w:instrText xml:space="preserve"> ADDIN ZOTERO_ITEM CSL_CITATION {"citationID":"LWG2X7d9","properties":{"formattedCitation":"Victorian Senior Practitioner, {\\i{}Use of Menstrual Suppression: Report by the Victorian Senior Practitioner} (Victoria Department of Health and Human Services, February 2020); Committee on the Rights of Persons with Disabilities and Committee on the Elimination of All Forms of Discrimination against Women, {\\i{}Guaranteeing Sexual and Reproductive Health and Rights for All Women, in Particular Women with Disabilities: Joint Statement by the Committee on the Rights of Persons with Disabilities and the Committee on the Elimination of All Forms of Discrimination against Women} (29 August 2018).","plainCitation":"Victorian Senior Practitioner, Use of Menstrual Suppression: Report by the Victorian Senior Practitioner (Victoria Department of Health and Human Services, February 2020); Committee on the Rights of Persons with Disabilities and Committee on the Elimination of All Forms of Discrimination against Women, Guaranteeing Sexual and Reproductive Health and Rights for All Women, in Particular Women with Disabilities: Joint Statement by the Committee on the Rights of Persons with Disabilities and the Committee on the Elimination of All Forms of Discrimination against Women (29 August 2018).","noteIndex":148},"citationItems":[{"id":8422,"uris":["http://zotero.org/groups/2822045/items/4MBTWVCH"],"uri":["http://zotero.org/groups/2822045/items/4MBTWVCH"],"itemData":{"id":8422,"type":"report","event-place":"Melbourne, VIC","language":"en","publisher":"Victoria Department of Health and Human Services","publisher-place":"Melbourne, VIC","source":"Zotero","title":"Use of menstrual suppression: Report by the Victorian Senior Practitioner","author":[{"literal":"Victorian Senior Practitioner"}],"issued":{"date-parts":[["2020",2]]}}},{"id":8699,"uris":["http://zotero.org/users/5279374/items/ZULW63R9"],"uri":["http://zotero.org/users/5279374/items/ZULW63R9"],"itemData":{"id":8699,"type":"report","title":"Guaranteeing Sexual and Reproductive Health and Rights for all Women, in Particular Women with Disabilities: Joint Statement by the Committee on the Rights of Persons with Disabilities and the Committee on the Elimination of All Forms of Discrimination against Women","author":[{"literal":"Committee on the Rights of Persons with Disabilities"},{"family":"Committee on the Elimination of All Forms of Discrimination against Women","given":""}],"issued":{"date-parts":[["2018",8,29]]}}}],"schema":"https://github.com/citation-style-language/schema/raw/master/csl-citation.json"} </w:instrText>
      </w:r>
      <w:r w:rsidRPr="007529C5">
        <w:rPr>
          <w:rFonts w:cs="Arial"/>
        </w:rPr>
        <w:fldChar w:fldCharType="separate"/>
      </w:r>
      <w:r w:rsidRPr="007529C5">
        <w:rPr>
          <w:rFonts w:ascii="Calibri" w:hAnsi="Calibri" w:cs="Calibri"/>
        </w:rPr>
        <w:t xml:space="preserve">Victorian Senior Practitioner, </w:t>
      </w:r>
      <w:r w:rsidRPr="007529C5">
        <w:rPr>
          <w:rFonts w:ascii="Calibri" w:hAnsi="Calibri" w:cs="Calibri"/>
          <w:i/>
          <w:iCs/>
        </w:rPr>
        <w:t>Use of Menstrual Suppression: Report by the Victorian Senior Practitioner</w:t>
      </w:r>
      <w:r w:rsidRPr="007529C5">
        <w:rPr>
          <w:rFonts w:ascii="Calibri" w:hAnsi="Calibri" w:cs="Calibri"/>
        </w:rPr>
        <w:t xml:space="preserve"> (Victoria Department of Health and Human Services, February 2020); Committee on the Rights of Persons with Disabilities and Committee on the Elimination of All Forms of Discrimination against Women, </w:t>
      </w:r>
      <w:r w:rsidRPr="007529C5">
        <w:rPr>
          <w:rFonts w:ascii="Calibri" w:hAnsi="Calibri" w:cs="Calibri"/>
          <w:i/>
          <w:iCs/>
        </w:rPr>
        <w:t>Guaranteeing Sexual and Reproductive Health and Rights for All Women, in Particular Women with Disabilities: Joint Statement by the Committee on the Rights of Persons with Disabilities and the Committee on the Elimination of All Forms of Discrimination against Women</w:t>
      </w:r>
      <w:r w:rsidRPr="007529C5">
        <w:rPr>
          <w:rFonts w:ascii="Calibri" w:hAnsi="Calibri" w:cs="Calibri"/>
        </w:rPr>
        <w:t xml:space="preserve"> (29 August 2018).</w:t>
      </w:r>
      <w:r w:rsidRPr="007529C5">
        <w:rPr>
          <w:rFonts w:cs="Arial"/>
        </w:rPr>
        <w:fldChar w:fldCharType="end"/>
      </w:r>
      <w:r w:rsidRPr="007529C5">
        <w:rPr>
          <w:rFonts w:cs="Arial"/>
        </w:rPr>
        <w:t xml:space="preserve"> See also: </w:t>
      </w:r>
      <w:r w:rsidRPr="007529C5">
        <w:rPr>
          <w:rFonts w:cs="Arial"/>
        </w:rPr>
        <w:fldChar w:fldCharType="begin"/>
      </w:r>
      <w:r>
        <w:rPr>
          <w:rFonts w:cs="Arial"/>
        </w:rPr>
        <w:instrText xml:space="preserve"> ADDIN ZOTERO_ITEM CSL_CITATION {"citationID":"JkkthhOH","properties":{"formattedCitation":"Australian Civil Society CRPD Shadow Report Working Group (n 87); Committee on the Rights of Persons with Disabilities, \\uc0\\u8216{}Concluding Observations on the Combined Second and Third Periodic Reports of Australia, Adopted by the Committee at Its 511th Meeting (20 September 2019) of the 22nd Session\\uc0\\u8217{} (n 14); Senate Community Affairs Committee (n 9).","plainCitation":"Australian Civil Society CRPD Shadow Report Working Group (n 87); Committee on the Rights of Persons with Disabilities, ‘Concluding Observations on the Combined Second and Third Periodic Reports of Australia, Adopted by the Committee at Its 511th Meeting (20 September 2019) of the 22nd Session’ (n 14); Senate Community Affairs Committee (n 9).","noteIndex":148},"citationItems":[{"id":5974,"uris":["http://zotero.org/groups/2733877/items/2YV5F4ID"],"uri":["http://zotero.org/groups/2733877/items/2YV5F4ID"],"itemData":{"id":5974,"type":"report","title":"Australian Civil Society Shadow Report to the United Nations Committee on the Rights of Persons with Disabilities (2019) in response to the List of issues prior to the submission of the combined second and third periodic reports of Australia [CRPD/C/AUS/QPR/2-3]","URL":"https://dpoa.org.au/wp-content/uploads/2019/08/CRPD-Shadow-Report-2019-English-PDF.pdf","author":[{"family":"Australian Civil Society CRPD Shadow Report Working Group","given":""}],"issued":{"date-parts":[["2019",7]]}}},{"id":5930,"uris":["http://zotero.org/groups/2733877/items/22NEYWVV"],"uri":["http://zotero.org/groups/2733877/items/22NEYWVV"],"itemData":{"id":5930,"type":"report","collection-title":"UN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id":6015,"uris":["http://zotero.org/groups/2733877/items/67LC7VM3"],"uri":["http://zotero.org/groups/2733877/items/67LC7VM3"],"itemData":{"id":6015,"type":"report","event-place":"Canberra","publisher":"Parliament of Australia","publisher-place":"Canberra","title":"Involuntary or Coerced Sterilisation of People with Disabilities in Australia","author":[{"family":"Senate Community Affairs Committee","given":""}],"issued":{"date-parts":[["2013",7]]}}}],"schema":"https://github.com/citation-style-language/schema/raw/master/csl-citation.json"} </w:instrText>
      </w:r>
      <w:r w:rsidRPr="007529C5">
        <w:rPr>
          <w:rFonts w:cs="Arial"/>
        </w:rPr>
        <w:fldChar w:fldCharType="separate"/>
      </w:r>
      <w:r w:rsidRPr="007529C5">
        <w:rPr>
          <w:rFonts w:ascii="Calibri" w:hAnsi="Calibri" w:cs="Calibri"/>
        </w:rPr>
        <w:t>Australian Civil Society CRPD Shadow Report Working Group (n 87); Committee on the Rights of Persons with Disabilities, ‘Concluding Observations on the Combined Second and Third Periodic Reports of Australia, Adopted by the Committee at Its 511th Meeting (20 September 2019) of the 22nd Session’ (n 14); Senate Community Affairs Committee (n 9).</w:t>
      </w:r>
      <w:r w:rsidRPr="007529C5">
        <w:rPr>
          <w:rFonts w:cs="Arial"/>
        </w:rPr>
        <w:fldChar w:fldCharType="end"/>
      </w:r>
      <w:r w:rsidRPr="007529C5">
        <w:rPr>
          <w:rFonts w:cs="Arial"/>
        </w:rPr>
        <w:t xml:space="preserve"> </w:t>
      </w:r>
    </w:p>
  </w:endnote>
  <w:endnote w:id="149">
    <w:p w14:paraId="1C3A1430" w14:textId="416C6CCB" w:rsidR="00A00236" w:rsidRPr="007529C5" w:rsidRDefault="00A00236">
      <w:pPr>
        <w:pStyle w:val="EndnoteText"/>
        <w:rPr>
          <w:lang w:val="en-AU"/>
        </w:rPr>
      </w:pPr>
      <w:r w:rsidRPr="007529C5">
        <w:rPr>
          <w:rStyle w:val="EndnoteReference"/>
        </w:rPr>
        <w:endnoteRef/>
      </w:r>
      <w:r w:rsidRPr="007529C5">
        <w:t xml:space="preserve"> </w:t>
      </w:r>
      <w:r w:rsidRPr="007529C5">
        <w:rPr>
          <w:lang w:val="en-AU"/>
        </w:rPr>
        <w:t xml:space="preserve">Personal evidence provided to Women </w:t>
      </w:r>
      <w:r w:rsidRPr="007529C5">
        <w:rPr>
          <w:lang w:val="en-AU"/>
        </w:rPr>
        <w:t>With Disabilities Australia (WWDA), April 2021.</w:t>
      </w:r>
    </w:p>
  </w:endnote>
  <w:endnote w:id="150">
    <w:p w14:paraId="1F75E895" w14:textId="550E6A6E" w:rsidR="00A00236" w:rsidRPr="007529C5" w:rsidRDefault="00A00236" w:rsidP="0086532E">
      <w:pPr>
        <w:pStyle w:val="EndnoteText"/>
        <w:rPr>
          <w:lang w:val="en-AU"/>
        </w:rPr>
      </w:pPr>
      <w:r w:rsidRPr="007529C5">
        <w:rPr>
          <w:rStyle w:val="EndnoteReference"/>
        </w:rPr>
        <w:endnoteRef/>
      </w:r>
      <w:r w:rsidRPr="007529C5">
        <w:t xml:space="preserve"> </w:t>
      </w:r>
      <w:r w:rsidRPr="007529C5">
        <w:rPr>
          <w:lang w:val="en-AU"/>
        </w:rPr>
        <w:t xml:space="preserve">See for eg: </w:t>
      </w:r>
      <w:r w:rsidRPr="007529C5">
        <w:rPr>
          <w:lang w:val="en-AU"/>
        </w:rPr>
        <w:fldChar w:fldCharType="begin"/>
      </w:r>
      <w:r>
        <w:rPr>
          <w:lang w:val="en-AU"/>
        </w:rPr>
        <w:instrText xml:space="preserve"> ADDIN ZOTERO_ITEM CSL_CITATION {"citationID":"Fuf5QB1D","properties":{"formattedCitation":"Carolyn Frohmader and Women with Disabilities Australia, {\\i{}Dehumanised: The Forced Sterilisation of Women and Girls with Disabilities in Australia} (Women With Disabilities Australia, 2013) &lt;http://wwda.org.au/wp-content/uploads/2013/12/WWDA_Sub_SenateInquiry_Sterilisation_March2013.pdf&gt; (\\uc0\\u8216{}{\\i{}Dehumanised}\\uc0\\u8217{}).","plainCitation":"Carolyn Frohmader and Women with Disabilities Australia, Dehumanised: The Forced Sterilisation of Women and Girls with Disabilities in Australia (Women With Disabilities Australia, 2013) &lt;http://wwda.org.au/wp-content/uploads/2013/12/WWDA_Sub_SenateInquiry_Sterilisation_March2013.pdf&gt; (‘Dehumanised’).","noteIndex":150},"citationItems":[{"id":6606,"uris":["http://zotero.org/groups/2796689/items/D2ILZ9D9"],"uri":["http://zotero.org/groups/2796689/items/D2ILZ9D9"],"itemData":{"id":6606,"type":"book","abstract":"In this submission to the Senate Inquiry into the Involuntary or Coerced Sterilisation of People with Disabilities in Australia, Women With Disabilities Australia argues that forced sterilisation is an act of violence, a form of social control, and a clear and documented violation of the right to be free from torture. This submission discusses the issues involved, addresses the rationales used to justify forced sterilisation, and examines the international conventions that protect human rights. It also presents recommendations to the Senate Inquiry to help protect people with disabilities in Australia.","event-place":"Rosny Park, Tas.","ISBN":"978-0-9876035-0-0","language":"en","note":"OCLC: 871192210","publisher":"Women With Disabilities Australia","publisher-place":"Rosny Park, Tas.","source":"Open WorldCat","title":"Dehumanised: the forced sterilisation of women and girls with disabilities in Australia","title-short":"Dehumanised","URL":"http://wwda.org.au/wp-content/uploads/2013/12/WWDA_Sub_SenateInquiry_Sterilisation_March2013.pdf","author":[{"family":"Frohmader","given":"Carolyn"},{"literal":"Women with Disabilities Australia"}],"accessed":{"date-parts":[["2021",3,21]]},"issued":{"date-parts":[["2013"]]}}}],"schema":"https://github.com/citation-style-language/schema/raw/master/csl-citation.json"} </w:instrText>
      </w:r>
      <w:r w:rsidRPr="007529C5">
        <w:rPr>
          <w:lang w:val="en-AU"/>
        </w:rPr>
        <w:fldChar w:fldCharType="separate"/>
      </w:r>
      <w:r w:rsidRPr="007529C5">
        <w:rPr>
          <w:rFonts w:ascii="Calibri" w:hAnsi="Calibri" w:cs="Calibri"/>
          <w:szCs w:val="24"/>
        </w:rPr>
        <w:t xml:space="preserve">Carolyn Frohmader and Women with Disabilities Australia, </w:t>
      </w:r>
      <w:r w:rsidRPr="007529C5">
        <w:rPr>
          <w:rFonts w:ascii="Calibri" w:hAnsi="Calibri" w:cs="Calibri"/>
          <w:i/>
          <w:iCs/>
          <w:szCs w:val="24"/>
        </w:rPr>
        <w:t>Dehumanised: The Forced Sterilisation of Women and Girls with Disabilities in Australia</w:t>
      </w:r>
      <w:r w:rsidRPr="007529C5">
        <w:rPr>
          <w:rFonts w:ascii="Calibri" w:hAnsi="Calibri" w:cs="Calibri"/>
          <w:szCs w:val="24"/>
        </w:rPr>
        <w:t xml:space="preserve"> (Women With Disabilities Australia, 2013) &lt;http://wwda.org.au/wp-content/uploads/2013/12/WWDA_Sub_SenateInquiry_Sterilisation_March2013.pdf&gt; (‘</w:t>
      </w:r>
      <w:r w:rsidRPr="007529C5">
        <w:rPr>
          <w:rFonts w:ascii="Calibri" w:hAnsi="Calibri" w:cs="Calibri"/>
          <w:i/>
          <w:iCs/>
          <w:szCs w:val="24"/>
        </w:rPr>
        <w:t>Dehumanised</w:t>
      </w:r>
      <w:r w:rsidRPr="007529C5">
        <w:rPr>
          <w:rFonts w:ascii="Calibri" w:hAnsi="Calibri" w:cs="Calibri"/>
          <w:szCs w:val="24"/>
        </w:rPr>
        <w:t>’).</w:t>
      </w:r>
      <w:r w:rsidRPr="007529C5">
        <w:rPr>
          <w:lang w:val="en-AU"/>
        </w:rPr>
        <w:fldChar w:fldCharType="end"/>
      </w:r>
      <w:r w:rsidRPr="007529C5">
        <w:rPr>
          <w:lang w:val="en-AU"/>
        </w:rPr>
        <w:t xml:space="preserve"> See also  </w:t>
      </w:r>
      <w:r w:rsidRPr="007529C5">
        <w:rPr>
          <w:lang w:val="en-AU"/>
        </w:rPr>
        <w:fldChar w:fldCharType="begin"/>
      </w:r>
      <w:r>
        <w:rPr>
          <w:lang w:val="en-AU"/>
        </w:rPr>
        <w:instrText xml:space="preserve"> ADDIN ZOTERO_ITEM CSL_CITATION {"citationID":"YcQmq4eP","properties":{"formattedCitation":"Leanne Dowse and Carolyn Frohmader, {\\i{}Moving Forward: Sterilisation and Reproductive Health of Women and Girls with Disabilities} (Women With Disabilities Australia, 2001).","plainCitation":"Leanne Dowse and Carolyn Frohmader, Moving Forward: Sterilisation and Reproductive Health of Women and Girls with Disabilities (Women With Disabilities Australia, 2001).","noteIndex":150},"citationItems":[{"id":8705,"uris":["http://zotero.org/users/5279374/items/4D5U4M83"],"uri":["http://zotero.org/users/5279374/items/4D5U4M83"],"itemData":{"id":8705,"type":"report","publisher":"Women With Disabilities Australia","title":"Moving Forward: Sterilisation and Reproductive Health of Women and Girls with Disabilities","author":[{"family":"Dowse","given":"Leanne"},{"family":"Frohmader","given":"Carolyn"}],"issued":{"date-parts":[["2001"]]}}}],"schema":"https://github.com/citation-style-language/schema/raw/master/csl-citation.json"} </w:instrText>
      </w:r>
      <w:r w:rsidRPr="007529C5">
        <w:rPr>
          <w:lang w:val="en-AU"/>
        </w:rPr>
        <w:fldChar w:fldCharType="separate"/>
      </w:r>
      <w:r w:rsidRPr="007529C5">
        <w:rPr>
          <w:rFonts w:ascii="Calibri" w:hAnsi="Calibri" w:cs="Calibri"/>
          <w:szCs w:val="24"/>
        </w:rPr>
        <w:t xml:space="preserve">Leanne Dowse and Carolyn Frohmader, </w:t>
      </w:r>
      <w:r w:rsidRPr="007529C5">
        <w:rPr>
          <w:rFonts w:ascii="Calibri" w:hAnsi="Calibri" w:cs="Calibri"/>
          <w:i/>
          <w:iCs/>
          <w:szCs w:val="24"/>
        </w:rPr>
        <w:t>Moving Forward: Sterilisation and Reproductive Health of Women and Girls with Disabilities</w:t>
      </w:r>
      <w:r w:rsidRPr="007529C5">
        <w:rPr>
          <w:rFonts w:ascii="Calibri" w:hAnsi="Calibri" w:cs="Calibri"/>
          <w:szCs w:val="24"/>
        </w:rPr>
        <w:t xml:space="preserve"> (Women With Disabilities Australia, 2001).</w:t>
      </w:r>
      <w:r w:rsidRPr="007529C5">
        <w:rPr>
          <w:lang w:val="en-AU"/>
        </w:rPr>
        <w:fldChar w:fldCharType="end"/>
      </w:r>
    </w:p>
  </w:endnote>
  <w:endnote w:id="151">
    <w:p w14:paraId="59227DDB" w14:textId="38AFAB14" w:rsidR="00A00236" w:rsidRPr="008F06C3" w:rsidRDefault="00A00236">
      <w:pPr>
        <w:pStyle w:val="EndnoteText"/>
        <w:rPr>
          <w:lang w:val="en-AU"/>
        </w:rPr>
      </w:pPr>
      <w:r>
        <w:rPr>
          <w:rStyle w:val="EndnoteReference"/>
        </w:rPr>
        <w:endnoteRef/>
      </w:r>
      <w:r>
        <w:t xml:space="preserve"> </w:t>
      </w:r>
      <w:r>
        <w:fldChar w:fldCharType="begin"/>
      </w:r>
      <w:r>
        <w:instrText xml:space="preserve"> ADDIN ZOTERO_ITEM CSL_CITATION {"citationID":"a9JSCr3Z","properties":{"formattedCitation":"National Disability Insurance Scheme Quality and Safeguards Commission, {\\i{}Regulated Restrictive Practices Guide: Chemical Restraint, Environmental Restraint, Mechanical Restraint, Physical Restraint, Seclusion} (No v1.1, Commonwealth of Australia, 2020) 10.","plainCitation":"National Disability Insurance Scheme Quality and Safeguards Commission, Regulated Restrictive Practices Guide: Chemical Restraint, Environmental Restraint, Mechanical Restraint, Physical Restraint, Seclusion (No v1.1, Commonwealth of Australia, 2020) 10.","noteIndex":151},"citationItems":[{"id":8180,"uris":["http://zotero.org/users/5279374/items/TXQJ6LRS"],"uri":["http://zotero.org/users/5279374/items/TXQJ6LRS"],"itemData":{"id":8180,"type":"report","event-place":"Penrith","number":"v1.1","publisher":"Commonwealth of Australia","publisher-place":"Penrith","title":"Regulated Restrictive Practices Guide: Chemical Restraint, Environmental Restraint, Mechanical Restraint, Physical Restraint, Seclusion","author":[{"family":"National Disability Insurance Scheme Quality and Safeguards Commission","given":""}],"issued":{"date-parts":[["2020"]]}},"locator":"10"}],"schema":"https://github.com/citation-style-language/schema/raw/master/csl-citation.json"} </w:instrText>
      </w:r>
      <w:r>
        <w:fldChar w:fldCharType="separate"/>
      </w:r>
      <w:r w:rsidRPr="008F06C3">
        <w:rPr>
          <w:rFonts w:ascii="Calibri" w:hAnsi="Calibri" w:cs="Calibri"/>
          <w:szCs w:val="24"/>
        </w:rPr>
        <w:t xml:space="preserve">National Disability Insurance Scheme Quality and Safeguards Commission, </w:t>
      </w:r>
      <w:r w:rsidRPr="008F06C3">
        <w:rPr>
          <w:rFonts w:ascii="Calibri" w:hAnsi="Calibri" w:cs="Calibri"/>
          <w:i/>
          <w:iCs/>
          <w:szCs w:val="24"/>
        </w:rPr>
        <w:t>Regulated Restrictive Practices Guide: Chemical Restraint, Environmental Restraint, Mechanical Restraint, Physical Restraint, Seclusion</w:t>
      </w:r>
      <w:r w:rsidRPr="008F06C3">
        <w:rPr>
          <w:rFonts w:ascii="Calibri" w:hAnsi="Calibri" w:cs="Calibri"/>
          <w:szCs w:val="24"/>
        </w:rPr>
        <w:t xml:space="preserve"> (No v1.1, Commonwealth of Australia, 2020) 10.</w:t>
      </w:r>
      <w:r>
        <w:fldChar w:fldCharType="end"/>
      </w:r>
    </w:p>
  </w:endnote>
  <w:endnote w:id="152">
    <w:p w14:paraId="61385C49" w14:textId="2E659C6C" w:rsidR="00A00236" w:rsidRPr="008F06C3" w:rsidRDefault="00A00236" w:rsidP="008F06C3">
      <w:pPr>
        <w:pStyle w:val="EndnoteText"/>
        <w:rPr>
          <w:lang w:val="en-AU"/>
        </w:rPr>
      </w:pPr>
      <w:r>
        <w:rPr>
          <w:rStyle w:val="EndnoteReference"/>
        </w:rPr>
        <w:endnoteRef/>
      </w:r>
      <w:r>
        <w:t xml:space="preserve"> </w:t>
      </w:r>
      <w:r>
        <w:fldChar w:fldCharType="begin"/>
      </w:r>
      <w:r>
        <w:instrText xml:space="preserve"> ADDIN ZOTERO_ITEM CSL_CITATION {"citationID":"BbHfaYZO","properties":{"formattedCitation":"Ibid 11.","plainCitation":"Ibid 11.","noteIndex":152},"citationItems":[{"id":8180,"uris":["http://zotero.org/users/5279374/items/TXQJ6LRS"],"uri":["http://zotero.org/users/5279374/items/TXQJ6LRS"],"itemData":{"id":8180,"type":"report","event-place":"Penrith","number":"v1.1","publisher":"Commonwealth of Australia","publisher-place":"Penrith","title":"Regulated Restrictive Practices Guide: Chemical Restraint, Environmental Restraint, Mechanical Restraint, Physical Restraint, Seclusion","author":[{"family":"National Disability Insurance Scheme Quality and Safeguards Commission","given":""}],"issued":{"date-parts":[["2020"]]}},"locator":"11"}],"schema":"https://github.com/citation-style-language/schema/raw/master/csl-citation.json"} </w:instrText>
      </w:r>
      <w:r>
        <w:fldChar w:fldCharType="separate"/>
      </w:r>
      <w:r w:rsidRPr="008F06C3">
        <w:rPr>
          <w:rFonts w:ascii="Calibri" w:hAnsi="Calibri" w:cs="Calibri"/>
        </w:rPr>
        <w:t>Ibid 11.</w:t>
      </w:r>
      <w:r>
        <w:fldChar w:fldCharType="end"/>
      </w:r>
    </w:p>
  </w:endnote>
  <w:endnote w:id="153">
    <w:p w14:paraId="1156285F" w14:textId="14870884" w:rsidR="00A00236" w:rsidRPr="00E704D1" w:rsidRDefault="00A00236">
      <w:pPr>
        <w:pStyle w:val="EndnoteText"/>
        <w:rPr>
          <w:lang w:val="en-AU"/>
        </w:rPr>
      </w:pPr>
      <w:r w:rsidRPr="00E704D1">
        <w:rPr>
          <w:rStyle w:val="EndnoteReference"/>
        </w:rPr>
        <w:endnoteRef/>
      </w:r>
      <w:r w:rsidRPr="00E704D1">
        <w:t xml:space="preserve"> </w:t>
      </w:r>
      <w:r w:rsidRPr="00E704D1">
        <w:rPr>
          <w:rFonts w:cstheme="minorHAnsi"/>
        </w:rPr>
        <w:t xml:space="preserve">The American Society for Reproductive Medicine (2014) Fact Sheet: Hyperprolactinemia (high prolactin levels). Accessed March 2021 at: </w:t>
      </w:r>
      <w:hyperlink r:id="rId3" w:history="1">
        <w:r w:rsidRPr="00E704D1">
          <w:rPr>
            <w:rStyle w:val="Hyperlink"/>
            <w:rFonts w:cstheme="minorHAnsi"/>
          </w:rPr>
          <w:t>https://www.reproductivefacts.org/globalassets/rf/news-and-publications/bookletsfact-sheets/english-fact-sheets-and-info-booklets/hyperprolactinemia_high_prolactin_levels_factsheet.pdf</w:t>
        </w:r>
      </w:hyperlink>
      <w:r w:rsidRPr="00E704D1">
        <w:rPr>
          <w:rFonts w:cstheme="minorHAnsi"/>
        </w:rPr>
        <w:t xml:space="preserve">  See also:  </w:t>
      </w:r>
      <w:r w:rsidRPr="00E704D1">
        <w:fldChar w:fldCharType="begin"/>
      </w:r>
      <w:r>
        <w:instrText xml:space="preserve"> ADDIN ZOTERO_ITEM CSL_CITATION {"citationID":"41hoW6YN","properties":{"formattedCitation":"Angela X Chen and Morton G Burt, \\uc0\\u8216{}Hyperprolactinaemia\\uc0\\u8217{} (2017) 40(6) {\\i{}Australian Prescriber} 220.","plainCitation":"Angela X Chen and Morton G Burt, ‘Hyperprolactinaemia’ (2017) 40(6) Australian Prescriber 220.","noteIndex":153},"citationItems":[{"id":8706,"uris":["http://zotero.org/users/5279374/items/WJKRXCMR"],"uri":["http://zotero.org/users/5279374/items/WJKRXCMR"],"itemData":{"id":8706,"type":"article-journal","container-title":"Australian Prescriber","DOI":"10.18773/austprescr.2017.060","issue":"6","page":"220-224","title":"Hyperprolactinaemia","volume":"40","author":[{"family":"Chen","given":"Angela X"},{"family":"Burt","given":"Morton G"}],"issued":{"date-parts":[["2017"]]}}}],"schema":"https://github.com/citation-style-language/schema/raw/master/csl-citation.json"} </w:instrText>
      </w:r>
      <w:r w:rsidRPr="00E704D1">
        <w:fldChar w:fldCharType="separate"/>
      </w:r>
      <w:r w:rsidRPr="00E704D1">
        <w:rPr>
          <w:rFonts w:ascii="Calibri" w:hAnsi="Calibri" w:cs="Calibri"/>
          <w:szCs w:val="24"/>
        </w:rPr>
        <w:t xml:space="preserve">Angela X Chen and Morton G Burt, ‘Hyperprolactinaemia’ (2017) 40(6) </w:t>
      </w:r>
      <w:r w:rsidRPr="00E704D1">
        <w:rPr>
          <w:rFonts w:ascii="Calibri" w:hAnsi="Calibri" w:cs="Calibri"/>
          <w:i/>
          <w:iCs/>
          <w:szCs w:val="24"/>
        </w:rPr>
        <w:t>Australian Prescriber</w:t>
      </w:r>
      <w:r w:rsidRPr="00E704D1">
        <w:rPr>
          <w:rFonts w:ascii="Calibri" w:hAnsi="Calibri" w:cs="Calibri"/>
          <w:szCs w:val="24"/>
        </w:rPr>
        <w:t xml:space="preserve"> 220.</w:t>
      </w:r>
      <w:r w:rsidRPr="00E704D1">
        <w:fldChar w:fldCharType="end"/>
      </w:r>
    </w:p>
  </w:endnote>
  <w:endnote w:id="154">
    <w:p w14:paraId="5265D70A" w14:textId="02EFBEE8" w:rsidR="00A00236" w:rsidRPr="00BD5E8D" w:rsidRDefault="00A00236">
      <w:pPr>
        <w:pStyle w:val="EndnoteText"/>
        <w:rPr>
          <w:rFonts w:cstheme="minorHAnsi"/>
        </w:rPr>
      </w:pPr>
      <w:r w:rsidRPr="004707F6">
        <w:rPr>
          <w:rStyle w:val="EndnoteReference"/>
          <w:rFonts w:cstheme="minorHAnsi"/>
        </w:rPr>
        <w:endnoteRef/>
      </w:r>
      <w:r w:rsidRPr="004707F6">
        <w:rPr>
          <w:rFonts w:cstheme="minorHAnsi"/>
        </w:rPr>
        <w:t xml:space="preserve"> See for eg: </w:t>
      </w:r>
      <w:r w:rsidR="00424902" w:rsidRPr="00424902">
        <w:rPr>
          <w:rFonts w:cstheme="minorHAnsi"/>
        </w:rPr>
        <w:t>Bakour, S., Hatti, A., &amp; Whalen, S. (2017) Contraceptive methods and issues around the menopause: an evidence update. The Obstetrician and Gynaecologist; Vol.19, Issue 4.</w:t>
      </w:r>
      <w:r w:rsidR="00424902">
        <w:rPr>
          <w:rFonts w:cstheme="minorHAnsi"/>
        </w:rPr>
        <w:t xml:space="preserve"> See also: </w:t>
      </w:r>
      <w:r w:rsidR="00591F36" w:rsidRPr="00591F36">
        <w:rPr>
          <w:rFonts w:cstheme="minorHAnsi"/>
        </w:rPr>
        <w:t>Wershler</w:t>
      </w:r>
      <w:r w:rsidR="00591F36">
        <w:rPr>
          <w:rFonts w:cstheme="minorHAnsi"/>
        </w:rPr>
        <w:t xml:space="preserve">, L. (2016) </w:t>
      </w:r>
      <w:r w:rsidR="00BD5E8D">
        <w:rPr>
          <w:rFonts w:cstheme="minorHAnsi"/>
        </w:rPr>
        <w:fldChar w:fldCharType="begin"/>
      </w:r>
      <w:r w:rsidR="00BD5E8D">
        <w:rPr>
          <w:rFonts w:cstheme="minorHAnsi"/>
        </w:rPr>
        <w:instrText xml:space="preserve"> HYPERLINK "https://www.ourbodiesourselves.org/2016/08/i-wouldnt-recommend-it-to-anyone-depo-provera/" </w:instrText>
      </w:r>
      <w:r w:rsidR="00BD5E8D">
        <w:rPr>
          <w:rFonts w:cstheme="minorHAnsi"/>
        </w:rPr>
      </w:r>
      <w:r w:rsidR="00BD5E8D">
        <w:rPr>
          <w:rFonts w:cstheme="minorHAnsi"/>
        </w:rPr>
        <w:fldChar w:fldCharType="separate"/>
      </w:r>
      <w:r w:rsidR="00591F36" w:rsidRPr="00BD5E8D">
        <w:rPr>
          <w:rStyle w:val="Hyperlink"/>
          <w:rFonts w:cstheme="minorHAnsi"/>
        </w:rPr>
        <w:t>“I Wouldn’t Recommend It to Anyone”</w:t>
      </w:r>
      <w:r w:rsidR="00BD5E8D">
        <w:rPr>
          <w:rFonts w:cstheme="minorHAnsi"/>
        </w:rPr>
        <w:fldChar w:fldCharType="end"/>
      </w:r>
      <w:r w:rsidR="00591F36" w:rsidRPr="00591F36">
        <w:rPr>
          <w:rFonts w:cstheme="minorHAnsi"/>
        </w:rPr>
        <w:t>: What We Can Learn from Women who have had Bad Experiences with Depo-Provera</w:t>
      </w:r>
      <w:r w:rsidR="00591F36">
        <w:rPr>
          <w:rFonts w:cstheme="minorHAnsi"/>
        </w:rPr>
        <w:t>. Our Bodies, OurSelves</w:t>
      </w:r>
      <w:r w:rsidR="00BD5E8D">
        <w:rPr>
          <w:rFonts w:cstheme="minorHAnsi"/>
        </w:rPr>
        <w:t xml:space="preserve">. Accessed May 2021. See also: </w:t>
      </w:r>
      <w:r w:rsidRPr="00E704D1">
        <w:rPr>
          <w:rFonts w:cstheme="minorHAnsi"/>
        </w:rPr>
        <w:fldChar w:fldCharType="begin"/>
      </w:r>
      <w:r>
        <w:rPr>
          <w:rFonts w:cstheme="minorHAnsi"/>
        </w:rPr>
        <w:instrText xml:space="preserve"> ADDIN ZOTERO_ITEM CSL_CITATION {"citationID":"gvAjsUR6","properties":{"formattedCitation":"Elisabeth H Quint and Rebecca F O\\uc0\\u8217{}Brien, \\uc0\\u8216{}Menstrual Management for Adolescents With Disabilities, American Academy of Paediatrics\\uc0\\u8217{} 138(1) {\\i{}American Academy of Paediatrics} e20160295.","plainCitation":"Elisabeth H Quint and Rebecca F O’Brien, ‘Menstrual Management for Adolescents With Disabilities, American Academy of Paediatrics’ 138(1) American Academy of Paediatrics e20160295.","noteIndex":154},"citationItems":[{"id":8707,"uris":["http://zotero.org/users/5279374/items/8V4P7M2C"],"uri":["http://zotero.org/users/5279374/items/8V4P7M2C"],"itemData":{"id":8707,"type":"article-journal","container-title":"American Academy of Paediatrics","DOI":"10.1542/peds.2016-0295","issue":"1","page":"e20160295","title":"Menstrual Management for Adolescents With Disabilities, American Academy of Paediatrics","volume":"138","author":[{"family":"Quint","given":"Elisabeth H"},{"family":"O'Brien","given":"Rebecca F"}]}}],"schema":"https://github.com/citation-style-language/schema/raw/master/csl-citation.json"} </w:instrText>
      </w:r>
      <w:r w:rsidRPr="00E704D1">
        <w:rPr>
          <w:rFonts w:cstheme="minorHAnsi"/>
        </w:rPr>
        <w:fldChar w:fldCharType="separate"/>
      </w:r>
      <w:r w:rsidRPr="00756D3A">
        <w:rPr>
          <w:rFonts w:ascii="Calibri" w:hAnsi="Calibri" w:cs="Calibri"/>
          <w:szCs w:val="24"/>
        </w:rPr>
        <w:t xml:space="preserve">Elisabeth H Quint and Rebecca F O’Brien, ‘Menstrual Management for Adolescents With Disabilities, American Academy of Paediatrics’ 138(1) </w:t>
      </w:r>
      <w:r w:rsidRPr="00756D3A">
        <w:rPr>
          <w:rFonts w:ascii="Calibri" w:hAnsi="Calibri" w:cs="Calibri"/>
          <w:i/>
          <w:iCs/>
          <w:szCs w:val="24"/>
        </w:rPr>
        <w:t>American Academy of Paediatrics</w:t>
      </w:r>
      <w:r w:rsidRPr="00756D3A">
        <w:rPr>
          <w:rFonts w:ascii="Calibri" w:hAnsi="Calibri" w:cs="Calibri"/>
          <w:szCs w:val="24"/>
        </w:rPr>
        <w:t xml:space="preserve"> e20160295.</w:t>
      </w:r>
      <w:r w:rsidRPr="00E704D1">
        <w:rPr>
          <w:rFonts w:cstheme="minorHAnsi"/>
        </w:rPr>
        <w:fldChar w:fldCharType="end"/>
      </w:r>
      <w:r w:rsidRPr="00E704D1">
        <w:rPr>
          <w:rFonts w:cstheme="minorHAnsi"/>
        </w:rPr>
        <w:t xml:space="preserve"> See also: </w:t>
      </w:r>
      <w:r w:rsidRPr="00E704D1">
        <w:rPr>
          <w:rFonts w:cstheme="minorHAnsi"/>
        </w:rPr>
        <w:fldChar w:fldCharType="begin"/>
      </w:r>
      <w:r>
        <w:rPr>
          <w:rFonts w:cstheme="minorHAnsi"/>
        </w:rPr>
        <w:instrText xml:space="preserve"> ADDIN ZOTERO_ITEM CSL_CITATION {"citationID":"LjVuGIDU","properties":{"formattedCitation":"Victorian Senior Practitioner (n 148); Frohmader and Women with Disabilities Australia (n 150).","plainCitation":"Victorian Senior Practitioner (n 148); Frohmader and Women with Disabilities Australia (n 150).","noteIndex":154},"citationItems":[{"id":8422,"uris":["http://zotero.org/groups/2822045/items/4MBTWVCH"],"uri":["http://zotero.org/groups/2822045/items/4MBTWVCH"],"itemData":{"id":8422,"type":"report","event-place":"Melbourne, VIC","language":"en","publisher":"Victoria Department of Health and Human Services","publisher-place":"Melbourne, VIC","source":"Zotero","title":"Use of menstrual suppression: Report by the Victorian Senior Practitioner","author":[{"literal":"Victorian Senior Practitioner"}],"issued":{"date-parts":[["2020",2]]}}},{"id":6606,"uris":["http://zotero.org/groups/2796689/items/D2ILZ9D9"],"uri":["http://zotero.org/groups/2796689/items/D2ILZ9D9"],"itemData":{"id":6606,"type":"book","abstract":"In this submission to the Senate Inquiry into the Involuntary or Coerced Sterilisation of People with Disabilities in Australia, Women With Disabilities Australia argues that forced sterilisation is an act of violence, a form of social control, and a clear and documented violation of the right to be free from torture. This submission discusses the issues involved, addresses the rationales used to justify forced sterilisation, and examines the international conventions that protect human rights. It also presents recommendations to the Senate Inquiry to help protect people with disabilities in Australia.","event-place":"Rosny Park, Tas.","ISBN":"978-0-9876035-0-0","language":"en","note":"OCLC: 871192210","publisher":"Women With Disabilities Australia","publisher-place":"Rosny Park, Tas.","source":"Open WorldCat","title":"Dehumanised: the forced sterilisation of women and girls with disabilities in Australia","title-short":"Dehumanised","URL":"http://wwda.org.au/wp-content/uploads/2013/12/WWDA_Sub_SenateInquiry_Sterilisation_March2013.pdf","author":[{"family":"Frohmader","given":"Carolyn"},{"literal":"Women with Disabilities Australia"}],"accessed":{"date-parts":[["2021",3,21]]},"issued":{"date-parts":[["2013"]]}}}],"schema":"https://github.com/citation-style-language/schema/raw/master/csl-citation.json"} </w:instrText>
      </w:r>
      <w:r w:rsidRPr="00E704D1">
        <w:rPr>
          <w:rFonts w:cstheme="minorHAnsi"/>
        </w:rPr>
        <w:fldChar w:fldCharType="separate"/>
      </w:r>
      <w:r w:rsidRPr="00573F56">
        <w:rPr>
          <w:rFonts w:ascii="Calibri" w:hAnsi="Calibri" w:cs="Calibri"/>
        </w:rPr>
        <w:t>Victorian Senior Practitioner (n 148); Frohmader and Women with Disabilities Australia (n 150).</w:t>
      </w:r>
      <w:r w:rsidRPr="00E704D1">
        <w:rPr>
          <w:rFonts w:cstheme="minorHAnsi"/>
        </w:rPr>
        <w:fldChar w:fldCharType="end"/>
      </w:r>
    </w:p>
  </w:endnote>
  <w:endnote w:id="155">
    <w:p w14:paraId="7E173CD8" w14:textId="553C148F" w:rsidR="00A00236" w:rsidRPr="00CB3DBB" w:rsidRDefault="00A00236">
      <w:pPr>
        <w:pStyle w:val="EndnoteText"/>
        <w:rPr>
          <w:rFonts w:cstheme="minorHAnsi"/>
          <w:lang w:val="en-AU"/>
        </w:rPr>
      </w:pPr>
      <w:r w:rsidRPr="00CB3DBB">
        <w:rPr>
          <w:rStyle w:val="EndnoteReference"/>
          <w:rFonts w:cstheme="minorHAnsi"/>
        </w:rPr>
        <w:endnoteRef/>
      </w:r>
      <w:r w:rsidRPr="00CB3DBB">
        <w:rPr>
          <w:rFonts w:cstheme="minorHAnsi"/>
        </w:rPr>
        <w:t xml:space="preserve"> </w:t>
      </w:r>
      <w:r w:rsidRPr="00CB3DBB">
        <w:rPr>
          <w:rFonts w:cstheme="minorHAnsi"/>
        </w:rPr>
        <w:fldChar w:fldCharType="begin"/>
      </w:r>
      <w:r>
        <w:rPr>
          <w:rFonts w:cstheme="minorHAnsi"/>
        </w:rPr>
        <w:instrText xml:space="preserve"> ADDIN ZOTERO_ITEM CSL_CITATION {"citationID":"kVuVCb2t","properties":{"formattedCitation":"Australian Lawyers for Human Rights (n 144).","plainCitation":"Australian Lawyers for Human Rights (n 144).","noteIndex":155},"citationItems":[{"id":8702,"uris":["http://zotero.org/users/5279374/items/I4GQ7Z8P"],"uri":["http://zotero.org/users/5279374/items/I4GQ7Z8P"],"itemData":{"id":8702,"type":"report","title":"Australian Women and Girls with Disabilities Still Face Forced Sterilisation and Abortions","URL":"https://alhr.org.au/australian-women-girls-disabilities-still-face-forced-sterilisation-abortions/","author":[{"literal":"Australian Lawyers for Human Rights"}],"issued":{"date-parts":[["2018",7,28]]}}}],"schema":"https://github.com/citation-style-language/schema/raw/master/csl-citation.json"} </w:instrText>
      </w:r>
      <w:r w:rsidRPr="00CB3DBB">
        <w:rPr>
          <w:rFonts w:cstheme="minorHAnsi"/>
        </w:rPr>
        <w:fldChar w:fldCharType="separate"/>
      </w:r>
      <w:r w:rsidRPr="00573F56">
        <w:rPr>
          <w:rFonts w:ascii="Calibri" w:hAnsi="Calibri" w:cs="Calibri"/>
        </w:rPr>
        <w:t>Australian Lawyers for Human Rights (n 144).</w:t>
      </w:r>
      <w:r w:rsidRPr="00CB3DBB">
        <w:rPr>
          <w:rFonts w:cstheme="minorHAnsi"/>
        </w:rPr>
        <w:fldChar w:fldCharType="end"/>
      </w:r>
    </w:p>
  </w:endnote>
  <w:endnote w:id="156">
    <w:p w14:paraId="1F70D35A" w14:textId="5543F21F" w:rsidR="00A00236" w:rsidRPr="004707F6" w:rsidRDefault="00A00236" w:rsidP="006F1C20">
      <w:pPr>
        <w:pStyle w:val="EndnoteText"/>
        <w:rPr>
          <w:rFonts w:ascii="Calibri" w:hAnsi="Calibri" w:cs="Calibri"/>
          <w:szCs w:val="24"/>
        </w:rPr>
      </w:pPr>
      <w:r w:rsidRPr="00CB3DBB">
        <w:rPr>
          <w:rStyle w:val="EndnoteReference"/>
          <w:rFonts w:cstheme="minorHAnsi"/>
        </w:rPr>
        <w:endnoteRef/>
      </w:r>
      <w:r w:rsidRPr="00CB3DBB">
        <w:rPr>
          <w:rFonts w:cstheme="minorHAnsi"/>
        </w:rPr>
        <w:t xml:space="preserve"> </w:t>
      </w:r>
      <w:r w:rsidRPr="00CB3DBB">
        <w:rPr>
          <w:rFonts w:cstheme="minorHAnsi"/>
        </w:rPr>
        <w:fldChar w:fldCharType="begin"/>
      </w:r>
      <w:r>
        <w:rPr>
          <w:rFonts w:cstheme="minorHAnsi"/>
        </w:rPr>
        <w:instrText xml:space="preserve"> ADDIN ZOTERO_ITEM CSL_CITATION {"citationID":"CTdeHhZM","properties":{"formattedCitation":"Women Enabled International, {\\i{}Abortion and Disability: Towards an Intersectional Human Rights-Based Approach} (Women Enabled International, 2020) &lt;https://womenenabled.org/pdfs/Women%20Enabled%20International%20Abortion%20and%20Disability%20-%20Towards%20an%20Intersectional%20Human%20Rights-Based%20Approach%20January%202020.pdf&gt;.","plainCitation":"Women Enabled International, Abortion and Disability: Towards an Intersectional Human Rights-Based Approach (Women Enabled International, 2020) &lt;https://womenenabled.org/pdfs/Women%20Enabled%20International%20Abortion%20and%20Disability%20-%20Towards%20an%20Intersectional%20Human%20Rights-Based%20Approach%20January%202020.pdf&gt;.","noteIndex":156},"citationItems":[{"id":8708,"uris":["http://zotero.org/users/5279374/items/CW9B2YS8"],"uri":["http://zotero.org/users/5279374/items/CW9B2YS8"],"itemData":{"id":8708,"type":"report","event-place":"Washington DC","publisher":"Women Enabled International","publisher-place":"Washington DC","title":"Abortion and Disability: Towards an Intersectional Human Rights-Based Approach","URL":"https://womenenabled.org/pdfs/Women%20Enabled%20International%20Abortion%20and%20Disability%20-%20Towards%20an%20Intersectional%20Human%20Rights-Based%20Approach%20January%202020.pdf","author":[{"family":"Women Enabled International","given":""}],"issued":{"date-parts":[["2020"]]}}}],"schema":"https://github.com/citation-style-language/schema/raw/master/csl-citation.json"} </w:instrText>
      </w:r>
      <w:r w:rsidRPr="00CB3DBB">
        <w:rPr>
          <w:rFonts w:cstheme="minorHAnsi"/>
        </w:rPr>
        <w:fldChar w:fldCharType="separate"/>
      </w:r>
      <w:r w:rsidRPr="00CB3DBB">
        <w:rPr>
          <w:rFonts w:ascii="Calibri" w:hAnsi="Calibri" w:cs="Calibri"/>
          <w:szCs w:val="24"/>
        </w:rPr>
        <w:t>Women Enabled International</w:t>
      </w:r>
      <w:r w:rsidR="004707F6">
        <w:rPr>
          <w:rFonts w:ascii="Calibri" w:hAnsi="Calibri" w:cs="Calibri"/>
          <w:szCs w:val="24"/>
        </w:rPr>
        <w:t xml:space="preserve"> (2020)</w:t>
      </w:r>
      <w:r w:rsidRPr="00CB3DBB">
        <w:rPr>
          <w:rFonts w:ascii="Calibri" w:hAnsi="Calibri" w:cs="Calibri"/>
          <w:szCs w:val="24"/>
        </w:rPr>
        <w:t xml:space="preserve">, </w:t>
      </w:r>
      <w:r w:rsidR="004707F6">
        <w:rPr>
          <w:rFonts w:ascii="Calibri" w:hAnsi="Calibri" w:cs="Calibri"/>
          <w:i/>
          <w:iCs/>
          <w:szCs w:val="24"/>
        </w:rPr>
        <w:fldChar w:fldCharType="begin"/>
      </w:r>
      <w:r w:rsidR="004707F6">
        <w:rPr>
          <w:rFonts w:ascii="Calibri" w:hAnsi="Calibri" w:cs="Calibri"/>
          <w:i/>
          <w:iCs/>
          <w:szCs w:val="24"/>
        </w:rPr>
        <w:instrText xml:space="preserve"> HYPERLINK "https://womenenabled.org/pdfs/Women%20Enabled%20International%20Abortion%20and%20Disability%20-%20Towards%20an%20Intersectional%20Human%20Rights-Based%20Approach%20January%202020.pdf" </w:instrText>
      </w:r>
      <w:r w:rsidR="004707F6">
        <w:rPr>
          <w:rFonts w:ascii="Calibri" w:hAnsi="Calibri" w:cs="Calibri"/>
          <w:i/>
          <w:iCs/>
          <w:szCs w:val="24"/>
        </w:rPr>
      </w:r>
      <w:r w:rsidR="004707F6">
        <w:rPr>
          <w:rFonts w:ascii="Calibri" w:hAnsi="Calibri" w:cs="Calibri"/>
          <w:i/>
          <w:iCs/>
          <w:szCs w:val="24"/>
        </w:rPr>
        <w:fldChar w:fldCharType="separate"/>
      </w:r>
      <w:r w:rsidRPr="004707F6">
        <w:rPr>
          <w:rStyle w:val="Hyperlink"/>
          <w:rFonts w:ascii="Calibri" w:hAnsi="Calibri" w:cs="Calibri"/>
          <w:i/>
          <w:iCs/>
          <w:szCs w:val="24"/>
        </w:rPr>
        <w:t>Abortion and Disability: Towards an Intersectional Human Rights-Based Approach</w:t>
      </w:r>
      <w:r w:rsidR="004707F6">
        <w:rPr>
          <w:rFonts w:ascii="Calibri" w:hAnsi="Calibri" w:cs="Calibri"/>
          <w:i/>
          <w:iCs/>
          <w:szCs w:val="24"/>
        </w:rPr>
        <w:fldChar w:fldCharType="end"/>
      </w:r>
      <w:r w:rsidRPr="00CB3DBB">
        <w:rPr>
          <w:rFonts w:ascii="Calibri" w:hAnsi="Calibri" w:cs="Calibri"/>
          <w:szCs w:val="24"/>
        </w:rPr>
        <w:t xml:space="preserve"> (Women Enabled International, 2020).</w:t>
      </w:r>
      <w:r w:rsidRPr="00CB3DBB">
        <w:rPr>
          <w:rFonts w:cstheme="minorHAnsi"/>
        </w:rPr>
        <w:fldChar w:fldCharType="end"/>
      </w:r>
      <w:r w:rsidRPr="00CB3DBB">
        <w:rPr>
          <w:rFonts w:cstheme="minorHAnsi"/>
          <w:lang w:val="en-AU"/>
        </w:rPr>
        <w:t xml:space="preserve"> See also: </w:t>
      </w:r>
      <w:r w:rsidRPr="00CB3DBB">
        <w:rPr>
          <w:rFonts w:cstheme="minorHAnsi"/>
          <w:lang w:val="en-AU"/>
        </w:rPr>
        <w:fldChar w:fldCharType="begin"/>
      </w:r>
      <w:r>
        <w:rPr>
          <w:rFonts w:cstheme="minorHAnsi"/>
          <w:lang w:val="en-AU"/>
        </w:rPr>
        <w:instrText xml:space="preserve"> ADDIN ZOTERO_ITEM CSL_CITATION {"citationID":"N3OjERMK","properties":{"formattedCitation":"Women With Disabilities Australia, \\uc0\\u8216{}WWDA Position Statement 4: Sexual and Reproductive Rights\\uc0\\u8217{} (n 146) 4.","plainCitation":"Women With Disabilities Australia, ‘WWDA Position Statement 4: Sexual and Reproductive Rights’ (n 146) 4.","noteIndex":156},"citationItems":[{"id":6143,"uris":["http://zotero.org/groups/2733877/items/6V522IRC"],"uri":["http://zotero.org/groups/2733877/items/6V522IRC"],"itemData":{"id":6143,"type":"report","event-place":"Hobart, Tasmania","publisher":"Women With Disabilities Australia","publisher-place":"Hobart, Tasmania","title":"WWDA Position Statement 4: Sexual and Reproductive Rights","URL":"https://wwda.org.au/wp-content/uploads/2016/10/Position_Statement_4_-_Sexual_and_Reproductive_Rights_FINAL_WEB.pdf","author":[{"family":"Women With Disabilities Australia","given":""}],"issued":{"date-parts":[["2016",9]]}},"locator":"4"}],"schema":"https://github.com/citation-style-language/schema/raw/master/csl-citation.json"} </w:instrText>
      </w:r>
      <w:r w:rsidRPr="00CB3DBB">
        <w:rPr>
          <w:rFonts w:cstheme="minorHAnsi"/>
          <w:lang w:val="en-AU"/>
        </w:rPr>
        <w:fldChar w:fldCharType="separate"/>
      </w:r>
      <w:r w:rsidRPr="00573F56">
        <w:rPr>
          <w:rFonts w:ascii="Calibri" w:hAnsi="Calibri" w:cs="Calibri"/>
          <w:szCs w:val="24"/>
        </w:rPr>
        <w:t>Women With Disabilities Australia, ‘WWDA Position Statement 4: Sexual and Reproductive Rights’ (n 146) 4.</w:t>
      </w:r>
      <w:r w:rsidRPr="00CB3DBB">
        <w:rPr>
          <w:rFonts w:cstheme="minorHAnsi"/>
          <w:lang w:val="en-AU"/>
        </w:rPr>
        <w:fldChar w:fldCharType="end"/>
      </w:r>
    </w:p>
  </w:endnote>
  <w:endnote w:id="157">
    <w:p w14:paraId="03AC1914" w14:textId="61D061EA" w:rsidR="00A00236" w:rsidRPr="009664FB" w:rsidRDefault="00A00236">
      <w:pPr>
        <w:pStyle w:val="EndnoteText"/>
        <w:rPr>
          <w:rFonts w:cstheme="minorHAnsi"/>
          <w:lang w:val="en-AU"/>
        </w:rPr>
      </w:pPr>
      <w:r w:rsidRPr="009664FB">
        <w:rPr>
          <w:rStyle w:val="EndnoteReference"/>
          <w:rFonts w:cstheme="minorHAnsi"/>
        </w:rPr>
        <w:endnoteRef/>
      </w:r>
      <w:r w:rsidRPr="009664FB">
        <w:rPr>
          <w:rFonts w:cstheme="minorHAnsi"/>
        </w:rPr>
        <w:t xml:space="preserve"> </w:t>
      </w:r>
      <w:r w:rsidRPr="009664FB">
        <w:rPr>
          <w:rFonts w:cstheme="minorHAnsi"/>
        </w:rPr>
        <w:fldChar w:fldCharType="begin"/>
      </w:r>
      <w:r>
        <w:rPr>
          <w:rFonts w:cstheme="minorHAnsi"/>
        </w:rPr>
        <w:instrText xml:space="preserve"> ADDIN ZOTERO_ITEM CSL_CITATION {"citationID":"VA7zMGvt","properties":{"formattedCitation":"For example, in relation to cancer screening, see Women With Disabilities Australia, \\uc0\\u8216{}WWDA Position Statement 4: Sexual and Reproductive Rights\\uc0\\u8217{} (n 146) 11.","plainCitation":"For example, in relation to cancer screening, see Women With Disabilities Australia, ‘WWDA Position Statement 4: Sexual and Reproductive Rights’ (n 146) 11.","noteIndex":157},"citationItems":[{"id":6143,"uris":["http://zotero.org/groups/2733877/items/6V522IRC"],"uri":["http://zotero.org/groups/2733877/items/6V522IRC"],"itemData":{"id":6143,"type":"report","event-place":"Hobart, Tasmania","publisher":"Women With Disabilities Australia","publisher-place":"Hobart, Tasmania","title":"WWDA Position Statement 4: Sexual and Reproductive Rights","URL":"https://wwda.org.au/wp-content/uploads/2016/10/Position_Statement_4_-_Sexual_and_Reproductive_Rights_FINAL_WEB.pdf","author":[{"family":"Women With Disabilities Australia","given":""}],"issued":{"date-parts":[["2016",9]]}},"locator":"11","prefix":"For example, in relation to cancer screening, see"}],"schema":"https://github.com/citation-style-language/schema/raw/master/csl-citation.json"} </w:instrText>
      </w:r>
      <w:r w:rsidRPr="009664FB">
        <w:rPr>
          <w:rFonts w:cstheme="minorHAnsi"/>
        </w:rPr>
        <w:fldChar w:fldCharType="separate"/>
      </w:r>
      <w:r w:rsidRPr="00573F56">
        <w:rPr>
          <w:rFonts w:ascii="Calibri" w:hAnsi="Calibri" w:cs="Calibri"/>
          <w:szCs w:val="24"/>
        </w:rPr>
        <w:t>For example, in relation to cancer screening, see Women With Disabilities Australia, ‘WWDA Position Statement 4: Sexual and Reproductive Rights’ (n 146) 11.</w:t>
      </w:r>
      <w:r w:rsidRPr="009664FB">
        <w:rPr>
          <w:rFonts w:cstheme="minorHAnsi"/>
        </w:rPr>
        <w:fldChar w:fldCharType="end"/>
      </w:r>
    </w:p>
  </w:endnote>
  <w:endnote w:id="158">
    <w:p w14:paraId="6BD864ED" w14:textId="0D21D518" w:rsidR="00A00236" w:rsidRPr="009664FB" w:rsidRDefault="00A00236">
      <w:pPr>
        <w:pStyle w:val="EndnoteText"/>
        <w:rPr>
          <w:rFonts w:cstheme="minorHAnsi"/>
          <w:lang w:val="en-AU"/>
        </w:rPr>
      </w:pPr>
      <w:r w:rsidRPr="009664FB">
        <w:rPr>
          <w:rStyle w:val="EndnoteReference"/>
          <w:rFonts w:cstheme="minorHAnsi"/>
        </w:rPr>
        <w:endnoteRef/>
      </w:r>
      <w:r w:rsidRPr="009664FB">
        <w:rPr>
          <w:rFonts w:cstheme="minorHAnsi"/>
        </w:rPr>
        <w:t xml:space="preserve"> </w:t>
      </w:r>
      <w:r w:rsidRPr="009664FB">
        <w:rPr>
          <w:rFonts w:cstheme="minorHAnsi"/>
        </w:rPr>
        <w:fldChar w:fldCharType="begin"/>
      </w:r>
      <w:r>
        <w:rPr>
          <w:rFonts w:cstheme="minorHAnsi"/>
        </w:rPr>
        <w:instrText xml:space="preserve"> ADDIN ZOTERO_ITEM CSL_CITATION {"citationID":"jzm7uksZ","properties":{"formattedCitation":"Ibid 10.","plainCitation":"Ibid 10.","noteIndex":158},"citationItems":[{"id":6143,"uris":["http://zotero.org/groups/2733877/items/6V522IRC"],"uri":["http://zotero.org/groups/2733877/items/6V522IRC"],"itemData":{"id":6143,"type":"report","event-place":"Hobart, Tasmania","publisher":"Women With Disabilities Australia","publisher-place":"Hobart, Tasmania","title":"WWDA Position Statement 4: Sexual and Reproductive Rights","URL":"https://wwda.org.au/wp-content/uploads/2016/10/Position_Statement_4_-_Sexual_and_Reproductive_Rights_FINAL_WEB.pdf","author":[{"family":"Women With Disabilities Australia","given":""}],"issued":{"date-parts":[["2016",9]]}},"locator":"10"}],"schema":"https://github.com/citation-style-language/schema/raw/master/csl-citation.json"} </w:instrText>
      </w:r>
      <w:r w:rsidRPr="009664FB">
        <w:rPr>
          <w:rFonts w:cstheme="minorHAnsi"/>
        </w:rPr>
        <w:fldChar w:fldCharType="separate"/>
      </w:r>
      <w:r w:rsidRPr="009664FB">
        <w:rPr>
          <w:rFonts w:cstheme="minorHAnsi"/>
        </w:rPr>
        <w:t>Ibid 10.</w:t>
      </w:r>
      <w:r w:rsidRPr="009664FB">
        <w:rPr>
          <w:rFonts w:cstheme="minorHAnsi"/>
        </w:rPr>
        <w:fldChar w:fldCharType="end"/>
      </w:r>
    </w:p>
  </w:endnote>
  <w:endnote w:id="159">
    <w:p w14:paraId="4B86F840" w14:textId="413550B6" w:rsidR="00A00236" w:rsidRPr="00FA5F45" w:rsidRDefault="00A00236" w:rsidP="00FA5F45">
      <w:pPr>
        <w:pStyle w:val="EndnoteText"/>
      </w:pPr>
      <w:r w:rsidRPr="00FA5F45">
        <w:rPr>
          <w:rStyle w:val="EndnoteReference"/>
          <w:rFonts w:cstheme="minorHAnsi"/>
        </w:rPr>
        <w:endnoteRef/>
      </w:r>
      <w:r w:rsidRPr="00FA5F45">
        <w:rPr>
          <w:rFonts w:cstheme="minorHAnsi"/>
        </w:rPr>
        <w:t xml:space="preserve"> </w:t>
      </w:r>
      <w:r w:rsidRPr="00FA5F45">
        <w:rPr>
          <w:rStyle w:val="Hyperlink"/>
          <w:rFonts w:cstheme="minorHAnsi"/>
          <w:color w:val="000000" w:themeColor="text1"/>
          <w:u w:val="none"/>
        </w:rPr>
        <w:t>Australian Council of Human Rights (ACHRA)</w:t>
      </w:r>
      <w:r w:rsidR="00795E16" w:rsidRPr="00FA5F45">
        <w:rPr>
          <w:rStyle w:val="Hyperlink"/>
          <w:rFonts w:cstheme="minorHAnsi"/>
          <w:color w:val="000000" w:themeColor="text1"/>
          <w:u w:val="none"/>
        </w:rPr>
        <w:t xml:space="preserve">(2013), cited in </w:t>
      </w:r>
      <w:hyperlink r:id="rId4" w:history="1">
        <w:r w:rsidR="00DE6145" w:rsidRPr="00FA5F45">
          <w:rPr>
            <w:rStyle w:val="Hyperlink"/>
            <w:rFonts w:cstheme="minorHAnsi"/>
          </w:rPr>
          <w:t>Disability Rights Now 2019: Australian Civil Society Shadow Report to the United Nations Committee on the Rights of Persons with Disabilities (2019) in response to the List of issues prior to the submission of the combined second and third periodic report</w:t>
        </w:r>
      </w:hyperlink>
      <w:r w:rsidR="00795E16" w:rsidRPr="00FA5F45">
        <w:rPr>
          <w:rStyle w:val="Hyperlink"/>
          <w:rFonts w:cstheme="minorHAnsi"/>
          <w:color w:val="000000" w:themeColor="text1"/>
          <w:u w:val="none"/>
        </w:rPr>
        <w:t xml:space="preserve"> [CRPD/C/AUS/QPR/2-3]. Compiled by the Australian Civil Society CRPD Shadow Report Working Group, July 2019</w:t>
      </w:r>
      <w:r w:rsidR="00795E16" w:rsidRPr="00FA5F45">
        <w:rPr>
          <w:rStyle w:val="Hyperlink"/>
          <w:rFonts w:cstheme="minorHAnsi"/>
          <w:color w:val="000000" w:themeColor="text1"/>
          <w:u w:val="none"/>
        </w:rPr>
        <w:t xml:space="preserve">. </w:t>
      </w:r>
      <w:r w:rsidRPr="00FA5F45">
        <w:rPr>
          <w:rFonts w:cstheme="minorHAnsi"/>
          <w:color w:val="000000" w:themeColor="text1"/>
        </w:rPr>
        <w:t>There are few long-term and</w:t>
      </w:r>
      <w:r w:rsidRPr="00CB3DBB">
        <w:rPr>
          <w:rFonts w:cstheme="minorHAnsi"/>
          <w:color w:val="000000" w:themeColor="text1"/>
        </w:rPr>
        <w:t xml:space="preserve"> intensive parenting support programs for parents with disability, despite indications that these programs are very successful. See: </w:t>
      </w:r>
      <w:r w:rsidRPr="00CB3DBB">
        <w:rPr>
          <w:rFonts w:cstheme="minorHAnsi"/>
          <w:color w:val="000000" w:themeColor="text1"/>
        </w:rPr>
        <w:fldChar w:fldCharType="begin"/>
      </w:r>
      <w:r>
        <w:rPr>
          <w:rFonts w:cstheme="minorHAnsi"/>
          <w:color w:val="000000" w:themeColor="text1"/>
        </w:rPr>
        <w:instrText xml:space="preserve"> ADDIN ZOTERO_ITEM CSL_CITATION {"citationID":"siIsXCD9","properties":{"formattedCitation":"National Association of Community Legal Centres and Kingsford Legal Centre, {\\i{}United Nations Committee on Economic, Social and Cultural Rights Review of Australia Fifth Periodic Report under the International Covenant on Economic, Social and Cultural  Rights: Australian NGO Coalition Submission} (May 2017) &lt;https://www.klc.unsw.edu.au/sites/default/files/documents/ICESCR%20Final%20Report%20May17_0.pdf&gt;.","plainCitation":"National Association of Community Legal Centres and Kingsford Legal Centre, United Nations Committee on Economic, Social and Cultural Rights Review of Australia Fifth Periodic Report under the International Covenant on Economic, Social and Cultural  Rights: Australian NGO Coalition Submission (May 2017) &lt;https://www.klc.unsw.edu.au/sites/default/files/documents/ICESCR%20Final%20Report%20May17_0.pdf&gt;.","noteIndex":159},"citationItems":[{"id":8709,"uris":["http://zotero.org/users/5279374/items/9GAPPSAV"],"uri":["http://zotero.org/users/5279374/items/9GAPPSAV"],"itemData":{"id":8709,"type":"report","title":"United Nations Committee on Economic, Social and Cultural Rights Review of Australia Fifth Periodic Report under the International Covenant on Economic, Social and Cultural  Rights: Australian NGO Coalition Submission","URL":"https://www.klc.unsw.edu.au/sites/default/files/documents/ICESCR%20Final%20Report%20May17_0.pdf","author":[{"family":"National Association of Community Legal Centres","given":""},{"family":"Kingsford Legal Centre","given":""}],"issued":{"date-parts":[["2017",5]]}}}],"schema":"https://github.com/citation-style-language/schema/raw/master/csl-citation.json"} </w:instrText>
      </w:r>
      <w:r w:rsidRPr="00CB3DBB">
        <w:rPr>
          <w:rFonts w:cstheme="minorHAnsi"/>
          <w:color w:val="000000" w:themeColor="text1"/>
        </w:rPr>
        <w:fldChar w:fldCharType="separate"/>
      </w:r>
      <w:r w:rsidRPr="00CB3DBB">
        <w:rPr>
          <w:rFonts w:ascii="Calibri" w:hAnsi="Calibri" w:cs="Calibri"/>
          <w:szCs w:val="24"/>
        </w:rPr>
        <w:t xml:space="preserve">National Association of Community Legal Centres and Kingsford Legal Centre, </w:t>
      </w:r>
      <w:r w:rsidRPr="00CB3DBB">
        <w:rPr>
          <w:rFonts w:ascii="Calibri" w:hAnsi="Calibri" w:cs="Calibri"/>
          <w:i/>
          <w:iCs/>
          <w:szCs w:val="24"/>
        </w:rPr>
        <w:t>United Nations Committee on Economic, Social and Cultural Rights Review of Australia Fifth Periodic Report under the International Covenant on Economic, Social and Cultural Rights: Australian NGO Coalition Submission</w:t>
      </w:r>
      <w:r w:rsidRPr="00CB3DBB">
        <w:rPr>
          <w:rFonts w:ascii="Calibri" w:hAnsi="Calibri" w:cs="Calibri"/>
          <w:szCs w:val="24"/>
        </w:rPr>
        <w:t xml:space="preserve"> (May 2017) &lt;https://www.klc.unsw.edu.au/sites/default/files/documents/ICESCR%20Final%20Report%20May17_0.pdf&gt;.</w:t>
      </w:r>
      <w:r w:rsidRPr="00CB3DBB">
        <w:rPr>
          <w:rFonts w:cstheme="minorHAnsi"/>
          <w:color w:val="000000" w:themeColor="text1"/>
        </w:rPr>
        <w:fldChar w:fldCharType="end"/>
      </w:r>
      <w:r w:rsidRPr="00CB3DBB">
        <w:t xml:space="preserve"> </w:t>
      </w:r>
      <w:r w:rsidRPr="00CB3DBB">
        <w:rPr>
          <w:rFonts w:cstheme="minorHAnsi"/>
          <w:color w:val="000000" w:themeColor="text1"/>
        </w:rPr>
        <w:t xml:space="preserve">See also: </w:t>
      </w:r>
      <w:r w:rsidRPr="00FA5F45">
        <w:rPr>
          <w:rFonts w:cstheme="minorHAnsi"/>
          <w:color w:val="000000" w:themeColor="text1"/>
          <w:lang w:val="en-US"/>
        </w:rPr>
        <w:t>Victorian Office of the Public Advocate (OPA) (201</w:t>
      </w:r>
      <w:r w:rsidR="00FA5F45" w:rsidRPr="00FA5F45">
        <w:rPr>
          <w:rFonts w:cstheme="minorHAnsi"/>
          <w:color w:val="000000" w:themeColor="text1"/>
          <w:lang w:val="en-US"/>
        </w:rPr>
        <w:t>3</w:t>
      </w:r>
      <w:r w:rsidRPr="00FA5F45">
        <w:rPr>
          <w:rFonts w:cstheme="minorHAnsi"/>
          <w:color w:val="000000" w:themeColor="text1"/>
          <w:lang w:val="en-US"/>
        </w:rPr>
        <w:t xml:space="preserve">) </w:t>
      </w:r>
      <w:hyperlink r:id="rId5" w:history="1">
        <w:r w:rsidR="00FA5F45" w:rsidRPr="00FA5F45">
          <w:rPr>
            <w:rStyle w:val="Hyperlink"/>
          </w:rPr>
          <w:t>Whatever happened to the village?</w:t>
        </w:r>
        <w:r w:rsidR="00FA5F45" w:rsidRPr="00FA5F45">
          <w:rPr>
            <w:rStyle w:val="Hyperlink"/>
          </w:rPr>
          <w:t xml:space="preserve"> </w:t>
        </w:r>
        <w:r w:rsidR="00FA5F45" w:rsidRPr="00FA5F45">
          <w:rPr>
            <w:rStyle w:val="Hyperlink"/>
          </w:rPr>
          <w:t>The removal of children from parents with a disability</w:t>
        </w:r>
        <w:r w:rsidR="00FA5F45" w:rsidRPr="00FA5F45">
          <w:rPr>
            <w:rStyle w:val="Hyperlink"/>
          </w:rPr>
          <w:t xml:space="preserve"> </w:t>
        </w:r>
        <w:r w:rsidR="00FA5F45" w:rsidRPr="00FA5F45">
          <w:rPr>
            <w:rStyle w:val="Hyperlink"/>
          </w:rPr>
          <w:t>Report 1: Family law – the hidden issues</w:t>
        </w:r>
      </w:hyperlink>
      <w:r w:rsidR="00FA5F45">
        <w:t xml:space="preserve">. Written by John Chesterman and </w:t>
      </w:r>
      <w:r w:rsidR="00FA5F45" w:rsidRPr="00FA5F45">
        <w:t>Barbara Carter</w:t>
      </w:r>
      <w:r w:rsidR="00FA5F45">
        <w:t xml:space="preserve"> for the OPA, Melbourne, Victoria.</w:t>
      </w:r>
    </w:p>
  </w:endnote>
  <w:endnote w:id="160">
    <w:p w14:paraId="5357ACDA" w14:textId="7011942D" w:rsidR="00A00236" w:rsidRPr="00CB3DBB" w:rsidRDefault="00A00236" w:rsidP="0058060C">
      <w:pPr>
        <w:pStyle w:val="EndnoteText"/>
        <w:rPr>
          <w:rFonts w:cstheme="minorHAnsi"/>
        </w:rPr>
      </w:pPr>
      <w:r w:rsidRPr="00CB3DBB">
        <w:rPr>
          <w:rStyle w:val="EndnoteReference"/>
          <w:rFonts w:cstheme="minorHAnsi"/>
        </w:rPr>
        <w:endnoteRef/>
      </w:r>
      <w:r w:rsidRPr="00CB3DBB">
        <w:rPr>
          <w:rFonts w:cstheme="minorHAnsi"/>
        </w:rPr>
        <w:t xml:space="preserve"> </w:t>
      </w:r>
      <w:r w:rsidRPr="00CB3DBB">
        <w:rPr>
          <w:rFonts w:cstheme="minorHAnsi"/>
        </w:rPr>
        <w:fldChar w:fldCharType="begin"/>
      </w:r>
      <w:r>
        <w:rPr>
          <w:rFonts w:cstheme="minorHAnsi"/>
        </w:rPr>
        <w:instrText xml:space="preserve"> ADDIN ZOTERO_ITEM CSL_CITATION {"citationID":"xVwjUEdn","properties":{"formattedCitation":"Committee on the Rights of Persons with Disabilities, \\uc0\\u8216{}Concluding Observations on the Combined Second and Third Periodic Reports of Australia, Adopted by the Committee at Its 511th Meeting (20 September 2019) of the 22nd Session\\uc0\\u8217{} (n 14).","plainCitation":"Committee on the Rights of Persons with Disabilities, ‘Concluding Observations on the Combined Second and Third Periodic Reports of Australia, Adopted by the Committee at Its 511th Meeting (20 September 2019) of the 22nd Session’ (n 14).","noteIndex":160},"citationItems":[{"id":5930,"uris":["http://zotero.org/groups/2733877/items/22NEYWVV"],"uri":["http://zotero.org/groups/2733877/items/22NEYWVV"],"itemData":{"id":5930,"type":"report","collection-title":"UN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Disabilities","given":""}],"issued":{"date-parts":[["2019",10,15]]}}}],"schema":"https://github.com/citation-style-language/schema/raw/master/csl-citation.json"} </w:instrText>
      </w:r>
      <w:r w:rsidRPr="00CB3DBB">
        <w:rPr>
          <w:rFonts w:cstheme="minorHAnsi"/>
        </w:rPr>
        <w:fldChar w:fldCharType="separate"/>
      </w:r>
      <w:r w:rsidRPr="00CB3DBB">
        <w:rPr>
          <w:rFonts w:ascii="Calibri" w:hAnsi="Calibri" w:cs="Calibri"/>
          <w:szCs w:val="24"/>
        </w:rPr>
        <w:t>Committee on the Rights of Persons with Disabilities, ‘Concluding Observations on the Combined Second and Third Periodic Reports of Australia, Adopted by the Committee at Its 511th Meeting (20 September 2019) of the 22nd Session’ (n 14).</w:t>
      </w:r>
      <w:r w:rsidRPr="00CB3DBB">
        <w:rPr>
          <w:rFonts w:cstheme="minorHAnsi"/>
        </w:rPr>
        <w:fldChar w:fldCharType="end"/>
      </w:r>
    </w:p>
  </w:endnote>
  <w:endnote w:id="161">
    <w:p w14:paraId="3EFF44E1" w14:textId="0F49B001" w:rsidR="00A00236" w:rsidRPr="009664FB" w:rsidRDefault="00A00236" w:rsidP="00564D49">
      <w:pPr>
        <w:pStyle w:val="EndnoteText"/>
        <w:rPr>
          <w:rFonts w:cstheme="minorHAnsi"/>
        </w:rPr>
      </w:pPr>
      <w:r w:rsidRPr="00CB3DBB">
        <w:rPr>
          <w:rStyle w:val="EndnoteReference"/>
          <w:rFonts w:cstheme="minorHAnsi"/>
        </w:rPr>
        <w:endnoteRef/>
      </w:r>
      <w:r w:rsidRPr="00CB3DBB">
        <w:rPr>
          <w:rFonts w:cstheme="minorHAnsi"/>
        </w:rPr>
        <w:t xml:space="preserve"> </w:t>
      </w:r>
      <w:r w:rsidRPr="00CB3DBB">
        <w:rPr>
          <w:rFonts w:cstheme="minorHAnsi"/>
        </w:rPr>
        <w:fldChar w:fldCharType="begin"/>
      </w:r>
      <w:r>
        <w:rPr>
          <w:rFonts w:cstheme="minorHAnsi"/>
        </w:rPr>
        <w:instrText xml:space="preserve"> ADDIN ZOTERO_ITEM CSL_CITATION {"citationID":"o0WJb5WO","properties":{"formattedCitation":"Ibid.","plainCitation":"Ibid.","noteIndex":161},"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Disabilities","given":""}],"issued":{"date-parts":[["2019",10,15]]}}}],"schema":"https://github.com/citation-style-language/schema/raw/master/csl-citation.json"} </w:instrText>
      </w:r>
      <w:r w:rsidRPr="00CB3DBB">
        <w:rPr>
          <w:rFonts w:cstheme="minorHAnsi"/>
        </w:rPr>
        <w:fldChar w:fldCharType="separate"/>
      </w:r>
      <w:r w:rsidRPr="00CB3DBB">
        <w:rPr>
          <w:rFonts w:ascii="Calibri" w:hAnsi="Calibri" w:cs="Calibri"/>
        </w:rPr>
        <w:t>Ibid.</w:t>
      </w:r>
      <w:r w:rsidRPr="00CB3DBB">
        <w:rPr>
          <w:rFonts w:cstheme="minorHAnsi"/>
        </w:rPr>
        <w:fldChar w:fldCharType="end"/>
      </w:r>
    </w:p>
  </w:endnote>
  <w:endnote w:id="162">
    <w:p w14:paraId="3BDEF743" w14:textId="0722E147" w:rsidR="00A00236" w:rsidRPr="009664FB" w:rsidRDefault="00A00236">
      <w:pPr>
        <w:pStyle w:val="EndnoteText"/>
        <w:rPr>
          <w:rFonts w:cstheme="minorHAnsi"/>
          <w:lang w:val="en-AU"/>
        </w:rPr>
      </w:pPr>
      <w:r w:rsidRPr="009664FB">
        <w:rPr>
          <w:rStyle w:val="EndnoteReference"/>
          <w:rFonts w:cstheme="minorHAnsi"/>
        </w:rPr>
        <w:endnoteRef/>
      </w:r>
      <w:r w:rsidRPr="009664FB">
        <w:rPr>
          <w:rFonts w:cstheme="minorHAnsi"/>
        </w:rPr>
        <w:t xml:space="preserve"> </w:t>
      </w:r>
      <w:r w:rsidRPr="009664FB">
        <w:rPr>
          <w:rFonts w:cstheme="minorHAnsi"/>
        </w:rPr>
        <w:fldChar w:fldCharType="begin"/>
      </w:r>
      <w:r>
        <w:rPr>
          <w:rFonts w:cstheme="minorHAnsi"/>
        </w:rPr>
        <w:instrText xml:space="preserve"> ADDIN ZOTERO_ITEM CSL_CITATION {"citationID":"vZVV27aa","properties":{"formattedCitation":"Women With Disabilities Australia, \\uc0\\u8216{}WWDA Position Statement 4: Sexual and Reproductive Rights\\uc0\\u8217{} (n 146) 10.","plainCitation":"Women With Disabilities Australia, ‘WWDA Position Statement 4: Sexual and Reproductive Rights’ (n 146) 10.","noteIndex":162},"citationItems":[{"id":6143,"uris":["http://zotero.org/groups/2733877/items/6V522IRC"],"uri":["http://zotero.org/groups/2733877/items/6V522IRC"],"itemData":{"id":6143,"type":"report","event-place":"Hobart, Tasmania","publisher":"Women With Disabilities Australia","publisher-place":"Hobart, Tasmania","title":"WWDA Position Statement 4: Sexual and Reproductive Rights","URL":"https://wwda.org.au/wp-content/uploads/2016/10/Position_Statement_4_-_Sexual_and_Reproductive_Rights_FINAL_WEB.pdf","author":[{"family":"Women With Disabilities Australia","given":""}],"issued":{"date-parts":[["2016",9]]}},"locator":"10"}],"schema":"https://github.com/citation-style-language/schema/raw/master/csl-citation.json"} </w:instrText>
      </w:r>
      <w:r w:rsidRPr="009664FB">
        <w:rPr>
          <w:rFonts w:cstheme="minorHAnsi"/>
        </w:rPr>
        <w:fldChar w:fldCharType="separate"/>
      </w:r>
      <w:r w:rsidRPr="00573F56">
        <w:rPr>
          <w:rFonts w:ascii="Calibri" w:hAnsi="Calibri" w:cs="Calibri"/>
          <w:szCs w:val="24"/>
        </w:rPr>
        <w:t>Women With Disabilities Australia, ‘WWDA Position Statement 4: Sexual and Reproductive Rights’ (n 146) 10.</w:t>
      </w:r>
      <w:r w:rsidRPr="009664FB">
        <w:rPr>
          <w:rFonts w:cstheme="minorHAnsi"/>
        </w:rPr>
        <w:fldChar w:fldCharType="end"/>
      </w:r>
    </w:p>
  </w:endnote>
  <w:endnote w:id="163">
    <w:p w14:paraId="38B1506A" w14:textId="50EDB8DA" w:rsidR="00A00236" w:rsidRPr="003F3D6D" w:rsidRDefault="00A00236" w:rsidP="005B710B">
      <w:pPr>
        <w:pStyle w:val="EndnoteText"/>
        <w:rPr>
          <w:rFonts w:cstheme="minorHAnsi"/>
          <w:lang w:val="en-AU"/>
        </w:rPr>
      </w:pPr>
      <w:r w:rsidRPr="009664FB">
        <w:rPr>
          <w:rStyle w:val="EndnoteReference"/>
          <w:rFonts w:cstheme="minorHAnsi"/>
        </w:rPr>
        <w:endnoteRef/>
      </w:r>
      <w:r w:rsidRPr="009664FB">
        <w:rPr>
          <w:rFonts w:cstheme="minorHAnsi"/>
        </w:rPr>
        <w:t xml:space="preserve"> </w:t>
      </w:r>
      <w:r w:rsidRPr="009664FB">
        <w:rPr>
          <w:rFonts w:cstheme="minorHAnsi"/>
        </w:rPr>
        <w:fldChar w:fldCharType="begin"/>
      </w:r>
      <w:r>
        <w:rPr>
          <w:rFonts w:cstheme="minorHAnsi"/>
        </w:rPr>
        <w:instrText xml:space="preserve"> ADDIN ZOTERO_ITEM CSL_CITATION {"citationID":"a5poI6RU","properties":{"formattedCitation":"Alison Kafer, {\\i{}Feminist, Queer, Crip} (Indiana University Press, 2013) &lt;https://iupress.org/9780253009340/feminist-queer-crip/&gt;.","plainCitation":"Alison Kafer, Feminist, Queer, Crip (Indiana University Press, 2013) &lt;https://iupress.org/9780253009340/feminist-queer-crip/&gt;.","noteIndex":163},"citationItems":[{"id":6084,"uris":["http://zotero.org/groups/2733877/items/REYPHRWH"],"uri":["http://zotero.org/groups/2733877/items/REYPHRWH"],"itemData":{"id":6084,"type":"book","abstract":"In Feminist, Queer, Crip Alison Kafer imagines a different future for disability and disabled bodies. Challenging the ways in which ideas about the future an...","event-place":"United States","language":"en-US","publisher":"Indiana University Press","publisher-place":"United States","title":"Feminist, Queer, Crip","URL":"https://iupress.org/9780253009340/feminist-queer-crip/","author":[{"family":"Kafer","given":"Alison"}],"accessed":{"date-parts":[["2021",2,2]]},"issued":{"date-parts":[["2013"]]}}}],"schema":"https://github.com/citation-style-language/schema/raw/master/csl-citation.json"} </w:instrText>
      </w:r>
      <w:r w:rsidRPr="009664FB">
        <w:rPr>
          <w:rFonts w:cstheme="minorHAnsi"/>
        </w:rPr>
        <w:fldChar w:fldCharType="separate"/>
      </w:r>
      <w:r w:rsidRPr="009664FB">
        <w:rPr>
          <w:rFonts w:cstheme="minorHAnsi"/>
        </w:rPr>
        <w:t xml:space="preserve">Alison Kafer, </w:t>
      </w:r>
      <w:r w:rsidRPr="009664FB">
        <w:rPr>
          <w:rFonts w:cstheme="minorHAnsi"/>
          <w:i/>
          <w:iCs/>
        </w:rPr>
        <w:t>Feminist, Queer, Crip</w:t>
      </w:r>
      <w:r w:rsidRPr="009664FB">
        <w:rPr>
          <w:rFonts w:cstheme="minorHAnsi"/>
        </w:rPr>
        <w:t xml:space="preserve"> (Indiana University Press, 2013) &lt;https://iupress.org/9780253009340/feminist-queer-crip/&gt;.</w:t>
      </w:r>
      <w:r w:rsidRPr="009664FB">
        <w:rPr>
          <w:rFonts w:cstheme="minorHAnsi"/>
        </w:rPr>
        <w:fldChar w:fldCharType="end"/>
      </w:r>
    </w:p>
  </w:endnote>
  <w:endnote w:id="164">
    <w:p w14:paraId="0E82701A" w14:textId="0AE78FD0" w:rsidR="00A00236" w:rsidRPr="003F3D6D" w:rsidRDefault="00A00236" w:rsidP="0027388D">
      <w:pPr>
        <w:pStyle w:val="EndnoteText"/>
        <w:rPr>
          <w:rFonts w:cstheme="minorHAnsi"/>
          <w:lang w:val="en-AU"/>
        </w:rPr>
      </w:pPr>
      <w:r w:rsidRPr="003F3D6D">
        <w:rPr>
          <w:rStyle w:val="EndnoteReference"/>
          <w:rFonts w:cstheme="minorHAnsi"/>
        </w:rPr>
        <w:endnoteRef/>
      </w:r>
      <w:r w:rsidRPr="003F3D6D">
        <w:rPr>
          <w:rFonts w:cstheme="minorHAnsi"/>
        </w:rPr>
        <w:t xml:space="preserve"> </w:t>
      </w:r>
      <w:r>
        <w:rPr>
          <w:rFonts w:cstheme="minorHAnsi"/>
        </w:rPr>
        <w:fldChar w:fldCharType="begin"/>
      </w:r>
      <w:r>
        <w:rPr>
          <w:rFonts w:cstheme="minorHAnsi"/>
        </w:rPr>
        <w:instrText xml:space="preserve"> ADDIN ZOTERO_ITEM CSL_CITATION {"citationID":"LaqiVi1a","properties":{"formattedCitation":"Luke Henriques-Gomes, \\uc0\\u8216{}Stuart Robert Condemned for Plan to Deny People with Disability Access to Sex Worker Services\\uc0\\u8217{}, {\\i{}The Guardian (Online)} (online, 3 February 2021) &lt;https://www.theguardian.com/australia-news/2021/feb/03/stuart-robert-condemned-for-plan-to-deny-people-with-disability-access-to-sex-worker-services&gt;.","plainCitation":"Luke Henriques-Gomes, ‘Stuart Robert Condemned for Plan to Deny People with Disability Access to Sex Worker Services’, The Guardian (Online) (online, 3 February 2021) &lt;https://www.theguardian.com/australia-news/2021/feb/03/stuart-robert-condemned-for-plan-to-deny-people-with-disability-access-to-sex-worker-services&gt;.","noteIndex":164},"citationItems":[{"id":6166,"uris":["http://zotero.org/groups/2733877/items/VRE9UIXV"],"uri":["http://zotero.org/groups/2733877/items/VRE9UIXV"],"itemData":{"id":6166,"type":"article-newspaper","container-title":"The Guardian (Online)","title":"Stuart Robert condemned for plan to deny people with disability access to sex worker services","URL":"https://www.theguardian.com/australia-news/2021/feb/03/stuart-robert-condemned-for-plan-to-deny-people-with-disability-access-to-sex-worker-services","author":[{"family":"Henriques-Gomes","given":"Luke"}],"issued":{"date-parts":[["2021",2,3]]}}}],"schema":"https://github.com/citation-style-language/schema/raw/master/csl-citation.json"} </w:instrText>
      </w:r>
      <w:r>
        <w:rPr>
          <w:rFonts w:cstheme="minorHAnsi"/>
        </w:rPr>
        <w:fldChar w:fldCharType="separate"/>
      </w:r>
      <w:r w:rsidRPr="00221488">
        <w:rPr>
          <w:rFonts w:ascii="Calibri" w:hAnsi="Calibri" w:cs="Calibri"/>
          <w:szCs w:val="24"/>
        </w:rPr>
        <w:t xml:space="preserve">Luke Henriques-Gomes, ‘Stuart Robert Condemned for Plan to Deny People with Disability Access to Sex Worker Services’, </w:t>
      </w:r>
      <w:r w:rsidRPr="00221488">
        <w:rPr>
          <w:rFonts w:ascii="Calibri" w:hAnsi="Calibri" w:cs="Calibri"/>
          <w:i/>
          <w:iCs/>
          <w:szCs w:val="24"/>
        </w:rPr>
        <w:t>The Guardian (Online)</w:t>
      </w:r>
      <w:r w:rsidRPr="00221488">
        <w:rPr>
          <w:rFonts w:ascii="Calibri" w:hAnsi="Calibri" w:cs="Calibri"/>
          <w:szCs w:val="24"/>
        </w:rPr>
        <w:t xml:space="preserve"> (online, 3 February 2021) &lt;https://www.theguardian.com/australia-news/2021/feb/03/stuart-robert-condemned-for-plan-to-deny-people-with-disability-access-to-sex-worker-services&gt;.</w:t>
      </w:r>
      <w:r>
        <w:rPr>
          <w:rFonts w:cstheme="minorHAnsi"/>
        </w:rPr>
        <w:fldChar w:fldCharType="end"/>
      </w:r>
    </w:p>
  </w:endnote>
  <w:endnote w:id="165">
    <w:p w14:paraId="6228EB0A" w14:textId="240FBFD4" w:rsidR="00A00236" w:rsidRPr="00722E72" w:rsidRDefault="00A00236">
      <w:pPr>
        <w:pStyle w:val="EndnoteText"/>
        <w:rPr>
          <w:lang w:val="en-AU"/>
        </w:rPr>
      </w:pPr>
      <w:r>
        <w:rPr>
          <w:rStyle w:val="EndnoteReference"/>
        </w:rPr>
        <w:endnoteRef/>
      </w:r>
      <w:r>
        <w:t xml:space="preserve"> </w:t>
      </w:r>
      <w:r>
        <w:fldChar w:fldCharType="begin"/>
      </w:r>
      <w:r>
        <w:instrText xml:space="preserve"> ADDIN ZOTERO_ITEM CSL_CITATION {"citationID":"9DXRLm6g","properties":{"formattedCitation":"{\\i{}WRMF and National Disability Insurance Agency [2019] AATA 1771} (Administrative Appeals Tribunal, 8 July 2019); {\\i{}National Disability Insurance Agency v WRMF [2020] FCAFC 79} (Federal Court, 12 May 2020).","plainCitation":"WRMF and National Disability Insurance Agency [2019] AATA 1771 (Administrative Appeals Tribunal, 8 July 2019); National Disability Insurance Agency v WRMF [2020] FCAFC 79 (Federal Court, 12 May 2020).","noteIndex":165},"citationItems":[{"id":8568,"uris":["http://zotero.org/users/5279374/items/Q84E5I9S"],"uri":["http://zotero.org/users/5279374/items/Q84E5I9S"],"itemData":{"id":8568,"type":"legal_case","authority":"Administrative Appeals Tribunal","title":"WRMF and National Disability Insurance Agency [2019] AATA 1771","issued":{"date-parts":[["2019",7,8]]}}},{"id":8569,"uris":["http://zotero.org/users/5279374/items/AJCBMZ63"],"uri":["http://zotero.org/users/5279374/items/AJCBMZ63"],"itemData":{"id":8569,"type":"legal_case","authority":"Federal Court","title":"National Disability Insurance Agency v WRMF [2020] FCAFC 79","issued":{"date-parts":[["2020",5,12]]}}}],"schema":"https://github.com/citation-style-language/schema/raw/master/csl-citation.json"} </w:instrText>
      </w:r>
      <w:r>
        <w:fldChar w:fldCharType="separate"/>
      </w:r>
      <w:r w:rsidRPr="0076180D">
        <w:rPr>
          <w:rFonts w:ascii="Calibri" w:hAnsi="Calibri" w:cs="Calibri"/>
          <w:i/>
          <w:iCs/>
          <w:szCs w:val="24"/>
        </w:rPr>
        <w:t>WRMF and National Disability Insurance Agency [2019] AATA 1771</w:t>
      </w:r>
      <w:r w:rsidRPr="0076180D">
        <w:rPr>
          <w:rFonts w:ascii="Calibri" w:hAnsi="Calibri" w:cs="Calibri"/>
          <w:szCs w:val="24"/>
        </w:rPr>
        <w:t xml:space="preserve"> (Administrative Appeals Tribunal, 8 July 2019); </w:t>
      </w:r>
      <w:r w:rsidRPr="0076180D">
        <w:rPr>
          <w:rFonts w:ascii="Calibri" w:hAnsi="Calibri" w:cs="Calibri"/>
          <w:i/>
          <w:iCs/>
          <w:szCs w:val="24"/>
        </w:rPr>
        <w:t>National Disability Insurance Agency v WRMF [2020] FCAFC 79</w:t>
      </w:r>
      <w:r w:rsidRPr="0076180D">
        <w:rPr>
          <w:rFonts w:ascii="Calibri" w:hAnsi="Calibri" w:cs="Calibri"/>
          <w:szCs w:val="24"/>
        </w:rPr>
        <w:t xml:space="preserve"> (Federal Court, 12 May 2020).</w:t>
      </w:r>
      <w:r>
        <w:fldChar w:fldCharType="end"/>
      </w:r>
      <w:r>
        <w:t xml:space="preserve"> See also </w:t>
      </w:r>
      <w:r>
        <w:fldChar w:fldCharType="begin"/>
      </w:r>
      <w:r>
        <w:instrText xml:space="preserve"> ADDIN ZOTERO_ITEM CSL_CITATION {"citationID":"YAqP14r9","properties":{"formattedCitation":"Luke Henriques-Gomes, \\uc0\\u8216{}\\uc0\\u8220{}We Are Sexual Beings\\uc0\\u8221{}: Why Disability Advocates Want the NDIS to Cover Sexual Services\\uc0\\u8217{}, {\\i{}The Guardian (Online)} (online, 22 July 2019) &lt;https://www.theguardian.com/australia-news/2019/jul/22/we-are-sexual-beings-why-disability-advocates-want-the-ndis-to-cover-sexual-services&gt;.","plainCitation":"Luke Henriques-Gomes, ‘“We Are Sexual Beings”: Why Disability Advocates Want the NDIS to Cover Sexual Services’, The Guardian (Online) (online, 22 July 2019) &lt;https://www.theguardian.com/australia-news/2019/jul/22/we-are-sexual-beings-why-disability-advocates-want-the-ndis-to-cover-sexual-services&gt;.","noteIndex":165},"citationItems":[{"id":6142,"uris":["http://zotero.org/groups/2733877/items/JY5LIHQB"],"uri":["http://zotero.org/groups/2733877/items/JY5LIHQB"],"itemData":{"id":6142,"type":"article-newspaper","container-title":"The Guardian (Online)","title":"'We are Sexual Beings': Why Disability Advocates Want the NDIS to Cover Sexual Services","URL":"https://www.theguardian.com/australia-news/2019/jul/22/we-are-sexual-beings-why-disability-advocates-want-the-ndis-to-cover-sexual-services","author":[{"family":"Henriques-Gomes","given":"Luke"}],"issued":{"date-parts":[["2019",7,22]]}}}],"schema":"https://github.com/citation-style-language/schema/raw/master/csl-citation.json"} </w:instrText>
      </w:r>
      <w:r>
        <w:fldChar w:fldCharType="separate"/>
      </w:r>
      <w:r w:rsidRPr="00722E72">
        <w:rPr>
          <w:rFonts w:ascii="Calibri" w:hAnsi="Calibri" w:cs="Calibri"/>
          <w:szCs w:val="24"/>
        </w:rPr>
        <w:t xml:space="preserve">Luke Henriques-Gomes, ‘“We Are Sexual Beings”: Why Disability Advocates Want the NDIS to Cover Sexual Services’, </w:t>
      </w:r>
      <w:r w:rsidRPr="00722E72">
        <w:rPr>
          <w:rFonts w:ascii="Calibri" w:hAnsi="Calibri" w:cs="Calibri"/>
          <w:i/>
          <w:iCs/>
          <w:szCs w:val="24"/>
        </w:rPr>
        <w:t>The Guardian (Online)</w:t>
      </w:r>
      <w:r w:rsidRPr="00722E72">
        <w:rPr>
          <w:rFonts w:ascii="Calibri" w:hAnsi="Calibri" w:cs="Calibri"/>
          <w:szCs w:val="24"/>
        </w:rPr>
        <w:t xml:space="preserve"> (online, 22 July 2019) &lt;https://www.theguardian.com/australia-news/2019/jul/22/we-are-sexual-beings-why-disability-advocates-want-the-ndis-to-cover-sexual-services&gt;.</w:t>
      </w:r>
      <w:r>
        <w:fldChar w:fldCharType="end"/>
      </w:r>
    </w:p>
  </w:endnote>
  <w:endnote w:id="166">
    <w:p w14:paraId="35D0B567" w14:textId="0A1BEC57" w:rsidR="00A00236" w:rsidRPr="003F3D6D" w:rsidRDefault="00A00236" w:rsidP="00504E9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CB3DBB">
        <w:rPr>
          <w:rFonts w:cstheme="minorHAnsi"/>
        </w:rPr>
        <w:fldChar w:fldCharType="begin"/>
      </w:r>
      <w:r>
        <w:rPr>
          <w:rFonts w:cstheme="minorHAnsi"/>
        </w:rPr>
        <w:instrText xml:space="preserve"> ADDIN ZOTERO_ITEM CSL_CITATION {"citationID":"UpsgaGzT","properties":{"formattedCitation":"Karen\\uc0\\u8208{}Ann Clarke, Margaret Barnes and Dyann Ross, \\uc0\\u8216{}I Had No Other Option: Women, Electroconvulsive Therapy, and Informed Consent\\uc0\\u8217{} (2018) 27(3) {\\i{}International Journal of Mental Health Nursing} 1077.","plainCitation":"Karen‐Ann Clarke, Margaret Barnes and Dyann Ross, ‘I Had No Other Option: Women, Electroconvulsive Therapy, and Informed Consent’ (2018) 27(3) International Journal of Mental Health Nursing 1077.","noteIndex":166},"citationItems":[{"id":6165,"uris":["http://zotero.org/groups/2733877/items/5HKT5GZM"],"uri":["http://zotero.org/groups/2733877/items/5HKT5GZM"],"itemData":{"id":6165,"type":"article-journal","container-title":"International Journal of Mental Health Nursing","DOI":"https://onlinelibrary-wiley-com.ezproxy.lib.uts.edu.au/doi/epdf/10.1111/inm.12420","issue":"3","page":"1077-1085","title":"I had no other option: Women, electroconvulsive therapy, and informed consent","volume":"27","author":[{"literal":"Karen‐Ann Clarke"},{"literal":"Margaret Barnes"},{"literal":"Dyann Ross"}],"issued":{"date-parts":[["2018"]]}}}],"schema":"https://github.com/citation-style-language/schema/raw/master/csl-citation.json"} </w:instrText>
      </w:r>
      <w:r w:rsidRPr="00CB3DBB">
        <w:rPr>
          <w:rFonts w:cstheme="minorHAnsi"/>
        </w:rPr>
        <w:fldChar w:fldCharType="separate"/>
      </w:r>
      <w:r w:rsidRPr="00CB3DBB">
        <w:rPr>
          <w:rFonts w:ascii="Calibri" w:hAnsi="Calibri" w:cs="Calibri"/>
          <w:szCs w:val="24"/>
        </w:rPr>
        <w:t xml:space="preserve">Karen‐Ann Clarke, Margaret Barnes and Dyann Ross, ‘I Had No Other Option: Women, Electroconvulsive Therapy, and Informed Consent’ (2018) 27(3) </w:t>
      </w:r>
      <w:r w:rsidRPr="00CB3DBB">
        <w:rPr>
          <w:rFonts w:ascii="Calibri" w:hAnsi="Calibri" w:cs="Calibri"/>
          <w:i/>
          <w:iCs/>
          <w:szCs w:val="24"/>
        </w:rPr>
        <w:t>International Journal of Mental Health Nursing</w:t>
      </w:r>
      <w:r w:rsidRPr="00CB3DBB">
        <w:rPr>
          <w:rFonts w:ascii="Calibri" w:hAnsi="Calibri" w:cs="Calibri"/>
          <w:szCs w:val="24"/>
        </w:rPr>
        <w:t xml:space="preserve"> 1077.</w:t>
      </w:r>
      <w:r w:rsidRPr="00CB3DBB">
        <w:rPr>
          <w:rFonts w:cstheme="minorHAnsi"/>
        </w:rPr>
        <w:fldChar w:fldCharType="end"/>
      </w:r>
      <w:r w:rsidRPr="00CB3DBB">
        <w:rPr>
          <w:rFonts w:cstheme="minorHAnsi"/>
        </w:rPr>
        <w:t xml:space="preserve"> See also: </w:t>
      </w:r>
      <w:r w:rsidRPr="00CB3DBB">
        <w:rPr>
          <w:rFonts w:cstheme="minorHAnsi"/>
        </w:rPr>
        <w:fldChar w:fldCharType="begin"/>
      </w:r>
      <w:r>
        <w:rPr>
          <w:rFonts w:cstheme="minorHAnsi"/>
        </w:rPr>
        <w:instrText xml:space="preserve"> ADDIN ZOTERO_ITEM CSL_CITATION {"citationID":"BUJfoTAz","properties":{"formattedCitation":"Frohmader and Sands (n 87).","plainCitation":"Frohmader and Sands (n 87).","noteIndex":166},"citationItems":[{"id":6130,"uris":["http://zotero.org/groups/2733877/items/C292ZK32"],"uri":["http://zotero.org/groups/2733877/items/C292ZK32"],"itemData":{"id":6130,"type":"report","event-place":"Sydney, Australia","language":"en","publisher":"Australian Cross Disability Alliance (ACDA)","publisher-place":"Sydney, Australia","source":"Zotero","title":"Submission to the Senate Inquiry into Violence, abuse and neglect against people with disability in institutional and residential settings","URL":"https://wwda.org.au/wp-content/uploads/2013/12/ACDA_Sub_Sen_Inquiry_Violence_Institutions.pdf","author":[{"family":"Frohmader","given":"Carolyn"},{"family":"Sands","given":"Therese"}],"issued":{"date-parts":[["2015"]]}}}],"schema":"https://github.com/citation-style-language/schema/raw/master/csl-citation.json"} </w:instrText>
      </w:r>
      <w:r w:rsidRPr="00CB3DBB">
        <w:rPr>
          <w:rFonts w:cstheme="minorHAnsi"/>
        </w:rPr>
        <w:fldChar w:fldCharType="separate"/>
      </w:r>
      <w:r w:rsidRPr="00CB3DBB">
        <w:rPr>
          <w:rFonts w:ascii="Calibri" w:hAnsi="Calibri" w:cs="Calibri"/>
        </w:rPr>
        <w:t>Frohmader and Sands (n 87).</w:t>
      </w:r>
      <w:r w:rsidRPr="00CB3DBB">
        <w:rPr>
          <w:rFonts w:cstheme="minorHAnsi"/>
        </w:rPr>
        <w:fldChar w:fldCharType="end"/>
      </w:r>
    </w:p>
  </w:endnote>
  <w:endnote w:id="167">
    <w:p w14:paraId="3E1A217C" w14:textId="22E0D820" w:rsidR="00A00236" w:rsidRPr="00942D04" w:rsidRDefault="00A00236">
      <w:pPr>
        <w:pStyle w:val="EndnoteText"/>
        <w:rPr>
          <w:lang w:val="en-AU"/>
        </w:rPr>
      </w:pPr>
      <w:r>
        <w:rPr>
          <w:rStyle w:val="EndnoteReference"/>
        </w:rPr>
        <w:endnoteRef/>
      </w:r>
      <w:r>
        <w:t xml:space="preserve"> </w:t>
      </w:r>
      <w:r w:rsidRPr="00F616CD">
        <w:rPr>
          <w:lang w:val="en-AU"/>
        </w:rPr>
        <w:t xml:space="preserve">See for eg:  </w:t>
      </w:r>
      <w:r w:rsidRPr="00F616CD">
        <w:rPr>
          <w:lang w:val="en-AU"/>
        </w:rPr>
        <w:fldChar w:fldCharType="begin"/>
      </w:r>
      <w:r>
        <w:rPr>
          <w:lang w:val="en-AU"/>
        </w:rPr>
        <w:instrText xml:space="preserve"> ADDIN ZOTERO_ITEM CSL_CITATION {"citationID":"os7VBNbv","properties":{"formattedCitation":"Women with Disabilities Australia, {\\i{}Response to the Employment Issues Paper of the Royal Commission into Violence, Abuse, Neglect and Exploitation of People with Disability} (Women With Disabilities Australia, August 2020).","plainCitation":"Women with Disabilities Australia, Response to the Employment Issues Paper of the Royal Commission into Violence, Abuse, Neglect and Exploitation of People with Disability (Women With Disabilities Australia, August 2020).","noteIndex":167},"citationItems":[{"id":8710,"uris":["http://zotero.org/users/5279374/items/FXSU44YG"],"uri":["http://zotero.org/users/5279374/items/FXSU44YG"],"itemData":{"id":8710,"type":"report","event-place":"Hobart","publisher":"Women With Disabilities Australia","publisher-place":"Hobart","title":"Response to the Employment Issues Paper of the Royal Commission into Violence, Abuse, Neglect and Exploitation of People with Disability","author":[{"family":"Women with Disabilities Australia","given":""}],"issued":{"date-parts":[["2020",8]]}}}],"schema":"https://github.com/citation-style-language/schema/raw/master/csl-citation.json"} </w:instrText>
      </w:r>
      <w:r w:rsidRPr="00F616CD">
        <w:rPr>
          <w:lang w:val="en-AU"/>
        </w:rPr>
        <w:fldChar w:fldCharType="separate"/>
      </w:r>
      <w:r w:rsidRPr="00F616CD">
        <w:rPr>
          <w:rFonts w:ascii="Calibri" w:hAnsi="Calibri" w:cs="Calibri"/>
          <w:szCs w:val="24"/>
        </w:rPr>
        <w:t xml:space="preserve">Women with Disabilities Australia, </w:t>
      </w:r>
      <w:r w:rsidRPr="00F616CD">
        <w:rPr>
          <w:rFonts w:ascii="Calibri" w:hAnsi="Calibri" w:cs="Calibri"/>
          <w:i/>
          <w:iCs/>
          <w:szCs w:val="24"/>
        </w:rPr>
        <w:t>Response to the Employment Issues Paper of the Royal Commission into Violence, Abuse, Neglect and Exploitation of People with Disability</w:t>
      </w:r>
      <w:r w:rsidRPr="00F616CD">
        <w:rPr>
          <w:rFonts w:ascii="Calibri" w:hAnsi="Calibri" w:cs="Calibri"/>
          <w:szCs w:val="24"/>
        </w:rPr>
        <w:t xml:space="preserve"> (Women With Disabilities Australia, August 2020).</w:t>
      </w:r>
      <w:r w:rsidRPr="00F616CD">
        <w:rPr>
          <w:lang w:val="en-AU"/>
        </w:rPr>
        <w:fldChar w:fldCharType="end"/>
      </w:r>
      <w:r w:rsidRPr="00F616CD">
        <w:rPr>
          <w:lang w:val="en-AU"/>
        </w:rPr>
        <w:t xml:space="preserve"> See also: </w:t>
      </w:r>
      <w:r w:rsidRPr="00F616CD">
        <w:rPr>
          <w:lang w:val="en-AU"/>
        </w:rPr>
        <w:fldChar w:fldCharType="begin"/>
      </w:r>
      <w:r>
        <w:rPr>
          <w:lang w:val="en-AU"/>
        </w:rPr>
        <w:instrText xml:space="preserve"> ADDIN ZOTERO_ITEM CSL_CITATION {"citationID":"lJqEk6AK","properties":{"formattedCitation":"Women with Disabilities Australia, {\\i{}Submission to the Parliament of Australia Joint Standing Committee on the National Disability Insurance Scheme: Inquiry into Independent Assessments} (Women With Disabilities Australia, March 2021).","plainCitation":"Women with Disabilities Australia, Submission to the Parliament of Australia Joint Standing Committee on the National Disability Insurance Scheme: Inquiry into Independent Assessments (Women With Disabilities Australia, March 2021).","noteIndex":167},"citationItems":[{"id":8711,"uris":["http://zotero.org/users/5279374/items/7M949XMF"],"uri":["http://zotero.org/users/5279374/items/7M949XMF"],"itemData":{"id":8711,"type":"report","publisher":"Women With Disabilities Australia","title":"Submission to the Parliament of Australia Joint Standing Committee on the National Disability Insurance Scheme: Inquiry into Independent Assessments","author":[{"family":"Women with Disabilities Australia","given":""}],"issued":{"date-parts":[["2021",3]]}}}],"schema":"https://github.com/citation-style-language/schema/raw/master/csl-citation.json"} </w:instrText>
      </w:r>
      <w:r w:rsidRPr="00F616CD">
        <w:rPr>
          <w:lang w:val="en-AU"/>
        </w:rPr>
        <w:fldChar w:fldCharType="separate"/>
      </w:r>
      <w:r w:rsidRPr="00F616CD">
        <w:rPr>
          <w:rFonts w:ascii="Calibri" w:hAnsi="Calibri" w:cs="Calibri"/>
          <w:szCs w:val="24"/>
        </w:rPr>
        <w:t xml:space="preserve">Women with Disabilities Australia, </w:t>
      </w:r>
      <w:r w:rsidRPr="00F616CD">
        <w:rPr>
          <w:rFonts w:ascii="Calibri" w:hAnsi="Calibri" w:cs="Calibri"/>
          <w:i/>
          <w:iCs/>
          <w:szCs w:val="24"/>
        </w:rPr>
        <w:t>Submission to the Parliament of Australia Joint Standing Committee on the National Disability Insurance Scheme: Inquiry into Independent Assessments</w:t>
      </w:r>
      <w:r w:rsidRPr="00F616CD">
        <w:rPr>
          <w:rFonts w:ascii="Calibri" w:hAnsi="Calibri" w:cs="Calibri"/>
          <w:szCs w:val="24"/>
        </w:rPr>
        <w:t xml:space="preserve"> (Women With Disabilities Australia, March 2021).</w:t>
      </w:r>
      <w:r w:rsidRPr="00F616CD">
        <w:rPr>
          <w:lang w:val="en-AU"/>
        </w:rPr>
        <w:fldChar w:fldCharType="end"/>
      </w:r>
    </w:p>
  </w:endnote>
  <w:endnote w:id="168">
    <w:p w14:paraId="6E20DBC3" w14:textId="150EFDAC" w:rsidR="00A00236" w:rsidRPr="007C63D9" w:rsidRDefault="00A00236" w:rsidP="007C63D9">
      <w:pPr>
        <w:pStyle w:val="Heading2"/>
        <w:spacing w:line="240" w:lineRule="auto"/>
        <w:rPr>
          <w:rFonts w:asciiTheme="minorHAnsi" w:hAnsiTheme="minorHAnsi" w:cstheme="minorHAnsi"/>
          <w:b w:val="0"/>
          <w:sz w:val="20"/>
          <w:szCs w:val="20"/>
        </w:rPr>
      </w:pPr>
      <w:r w:rsidRPr="00F87F02">
        <w:rPr>
          <w:rStyle w:val="EndnoteReference"/>
          <w:rFonts w:asciiTheme="minorHAnsi" w:hAnsiTheme="minorHAnsi" w:cstheme="minorHAnsi"/>
          <w:b w:val="0"/>
          <w:color w:val="auto"/>
          <w:sz w:val="20"/>
          <w:szCs w:val="20"/>
        </w:rPr>
        <w:endnoteRef/>
      </w:r>
      <w:r w:rsidRPr="00F87F02">
        <w:rPr>
          <w:rFonts w:asciiTheme="minorHAnsi" w:hAnsiTheme="minorHAnsi" w:cstheme="minorHAnsi"/>
          <w:b w:val="0"/>
          <w:color w:val="auto"/>
          <w:sz w:val="20"/>
          <w:szCs w:val="20"/>
        </w:rPr>
        <w:t xml:space="preserve"> ‘Chemical restraint’ is only a ‘regulated restrictive practice’ pursuant to the </w:t>
      </w:r>
      <w:r w:rsidRPr="00F87F02">
        <w:rPr>
          <w:rFonts w:asciiTheme="minorHAnsi" w:hAnsiTheme="minorHAnsi" w:cstheme="minorHAnsi"/>
          <w:b w:val="0"/>
          <w:i/>
          <w:color w:val="auto"/>
          <w:sz w:val="20"/>
          <w:szCs w:val="20"/>
        </w:rPr>
        <w:t>National Disability Insurance Scheme (Restrictive Practices and Behaviour Support) Rules 2018</w:t>
      </w:r>
      <w:r w:rsidRPr="00F87F02">
        <w:rPr>
          <w:rFonts w:asciiTheme="minorHAnsi" w:hAnsiTheme="minorHAnsi" w:cstheme="minorHAnsi"/>
          <w:b w:val="0"/>
          <w:color w:val="auto"/>
          <w:sz w:val="20"/>
          <w:szCs w:val="20"/>
        </w:rPr>
        <w:t xml:space="preserve"> if it is ‘the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w:t>
      </w:r>
      <w:r w:rsidRPr="007C63D9">
        <w:rPr>
          <w:rFonts w:asciiTheme="minorHAnsi" w:hAnsiTheme="minorHAnsi" w:cstheme="minorHAnsi"/>
          <w:b w:val="0"/>
          <w:color w:val="auto"/>
          <w:sz w:val="20"/>
          <w:szCs w:val="20"/>
        </w:rPr>
        <w:t xml:space="preserve">condition’: </w:t>
      </w:r>
      <w:r w:rsidRPr="007C63D9">
        <w:rPr>
          <w:rFonts w:asciiTheme="minorHAnsi" w:hAnsiTheme="minorHAnsi" w:cstheme="minorHAnsi"/>
          <w:b w:val="0"/>
          <w:color w:val="auto"/>
          <w:sz w:val="20"/>
          <w:szCs w:val="20"/>
        </w:rPr>
        <w:fldChar w:fldCharType="begin"/>
      </w:r>
      <w:r>
        <w:rPr>
          <w:rFonts w:asciiTheme="minorHAnsi" w:hAnsiTheme="minorHAnsi" w:cstheme="minorHAnsi"/>
          <w:b w:val="0"/>
          <w:color w:val="auto"/>
          <w:sz w:val="20"/>
          <w:szCs w:val="20"/>
        </w:rPr>
        <w:instrText xml:space="preserve"> ADDIN ZOTERO_ITEM CSL_CITATION {"citationID":"EGFi6WWH","properties":{"formattedCitation":"{\\i{}National Disability Insurance Scheme (Restrictive Practices and Behaviour Support) Rules 2018} (Cth) 6.","plainCitation":"National Disability Insurance Scheme (Restrictive Practices and Behaviour Support) Rules 2018 (Cth) 6.","noteIndex":168},"citationItems":[{"id":6018,"uris":["http://zotero.org/groups/2733877/items/4XLXZB3H"],"uri":["http://zotero.org/groups/2733877/items/4XLXZB3H"],"itemData":{"id":6018,"type":"legislation","container-title":"Cth","title":"National Disability Insurance Scheme (Restrictive Practices and Behaviour Support) Rules 2018"},"locator":"6","label":"section"}],"schema":"https://github.com/citation-style-language/schema/raw/master/csl-citation.json"} </w:instrText>
      </w:r>
      <w:r w:rsidRPr="007C63D9">
        <w:rPr>
          <w:rFonts w:asciiTheme="minorHAnsi" w:hAnsiTheme="minorHAnsi" w:cstheme="minorHAnsi"/>
          <w:b w:val="0"/>
          <w:color w:val="auto"/>
          <w:sz w:val="20"/>
          <w:szCs w:val="20"/>
        </w:rPr>
        <w:fldChar w:fldCharType="separate"/>
      </w:r>
      <w:r w:rsidRPr="007C63D9">
        <w:rPr>
          <w:rFonts w:asciiTheme="minorHAnsi" w:hAnsiTheme="minorHAnsi" w:cstheme="minorHAnsi"/>
          <w:b w:val="0"/>
          <w:i/>
          <w:iCs/>
          <w:color w:val="auto"/>
          <w:sz w:val="20"/>
          <w:szCs w:val="20"/>
        </w:rPr>
        <w:t>National Disability Insurance Scheme (Restrictive Practices and Behaviour Support) Rules 2018</w:t>
      </w:r>
      <w:r w:rsidRPr="007C63D9">
        <w:rPr>
          <w:rFonts w:asciiTheme="minorHAnsi" w:hAnsiTheme="minorHAnsi" w:cstheme="minorHAnsi"/>
          <w:b w:val="0"/>
          <w:color w:val="auto"/>
          <w:sz w:val="20"/>
          <w:szCs w:val="20"/>
        </w:rPr>
        <w:t xml:space="preserve"> (Cth) 6.</w:t>
      </w:r>
      <w:r w:rsidRPr="007C63D9">
        <w:rPr>
          <w:rFonts w:asciiTheme="minorHAnsi" w:hAnsiTheme="minorHAnsi" w:cstheme="minorHAnsi"/>
          <w:b w:val="0"/>
          <w:color w:val="auto"/>
          <w:sz w:val="20"/>
          <w:szCs w:val="20"/>
        </w:rPr>
        <w:fldChar w:fldCharType="end"/>
      </w:r>
    </w:p>
  </w:endnote>
  <w:endnote w:id="169">
    <w:p w14:paraId="09DEC8ED" w14:textId="63B73A96" w:rsidR="00A00236" w:rsidRPr="007C63D9" w:rsidRDefault="00A00236" w:rsidP="007C63D9">
      <w:pPr>
        <w:pStyle w:val="definition"/>
        <w:spacing w:before="0" w:beforeAutospacing="0" w:after="0" w:afterAutospacing="0"/>
        <w:jc w:val="both"/>
        <w:rPr>
          <w:rFonts w:asciiTheme="minorHAnsi" w:hAnsiTheme="minorHAnsi" w:cstheme="minorHAnsi"/>
          <w:sz w:val="20"/>
          <w:szCs w:val="20"/>
        </w:rPr>
      </w:pPr>
      <w:r w:rsidRPr="007C63D9">
        <w:rPr>
          <w:rStyle w:val="EndnoteReference"/>
          <w:rFonts w:asciiTheme="minorHAnsi" w:hAnsiTheme="minorHAnsi" w:cstheme="minorHAnsi"/>
          <w:sz w:val="20"/>
          <w:szCs w:val="20"/>
        </w:rPr>
        <w:endnoteRef/>
      </w:r>
      <w:r w:rsidRPr="007C63D9">
        <w:rPr>
          <w:rFonts w:asciiTheme="minorHAnsi" w:hAnsiTheme="minorHAnsi" w:cstheme="minorHAnsi"/>
          <w:sz w:val="20"/>
          <w:szCs w:val="20"/>
        </w:rPr>
        <w:t xml:space="preserve"> ‘Chemical restraint’ is only regulated by the </w:t>
      </w:r>
      <w:r>
        <w:rPr>
          <w:rFonts w:asciiTheme="minorHAnsi" w:hAnsiTheme="minorHAnsi" w:cstheme="minorHAnsi"/>
          <w:sz w:val="20"/>
          <w:szCs w:val="20"/>
        </w:rPr>
        <w:t>ACQSC</w:t>
      </w:r>
      <w:r w:rsidRPr="007C63D9">
        <w:rPr>
          <w:rFonts w:asciiTheme="minorHAnsi" w:hAnsiTheme="minorHAnsi" w:cstheme="minorHAnsi"/>
          <w:sz w:val="20"/>
          <w:szCs w:val="20"/>
        </w:rPr>
        <w:t xml:space="preserve"> where it is ‘a restraint that is, or that involves, the use of medication or a chemical substance for the purpose of influencing a person’s behaviour, other than medication prescribed for the treatment of, or to enable treatment of, a diagnosed mental disorder, a physical illness or a physical condition.’: </w:t>
      </w:r>
      <w:r w:rsidRPr="007C63D9">
        <w:rPr>
          <w:rFonts w:asciiTheme="minorHAnsi" w:hAnsiTheme="minorHAnsi" w:cstheme="minorHAnsi"/>
          <w:sz w:val="20"/>
          <w:szCs w:val="20"/>
        </w:rPr>
        <w:fldChar w:fldCharType="begin"/>
      </w:r>
      <w:r>
        <w:rPr>
          <w:rFonts w:asciiTheme="minorHAnsi" w:hAnsiTheme="minorHAnsi" w:cstheme="minorHAnsi"/>
          <w:sz w:val="20"/>
          <w:szCs w:val="20"/>
        </w:rPr>
        <w:instrText xml:space="preserve"> ADDIN ZOTERO_ITEM CSL_CITATION {"citationID":"3e9xeBzU","properties":{"formattedCitation":"{\\i{}Quality of Care Principles 2014} (Cth) 4.","plainCitation":"Quality of Care Principles 2014 (Cth) 4.","noteIndex":169},"citationItems":[{"id":6140,"uris":["http://zotero.org/groups/2733877/items/HZP3EDEE"],"uri":["http://zotero.org/groups/2733877/items/HZP3EDEE"],"itemData":{"id":6140,"type":"legislation","container-title":"Cth","title":"Quality of Care Principles 2014"},"locator":"4","label":"section"}],"schema":"https://github.com/citation-style-language/schema/raw/master/csl-citation.json"} </w:instrText>
      </w:r>
      <w:r w:rsidRPr="007C63D9">
        <w:rPr>
          <w:rFonts w:asciiTheme="minorHAnsi" w:hAnsiTheme="minorHAnsi" w:cstheme="minorHAnsi"/>
          <w:sz w:val="20"/>
          <w:szCs w:val="20"/>
        </w:rPr>
        <w:fldChar w:fldCharType="separate"/>
      </w:r>
      <w:r w:rsidRPr="007C63D9">
        <w:rPr>
          <w:rFonts w:asciiTheme="minorHAnsi" w:hAnsiTheme="minorHAnsi" w:cstheme="minorHAnsi"/>
          <w:i/>
          <w:iCs/>
          <w:sz w:val="20"/>
          <w:szCs w:val="20"/>
        </w:rPr>
        <w:t>Quality of Care Principles 2014</w:t>
      </w:r>
      <w:r w:rsidRPr="007C63D9">
        <w:rPr>
          <w:rFonts w:asciiTheme="minorHAnsi" w:hAnsiTheme="minorHAnsi" w:cstheme="minorHAnsi"/>
          <w:sz w:val="20"/>
          <w:szCs w:val="20"/>
        </w:rPr>
        <w:t xml:space="preserve"> (Cth) 4.</w:t>
      </w:r>
      <w:r w:rsidRPr="007C63D9">
        <w:rPr>
          <w:rFonts w:asciiTheme="minorHAnsi" w:hAnsiTheme="minorHAnsi" w:cstheme="minorHAnsi"/>
          <w:sz w:val="20"/>
          <w:szCs w:val="20"/>
        </w:rPr>
        <w:fldChar w:fldCharType="end"/>
      </w:r>
    </w:p>
  </w:endnote>
  <w:endnote w:id="170">
    <w:p w14:paraId="193C4C4D" w14:textId="7165DB1D" w:rsidR="00A00236" w:rsidRPr="005B0668" w:rsidRDefault="00A00236">
      <w:pPr>
        <w:pStyle w:val="EndnoteText"/>
        <w:rPr>
          <w:lang w:val="en-AU"/>
        </w:rPr>
      </w:pPr>
      <w:r w:rsidRPr="00F616CD">
        <w:rPr>
          <w:rStyle w:val="EndnoteReference"/>
        </w:rPr>
        <w:endnoteRef/>
      </w:r>
      <w:r w:rsidRPr="00F616CD">
        <w:t xml:space="preserve"> </w:t>
      </w:r>
      <w:r w:rsidRPr="00F616CD">
        <w:fldChar w:fldCharType="begin"/>
      </w:r>
      <w:r>
        <w:instrText xml:space="preserve"> ADDIN ZOTERO_ITEM CSL_CITATION {"citationID":"UZq9xxPk","properties":{"formattedCitation":"Women with Disabilities Australia, \\uc0\\u8216{}Submission to the Parliament of Australia Joint Standing Committee on the National Disability Insurance Scheme: Inquiry into Independent Assessments\\uc0\\u8217{} (n 167).","plainCitation":"Women with Disabilities Australia, ‘Submission to the Parliament of Australia Joint Standing Committee on the National Disability Insurance Scheme: Inquiry into Independent Assessments’ (n 167).","noteIndex":170},"citationItems":[{"id":8711,"uris":["http://zotero.org/users/5279374/items/7M949XMF"],"uri":["http://zotero.org/users/5279374/items/7M949XMF"],"itemData":{"id":8711,"type":"report","publisher":"Women With Disabilities Australia","title":"Submission to the Parliament of Australia Joint Standing Committee on the National Disability Insurance Scheme: Inquiry into Independent Assessments","author":[{"family":"Women with Disabilities Australia","given":""}],"issued":{"date-parts":[["2021",3]]}}}],"schema":"https://github.com/citation-style-language/schema/raw/master/csl-citation.json"} </w:instrText>
      </w:r>
      <w:r w:rsidRPr="00F616CD">
        <w:fldChar w:fldCharType="separate"/>
      </w:r>
      <w:r w:rsidRPr="008F06C3">
        <w:rPr>
          <w:rFonts w:ascii="Calibri" w:hAnsi="Calibri" w:cs="Calibri"/>
          <w:szCs w:val="24"/>
        </w:rPr>
        <w:t>Women with Disabilities Australia, ‘Submission to the Parliament of Australia Joint Standing Committee on the National Disability Insurance Scheme: Inquiry into Independent Assessments’ (n 167).</w:t>
      </w:r>
      <w:r w:rsidRPr="00F616CD">
        <w:fldChar w:fldCharType="end"/>
      </w:r>
      <w:r>
        <w:t xml:space="preserve"> </w:t>
      </w:r>
    </w:p>
  </w:endnote>
  <w:endnote w:id="171">
    <w:p w14:paraId="1CE3CE0D" w14:textId="1CDBDA2A" w:rsidR="00A00236" w:rsidRPr="003F3D6D" w:rsidRDefault="00A00236" w:rsidP="00B70D54">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{"citationID":"Zz1sqMxq","properties":{"formattedCitation":"Yvette Maker, \\uc0\\u8216{}Beyond Restraint: Gender-Sensitive Regulation of the Control of Women\\uc0\\u8217{}s Behaviour in Australian Mental Health and Disability Services\\uc0\\u8217{} in Bernadette McSherry and Yvette Maker (eds), {\\i{}Restrictive Practices in Health Care and Disability Settings: Legal, Policy and Practical Responses} (Taylor &amp; Francis Group, 2020) 91, 94.","plainCitation":"Yvette Maker, ‘Beyond Restraint: Gender-Sensitive Regulation of the Control of Women’s Behaviour in Australian Mental Health and Disability Services’ in Bernadette McSherry and Yvette Maker (eds), Restrictive Practices in Health Care and Disability Settings: Legal, Policy and Practical Responses (Taylor &amp; Francis Group, 2020) 91, 94.","noteIndex":171},"citationItems":[{"id":5919,"uris":["http://zotero.org/groups/2733877/items/G7KM579V"],"uri":["http://zotero.org/groups/2733877/items/G7KM579V"],"itemData":{"id":5919,"type":"chapter","container-title":"Restrictive Practices in Health Care and Disability Settings: Legal, Policy and Practical Responses","event-place":"London","page":"91","publisher":"Taylor &amp; Francis Group","publisher-place":"London","title":"Beyond restraint: Gender-sensitive regulation of the control of women’s behaviour in Australian mental health and disability services","author":[{"family":"Maker","given":"Yvette"}],"editor":[{"family":"McSherry","given":"Bernadette"},{"family":"Maker","given":"Yvette"}],"issued":{"date-parts":[["2020"]]}},"locator":"94"}],"schema":"https://github.com/citation-style-language/schema/raw/master/csl-citation.json"} </w:instrText>
      </w:r>
      <w:r w:rsidRPr="003F3D6D">
        <w:rPr>
          <w:rFonts w:cstheme="minorHAnsi"/>
        </w:rPr>
        <w:fldChar w:fldCharType="separate"/>
      </w:r>
      <w:r w:rsidRPr="00537C80">
        <w:rPr>
          <w:rFonts w:ascii="Calibri" w:hAnsi="Calibri" w:cs="Calibri"/>
          <w:szCs w:val="24"/>
        </w:rPr>
        <w:t xml:space="preserve">Yvette Maker, ‘Beyond Restraint: Gender-Sensitive Regulation of the Control of Women’s Behaviour in Australian Mental Health and Disability Services’ in Bernadette McSherry and Yvette Maker (eds), </w:t>
      </w:r>
      <w:r w:rsidRPr="00537C80">
        <w:rPr>
          <w:rFonts w:ascii="Calibri" w:hAnsi="Calibri" w:cs="Calibri"/>
          <w:i/>
          <w:iCs/>
          <w:szCs w:val="24"/>
        </w:rPr>
        <w:t>Restrictive Practices in Health Care and Disability Settings: Legal, Policy and Practical Responses</w:t>
      </w:r>
      <w:r w:rsidRPr="00537C80">
        <w:rPr>
          <w:rFonts w:ascii="Calibri" w:hAnsi="Calibri" w:cs="Calibri"/>
          <w:szCs w:val="24"/>
        </w:rPr>
        <w:t xml:space="preserve"> (Taylor &amp; Francis Group, 2020) 91, 94.</w:t>
      </w:r>
      <w:r w:rsidRPr="003F3D6D">
        <w:rPr>
          <w:rFonts w:cstheme="minorHAnsi"/>
        </w:rPr>
        <w:fldChar w:fldCharType="end"/>
      </w:r>
    </w:p>
  </w:endnote>
  <w:endnote w:id="172">
    <w:p w14:paraId="6A648869" w14:textId="15498C90" w:rsidR="00A00236" w:rsidRPr="003F3D6D" w:rsidRDefault="00A00236" w:rsidP="00B70D54">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YrqbFqZN","properties":{"formattedCitation":"Ibid.","plainCitation":"Ibid.","noteIndex":172},"citationItems":[{"id":5919,"uris":["http://zotero.org/groups/2733877/items/G7KM579V"],"uri":["http://zotero.org/groups/2733877/items/G7KM579V"],"itemData":{"id":5919,"type":"chapter","container-title":"Restrictive Practices in Health Care and Disability Settings: Legal, Policy and Practical Responses","event-place":"London","page":"91","publisher":"Taylor &amp; Francis Group","publisher-place":"London","title":"Beyond restraint: Gender-sensitive regulation of the control of women’s behaviour in Australian mental health and disability services","author":[{"family":"Maker","given":"Yvette"}],"editor":[{"family":"McSherry","given":"Bernadette"},{"family":"Maker","given":"Yvette"}],"issued":{"date-parts":[["2020"]]}},"locator":"94"}],"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173">
    <w:p w14:paraId="2DD22420" w14:textId="4EEDDD8E" w:rsidR="00A00236" w:rsidRPr="003F3D6D" w:rsidRDefault="00A00236" w:rsidP="00B70D54">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{"citationID":"4bAoMF2p","properties":{"formattedCitation":"Ibid 95.","plainCitation":"Ibid 95.","noteIndex":173},"citationItems":[{"id":5919,"uris":["http://zotero.org/groups/2733877/items/G7KM579V"],"uri":["http://zotero.org/groups/2733877/items/G7KM579V"],"itemData":{"id":5919,"type":"chapter","container-title":"Restrictive Practices in Health Care and Disability Settings: Legal, Policy and Practical Responses","event-place":"London","page":"91","publisher":"Taylor &amp; Francis Group","publisher-place":"London","title":"Beyond restraint: Gender-sensitive regulation of the control of women’s behaviour in Australian mental health and disability services","author":[{"family":"Maker","given":"Yvette"}],"editor":[{"family":"McSherry","given":"Bernadette"},{"family":"Maker","given":"Yvette"}],"issued":{"date-parts":[["2020"]]}},"locator":"95"}],"schema":"https://github.com/citation-style-language/schema/raw/master/csl-citation.json"} </w:instrText>
      </w:r>
      <w:r w:rsidRPr="003F3D6D">
        <w:rPr>
          <w:rFonts w:cstheme="minorHAnsi"/>
        </w:rPr>
        <w:fldChar w:fldCharType="separate"/>
      </w:r>
      <w:r w:rsidRPr="003F3D6D">
        <w:rPr>
          <w:rFonts w:cstheme="minorHAnsi"/>
          <w:noProof/>
        </w:rPr>
        <w:t>Ibid 95.</w:t>
      </w:r>
      <w:r w:rsidRPr="003F3D6D">
        <w:rPr>
          <w:rFonts w:cstheme="minorHAnsi"/>
        </w:rPr>
        <w:fldChar w:fldCharType="end"/>
      </w:r>
    </w:p>
  </w:endnote>
  <w:endnote w:id="174">
    <w:p w14:paraId="71C09C64" w14:textId="01D451FC" w:rsidR="00A00236" w:rsidRPr="003F3D6D" w:rsidRDefault="00A00236" w:rsidP="00B70D54">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J1qUgguP","properties":{"formattedCitation":"Ibid.","plainCitation":"Ibid.","noteIndex":174},"citationItems":[{"id":5919,"uris":["http://zotero.org/groups/2733877/items/G7KM579V"],"uri":["http://zotero.org/groups/2733877/items/G7KM579V"],"itemData":{"id":5919,"type":"chapter","container-title":"Restrictive Practices in Health Care and Disability Settings: Legal, Policy and Practical Responses","event-place":"London","page":"91","publisher":"Taylor &amp; Francis Group","publisher-place":"London","title":"Beyond restraint: Gender-sensitive regulation of the control of women’s behaviour in Australian mental health and disability services","author":[{"family":"Maker","given":"Yvette"}],"editor":[{"family":"McSherry","given":"Bernadette"},{"family":"Maker","given":"Yvette"}],"issued":{"date-parts":[["2020"]]}},"locator":"95"}],"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175">
    <w:p w14:paraId="053C8E16" w14:textId="77777777" w:rsidR="00A00236" w:rsidRPr="00565A98" w:rsidRDefault="00A00236" w:rsidP="00B70D54">
      <w:pPr>
        <w:pStyle w:val="EndnoteText"/>
        <w:rPr>
          <w:lang w:val="en-AU"/>
        </w:rPr>
      </w:pPr>
      <w:r w:rsidRPr="00F616CD">
        <w:rPr>
          <w:rStyle w:val="EndnoteReference"/>
        </w:rPr>
        <w:endnoteRef/>
      </w:r>
      <w:r>
        <w:t xml:space="preserve"> </w:t>
      </w:r>
      <w:r>
        <w:rPr>
          <w:lang w:val="en-AU"/>
        </w:rPr>
        <w:t xml:space="preserve">Australian Institute for Health </w:t>
      </w:r>
      <w:proofErr w:type="gramStart"/>
      <w:r>
        <w:rPr>
          <w:lang w:val="en-AU"/>
        </w:rPr>
        <w:t>and  Welfare</w:t>
      </w:r>
      <w:proofErr w:type="gramEnd"/>
      <w:r>
        <w:rPr>
          <w:lang w:val="en-AU"/>
        </w:rPr>
        <w:t xml:space="preserve">, ‘People Using Aged Care', </w:t>
      </w:r>
      <w:r>
        <w:rPr>
          <w:i/>
          <w:lang w:val="en-AU"/>
        </w:rPr>
        <w:t>GEN Aged Care Data</w:t>
      </w:r>
      <w:r>
        <w:rPr>
          <w:lang w:val="en-AU"/>
        </w:rPr>
        <w:t xml:space="preserve"> &lt;</w:t>
      </w:r>
      <w:r w:rsidRPr="008762DE">
        <w:rPr>
          <w:lang w:val="en-AU"/>
        </w:rPr>
        <w:t>https://gen-agedcaredata.gov.au/Topics/People-using-aged-care</w:t>
      </w:r>
      <w:r>
        <w:rPr>
          <w:lang w:val="en-AU"/>
        </w:rPr>
        <w:t>&gt;.</w:t>
      </w:r>
    </w:p>
  </w:endnote>
  <w:endnote w:id="176">
    <w:p w14:paraId="574A2308" w14:textId="4CB92C6A" w:rsidR="00A00236" w:rsidRPr="00537C80" w:rsidRDefault="00A00236">
      <w:pPr>
        <w:pStyle w:val="EndnoteText"/>
        <w:rPr>
          <w:lang w:val="en-AU"/>
        </w:rPr>
      </w:pPr>
      <w:r>
        <w:rPr>
          <w:rStyle w:val="EndnoteReference"/>
        </w:rPr>
        <w:endnoteRef/>
      </w:r>
      <w:r>
        <w:t xml:space="preserve"> </w:t>
      </w:r>
      <w:r>
        <w:fldChar w:fldCharType="begin"/>
      </w:r>
      <w:r>
        <w:instrText xml:space="preserve"> ADDIN ZOTERO_ITEM CSL_CITATION {"citationID":"Gfki8r4x","properties":{"formattedCitation":"Royal Commission into Violence, Abuse, Neglect and Exploitation of People with Disability, \\uc0\\u8216{}Restrictive Practices Issues Paper\\uc0\\u8217{} (n 3) 1.","plainCitation":"Royal Commission into Violence, Abuse, Neglect and Exploitation of People with Disability, ‘Restrictive Practices Issues Paper’ (n 3) 1.","noteIndex":176},"citationItems":[{"id":6209,"uris":["http://zotero.org/groups/2733877/items/TGUJIQJE"],"uri":["http://zotero.org/groups/2733877/items/TGUJIQJE"],"itemData":{"id":6209,"type":"report","language":"en","page":"1-14","source":"Zotero","title":"Restrictive Practices Issues Paper","author":[{"family":"Royal Commission into Violence, Abuse, Neglect and Exploitation of People with Disability","given":""}],"issued":{"date-parts":[["2020",5,26]]}},"locator":"1"}],"schema":"https://github.com/citation-style-language/schema/raw/master/csl-citation.json"} </w:instrText>
      </w:r>
      <w:r>
        <w:fldChar w:fldCharType="separate"/>
      </w:r>
      <w:r w:rsidRPr="003509C3">
        <w:rPr>
          <w:rFonts w:ascii="Calibri" w:hAnsi="Calibri" w:cs="Calibri"/>
          <w:szCs w:val="24"/>
        </w:rPr>
        <w:t>Royal Commission into Violence, Abuse, Neglect and Exploitation of People with Disability, ‘Restrictive Practices Issues Paper’ (n 3) 1.</w:t>
      </w:r>
      <w:r>
        <w:fldChar w:fldCharType="end"/>
      </w:r>
    </w:p>
  </w:endnote>
  <w:endnote w:id="177">
    <w:p w14:paraId="090549D5" w14:textId="536876DC" w:rsidR="00A00236" w:rsidRPr="005E652D" w:rsidRDefault="00A00236">
      <w:pPr>
        <w:pStyle w:val="EndnoteText"/>
        <w:rPr>
          <w:lang w:val="en-AU"/>
        </w:rPr>
      </w:pPr>
      <w:r>
        <w:rPr>
          <w:rStyle w:val="EndnoteReference"/>
        </w:rPr>
        <w:endnoteRef/>
      </w:r>
      <w:r>
        <w:t xml:space="preserve"> </w:t>
      </w:r>
      <w:r>
        <w:fldChar w:fldCharType="begin"/>
      </w:r>
      <w:r>
        <w:instrText xml:space="preserve"> ADDIN ZOTERO_ITEM CSL_CITATION {"citationID":"KgYGqkYu","properties":{"formattedCitation":"{\\i{}National Disability Insurance Scheme (Restrictive Practices and Behaviour Support) Rules 2018} (n 168) 6.","plainCitation":"National Disability Insurance Scheme (Restrictive Practices and Behaviour Support) Rules 2018 (n 168) 6.","noteIndex":177},"citationItems":[{"id":6018,"uris":["http://zotero.org/groups/2733877/items/4XLXZB3H"],"uri":["http://zotero.org/groups/2733877/items/4XLXZB3H"],"itemData":{"id":6018,"type":"legislation","container-title":"Cth","title":"National Disability Insurance Scheme (Restrictive Practices and Behaviour Support) Rules 2018"},"locator":"6","label":"section"}],"schema":"https://github.com/citation-style-language/schema/raw/master/csl-citation.json"} </w:instrText>
      </w:r>
      <w:r>
        <w:fldChar w:fldCharType="separate"/>
      </w:r>
      <w:r w:rsidRPr="008F06C3">
        <w:rPr>
          <w:rFonts w:ascii="Calibri" w:hAnsi="Calibri" w:cs="Calibri"/>
          <w:i/>
          <w:iCs/>
          <w:szCs w:val="24"/>
        </w:rPr>
        <w:t>National Disability Insurance Scheme (Restrictive Practices and Behaviour Support) Rules 2018</w:t>
      </w:r>
      <w:r w:rsidRPr="008F06C3">
        <w:rPr>
          <w:rFonts w:ascii="Calibri" w:hAnsi="Calibri" w:cs="Calibri"/>
          <w:szCs w:val="24"/>
        </w:rPr>
        <w:t xml:space="preserve"> (n 168) 6.</w:t>
      </w:r>
      <w:r>
        <w:fldChar w:fldCharType="end"/>
      </w:r>
    </w:p>
  </w:endnote>
  <w:endnote w:id="178">
    <w:p w14:paraId="3E99DCF5" w14:textId="517969DA" w:rsidR="00A00236" w:rsidRPr="003F3D6D" w:rsidRDefault="00A00236" w:rsidP="00B50DE2">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{"citationID":"7rfbnAJ9","properties":{"formattedCitation":"See, for example, Jasmine Harris, \\uc0\\u8216{}Why Buck v. Bell Still Matters\\uc0\\u8217{}, {\\i{}Bill of Health: Examining the Intersection of Health Law, Biotechnology, and Bioethics} (14 October 2020) &lt;http://blog.petrieflom.law.harvard.edu/2020/10/14/why-buck-v-bell-still-matters/&gt;; Jasmine Harris, \\uc0\\u8216{}Rewriting Buck v. Bell\\uc0\\u8217{} in Kimberly Mutcherson (ed), {\\i{}Feminist Judgments Project: Reproductive Justice Rewritten} (Cambridge University Press, 2019) 15, 15\\uc0\\u8211{}35.","plainCitation":"See, for example, Jasmine Harris, ‘Why Buck v. Bell Still Matters’, Bill of Health: Examining the Intersection of Health Law, Biotechnology, and Bioethics (14 October 2020) &lt;http://blog.petrieflom.law.harvard.edu/2020/10/14/why-buck-v-bell-still-matters/&gt;; Jasmine Harris, ‘Rewriting Buck v. Bell’ in Kimberly Mutcherson (ed), Feminist Judgments Project: Reproductive Justice Rewritten (Cambridge University Press, 2019) 15, 15–35.","noteIndex":178},"citationItems":[{"id":5960,"uris":["http://zotero.org/groups/2733877/items/MQ5B69J8"],"uri":["http://zotero.org/groups/2733877/items/MQ5B69J8"],"itemData":{"id":5960,"type":"post-weblog","abstract":"In just three sentences, Justice Holmes delivers a message that has lasted through today: some lives matter more than others.","container-title":"Bill of Health: Examining the Intersection of Health Law, Biotechnology, and Bioethics","language":"en-US","title":"Why Buck v. Bell Still Matters","URL":"http://blog.petrieflom.law.harvard.edu/2020/10/14/why-buck-v-bell-still-matters/","author":[{"family":"Harris","given":"Jasmine"}],"accessed":{"date-parts":[["2021",2,1]]},"issued":{"date-parts":[["2020",10,14]]}},"prefix":"See, for example, "},{"id":5959,"uris":["http://zotero.org/groups/2733877/items/35HG7J77"],"uri":["http://zotero.org/groups/2733877/items/35HG7J77"],"itemData":{"id":5959,"type":"chapter","container-title":"Feminist Judgments Project: Reproductive Justice Rewritten","page":"15","publisher":"Cambridge University Press","title":"Rewriting Buck v. Bell","author":[{"family":"Harris","given":"Jasmine"}],"editor":[{"family":"Mutcherson","given":"Kimberly"}],"issued":{"date-parts":[["2019"]]}},"locator":"15-35"}],"schema":"https://github.com/citation-style-language/schema/raw/master/csl-citation.json"} </w:instrText>
      </w:r>
      <w:r w:rsidRPr="003F3D6D">
        <w:rPr>
          <w:rFonts w:cstheme="minorHAnsi"/>
        </w:rPr>
        <w:fldChar w:fldCharType="separate"/>
      </w:r>
      <w:r w:rsidRPr="000621DC">
        <w:rPr>
          <w:rFonts w:ascii="Calibri" w:hAnsi="Calibri" w:cs="Calibri"/>
          <w:szCs w:val="24"/>
        </w:rPr>
        <w:t xml:space="preserve">See, for example, Jasmine Harris, ‘Why Buck v. Bell Still Matters’, </w:t>
      </w:r>
      <w:r w:rsidRPr="000621DC">
        <w:rPr>
          <w:rFonts w:ascii="Calibri" w:hAnsi="Calibri" w:cs="Calibri"/>
          <w:i/>
          <w:iCs/>
          <w:szCs w:val="24"/>
        </w:rPr>
        <w:t>Bill of Health: Examining the Intersection of Health Law, Biotechnology, and Bioethics</w:t>
      </w:r>
      <w:r w:rsidRPr="000621DC">
        <w:rPr>
          <w:rFonts w:ascii="Calibri" w:hAnsi="Calibri" w:cs="Calibri"/>
          <w:szCs w:val="24"/>
        </w:rPr>
        <w:t xml:space="preserve"> (14 October 2020) &lt;http://blog.petrieflom.law.harvard.edu/2020/10/14/why-buck-v-bell-still-matters/&gt;; Jasmine Harris, ‘Rewriting Buck v. Bell’ in Kimberly Mutcherson (ed), </w:t>
      </w:r>
      <w:r w:rsidRPr="000621DC">
        <w:rPr>
          <w:rFonts w:ascii="Calibri" w:hAnsi="Calibri" w:cs="Calibri"/>
          <w:i/>
          <w:iCs/>
          <w:szCs w:val="24"/>
        </w:rPr>
        <w:t>Feminist Judgments Project: Reproductive Justice Rewritten</w:t>
      </w:r>
      <w:r w:rsidRPr="000621DC">
        <w:rPr>
          <w:rFonts w:ascii="Calibri" w:hAnsi="Calibri" w:cs="Calibri"/>
          <w:szCs w:val="24"/>
        </w:rPr>
        <w:t xml:space="preserve"> (Cambridge University Press, 2019) 15, 15–35.</w:t>
      </w:r>
      <w:r w:rsidRPr="003F3D6D">
        <w:rPr>
          <w:rFonts w:cstheme="minorHAnsi"/>
        </w:rPr>
        <w:fldChar w:fldCharType="end"/>
      </w:r>
    </w:p>
  </w:endnote>
  <w:endnote w:id="179">
    <w:p w14:paraId="558A44A7" w14:textId="3F60927D" w:rsidR="00A00236" w:rsidRPr="00A40160" w:rsidRDefault="00A00236">
      <w:pPr>
        <w:pStyle w:val="EndnoteText"/>
        <w:rPr>
          <w:lang w:val="en-AU"/>
        </w:rPr>
      </w:pPr>
      <w:r>
        <w:rPr>
          <w:rStyle w:val="EndnoteReference"/>
        </w:rPr>
        <w:endnoteRef/>
      </w:r>
      <w:r>
        <w:t xml:space="preserve"> </w:t>
      </w:r>
      <w:r>
        <w:fldChar w:fldCharType="begin"/>
      </w:r>
      <w:r>
        <w:instrText xml:space="preserve"> ADDIN ZOTERO_ITEM CSL_CITATION {"citationID":"S4IxBanb","properties":{"formattedCitation":"{\\i{}National Disability Insurance Scheme Act 2013} (n 134) 3.","plainCitation":"National Disability Insurance Scheme Act 2013 (n 134) 3.","noteIndex":179},"citationItems":[{"id":6017,"uris":["http://zotero.org/groups/2733877/items/3S2HP4B6"],"uri":["http://zotero.org/groups/2733877/items/3S2HP4B6"],"itemData":{"id":6017,"type":"legislation","container-title":"Cth","title":"National Disability Insurance Scheme Act 2013"},"locator":"3","label":"section"}],"schema":"https://github.com/citation-style-language/schema/raw/master/csl-citation.json"} </w:instrText>
      </w:r>
      <w:r>
        <w:fldChar w:fldCharType="separate"/>
      </w:r>
      <w:r w:rsidRPr="00A40160">
        <w:rPr>
          <w:rFonts w:ascii="Calibri" w:hAnsi="Calibri" w:cs="Calibri"/>
          <w:i/>
          <w:iCs/>
          <w:szCs w:val="24"/>
        </w:rPr>
        <w:t>National Disability Insurance Scheme Act 2013</w:t>
      </w:r>
      <w:r w:rsidRPr="00A40160">
        <w:rPr>
          <w:rFonts w:ascii="Calibri" w:hAnsi="Calibri" w:cs="Calibri"/>
          <w:szCs w:val="24"/>
        </w:rPr>
        <w:t xml:space="preserve"> (n 134) 3.</w:t>
      </w:r>
      <w:r>
        <w:fldChar w:fldCharType="end"/>
      </w:r>
    </w:p>
  </w:endnote>
  <w:endnote w:id="180">
    <w:p w14:paraId="3EAAB21C" w14:textId="309671F9" w:rsidR="00A00236" w:rsidRPr="003F3D6D" w:rsidRDefault="00A00236" w:rsidP="004C40A7">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{"citationID":"YRPrFzrW","properties":{"formattedCitation":"Frohmader (n 83).","plainCitation":"Frohmader (n 83).","noteIndex":180},"citationItems":[{"id":5920,"uris":["http://zotero.org/groups/2733877/items/HSD4QDBK"],"uri":["http://zotero.org/groups/2733877/items/HSD4QDBK"],"itemData":{"id":5920,"type":"report","event-place":"Hobart, Tasmania","page":"1-82","publisher":"Prepared for Women With Disabilities Australia (WWDA)","publisher-place":"Hobart, Tasmania","source":"ISBN: 978-0-9585268-2-1","title":"\"Gender Blind, Gender Neutral\": The effectiveness of the National Disability Strategy in improving the lives of women and girls with disabilities","URL":"https://wwda.org.au/wp-content/uploads/2013/12/WWDA_Sub_NDS_Review2014.pdf","author":[{"family":"Frohmader","given":"Carolyn"}],"issued":{"date-parts":[["2014",4]]}}}],"schema":"https://github.com/citation-style-language/schema/raw/master/csl-citation.json"} </w:instrText>
      </w:r>
      <w:r w:rsidRPr="003F3D6D">
        <w:rPr>
          <w:rFonts w:cstheme="minorHAnsi"/>
        </w:rPr>
        <w:fldChar w:fldCharType="separate"/>
      </w:r>
      <w:r w:rsidRPr="00794E5D">
        <w:rPr>
          <w:rFonts w:ascii="Calibri" w:hAnsi="Calibri" w:cs="Calibri"/>
        </w:rPr>
        <w:t>Frohmader (n 83).</w:t>
      </w:r>
      <w:r w:rsidRPr="003F3D6D">
        <w:rPr>
          <w:rFonts w:cstheme="minorHAnsi"/>
        </w:rPr>
        <w:fldChar w:fldCharType="end"/>
      </w:r>
    </w:p>
  </w:endnote>
  <w:endnote w:id="181">
    <w:p w14:paraId="357FA7A0" w14:textId="1ED9396A" w:rsidR="00A00236" w:rsidRPr="003F3D6D" w:rsidRDefault="00A00236" w:rsidP="004C40A7">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{"citationID":"yykMyj1p","properties":{"formattedCitation":"Maker (n 171) 97.","plainCitation":"Maker (n 171) 97.","noteIndex":181},"citationItems":[{"id":5919,"uris":["http://zotero.org/groups/2733877/items/G7KM579V"],"uri":["http://zotero.org/groups/2733877/items/G7KM579V"],"itemData":{"id":5919,"type":"chapter","container-title":"Restrictive Practices in Health Care and Disability Settings: Legal, Policy and Practical Responses","event-place":"London","page":"91","publisher":"Taylor &amp; Francis Group","publisher-place":"London","title":"Beyond restraint: Gender-sensitive regulation of the control of women’s behaviour in Australian mental health and disability services","author":[{"family":"Maker","given":"Yvette"}],"editor":[{"family":"McSherry","given":"Bernadette"},{"family":"Maker","given":"Yvette"}],"issued":{"date-parts":[["2020"]]}},"locator":"97"}],"schema":"https://github.com/citation-style-language/schema/raw/master/csl-citation.json"} </w:instrText>
      </w:r>
      <w:r w:rsidRPr="003F3D6D">
        <w:rPr>
          <w:rFonts w:cstheme="minorHAnsi"/>
        </w:rPr>
        <w:fldChar w:fldCharType="separate"/>
      </w:r>
      <w:r w:rsidRPr="008F06C3">
        <w:rPr>
          <w:rFonts w:ascii="Calibri" w:hAnsi="Calibri" w:cs="Calibri"/>
        </w:rPr>
        <w:t>Maker (n 171) 97.</w:t>
      </w:r>
      <w:r w:rsidRPr="003F3D6D">
        <w:rPr>
          <w:rFonts w:cstheme="minorHAnsi"/>
        </w:rPr>
        <w:fldChar w:fldCharType="end"/>
      </w:r>
    </w:p>
  </w:endnote>
  <w:endnote w:id="182">
    <w:p w14:paraId="7D4E7B97" w14:textId="6B38DA79" w:rsidR="00A00236" w:rsidRPr="003F3D6D" w:rsidRDefault="00A00236" w:rsidP="004C40A7">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{"citationID":"UebjkwgT","properties":{"formattedCitation":"Ibid 97\\uc0\\u8211{}98.","plainCitation":"Ibid 97–98.","noteIndex":182},"citationItems":[{"id":5919,"uris":["http://zotero.org/groups/2733877/items/G7KM579V"],"uri":["http://zotero.org/groups/2733877/items/G7KM579V"],"itemData":{"id":5919,"type":"chapter","container-title":"Restrictive Practices in Health Care and Disability Settings: Legal, Policy and Practical Responses","event-place":"London","page":"91","publisher":"Taylor &amp; Francis Group","publisher-place":"London","title":"Beyond restraint: Gender-sensitive regulation of the control of women’s behaviour in Australian mental health and disability services","author":[{"family":"Maker","given":"Yvette"}],"editor":[{"family":"McSherry","given":"Bernadette"},{"family":"Maker","given":"Yvette"}],"issued":{"date-parts":[["2020"]]}},"locator":"97-98"}],"schema":"https://github.com/citation-style-language/schema/raw/master/csl-citation.json"} </w:instrText>
      </w:r>
      <w:r w:rsidRPr="003F3D6D">
        <w:rPr>
          <w:rFonts w:cstheme="minorHAnsi"/>
        </w:rPr>
        <w:fldChar w:fldCharType="separate"/>
      </w:r>
      <w:r w:rsidRPr="00221488">
        <w:rPr>
          <w:rFonts w:ascii="Calibri" w:hAnsi="Calibri" w:cs="Calibri"/>
          <w:szCs w:val="24"/>
        </w:rPr>
        <w:t>Ibid 97–98.</w:t>
      </w:r>
      <w:r w:rsidRPr="003F3D6D">
        <w:rPr>
          <w:rFonts w:cstheme="minorHAnsi"/>
        </w:rPr>
        <w:fldChar w:fldCharType="end"/>
      </w:r>
    </w:p>
  </w:endnote>
  <w:endnote w:id="183">
    <w:p w14:paraId="46E84139" w14:textId="15E12C81" w:rsidR="00A00236" w:rsidRPr="003F3D6D" w:rsidRDefault="00A00236" w:rsidP="004C40A7">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{"citationID":"Lqq3VGTy","properties":{"formattedCitation":"Juliet Watson et al, {\\i{}Preventing Gender-Based Violence in Mental Health Inpatient Units} (Research Report No 01/2020, ANROWS).","plainCitation":"Juliet Watson et al, Preventing Gender-Based Violence in Mental Health Inpatient Units (Research Report No 01/2020, ANROWS).","noteIndex":183},"citationItems":[{"id":5918,"uris":["http://zotero.org/groups/2733877/items/G5GHKANF"],"uri":["http://zotero.org/groups/2733877/items/G5GHKANF"],"itemData":{"id":5918,"type":"report","event-place":"Sydney, NSW","genre":"Research Report","number":"01/2020","publisher":"ANROWS","publisher-place":"Sydney, NSW","title":"Preventing gender-based violence in mental health inpatient units","author":[{"family":"Watson","given":"Juliet"},{"family":"Maylea","given":"Chris"},{"family":"Roberts","given":"Russell"},{"family":"Hill","given":"Nicholas"},{"family":"McCallum","given":"Susan"}]}}],"schema":"https://github.com/citation-style-language/schema/raw/master/csl-citation.json"} </w:instrText>
      </w:r>
      <w:r w:rsidRPr="003F3D6D">
        <w:rPr>
          <w:rFonts w:cstheme="minorHAnsi"/>
        </w:rPr>
        <w:fldChar w:fldCharType="separate"/>
      </w:r>
      <w:r w:rsidRPr="003F3D6D">
        <w:rPr>
          <w:rFonts w:cstheme="minorHAnsi"/>
        </w:rPr>
        <w:t xml:space="preserve">Juliet Watson et al, </w:t>
      </w:r>
      <w:r w:rsidRPr="003F3D6D">
        <w:rPr>
          <w:rFonts w:cstheme="minorHAnsi"/>
          <w:i/>
          <w:iCs/>
        </w:rPr>
        <w:t>Preventing Gender-Based Violence in Mental Health Inpatient Units</w:t>
      </w:r>
      <w:r w:rsidRPr="003F3D6D">
        <w:rPr>
          <w:rFonts w:cstheme="minorHAnsi"/>
        </w:rPr>
        <w:t xml:space="preserve"> (Research Report No 01/2020, ANROWS).</w:t>
      </w:r>
      <w:r w:rsidRPr="003F3D6D">
        <w:rPr>
          <w:rFonts w:cstheme="minorHAnsi"/>
        </w:rPr>
        <w:fldChar w:fldCharType="end"/>
      </w:r>
    </w:p>
  </w:endnote>
  <w:endnote w:id="184">
    <w:p w14:paraId="5035C65D" w14:textId="0ACABE17" w:rsidR="00A00236" w:rsidRPr="003F3D6D" w:rsidRDefault="00A00236" w:rsidP="00201DD3">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{"citationID":"ktTyG7sf","properties":{"formattedCitation":"Phillip French, {\\i{}Accommodating Human Rights: A Human Rights Perspective on Housing, and Housing and Support, for Persons with Disability} (People With Disability Australia, 2010).","plainCitation":"Phillip French, Accommodating Human Rights: A Human Rights Perspective on Housing, and Housing and Support, for Persons with Disability (People With Disability Australia, 2010).","noteIndex":184},"citationItems":[{"id":6190,"uris":["http://zotero.org/groups/2733877/items/ELS3ZD7D"],"uri":["http://zotero.org/groups/2733877/items/ELS3ZD7D"],"itemData":{"id":6190,"type":"report","event-place":"Sydney","publisher":"People With Disability Australia","publisher-place":"Sydney","title":"Accommodating human rights: a human rights perspective on housing, and housing and support, for persons with disability","author":[{"family":"French","given":"Phillip"}],"issued":{"date-parts":[["2010"]]}}}],"schema":"https://github.com/citation-style-language/schema/raw/master/csl-citation.json"} </w:instrText>
      </w:r>
      <w:r w:rsidRPr="003F3D6D">
        <w:rPr>
          <w:rFonts w:cstheme="minorHAnsi"/>
        </w:rPr>
        <w:fldChar w:fldCharType="separate"/>
      </w:r>
      <w:r w:rsidRPr="003F3D6D">
        <w:rPr>
          <w:rFonts w:cstheme="minorHAnsi"/>
        </w:rPr>
        <w:t xml:space="preserve">Phillip French, </w:t>
      </w:r>
      <w:r w:rsidRPr="003F3D6D">
        <w:rPr>
          <w:rFonts w:cstheme="minorHAnsi"/>
          <w:i/>
          <w:iCs/>
        </w:rPr>
        <w:t>Accommodating Human Rights: A Human Rights Perspective on Housing, and Housing and Support, for Persons with Disability</w:t>
      </w:r>
      <w:r w:rsidRPr="003F3D6D">
        <w:rPr>
          <w:rFonts w:cstheme="minorHAnsi"/>
        </w:rPr>
        <w:t xml:space="preserve"> (People With Disability Australia, 2010).</w:t>
      </w:r>
      <w:r w:rsidRPr="003F3D6D">
        <w:rPr>
          <w:rFonts w:cstheme="minorHAnsi"/>
        </w:rPr>
        <w:fldChar w:fldCharType="end"/>
      </w:r>
    </w:p>
  </w:endnote>
  <w:endnote w:id="185">
    <w:p w14:paraId="3A07B347" w14:textId="40BF1F11" w:rsidR="00A00236" w:rsidRPr="003F3D6D" w:rsidRDefault="00A00236" w:rsidP="00201DD3">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{"citationID":"jAahSFgX","properties":{"formattedCitation":"Committee on the Rights of Persons with Disabilities, {\\i{}General Comment No. 5 on Living Independently and Being Included in the Community} (CRPD/C/GC/5, United Nations, 27 October 2017) 4[16(c)] &lt;https://tbinternet.ohchr.org/_layouts/15/treatybodyexternal/Download.aspx?symbolno=CRPD/C/GC/5&amp;Lang=en&gt;.","plainCitation":"Committee on the Rights of Persons with Disabilities, General Comment No. 5 on Living Independently and Being Included in the Community (CRPD/C/GC/5, United Nations, 27 October 2017) 4[16(c)] &lt;https://tbinternet.ohchr.org/_layouts/15/treatybodyexternal/Download.aspx?symbolno=CRPD/C/GC/5&amp;Lang=en&gt;.","noteIndex":185},"citationItems":[{"id":6129,"uris":["http://zotero.org/groups/2733877/items/VEZVSBB9"],"uri":["http://zotero.org/groups/2733877/items/VEZVSBB9"],"itemData":{"id":6129,"type":"report","collection-title":"UN Doc","genre":"CRPD/C/GC/5","publisher":"United Nations","title":"General Comment No. 5 on living independently and being included in the community","URL":"https://tbinternet.ohchr.org/_layouts/15/treatybodyexternal/Download.aspx?symbolno=CRPD/C/GC/5&amp;Lang=en","author":[{"family":"Committee on the Rights of Persons with Disabilities","given":""}],"issued":{"date-parts":[["2017",10,27]]}},"locator":"4[16(c)]"}],"schema":"https://github.com/citation-style-language/schema/raw/master/csl-citation.json"} </w:instrText>
      </w:r>
      <w:r w:rsidRPr="003F3D6D">
        <w:rPr>
          <w:rFonts w:cstheme="minorHAnsi"/>
        </w:rPr>
        <w:fldChar w:fldCharType="separate"/>
      </w:r>
      <w:r w:rsidRPr="00A851B9">
        <w:rPr>
          <w:rFonts w:ascii="Calibri" w:hAnsi="Calibri" w:cs="Calibri"/>
          <w:szCs w:val="24"/>
        </w:rPr>
        <w:t xml:space="preserve">Committee on the Rights of Persons with Disabilities, </w:t>
      </w:r>
      <w:r w:rsidRPr="00A851B9">
        <w:rPr>
          <w:rFonts w:ascii="Calibri" w:hAnsi="Calibri" w:cs="Calibri"/>
          <w:i/>
          <w:iCs/>
          <w:szCs w:val="24"/>
        </w:rPr>
        <w:t>General Comment No. 5 on Living Independently and Being Included in the Community</w:t>
      </w:r>
      <w:r w:rsidRPr="00A851B9">
        <w:rPr>
          <w:rFonts w:ascii="Calibri" w:hAnsi="Calibri" w:cs="Calibri"/>
          <w:szCs w:val="24"/>
        </w:rPr>
        <w:t xml:space="preserve"> (CRPD/C/GC/5, United Nations, 27 October 2017) 4[16(c)] &lt;https://tbinternet.ohchr.org/_layouts/15/treatybodyexternal/Download.aspx?symbolno=CRPD/C/GC/5&amp;Lang=en&gt;.</w:t>
      </w:r>
      <w:r w:rsidRPr="003F3D6D">
        <w:rPr>
          <w:rFonts w:cstheme="minorHAnsi"/>
        </w:rPr>
        <w:fldChar w:fldCharType="end"/>
      </w:r>
    </w:p>
  </w:endnote>
  <w:endnote w:id="186">
    <w:p w14:paraId="54758E4C" w14:textId="12705A7D" w:rsidR="00A00236" w:rsidRPr="003F3D6D" w:rsidRDefault="00A00236" w:rsidP="00201DD3">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{"citationID":"SIR5Bu0l","properties":{"formattedCitation":"See, for example, Cadwallader et al (n 6); See also Committee on the Rights of Persons with Disabilities, \\uc0\\u8216{}General Comment No. 5 on Living Independently and Being Included in the Community\\uc0\\u8217{} (n 185); Committee on the Rights of Persons with Disabilities, \\uc0\\u8216{}General Comment No. 3 on Article 6: Women and Girls with Disabilities\\uc0\\u8217{} (n 96) 3; Frohmader and Sands (n 87).","plainCitation":"See, for example, Cadwallader et al (n 6); See also Committee on the Rights of Persons with Disabilities, ‘General Comment No. 5 on Living Independently and Being Included in the Community’ (n 185); Committee on the Rights of Persons with Disabilities, ‘General Comment No. 3 on Article 6: Women and Girls with Disabilities’ (n 96) 3; Frohmader and Sands (n 87).","noteIndex":186},"citationItems":[{"id":4858,"uris":["http://zotero.org/groups/2567132/items/ZKTZ8GQI"],"uri":["http://zotero.org/groups/2567132/items/ZKTZ8GQI"],"itemData":{"id":4858,"type":"article-journal","abstract":"International and Australian domestic evidence suggest that the prevalence of violence against people with disability is substantially higher than for the rest of the community. Much of the violence experienced by people with disability in Australia occurs within the purview of a variety of institutions, including group homes, large residential institutions, Australian Disability Enterprises (that is, disability employment facilities), schools, psychiatric facilities, hospitals and correctional facilities. This comment discusses recent domestic and international legal and political attempts to grapple with the issue of institutional violence against people with disability, focusing in particular on a series of Senate Committee inquiries into abuse and violence, regulation related to the National Disability Insurance Scheme, the coming into force of the Convention on the Rights of Persons with Disabilities, Australia's anticipated ratification of the Optional Protocol to the Convention Against Torture and recent calls by Disability People's Organisations and academics for a Royal Commission into violence against people with disability.","container-title":"Current Issues in Criminal Justice","DOI":"10.1080/10345329.2018.12036101","ISSN":"1034-5329","issue":"3","note":"publisher: Routledge\n_eprint: https://doi.org/10.1080/10345329.2018.12036101","page":"259-272","source":"Taylor and Francis+NEJM","title":"Institutional Violence against People with Disability: Recent Legal and Political Developments","title-short":"Institutional Violence against People with Disability","volume":"29","author":[{"family":"Cadwallader","given":"Jessica Robyn"},{"family":"Spivakovsky","given":"Claire"},{"family":"Steele","given":"Linda"},{"family":"Wadiwel","given":"Dinesh"}],"issued":{"date-parts":[["2018",3,1]]}},"prefix":"See, for example, "},{"id":6129,"uris":["http://zotero.org/groups/2733877/items/VEZVSBB9"],"uri":["http://zotero.org/groups/2733877/items/VEZVSBB9"],"itemData":{"id":6129,"type":"report","collection-title":"UN Doc","genre":"CRPD/C/GC/5","publisher":"United Nations","title":"General Comment No. 5 on living independently and being included in the community","URL":"https://tbinternet.ohchr.org/_layouts/15/treatybodyexternal/Download.aspx?symbolno=CRPD/C/GC/5&amp;Lang=en","author":[{"family":"Committee on the Rights of Persons with Disabilities","given":""}],"issued":{"date-parts":[["2017",10,27]]}},"prefix":"See also"},{"id":6048,"uris":["http://zotero.org/groups/2733877/items/EJBHWJ76"],"uri":["http://zotero.org/groups/2733877/items/EJBHWJ76"],"itemData":{"id":6048,"type":"report","abstract":"Advance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locator":"3"},{"id":6130,"uris":["http://zotero.org/groups/2733877/items/C292ZK32"],"uri":["http://zotero.org/groups/2733877/items/C292ZK32"],"itemData":{"id":6130,"type":"report","event-place":"Sydney, Australia","language":"en","publisher":"Australian Cross Disability Alliance (ACDA)","publisher-place":"Sydney, Australia","source":"Zotero","title":"Submission to the Senate Inquiry into Violence, abuse and neglect against people with disability in institutional and residential settings","URL":"https://wwda.org.au/wp-content/uploads/2013/12/ACDA_Sub_Sen_Inquiry_Violence_Institutions.pdf","author":[{"family":"Frohmader","given":"Carolyn"},{"family":"Sands","given":"Therese"}],"issued":{"date-parts":[["2015"]]}}}],"schema":"https://github.com/citation-style-language/schema/raw/master/csl-citation.json"} </w:instrText>
      </w:r>
      <w:r w:rsidRPr="003F3D6D">
        <w:rPr>
          <w:rFonts w:cstheme="minorHAnsi"/>
        </w:rPr>
        <w:fldChar w:fldCharType="separate"/>
      </w:r>
      <w:r w:rsidRPr="00562342">
        <w:rPr>
          <w:rFonts w:ascii="Calibri" w:hAnsi="Calibri" w:cs="Calibri"/>
          <w:szCs w:val="24"/>
        </w:rPr>
        <w:t>See, for example, Cadwallader et al (n 6); See also Committee on the Rights of Persons with Disabilities, ‘General Comment No. 5 on Living Independently and Being Included in the Community’ (n 185); Committee on the Rights of Persons with Disabilities, ‘General Comment No. 3 on Article 6: Women and Girls with Disabilities’ (n 96) 3; Frohmader and Sands (n 87).</w:t>
      </w:r>
      <w:r w:rsidRPr="003F3D6D">
        <w:rPr>
          <w:rFonts w:cstheme="minorHAnsi"/>
        </w:rPr>
        <w:fldChar w:fldCharType="end"/>
      </w:r>
    </w:p>
  </w:endnote>
  <w:endnote w:id="187">
    <w:p w14:paraId="4770F904" w14:textId="4679B29B" w:rsidR="00A00236" w:rsidRPr="003F3D6D" w:rsidRDefault="00A00236" w:rsidP="002A184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{"citationID":"a2ctPzoW","properties":{"formattedCitation":"Royal Commission into Violence, Abuse, Neglect and Exploitation of People with Disability, \\uc0\\u8216{}Restrictive Practices Issues Paper\\uc0\\u8217{} (n 3).","plainCitation":"Royal Commission into Violence, Abuse, Neglect and Exploitation of People with Disability, ‘Restrictive Practices Issues Paper’ (n 3).","noteIndex":187},"citationItems":[{"id":6209,"uris":["http://zotero.org/groups/2733877/items/TGUJIQJE"],"uri":["http://zotero.org/groups/2733877/items/TGUJIQJE"],"itemData":{"id":6209,"type":"report","language":"en","page":"1-14","source":"Zotero","title":"Restrictive Practices Issues Paper","author":[{"family":"Royal Commission into Violence, Abuse, Neglect and Exploitation of People with Disability","given":""}],"issued":{"date-parts":[["2020",5,26]]}}}],"schema":"https://github.com/citation-style-language/schema/raw/master/csl-citation.json"} </w:instrText>
      </w:r>
      <w:r w:rsidRPr="003F3D6D">
        <w:rPr>
          <w:rFonts w:cstheme="minorHAnsi"/>
        </w:rPr>
        <w:fldChar w:fldCharType="separate"/>
      </w:r>
      <w:r w:rsidRPr="003509C3">
        <w:rPr>
          <w:rFonts w:ascii="Calibri" w:hAnsi="Calibri" w:cs="Calibri"/>
          <w:szCs w:val="24"/>
        </w:rPr>
        <w:t>Royal Commission into Violence, Abuse, Neglect and Exploitation of People with Disability, ‘Restrictive Practices Issues Paper’ (n 3).</w:t>
      </w:r>
      <w:r w:rsidRPr="003F3D6D">
        <w:rPr>
          <w:rFonts w:cstheme="minorHAnsi"/>
        </w:rPr>
        <w:fldChar w:fldCharType="end"/>
      </w:r>
    </w:p>
  </w:endnote>
  <w:endnote w:id="188">
    <w:p w14:paraId="64893467" w14:textId="77777777" w:rsidR="00A00236" w:rsidRPr="00580F5E" w:rsidRDefault="00A00236" w:rsidP="00931886">
      <w:pPr>
        <w:pStyle w:val="EndnoteText"/>
        <w:rPr>
          <w:lang w:val="en-AU"/>
        </w:rPr>
      </w:pPr>
      <w:r>
        <w:rPr>
          <w:rStyle w:val="EndnoteReference"/>
        </w:rPr>
        <w:endnoteRef/>
      </w:r>
      <w:r>
        <w:t xml:space="preserve"> </w:t>
      </w:r>
      <w:r>
        <w:rPr>
          <w:lang w:val="en-AU"/>
        </w:rPr>
        <w:t xml:space="preserve">See, e.g., Voronka’s discussion of evidence-based research as a form of ‘slow violence’. She explains in the context of ‘evidence-based’ housing solutions to homelessness: ‘through neo-liberal biopolitical management tactics, research works in conjunction with a wide array of neo-liberal biopolitical management tactics to sustain rather than solve  structural violence.’: </w:t>
      </w:r>
      <w:r>
        <w:rPr>
          <w:lang w:val="en-AU"/>
        </w:rPr>
        <w:fldChar w:fldCharType="begin"/>
      </w:r>
      <w:r>
        <w:rPr>
          <w:lang w:val="en-AU"/>
        </w:rPr>
        <w:instrText xml:space="preserve"> ADDIN ZOTERO_ITEM CSL_CITATION {"citationID":"fXGQZedM","properties":{"formattedCitation":"Jijian Voronka et al, \\uc0\\u8216{}Slow Death Through Evidence-Based Research\\uc0\\u8217{} in {\\i{}Madness, Violence, and Power: A Critical Collection} (University of Toronto Press) 80, 81.","plainCitation":"Jijian Voronka et al, ‘Slow Death Through Evidence-Based Research’ in Madness, Violence, and Power: A Critical Collection (University of Toronto Press) 80, 81.","noteIndex":188},"citationItems":[{"id":6139,"uris":["http://zotero.org/groups/2733877/items/DBXLE4VN"],"uri":["http://zotero.org/groups/2733877/items/DBXLE4VN"],"itemData":{"id":6139,"type":"chapter","container-title":"Madness, Violence, and Power: A Critical Collection","event-place":"Toronto","page":"80-96","publisher":"University of Toronto Press","publisher-place":"Toronto","title":"Slow Death Through Evidence-Based Research","author":[{"family":"Voronka","given":"Jijian"},{"family":"Daley","given":"Andrea"},{"family":"Costa","given":"Lucy"},{"family":"Beresford","given":"Peter"}]},"locator":"81"}],"schema":"https://github.com/citation-style-language/schema/raw/master/csl-citation.json"} </w:instrText>
      </w:r>
      <w:r>
        <w:rPr>
          <w:lang w:val="en-AU"/>
        </w:rPr>
        <w:fldChar w:fldCharType="separate"/>
      </w:r>
      <w:r w:rsidRPr="000165BA">
        <w:rPr>
          <w:rFonts w:ascii="Calibri" w:hAnsi="Calibri" w:cs="Calibri"/>
          <w:szCs w:val="24"/>
        </w:rPr>
        <w:t xml:space="preserve">Jijian Voronka et al, ‘Slow Death Through Evidence-Based Research’ in </w:t>
      </w:r>
      <w:r w:rsidRPr="000165BA">
        <w:rPr>
          <w:rFonts w:ascii="Calibri" w:hAnsi="Calibri" w:cs="Calibri"/>
          <w:i/>
          <w:iCs/>
          <w:szCs w:val="24"/>
        </w:rPr>
        <w:t>Madness, Violence, and Power: A Critical Collection</w:t>
      </w:r>
      <w:r w:rsidRPr="000165BA">
        <w:rPr>
          <w:rFonts w:ascii="Calibri" w:hAnsi="Calibri" w:cs="Calibri"/>
          <w:szCs w:val="24"/>
        </w:rPr>
        <w:t xml:space="preserve"> (University of Toronto Press) 80, 81.</w:t>
      </w:r>
      <w:r>
        <w:rPr>
          <w:lang w:val="en-AU"/>
        </w:rPr>
        <w:fldChar w:fldCharType="end"/>
      </w:r>
    </w:p>
  </w:endnote>
  <w:endnote w:id="189">
    <w:p w14:paraId="2992E807" w14:textId="10117638" w:rsidR="00A00236" w:rsidRPr="00A43287" w:rsidRDefault="00A00236">
      <w:pPr>
        <w:pStyle w:val="EndnoteText"/>
        <w:rPr>
          <w:lang w:val="en-AU"/>
        </w:rPr>
      </w:pPr>
      <w:r>
        <w:rPr>
          <w:rStyle w:val="EndnoteReference"/>
        </w:rPr>
        <w:endnoteRef/>
      </w:r>
      <w:r>
        <w:t xml:space="preserve"> </w:t>
      </w:r>
      <w:r>
        <w:fldChar w:fldCharType="begin"/>
      </w:r>
      <w:r>
        <w:instrText xml:space="preserve"> ADDIN ZOTERO_ITEM CSL_CITATION {"citationID":"1qbvplJK","properties":{"formattedCitation":"Liat Ben-Moshe, \\uc0\\u8216{}Dis Epistemologies of Abolition\\uc0\\u8217{} (2018) 26(3) {\\i{}Critical Criminology} 341.","plainCitation":"Liat Ben-Moshe, ‘Dis Epistemologies of Abolition’ (2018) 26(3) Critical Criminology 341.","noteIndex":189},"citationItems":[{"id":8734,"uris":["http://zotero.org/users/5279374/items/KUWHKG4T"],"uri":["http://zotero.org/users/5279374/items/KUWHKG4T"],"itemData":{"id":8734,"type":"article-journal","container-title":"Critical Criminology","issue":"3","page":"341-355","title":"Dis epistemologies of Abolition","volume":"26","author":[{"family":"Ben-Moshe","given":"Liat"}],"issued":{"date-parts":[["2018"]]}}}],"schema":"https://github.com/citation-style-language/schema/raw/master/csl-citation.json"} </w:instrText>
      </w:r>
      <w:r>
        <w:fldChar w:fldCharType="separate"/>
      </w:r>
      <w:r w:rsidRPr="00A43287">
        <w:rPr>
          <w:rFonts w:ascii="Calibri" w:hAnsi="Calibri" w:cs="Calibri"/>
          <w:szCs w:val="24"/>
        </w:rPr>
        <w:t xml:space="preserve">Liat Ben-Moshe, ‘Dis Epistemologies of Abolition’ (2018) 26(3) </w:t>
      </w:r>
      <w:r w:rsidRPr="00A43287">
        <w:rPr>
          <w:rFonts w:ascii="Calibri" w:hAnsi="Calibri" w:cs="Calibri"/>
          <w:i/>
          <w:iCs/>
          <w:szCs w:val="24"/>
        </w:rPr>
        <w:t>Critical Criminology</w:t>
      </w:r>
      <w:r w:rsidRPr="00A43287">
        <w:rPr>
          <w:rFonts w:ascii="Calibri" w:hAnsi="Calibri" w:cs="Calibri"/>
          <w:szCs w:val="24"/>
        </w:rPr>
        <w:t xml:space="preserve"> 341.</w:t>
      </w:r>
      <w:r>
        <w:fldChar w:fldCharType="end"/>
      </w:r>
    </w:p>
  </w:endnote>
  <w:endnote w:id="190">
    <w:p w14:paraId="21D8AFD8" w14:textId="2516820C"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{"citationID":"ixqm79SE","properties":{"formattedCitation":"Barry Allen, \\uc0\\u8216{}Foucault\\uc0\\u8217{}s Normalisation\\uc0\\u8217{} in Shelley Tremain (ed), {\\i{}Foucault and the Government of Disability} (University of Michigan Press, 2005) 93, 93\\uc0\\u8211{}107 &lt;https://www.press.umich.edu/8403128/foucault_and_the_government_of_disability/?s=look_inside&gt;; See also Dan Goodley, {\\i{}Dis/Ability Studies: Theorising Disablism and Ableism} (Routledge, 2014) 3\\uc0\\u8211{}5 &lt;https://www.routledge.com/Disability-Studies-Theorising-disablism-and-ableism/Goodley/p/book/9780415827225&gt;.","plainCitation":"Barry Allen, ‘Foucault’s Normalisation’ in Shelley Tremain (ed), Foucault and the Government of Disability (University of Michigan Press, 2005) 93, 93–107 &lt;https://www.press.umich.edu/8403128/foucault_and_the_government_of_disability/?s=look_inside&gt;; See also Dan Goodley, Dis/Ability Studies: Theorising Disablism and Ableism (Routledge, 2014) 3–5 &lt;https://www.routledge.com/Disability-Studies-Theorising-disablism-and-ableism/Goodley/p/book/9780415827225&gt;.","noteIndex":190},"citationItems":[{"id":6123,"uris":["http://zotero.org/groups/2733877/items/PQGV8PF6"],"uri":["http://zotero.org/groups/2733877/items/PQGV8PF6"],"itemData":{"id":6123,"type":"chapter","container-title":"Foucault and the Government of Disability","event-place":"Ann Arbor","ISBN":"978-0-472-03638-7","language":"en","page":"93-107","publisher":"University of Michigan Press","publisher-place":"Ann Arbor","source":"www.press.umich.edu","title":"Foucault's Normalisation","URL":"https://www.press.umich.edu/8403128/foucault_and_the_government_of_disability/?s=look_inside","author":[{"family":"Allen","given":"Barry"}],"editor":[{"family":"Tremain","given":"Shelley"}],"accessed":{"date-parts":[["2021",2,2]]},"issued":{"date-parts":[["2005"]]}},"locator":"93-107"},{"id":6033,"uris":["http://zotero.org/groups/2733877/items/IWVDHUWV"],"uri":["http://zotero.org/groups/2733877/items/IWVDHUWV"],"itemData":{"id":6033,"type":"book","abstract":"In this ground-breaking new work, Dan Goodley makes the case for a novel, distinct, intellectual, and political project – dis/ability studies – an orientation that might encourage us to think again about the phenomena of disability and ability. \nDrawing on a range of interdisciplinary areas, including sociology, psychology, education, policy and cultural studies, this much needed text takes the most topical and important issues in critical disability theory, and pushes them into new theoreti","event-place":"Abingdon","language":"en","publisher":"Routledge","publisher-place":"Abingdon","title":"Dis/ability Studies: Theorising disablism and ableism","URL":"https://www.routledge.com/Disability-Studies-Theorising-disablism-and-ableism/Goodley/p/book/9780415827225","author":[{"family":"Goodley","given":"Dan"}],"accessed":{"date-parts":[["2021",2,2]]},"issued":{"date-parts":[["2014"]]}},"locator":"3-5","prefix":"See also"}],"schema":"https://github.com/citation-style-language/schema/raw/master/csl-citation.json"} </w:instrText>
      </w:r>
      <w:r w:rsidRPr="003F3D6D">
        <w:rPr>
          <w:rFonts w:cstheme="minorHAnsi"/>
        </w:rPr>
        <w:fldChar w:fldCharType="separate"/>
      </w:r>
      <w:r w:rsidRPr="003F3D6D">
        <w:rPr>
          <w:rFonts w:cstheme="minorHAnsi"/>
        </w:rPr>
        <w:t xml:space="preserve">Barry Allen, ‘Foucault’s Normalisation’ in Shelley Tremain (ed), </w:t>
      </w:r>
      <w:r w:rsidRPr="003F3D6D">
        <w:rPr>
          <w:rFonts w:cstheme="minorHAnsi"/>
          <w:i/>
          <w:iCs/>
        </w:rPr>
        <w:t>Foucault and the Government of Disability</w:t>
      </w:r>
      <w:r w:rsidRPr="003F3D6D">
        <w:rPr>
          <w:rFonts w:cstheme="minorHAnsi"/>
        </w:rPr>
        <w:t xml:space="preserve"> (University of Michigan Press, 2005) 93, 93–107 &lt;https://www.press.umich.edu/8403128/foucault_and_the_government_of_disability/?s=look_inside&gt;; See also Dan Goodley, </w:t>
      </w:r>
      <w:r w:rsidRPr="003F3D6D">
        <w:rPr>
          <w:rFonts w:cstheme="minorHAnsi"/>
          <w:i/>
          <w:iCs/>
        </w:rPr>
        <w:t>Dis/Ability Studies: Theorising Disablism and Ableism</w:t>
      </w:r>
      <w:r w:rsidRPr="003F3D6D">
        <w:rPr>
          <w:rFonts w:cstheme="minorHAnsi"/>
        </w:rPr>
        <w:t xml:space="preserve"> (Routledge, 2014) 3–5 &lt;https://www.routledge.com/Disability-Studies-Theorising-disablism-and-ableism/Goodley/p/book/9780415827225&gt;.</w:t>
      </w:r>
      <w:r w:rsidRPr="003F3D6D">
        <w:rPr>
          <w:rFonts w:cstheme="minorHAnsi"/>
        </w:rPr>
        <w:fldChar w:fldCharType="end"/>
      </w:r>
    </w:p>
  </w:endnote>
  <w:endnote w:id="191">
    <w:p w14:paraId="10DEBC53" w14:textId="7E4D6AE7"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{"citationID":"JEhozky1","properties":{"formattedCitation":"Niklas Altermark, {\\i{}Citizenship Inclusion and Intellectual Disability: Biopolitics Post-Institutionalisation} (Routledge, 2019) 21\\uc0\\u8211{}44 &lt;https://www.routledge.com/Citizenship-Inclusion-and-Intellectual-Disability-Biopolitics-Post-Institutionalisation/Altermark/p/book/9780367431006&gt;.","plainCitation":"Niklas Altermark, Citizenship Inclusion and Intellectual Disability: Biopolitics Post-Institutionalisation (Routledge, 2019) 21–44 &lt;https://www.routledge.com/Citizenship-Inclusion-and-Intellectual-Disability-Biopolitics-Post-Institutionalisation/Altermark/p/book/9780367431006&gt;.","noteIndex":191},"citationItems":[{"id":6042,"uris":["http://zotero.org/groups/2733877/items/6B7J6FWP"],"uri":["http://zotero.org/groups/2733877/items/6B7J6FWP"],"itemData":{"id":6042,"type":"book","abstract":"What happens when a group traditionally defined as lacking the necessary capacities of citizenship is targeted by government programs that have made ‘citizenship inclusion’ their main goal? Combining theoretical perspectives of political philosophy, social theory, and disability studies, this book untangles the current state of Western intellectual disability politics following the replacement of state institutionalisation by independent and supported living, individual rights, and self-dete","event-place":"London and New York","language":"en","publisher":"Routledge","publisher-place":"London and New York","title":"Citizenship Inclusion and Intellectual Disability: Biopolitics Post-Institutionalisation","URL":"https://www.routledge.com/Citizenship-Inclusion-and-Intellectual-Disability-Biopolitics-Post-Institutionalisation/Altermark/p/book/9780367431006","author":[{"family":"Altermark","given":"Niklas"}],"accessed":{"date-parts":[["2021",2,2]]},"issued":{"date-parts":[["2019"]]}},"locator":"21-44"}],"schema":"https://github.com/citation-style-language/schema/raw/master/csl-citation.json"} </w:instrText>
      </w:r>
      <w:r w:rsidRPr="003F3D6D">
        <w:rPr>
          <w:rFonts w:cstheme="minorHAnsi"/>
        </w:rPr>
        <w:fldChar w:fldCharType="separate"/>
      </w:r>
      <w:r w:rsidRPr="003F3D6D">
        <w:rPr>
          <w:rFonts w:cstheme="minorHAnsi"/>
        </w:rPr>
        <w:t xml:space="preserve">Niklas Altermark, </w:t>
      </w:r>
      <w:r w:rsidRPr="003F3D6D">
        <w:rPr>
          <w:rFonts w:cstheme="minorHAnsi"/>
          <w:i/>
          <w:iCs/>
        </w:rPr>
        <w:t>Citizenship Inclusion and Intellectual Disability: Biopolitics Post-Institutionalisation</w:t>
      </w:r>
      <w:r w:rsidRPr="003F3D6D">
        <w:rPr>
          <w:rFonts w:cstheme="minorHAnsi"/>
        </w:rPr>
        <w:t xml:space="preserve"> (Routledge, 2019) 21–44 &lt;https://www.routledge.com/Citizenship-Inclusion-and-Intellectual-Disability-Biopolitics-Post-Institutionalisation/Altermark/p/book/9780367431006&gt;.</w:t>
      </w:r>
      <w:r w:rsidRPr="003F3D6D">
        <w:rPr>
          <w:rFonts w:cstheme="minorHAnsi"/>
        </w:rPr>
        <w:fldChar w:fldCharType="end"/>
      </w:r>
    </w:p>
  </w:endnote>
  <w:endnote w:id="192">
    <w:p w14:paraId="4BEB813C" w14:textId="0F5C44D6"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{"citationID":"8tq23m1f","properties":{"formattedCitation":"Dowse et al (n 73); See also Women With Disabilities Australia, \\uc0\\u8216{}Stop the Violence: Report of the Proceedings and Outcomes - National Symposium on Violence Against Women and Girls with Disabilities\\uc0\\u8217{} (n 73).","plainCitation":"Dowse et al (n 73); See also Women With Disabilities Australia, ‘Stop the Violence: Report of the Proceedings and Outcomes - National Symposium on Violence Against Women and Girls with Disabilities’ (n 73).","noteIndex":192},"citationItems":[{"id":5983,"uris":["http://zotero.org/groups/2733877/items/E5HUUZIP"],"uri":["http://zotero.org/groups/2733877/items/E5HUUZIP"],"itemData":{"id":5983,"type":"report","event-place":"Hobart","genre":"Background Paper","language":"en","page":"98","publisher":"Women With Disabilities Australia","publisher-place":"Hobart","source":"Zotero","title":"Stop the Violence: Addressing Violence Against Women and Girls with DIsabilities in Australia","author":[{"family":"Dowse","given":"L"},{"family":"Soldatic","given":"K"},{"family":"Didi","given":"A"},{"family":"Frohmader","given":"C"},{"family":"Toorn","given":"G","non-dropping-particle":"van"}],"issued":{"date-parts":[["2013",10,25]]}}},{"id":6205,"uris":["http://zotero.org/groups/2733877/items/RXKNI336"],"uri":["http://zotero.org/groups/2733877/items/RXKNI336"],"itemData":{"id":6205,"type":"report","event-place":"Sydney","genre":"Outcomes Paper","language":"en","page":"38","publisher":"Women With Disabilities Australia","publisher-place":"Sydney","source":"Zotero","title":"Stop the Violence: Report of the Proceedings and Outcomes - National Symposium on Violence Against Women and Girls with Disabilities","author":[{"family":"Women With Disabilities Australia","given":""}],"issued":{"date-parts":[["2013",10,25]]}},"prefix":"See also"}],"schema":"https://github.com/citation-style-language/schema/raw/master/csl-citation.json"} </w:instrText>
      </w:r>
      <w:r w:rsidRPr="003F3D6D">
        <w:rPr>
          <w:rFonts w:cstheme="minorHAnsi"/>
        </w:rPr>
        <w:fldChar w:fldCharType="separate"/>
      </w:r>
      <w:r w:rsidRPr="00794E5D">
        <w:rPr>
          <w:rFonts w:ascii="Calibri" w:hAnsi="Calibri" w:cs="Calibri"/>
          <w:szCs w:val="24"/>
        </w:rPr>
        <w:t>Dowse et al (n 73); See also Women With Disabilities Australia, ‘Stop the Violence: Report of the Proceedings and Outcomes - National Symposium on Violence Against Women and Girls with Disabilities’ (n 73).</w:t>
      </w:r>
      <w:r w:rsidRPr="003F3D6D">
        <w:rPr>
          <w:rFonts w:cstheme="minorHAnsi"/>
        </w:rPr>
        <w:fldChar w:fldCharType="end"/>
      </w:r>
    </w:p>
  </w:endnote>
  <w:endnote w:id="193">
    <w:p w14:paraId="55BCD165" w14:textId="18345466"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Pr>
          <w:rFonts w:cstheme="minorHAnsi"/>
        </w:rPr>
        <w:t xml:space="preserve"> </w:t>
      </w:r>
      <w:r>
        <w:rPr>
          <w:rFonts w:cstheme="minorHAnsi"/>
        </w:rPr>
        <w:fldChar w:fldCharType="begin"/>
      </w:r>
      <w:r>
        <w:rPr>
          <w:rFonts w:cstheme="minorHAnsi"/>
        </w:rPr>
        <w:instrText xml:space="preserve"> ADDIN ZOTERO_ITEM CSL_CITATION {"citationID":"BMvsTM14","properties":{"formattedCitation":"Linda Steele, {\\i{}Disability, Criminal Justice and Law Reconsidering Court Diversion} (Routledge, 2020) 164\\uc0\\u8211{}173 &lt;https://www.routledge.com/Disability-Criminal-Justice-and-Law-Reconsidering-Court-Diversion/Steele/p/book/9780815375265&gt;.","plainCitation":"Linda Steele, Disability, Criminal Justice and Law Reconsidering Court Diversion (Routledge, 2020) 164–173 &lt;https://www.routledge.com/Disability-Criminal-Justice-and-Law-Reconsidering-Court-Diversion/Steele/p/book/9780815375265&gt;.","noteIndex":193},"citationItems":[{"id":5948,"uris":["http://zotero.org/groups/2733877/items/GXS7S9UM"],"uri":["http://zotero.org/groups/2733877/items/GXS7S9UM"],"itemData":{"id":5948,"type":"book","event-place":"Abingdon","publisher":"Routledge","publisher-place":"Abingdon","title":"Disability, Criminal Justice and Law Reconsidering Court Diversion","URL":"https://www.routledge.com/Disability-Criminal-Justice-and-Law-Reconsidering-Court-Diversion/Steele/p/book/9780815375265","author":[{"family":"Steele","given":"Linda"}],"issued":{"date-parts":[["2020"]]}},"locator":"164-173"}],"schema":"https://github.com/citation-style-language/schema/raw/master/csl-citation.json"} </w:instrText>
      </w:r>
      <w:r>
        <w:rPr>
          <w:rFonts w:cstheme="minorHAnsi"/>
        </w:rPr>
        <w:fldChar w:fldCharType="separate"/>
      </w:r>
      <w:r w:rsidRPr="00DE38DB">
        <w:rPr>
          <w:rFonts w:ascii="Calibri" w:hAnsi="Calibri" w:cs="Calibri"/>
          <w:szCs w:val="24"/>
        </w:rPr>
        <w:t xml:space="preserve">Linda Steele, </w:t>
      </w:r>
      <w:r w:rsidRPr="00DE38DB">
        <w:rPr>
          <w:rFonts w:ascii="Calibri" w:hAnsi="Calibri" w:cs="Calibri"/>
          <w:i/>
          <w:iCs/>
          <w:szCs w:val="24"/>
        </w:rPr>
        <w:t>Disability, Criminal Justice and Law Reconsidering Court Diversion</w:t>
      </w:r>
      <w:r w:rsidRPr="00DE38DB">
        <w:rPr>
          <w:rFonts w:ascii="Calibri" w:hAnsi="Calibri" w:cs="Calibri"/>
          <w:szCs w:val="24"/>
        </w:rPr>
        <w:t xml:space="preserve"> (Routledge, 2020) 164–173 &lt;https://www.routledge.com/Disability-Criminal-Justice-and-Law-Reconsidering-Court-Diversion/Steele/p/book/9780815375265&gt;.</w:t>
      </w:r>
      <w:r>
        <w:rPr>
          <w:rFonts w:cstheme="minorHAnsi"/>
        </w:rPr>
        <w:fldChar w:fldCharType="end"/>
      </w:r>
    </w:p>
  </w:endnote>
  <w:endnote w:id="194">
    <w:p w14:paraId="47B9EBEE" w14:textId="44F7C34C"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{"citationID":"Mff97qC5","properties":{"formattedCitation":"Goodley (n 190); See also Rosemarie Garland-Thomson, \\uc0\\u8216{}Integrating Disability, Transforming Feminist Theory\\uc0\\u8217{} in Kim Q Hall (ed), {\\i{}Feminist Disability Studies} (Indiana University Press, 2011) 13, 13, 17\\uc0\\u8211{}18.","plainCitation":"Goodley (n 190); See also Rosemarie Garland-Thomson, ‘Integrating Disability, Transforming Feminist Theory’ in Kim Q Hall (ed), Feminist Disability Studies (Indiana University Press, 2011) 13, 13, 17–18.","noteIndex":194},"citationItems":[{"id":6033,"uris":["http://zotero.org/groups/2733877/items/IWVDHUWV"],"uri":["http://zotero.org/groups/2733877/items/IWVDHUWV"],"itemData":{"id":6033,"type":"book","abstract":"In this ground-breaking new work, Dan Goodley makes the case for a novel, distinct, intellectual, and political project – dis/ability studies – an orientation that might encourage us to think again about the phenomena of disability and ability. \nDrawing on a range of interdisciplinary areas, including sociology, psychology, education, policy and cultural studies, this much needed text takes the most topical and important issues in critical disability theory, and pushes them into new theoreti","event-place":"Abingdon","language":"en","publisher":"Routledge","publisher-place":"Abingdon","title":"Dis/ability Studies: Theorising disablism and ableism","URL":"https://www.routledge.com/Disability-Studies-Theorising-disablism-and-ableism/Goodley/p/book/9780415827225","author":[{"family":"Goodley","given":"Dan"}],"accessed":{"date-parts":[["2021",2,2]]},"issued":{"date-parts":[["2014"]]}}},{"id":6119,"uris":["http://zotero.org/groups/2733877/items/WKD6FSWQ"],"uri":["http://zotero.org/groups/2733877/items/WKD6FSWQ"],"itemData":{"id":6119,"type":"chapter","container-title":"Feminist Disability Studies","event-place":"Bloomington &amp; Indianapolis","page":"13","publisher":"Indiana University Press","publisher-place":"Bloomington &amp; Indianapolis","title":"Integrating Disability, Transforming Feminist Theory","author":[{"family":"Garland-Thomson","given":"Rosemarie"}],"editor":[{"family":"Hall","given":"Kim Q"}],"issued":{"date-parts":[["2011"]]}},"locator":"13, 17-18","prefix":"See also"}],"schema":"https://github.com/citation-style-language/schema/raw/master/csl-citation.json"} </w:instrText>
      </w:r>
      <w:r w:rsidRPr="003F3D6D">
        <w:rPr>
          <w:rFonts w:cstheme="minorHAnsi"/>
        </w:rPr>
        <w:fldChar w:fldCharType="separate"/>
      </w:r>
      <w:r w:rsidRPr="00A43287">
        <w:rPr>
          <w:rFonts w:ascii="Calibri" w:hAnsi="Calibri" w:cs="Calibri"/>
          <w:szCs w:val="24"/>
        </w:rPr>
        <w:t xml:space="preserve">Goodley (n 190); See also Rosemarie Garland-Thomson, ‘Integrating Disability, Transforming Feminist Theory’ in Kim Q Hall (ed), </w:t>
      </w:r>
      <w:r w:rsidRPr="00A43287">
        <w:rPr>
          <w:rFonts w:ascii="Calibri" w:hAnsi="Calibri" w:cs="Calibri"/>
          <w:i/>
          <w:iCs/>
          <w:szCs w:val="24"/>
        </w:rPr>
        <w:t>Feminist Disability Studies</w:t>
      </w:r>
      <w:r w:rsidRPr="00A43287">
        <w:rPr>
          <w:rFonts w:ascii="Calibri" w:hAnsi="Calibri" w:cs="Calibri"/>
          <w:szCs w:val="24"/>
        </w:rPr>
        <w:t xml:space="preserve"> (Indiana University Press, 2011) 13, 13, 17–18.</w:t>
      </w:r>
      <w:r w:rsidRPr="003F3D6D">
        <w:rPr>
          <w:rFonts w:cstheme="minorHAnsi"/>
        </w:rPr>
        <w:fldChar w:fldCharType="end"/>
      </w:r>
    </w:p>
  </w:endnote>
  <w:endnote w:id="195">
    <w:p w14:paraId="429CD3F1" w14:textId="0576D70C"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{"citationID":"r4rFnsAc","properties":{"formattedCitation":"Office of the United Nations High Commissioner for Human Rights, {\\i{}Report of the Special Rapporteur on the Rights of Persons with Disabilities} (A/HRC/43/41, United Nations, 17 December 2019) 17[73] &lt;https://www.ohchr.org/en/issues/disability/srdisabilities/pages/srdisabilitiesindex.aspx&gt;.","plainCitation":"Office of the United Nations High Commissioner for Human Rights, Report of the Special Rapporteur on the Rights of Persons with Disabilities (A/HRC/43/41, United Nations, 17 December 2019) 17[73] &lt;https://www.ohchr.org/en/issues/disability/srdisabilities/pages/srdisabilitiesindex.aspx&gt;.","noteIndex":195},"citationItems":[{"id":6125,"uris":["http://zotero.org/groups/2733877/items/MWBMBJXU"],"uri":["http://zotero.org/groups/2733877/items/MWBMBJXU"],"itemData":{"id":6125,"type":"report","genre":"A/HRC/43/41","publisher":"United Nations","title":"Report of the Special Rapporteur on the rights of persons with disabilities","URL":"https://www.ohchr.org/en/issues/disability/srdisabilities/pages/srdisabilitiesindex.aspx","author":[{"family":"Office of the United Nations High Commissioner for Human Rights","given":""}],"accessed":{"date-parts":[["2021",2,1]]},"issued":{"date-parts":[["2019",12,17]]}},"locator":"17[73]"}],"schema":"https://github.com/citation-style-language/schema/raw/master/csl-citation.json"} </w:instrText>
      </w:r>
      <w:r w:rsidRPr="003F3D6D">
        <w:rPr>
          <w:rFonts w:cstheme="minorHAnsi"/>
        </w:rPr>
        <w:fldChar w:fldCharType="separate"/>
      </w:r>
      <w:r w:rsidRPr="00A851B9">
        <w:rPr>
          <w:rFonts w:ascii="Calibri" w:hAnsi="Calibri" w:cs="Calibri"/>
          <w:szCs w:val="24"/>
        </w:rPr>
        <w:t xml:space="preserve">Office of the United Nations High Commissioner for Human Rights, </w:t>
      </w:r>
      <w:r w:rsidRPr="00A851B9">
        <w:rPr>
          <w:rFonts w:ascii="Calibri" w:hAnsi="Calibri" w:cs="Calibri"/>
          <w:i/>
          <w:iCs/>
          <w:szCs w:val="24"/>
        </w:rPr>
        <w:t>Report of the Special Rapporteur on the Rights of Persons with Disabilities</w:t>
      </w:r>
      <w:r w:rsidRPr="00A851B9">
        <w:rPr>
          <w:rFonts w:ascii="Calibri" w:hAnsi="Calibri" w:cs="Calibri"/>
          <w:szCs w:val="24"/>
        </w:rPr>
        <w:t xml:space="preserve"> (A/HRC/43/41, United Nations, 17 December 2019) 17[73] &lt;https://www.ohchr.org/en/issues/disability/srdisabilities/pages/srdisabilitiesindex.aspx&gt;.</w:t>
      </w:r>
      <w:r w:rsidRPr="003F3D6D">
        <w:rPr>
          <w:rFonts w:cstheme="minorHAnsi"/>
        </w:rPr>
        <w:fldChar w:fldCharType="end"/>
      </w:r>
    </w:p>
  </w:endnote>
  <w:endnote w:id="196">
    <w:p w14:paraId="157B8D29" w14:textId="72BCB4C3"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{"citationID":"HKH2hNpn","properties":{"formattedCitation":"Kira Page, \\uc0\\u8216{}Implementing a Disability Justice Framework: A ToolKit\\uc0\\u8217{}, {\\i{}Centre for Community Organizations (COCo)} (28 April 2016) &lt;https://coco-net.org/implementing-disability-justice-framework-toolkit/&gt;.","plainCitation":"Kira Page, ‘Implementing a Disability Justice Framework: A ToolKit’, Centre for Community Organizations (COCo) (28 April 2016) &lt;https://coco-net.org/implementing-disability-justice-framework-toolkit/&gt;.","noteIndex":196},"citationItems":[{"id":6225,"uris":["http://zotero.org/groups/2733877/items/6HAPBQHY"],"uri":["http://zotero.org/groups/2733877/items/6HAPBQHY"],"itemData":{"id":6225,"type":"webpage","abstract":"The toolkit offers a practical introduction to how organizations can build \"the capacity to engage disability activists with relevancy and respect\".","container-title":"Centre for Community Organizations (COCo)","language":"en-US","title":"Implementing a Disability Justice Framework: A ToolKit","URL":"https://coco-net.org/implementing-disability-justice-framework-toolkit/","author":[{"family":"Page","given":"Kira"}],"accessed":{"date-parts":[["2021",2,2]]},"issued":{"date-parts":[["2016",4,28]]}}}],"schema":"https://github.com/citation-style-language/schema/raw/master/csl-citation.json"} </w:instrText>
      </w:r>
      <w:r w:rsidRPr="003F3D6D">
        <w:rPr>
          <w:rFonts w:cstheme="minorHAnsi"/>
        </w:rPr>
        <w:fldChar w:fldCharType="separate"/>
      </w:r>
      <w:r w:rsidRPr="003F3D6D">
        <w:rPr>
          <w:rFonts w:cstheme="minorHAnsi"/>
        </w:rPr>
        <w:t xml:space="preserve">Kira Page, ‘Implementing a Disability Justice Framework: A ToolKit’, </w:t>
      </w:r>
      <w:r w:rsidRPr="003F3D6D">
        <w:rPr>
          <w:rFonts w:cstheme="minorHAnsi"/>
          <w:i/>
          <w:iCs/>
        </w:rPr>
        <w:t>Centre for Community Organizations (COCo)</w:t>
      </w:r>
      <w:r w:rsidRPr="003F3D6D">
        <w:rPr>
          <w:rFonts w:cstheme="minorHAnsi"/>
        </w:rPr>
        <w:t xml:space="preserve"> (28 April 2016) &lt;https://coco-net.org/implementing-disability-justice-framework-toolkit/&gt;.</w:t>
      </w:r>
      <w:r w:rsidRPr="003F3D6D">
        <w:rPr>
          <w:rFonts w:cstheme="minorHAnsi"/>
        </w:rPr>
        <w:fldChar w:fldCharType="end"/>
      </w:r>
    </w:p>
  </w:endnote>
  <w:endnote w:id="197">
    <w:p w14:paraId="3FE311BF" w14:textId="4BF6E835"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OwoPpYYC","properties":{"formattedCitation":"Ibid.","plainCitation":"Ibid.","noteIndex":197},"citationItems":[{"id":6225,"uris":["http://zotero.org/groups/2733877/items/6HAPBQHY"],"uri":["http://zotero.org/groups/2733877/items/6HAPBQHY"],"itemData":{"id":6225,"type":"webpage","abstract":"The toolkit offers a practical introduction to how organizations can build \"the capacity to engage disability activists with relevancy and respect\".","container-title":"Centre for Community Organizations (COCo)","language":"en-US","title":"Implementing a Disability Justice Framework: A ToolKit","URL":"https://coco-net.org/implementing-disability-justice-framework-toolkit/","author":[{"family":"Page","given":"Kira"}],"accessed":{"date-parts":[["2021",2,2]]},"issued":{"date-parts":[["2016",4,28]]}}}],"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198">
    <w:p w14:paraId="052C9A8A" w14:textId="77BC7C26"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{"citationID":"XWdXyRs5","properties":{"formattedCitation":"Karen Soldatic, \\uc0\\u8216{}Disability\\uc0\\u8217{}s Circularity: Presence, Absence and Erasure in Australian Settler Colonial Biopolitical Population Regimes\\uc0\\u8217{} (2021) 14(2) {\\i{}Studies in Social Justice} 306.","plainCitation":"Karen Soldatic, ‘Disability’s Circularity: Presence, Absence and Erasure in Australian Settler Colonial Biopolitical Population Regimes’ (2021) 14(2) Studies in Social Justice 306.","noteIndex":198},"citationItems":[{"id":6221,"uris":["http://zotero.org/groups/2733877/items/MN6QD9ER"],"uri":["http://zotero.org/groups/2733877/items/MN6QD9ER"],"itemData":{"id":6221,"type":"article-journal","abstract":"In this paper, I explore the ways in which settler-colonial states utilize the category of disability in immigration and Indigenous population regimes to redress settler-colonial anxieties of white fragility. As well documented within the literature, settler-colonial governance operates a particular logic of population management that aims to replace longstanding Indigenous peoples with settler populations of a particular kind. Focusing on the case of Australia and drawing on a range of historical and current empirical sources, the paper examines the central importance of the category of disability to this settler-colonial political intent. The paper identifies the breadth of techniques of governance to embed, normalize and naturalize white settler-colonial rule. The paper concludes with the suggestion that the state mobilization of the category of disability provides us with a unique way to identify, understand and analyse settler-colonial power and the interrelationship of disability, settler-colonial immigration regimes and Indigenous people under its enterprise.","container-title":"Studies in Social Justice","DOI":"10.26522/ssj.v14i2.2259","issue":"2","journalAbbreviation":"Studies in Social Justice","page":"306-320","source":"ResearchGate","title":"Disability’s Circularity: Presence, Absence and Erasure in Australian Settler Colonial Biopolitical Population Regimes","volume":"14","author":[{"family":"Soldatic","given":"Karen"}],"issued":{"date-parts":[["2021",1,11]]}}}],"schema":"https://github.com/citation-style-language/schema/raw/master/csl-citation.json"} </w:instrText>
      </w:r>
      <w:r w:rsidRPr="003F3D6D">
        <w:rPr>
          <w:rFonts w:cstheme="minorHAnsi"/>
        </w:rPr>
        <w:fldChar w:fldCharType="separate"/>
      </w:r>
      <w:r w:rsidRPr="003F3D6D">
        <w:rPr>
          <w:rFonts w:cstheme="minorHAnsi"/>
        </w:rPr>
        <w:t xml:space="preserve">Karen Soldatic, ‘Disability’s Circularity: Presence, Absence and Erasure in Australian Settler Colonial Biopolitical Population Regimes’ (2021) 14(2) </w:t>
      </w:r>
      <w:r w:rsidRPr="003F3D6D">
        <w:rPr>
          <w:rFonts w:cstheme="minorHAnsi"/>
          <w:i/>
          <w:iCs/>
        </w:rPr>
        <w:t>Studies in Social Justice</w:t>
      </w:r>
      <w:r w:rsidRPr="003F3D6D">
        <w:rPr>
          <w:rFonts w:cstheme="minorHAnsi"/>
        </w:rPr>
        <w:t xml:space="preserve"> 306.</w:t>
      </w:r>
      <w:r w:rsidRPr="003F3D6D">
        <w:rPr>
          <w:rFonts w:cstheme="minorHAnsi"/>
        </w:rPr>
        <w:fldChar w:fldCharType="end"/>
      </w:r>
    </w:p>
  </w:endnote>
  <w:endnote w:id="199">
    <w:p w14:paraId="1B3164EB" w14:textId="231B1B9B"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{"citationID":"RoWP1OBh","properties":{"formattedCitation":"Ladelle McWhorter, {\\i{}Racism and Sexual Oppression in Anglo-America: A Genealogy} (Indiana University Press, 2009) &lt;https://scholarship.richmond.edu/bookshelf/112&gt;.","plainCitation":"Ladelle McWhorter, Racism and Sexual Oppression in Anglo-America: A Genealogy (Indiana University Press, 2009) &lt;https://scholarship.richmond.edu/bookshelf/112&gt;.","noteIndex":199},"citationItems":[{"id":6228,"uris":["http://zotero.org/groups/2733877/items/VJFJ6BSF"],"uri":["http://zotero.org/groups/2733877/items/VJFJ6BSF"],"itemData":{"id":6228,"type":"book","event-place":"Bloomington and Indianapolis","publisher":"Indiana University Press","publisher-place":"Bloomington and Indianapolis","title":"Racism and Sexual Oppression in Anglo-America: A Genealogy","URL":"https://scholarship.richmond.edu/bookshelf/112","author":[{"family":"McWhorter","given":"Ladelle"}],"issued":{"date-parts":[["2009",1,1]]}}}],"schema":"https://github.com/citation-style-language/schema/raw/master/csl-citation.json"} </w:instrText>
      </w:r>
      <w:r w:rsidRPr="003F3D6D">
        <w:rPr>
          <w:rFonts w:cstheme="minorHAnsi"/>
        </w:rPr>
        <w:fldChar w:fldCharType="separate"/>
      </w:r>
      <w:r w:rsidRPr="003F3D6D">
        <w:rPr>
          <w:rFonts w:cstheme="minorHAnsi"/>
        </w:rPr>
        <w:t xml:space="preserve">Ladelle McWhorter, </w:t>
      </w:r>
      <w:r w:rsidRPr="003F3D6D">
        <w:rPr>
          <w:rFonts w:cstheme="minorHAnsi"/>
          <w:i/>
          <w:iCs/>
        </w:rPr>
        <w:t>Racism and Sexual Oppression in Anglo-America: A Genealogy</w:t>
      </w:r>
      <w:r w:rsidRPr="003F3D6D">
        <w:rPr>
          <w:rFonts w:cstheme="minorHAnsi"/>
        </w:rPr>
        <w:t xml:space="preserve"> (Indiana University Press, 2009) &lt;https://scholarship.richmond.edu/bookshelf/112&gt;.</w:t>
      </w:r>
      <w:r w:rsidRPr="003F3D6D">
        <w:rPr>
          <w:rFonts w:cstheme="minorHAnsi"/>
        </w:rPr>
        <w:fldChar w:fldCharType="end"/>
      </w:r>
    </w:p>
  </w:endnote>
  <w:endnote w:id="200">
    <w:p w14:paraId="50F95B78" w14:textId="48B1C8F7"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{"citationID":"LYxN95ZS","properties":{"formattedCitation":"See also Frohmader and Sands (n 87); Dowse et al (n 73); Women With Disabilities Australia, \\uc0\\u8216{}Stop the Violence: Report of the Proceedings and Outcomes - National Symposium on Violence Against Women and Girls with Disabilities\\uc0\\u8217{} (n 73); Sally Robinson, {\\i{}Enabling and Protecting: Proactive Approaches to Addressing the Abuse and Neglect of Children and Young People with Disability} (Issues Paper, Children with Disability Australia, 2012) 5; Sarah Wayland, Gwynnyth Llewellyn and Gabrielle Hindmarsh, {\\i{}Disability and Child Sexual Abuse in Institutional Contexts: Royal Commission into Institutional Responses to Child Sexual Abuse} (2016) 31.","plainCitation":"See also Frohmader and Sands (n 87); Dowse et al (n 73); Women With Disabilities Australia, ‘Stop the Violence: Report of the Proceedings and Outcomes - National Symposium on Violence Against Women and Girls with Disabilities’ (n 73); Sally Robinson, Enabling and Protecting: Proactive Approaches to Addressing the Abuse and Neglect of Children and Young People with Disability (Issues Paper, Children with Disability Australia, 2012) 5; Sarah Wayland, Gwynnyth Llewellyn and Gabrielle Hindmarsh, Disability and Child Sexual Abuse in Institutional Contexts: Royal Commission into Institutional Responses to Child Sexual Abuse (2016) 31.","noteIndex":200},"citationItems":[{"id":6130,"uris":["http://zotero.org/groups/2733877/items/C292ZK32"],"uri":["http://zotero.org/groups/2733877/items/C292ZK32"],"itemData":{"id":6130,"type":"report","event-place":"Sydney, Australia","language":"en","publisher":"Australian Cross Disability Alliance (ACDA)","publisher-place":"Sydney, Australia","source":"Zotero","title":"Submission to the Senate Inquiry into Violence, abuse and neglect against people with disability in institutional and residential settings","URL":"https://wwda.org.au/wp-content/uploads/2013/12/ACDA_Sub_Sen_Inquiry_Violence_Institutions.pdf","author":[{"family":"Frohmader","given":"Carolyn"},{"family":"Sands","given":"Therese"}],"issued":{"date-parts":[["2015"]]}},"prefix":"See also"},{"id":5983,"uris":["http://zotero.org/groups/2733877/items/E5HUUZIP"],"uri":["http://zotero.org/groups/2733877/items/E5HUUZIP"],"itemData":{"id":5983,"type":"report","event-place":"Hobart","genre":"Background Paper","language":"en","page":"98","publisher":"Women With Disabilities Australia","publisher-place":"Hobart","source":"Zotero","title":"Stop the Violence: Addressing Violence Against Women and Girls with DIsabilities in Australia","author":[{"family":"Dowse","given":"L"},{"family":"Soldatic","given":"K"},{"family":"Didi","given":"A"},{"family":"Frohmader","given":"C"},{"family":"Toorn","given":"G","non-dropping-particle":"van"}],"issued":{"date-parts":[["2013",10,25]]}}},{"id":6205,"uris":["http://zotero.org/groups/2733877/items/RXKNI336"],"uri":["http://zotero.org/groups/2733877/items/RXKNI336"],"itemData":{"id":6205,"type":"report","event-place":"Sydney","genre":"Outcomes Paper","language":"en","page":"38","publisher":"Women With Disabilities Australia","publisher-place":"Sydney","source":"Zotero","title":"Stop the Violence: Report of the Proceedings and Outcomes - National Symposium on Violence Against Women and Girls with Disabilities","author":[{"family":"Women With Disabilities Australia","given":""}],"issued":{"date-parts":[["2013",10,25]]}}},{"id":6180,"uris":["http://zotero.org/groups/2733877/items/VDGTQLFW"],"uri":["http://zotero.org/groups/2733877/items/VDGTQLFW"],"itemData":{"id":6180,"type":"report","genre":"Issues Paper","publisher":"Children with Disability Australia","title":"Enabling and Protecting: Proactive approaches to addressing the abuse and neglect of children and young people with disability","author":[{"family":"Robinson","given":"Sally"}],"issued":{"date-parts":[["2012"]]}},"locator":"5"},{"id":6122,"uris":["http://zotero.org/groups/2733877/items/AKJAMY3E"],"uri":["http://zotero.org/groups/2733877/items/AKJAMY3E"],"itemData":{"id":6122,"type":"book","abstract":"The Royal Commission into Institutional Responses to Child Sexual Abuse recognised early on the likely particular vulnerabilities of children with disability and the institutional contexts which they encounter. This commissioned discussion paper provides a reasoned analysis of the historical, social and policy context surrounding children with disability and examines the evidence about prevalence and prevention of sexual abuse of children with disability in institutional contexts.","event-place":"Sydney","publisher-place":"Sydney","source":"ResearchGate","title":"Disability and child sexual abuse in institutional contexts: Royal Commission into Institutional Responses to Child Sexual Abuse","author":[{"family":"Wayland","given":"Sarah"},{"family":"Llewellyn","given":"Gwynnyth"},{"family":"Hindmarsh","given":"Gabrielle"}],"issued":{"date-parts":[["2016",11,1]]}},"locator":"31"}],"schema":"https://github.com/citation-style-language/schema/raw/master/csl-citation.json"} </w:instrText>
      </w:r>
      <w:r w:rsidRPr="003F3D6D">
        <w:rPr>
          <w:rFonts w:cstheme="minorHAnsi"/>
        </w:rPr>
        <w:fldChar w:fldCharType="separate"/>
      </w:r>
      <w:r w:rsidRPr="00794E5D">
        <w:rPr>
          <w:rFonts w:ascii="Calibri" w:hAnsi="Calibri" w:cs="Calibri"/>
          <w:szCs w:val="24"/>
        </w:rPr>
        <w:t xml:space="preserve">See also Frohmader and Sands (n 87); Dowse et al (n 73); Women With Disabilities Australia, ‘Stop the Violence: Report of the Proceedings and Outcomes - National Symposium on Violence Against Women and Girls with Disabilities’ (n 73); Sally Robinson, </w:t>
      </w:r>
      <w:r w:rsidRPr="00794E5D">
        <w:rPr>
          <w:rFonts w:ascii="Calibri" w:hAnsi="Calibri" w:cs="Calibri"/>
          <w:i/>
          <w:iCs/>
          <w:szCs w:val="24"/>
        </w:rPr>
        <w:t>Enabling and Protecting: Proactive Approaches to Addressing the Abuse and Neglect of Children and Young People with Disability</w:t>
      </w:r>
      <w:r w:rsidRPr="00794E5D">
        <w:rPr>
          <w:rFonts w:ascii="Calibri" w:hAnsi="Calibri" w:cs="Calibri"/>
          <w:szCs w:val="24"/>
        </w:rPr>
        <w:t xml:space="preserve"> (Issues Paper, Children with Disability Australia, 2012) 5; Sarah Wayland, Gwynnyth Llewellyn and Gabrielle Hindmarsh, </w:t>
      </w:r>
      <w:r w:rsidRPr="00794E5D">
        <w:rPr>
          <w:rFonts w:ascii="Calibri" w:hAnsi="Calibri" w:cs="Calibri"/>
          <w:i/>
          <w:iCs/>
          <w:szCs w:val="24"/>
        </w:rPr>
        <w:t>Disability and Child Sexual Abuse in Institutional Contexts: Royal Commission into Institutional Responses to Child Sexual Abuse</w:t>
      </w:r>
      <w:r w:rsidRPr="00794E5D">
        <w:rPr>
          <w:rFonts w:ascii="Calibri" w:hAnsi="Calibri" w:cs="Calibri"/>
          <w:szCs w:val="24"/>
        </w:rPr>
        <w:t xml:space="preserve"> (2016) 31.</w:t>
      </w:r>
      <w:r w:rsidRPr="003F3D6D">
        <w:rPr>
          <w:rFonts w:cstheme="minorHAnsi"/>
        </w:rPr>
        <w:fldChar w:fldCharType="end"/>
      </w:r>
    </w:p>
  </w:endnote>
  <w:endnote w:id="201">
    <w:p w14:paraId="7F990441" w14:textId="18402874" w:rsidR="00A00236" w:rsidRPr="00BA1FC1" w:rsidRDefault="00A00236">
      <w:pPr>
        <w:pStyle w:val="EndnoteText"/>
        <w:rPr>
          <w:lang w:val="en-AU"/>
        </w:rPr>
      </w:pPr>
      <w:r>
        <w:rPr>
          <w:rStyle w:val="EndnoteReference"/>
        </w:rPr>
        <w:endnoteRef/>
      </w:r>
      <w:r>
        <w:t xml:space="preserve"> </w:t>
      </w:r>
      <w:r>
        <w:fldChar w:fldCharType="begin"/>
      </w:r>
      <w:r>
        <w:instrText xml:space="preserve"> ADDIN ZOTERO_ITEM CSL_CITATION {"citationID":"aJBLnz1f","properties":{"formattedCitation":"Royal Commission into Violence, Abuse, Neglect and Exploitation of People with Disability, {\\i{}Issues Paper: Rights and Attitudes} (Royal Commission into Violence, Abuse, Neglect and Exploitation of People with Disability, 28 April 2020) &lt;https://disability.royalcommission.gov.au/system/files/2020-07/Issues-paper-Rights-and-attitudes.pdf&gt;.","plainCitation":"Royal Commission into Violence, Abuse, Neglect and Exploitation of People with Disability, Issues Paper: Rights and Attitudes (Royal Commission into Violence, Abuse, Neglect and Exploitation of People with Disability, 28 April 2020) &lt;https://disability.royalcommission.gov.au/system/files/2020-07/Issues-paper-Rights-and-attitudes.pdf&gt;.","noteIndex":201},"citationItems":[{"id":6138,"uris":["http://zotero.org/groups/2733877/items/W36WGATW"],"uri":["http://zotero.org/groups/2733877/items/W36WGATW"],"itemData":{"id":6138,"type":"report","publisher":"Royal Commission into Violence, Abuse, Neglect and Exploitation of People with Disability","title":"Issues Paper: Rights and Attitudes","URL":"https://disability.royalcommission.gov.au/system/files/2020-07/Issues-paper-Rights-and-attitudes.pdf","author":[{"family":"Royal Commission into Violence, Abuse, Neglect and Exploitation of People with Disability","given":""}],"issued":{"date-parts":[["2020",4,28]]}}}],"schema":"https://github.com/citation-style-language/schema/raw/master/csl-citation.json"} </w:instrText>
      </w:r>
      <w:r>
        <w:fldChar w:fldCharType="separate"/>
      </w:r>
      <w:r w:rsidRPr="00BA1FC1">
        <w:rPr>
          <w:rFonts w:ascii="Calibri" w:hAnsi="Calibri" w:cs="Calibri"/>
          <w:szCs w:val="24"/>
        </w:rPr>
        <w:t xml:space="preserve">Royal Commission into Violence, Abuse, Neglect and Exploitation of People with Disability, </w:t>
      </w:r>
      <w:r w:rsidRPr="00BA1FC1">
        <w:rPr>
          <w:rFonts w:ascii="Calibri" w:hAnsi="Calibri" w:cs="Calibri"/>
          <w:i/>
          <w:iCs/>
          <w:szCs w:val="24"/>
        </w:rPr>
        <w:t>Issues Paper: Rights and Attitudes</w:t>
      </w:r>
      <w:r w:rsidRPr="00BA1FC1">
        <w:rPr>
          <w:rFonts w:ascii="Calibri" w:hAnsi="Calibri" w:cs="Calibri"/>
          <w:szCs w:val="24"/>
        </w:rPr>
        <w:t xml:space="preserve"> (Royal Commission into Violence, Abuse, Neglect and Exploitation of People with Disability, 28 April 2020) &lt;https://disability.royalcommission.gov.au/system/files/2020-07/Issues-paper-Rights-and-attitudes.pdf&gt;.</w:t>
      </w:r>
      <w:r>
        <w:fldChar w:fldCharType="end"/>
      </w:r>
    </w:p>
  </w:endnote>
  <w:endnote w:id="202">
    <w:p w14:paraId="37585629" w14:textId="0C2AD2CB"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{"citationID":"avWtUOfu","properties":{"formattedCitation":"Steele, \\uc0\\u8216{}Court Authorised Sterilisation and Human Rights: Inequality, Discrimination and Violence Against Women and Girls with Disability\\uc0\\u8217{} (n 7).","plainCitation":"Steele, ‘Court Authorised Sterilisation and Human Rights: Inequality, Discrimination and Violence Against Women and Girls with Disability’ (n 7).","noteIndex":202},"citationItems":[{"id":6210,"uris":["http://zotero.org/groups/2733877/items/TA4K5I9T"],"uri":["http://zotero.org/groups/2733877/items/TA4K5I9T"],"itemData":{"id":6210,"type":"article-journal","container-title":"UNSW Law Journal","issue":"3","language":"en","page":"1002-1037","source":"Zotero","title":"Court Authorised Sterilisation and Human Rights: Inequality, Discrimination and Violence Against Women and Girls with Disability","volume":"39","author":[{"family":"Steele","given":"Linda"}],"issued":{"date-parts":[["2016"]]}}}],"schema":"https://github.com/citation-style-language/schema/raw/master/csl-citation.json"} </w:instrText>
      </w:r>
      <w:r w:rsidRPr="003F3D6D">
        <w:rPr>
          <w:rFonts w:cstheme="minorHAnsi"/>
        </w:rPr>
        <w:fldChar w:fldCharType="separate"/>
      </w:r>
      <w:r w:rsidRPr="003509C3">
        <w:rPr>
          <w:rFonts w:ascii="Calibri" w:hAnsi="Calibri" w:cs="Calibri"/>
          <w:szCs w:val="24"/>
        </w:rPr>
        <w:t>Steele, ‘Court Authorised Sterilisation and Human Rights: Inequality, Discrimination and Violence Against Women and Girls with Disability’ (n 7).</w:t>
      </w:r>
      <w:r w:rsidRPr="003F3D6D">
        <w:rPr>
          <w:rFonts w:cstheme="minorHAnsi"/>
        </w:rPr>
        <w:fldChar w:fldCharType="end"/>
      </w:r>
    </w:p>
  </w:endnote>
  <w:endnote w:id="203">
    <w:p w14:paraId="52EE3670" w14:textId="124CEDD7"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{"citationID":"MTjx5r7j","properties":{"formattedCitation":"In relation to menstruation and sterilisation, see: Linda Steele, \\uc0\\u8216{}Disability, Abnormality and Criminal Law: Sterilisation as Lawful and \\uc0\\u8220{}Good\\uc0\\u8221{} Violence\\uc0\\u8217{} (2014) 23(3) {\\i{}Griffith Law Review} 467; Linda Steele and Beth Goldblatt, \\uc0\\u8216{}The Human Rights of Women and Girls with Disabilities: Sterilisation and Other Coercive Responses to Menstruation\\uc0\\u8217{} in Chris Bobel et al (eds), {\\i{}The Palgrave Handbook of Critical Menstruation Studies} (Palgrave Macmillan, 2020) 77; In relation to police responses to sexual violence, see Linda Steele, \\uc0\\u8216{}Policing Normalcy: Sexual Violence against Women Offenders with Disability\\uc0\\u8217{} (2017) 31(3) {\\i{}Continuum} 422.","plainCitation":"In relation to menstruation and sterilisation, see: Linda Steele, ‘Disability, Abnormality and Criminal Law: Sterilisation as Lawful and “Good” Violence’ (2014) 23(3) Griffith Law Review 467; Linda Steele and Beth Goldblatt, ‘The Human Rights of Women and Girls with Disabilities: Sterilisation and Other Coercive Responses to Menstruation’ in Chris Bobel et al (eds), The Palgrave Handbook of Critical Menstruation Studies (Palgrave Macmillan, 2020) 77; In relation to police responses to sexual violence, see Linda Steele, ‘Policing Normalcy: Sexual Violence against Women Offenders with Disability’ (2017) 31(3) Continuum 422.","noteIndex":203},"citationItems":[{"id":6208,"uris":["http://zotero.org/groups/2733877/items/38MIRITQ"],"uri":["http://zotero.org/groups/2733877/items/38MIRITQ"],"itemData":{"id":6208,"type":"article-journal","container-title":"Griffith Law Review","DOI":"10.1080/10383441.2014.1000223","issue":"3","page":"467-497","title":"Disability, abnormality and criminal law: sterilisation as lawful and \"good\" violence","volume":"23","author":[{"family":"Steele","given":"Linda"}],"issued":{"date-parts":[["2014",1,1]]}},"prefix":"In relation to menstruation and sterilisation, see:"},{"id":6174,"uris":["http://zotero.org/groups/2733877/items/45EDFJCY"],"uri":["http://zotero.org/groups/2733877/items/45EDFJCY"],"itemData":{"id":6174,"type":"chapter","container-title":"The Palgrave Handbook of Critical Menstruation Studies","page":"77","publisher":"Palgrave Macmillan","title":"The human rights of women and girls with disabilities: sterilisation and other coercive responses to menstruation","author":[{"family":"Steele","given":"Linda"},{"family":"Goldblatt","given":"Beth"}],"editor":[{"family":"Bobel","given":"Chris"},{"family":"Winkler","given":"Inga T"},{"family":"Fahs","given":"Breanne"},{"family":"Hasson","given":"Katie A"},{"family":"Kissling","given":"Elizabeth Arveda"},{"family":"Roberts","given":"Tomi-Ann"}],"issued":{"date-parts":[["2020"]]}}},{"id":6220,"uris":["http://zotero.org/groups/2733877/items/ETQRTGE2"],"uri":["http://zotero.org/groups/2733877/items/ETQRTGE2"],"itemData":{"id":6220,"type":"article-journal","abstract":"This article explores police responses to sexual violence reported by women offenders designated as having cognitive and psychosocial disabilities. The article does so by reference to the critical disability studies analytical approach to disability as socially constructed ‘abnormality’. This article utilizes this approach in analysing the recorded police contacts of one woman offender designated as disabled, ‘Jane’. Jane has had multiple contacts with police over a period of 15 years as a victim of sexual violence, alleged offender and ‘mentally ill’ person. The article finds that through multiple contacts with police as victim, alleged offender and ‘mentally ill’ person, the police events records build a narrative of Jane as an ‘abnormal’ body who is reduced to a drain on police and public health resources, a dishonest and nuisance offender and an attention seeker. The article argues that it is the interlocking discourses of gender, disability and criminality that produce Jane as unworthy of victim status and, perversely, in need of punishment by the criminal justice system for her public displays of trauma, mental distress and requests for police assistance. Ultimately, the article concludes that we need to give greater attention to the relationship between disability and affect, and to the broader cultural, institutional, legal and economic discourses that shape individuals’ affective responses, in understanding police responses to violence against women offenders designated as disabled and in contesting these women’s status as ‘ungrievable’ victims of violence.","container-title":"Continuum","DOI":"10.1080/10304312.2016.1275144","ISSN":"1030-4312","issue":"3","note":"publisher: Routledge\n_eprint: https://doi.org/10.1080/10304312.2016.1275144","page":"422-435","source":"Taylor and Francis+NEJM","title":"Policing normalcy: sexual violence against women offenders with disability","volume":"31","author":[{"family":"Steele","given":"Linda"}],"issued":{"date-parts":[["2017"]]}},"prefix":"In relation to police responses to sexual violence, see"}],"schema":"https://github.com/citation-style-language/schema/raw/master/csl-citation.json"} </w:instrText>
      </w:r>
      <w:r w:rsidRPr="003F3D6D">
        <w:rPr>
          <w:rFonts w:cstheme="minorHAnsi"/>
        </w:rPr>
        <w:fldChar w:fldCharType="separate"/>
      </w:r>
      <w:r w:rsidRPr="00A40160">
        <w:rPr>
          <w:rFonts w:ascii="Calibri" w:hAnsi="Calibri" w:cs="Calibri"/>
          <w:szCs w:val="24"/>
        </w:rPr>
        <w:t xml:space="preserve">In relation to menstruation and sterilisation, see: Linda Steele, ‘Disability, Abnormality and Criminal Law: Sterilisation as Lawful and “Good” Violence’ (2014) 23(3) </w:t>
      </w:r>
      <w:r w:rsidRPr="00A40160">
        <w:rPr>
          <w:rFonts w:ascii="Calibri" w:hAnsi="Calibri" w:cs="Calibri"/>
          <w:i/>
          <w:iCs/>
          <w:szCs w:val="24"/>
        </w:rPr>
        <w:t>Griffith Law Review</w:t>
      </w:r>
      <w:r w:rsidRPr="00A40160">
        <w:rPr>
          <w:rFonts w:ascii="Calibri" w:hAnsi="Calibri" w:cs="Calibri"/>
          <w:szCs w:val="24"/>
        </w:rPr>
        <w:t xml:space="preserve"> 467; Linda Steele and Beth Goldblatt, ‘The Human Rights of Women and Girls with Disabilities: Sterilisation and Other Coercive Responses to Menstruation’ in Chris Bobel et al (eds), </w:t>
      </w:r>
      <w:r w:rsidRPr="00A40160">
        <w:rPr>
          <w:rFonts w:ascii="Calibri" w:hAnsi="Calibri" w:cs="Calibri"/>
          <w:i/>
          <w:iCs/>
          <w:szCs w:val="24"/>
        </w:rPr>
        <w:t>The Palgrave Handbook of Critical Menstruation Studies</w:t>
      </w:r>
      <w:r w:rsidRPr="00A40160">
        <w:rPr>
          <w:rFonts w:ascii="Calibri" w:hAnsi="Calibri" w:cs="Calibri"/>
          <w:szCs w:val="24"/>
        </w:rPr>
        <w:t xml:space="preserve"> (Palgrave Macmillan, 2020) 77; In relation to police responses to sexual violence, see Linda Steele, ‘Policing Normalcy: Sexual Violence against Women Offenders with Disability’ (2017) 31(3) </w:t>
      </w:r>
      <w:r w:rsidRPr="00A40160">
        <w:rPr>
          <w:rFonts w:ascii="Calibri" w:hAnsi="Calibri" w:cs="Calibri"/>
          <w:i/>
          <w:iCs/>
          <w:szCs w:val="24"/>
        </w:rPr>
        <w:t>Continuum</w:t>
      </w:r>
      <w:r w:rsidRPr="00A40160">
        <w:rPr>
          <w:rFonts w:ascii="Calibri" w:hAnsi="Calibri" w:cs="Calibri"/>
          <w:szCs w:val="24"/>
        </w:rPr>
        <w:t xml:space="preserve"> 422.</w:t>
      </w:r>
      <w:r w:rsidRPr="003F3D6D">
        <w:rPr>
          <w:rFonts w:cstheme="minorHAnsi"/>
        </w:rPr>
        <w:fldChar w:fldCharType="end"/>
      </w:r>
    </w:p>
  </w:endnote>
  <w:endnote w:id="204">
    <w:p w14:paraId="17AB54D6" w14:textId="31C35C3A"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{"citationID":"cDZa4OQa","properties":{"formattedCitation":"Garland-Thomson (n 192) 30. In order to draw out how women and girls with disability are cast outside norms of femininity through restrictive practices, it can be useful to juxtapose legal regulation of sterilisation of women and girls with disability to other gendered surgical interventions done on women and girls. Female genital mutilation (either in Australia or overseas) is criminalised because women and girls are not considered ever capable of consenting to this and thus gives rise to problematic ideas about non-Western and immigrant women as non-agential and in need of rescue by Australian law. In contrast, labioplasty is criminalised but with the exception that women can consent where it is necessary for a woman\\uc0\\u8217{}s mental health and thus gives rise to ideas about feminine sexual body as central to social acceptance and mental wellbeing. In sterilisation, women and girls with disability can never consent but third parties can where this is necessary in light of their asexuality, need for care and inherent risk to violence. While in each of these women are denied full autonomy and these show different legal subject positions that give rise to different relations between capacity and consent. However, taken together they form a coherent picture that positions women engaging in labioplasty as idealised and women with disability and racialized women as outside of full agency. See, for example, Macarena Iribarne and Nan Seuffert, \\uc0\\u8216{}Imagined Legal Subjects and the Regulation of Female Genital Surgery\\uc0\\u8217{} (2018) 44(2) {\\i{}The Australian Feminist Law Journal} 175.","plainCitation":"Garland-Thomson (n 192) 30. In order to draw out how women and girls with disability are cast outside norms of femininity through restrictive practices, it can be useful to juxtapose legal regulation of sterilisation of women and girls with disability to other gendered surgical interventions done on women and girls. Female genital mutilation (either in Australia or overseas) is criminalised because women and girls are not considered ever capable of consenting to this and thus gives rise to problematic ideas about non-Western and immigrant women as non-agential and in need of rescue by Australian law. In contrast, labioplasty is criminalised but with the exception that women can consent where it is necessary for a woman’s mental health and thus gives rise to ideas about feminine sexual body as central to social acceptance and mental wellbeing. In sterilisation, women and girls with disability can never consent but third parties can where this is necessary in light of their asexuality, need for care and inherent risk to violence. While in each of these women are denied full autonomy and these show different legal subject positions that give rise to different relations between capacity and consent. However, taken together they form a coherent picture that positions women engaging in labioplasty as idealised and women with disability and racialized women as outside of full agency. See, for example, Macarena Iribarne and Nan Seuffert, ‘Imagined Legal Subjects and the Regulation of Female Genital Surgery’ (2018) 44(2) The Australian Feminist Law Journal 175.","dontUpdate":true,"noteIndex":204},"citationItems":[{"id":6119,"uris":["http://zotero.org/groups/2733877/items/WKD6FSWQ"],"uri":["http://zotero.org/groups/2733877/items/WKD6FSWQ"],"itemData":{"id":6119,"type":"chapter","container-title":"Feminist Disability Studies","event-place":"Bloomington &amp; Indianapolis","page":"13","publisher":"Indiana University Press","publisher-place":"Bloomington &amp; Indianapolis","title":"Integrating Disability, Transforming Feminist Theory","author":[{"family":"Garland-Thomson","given":"Rosemarie"}],"editor":[{"family":"Hall","given":"Kim Q"}],"issued":{"date-parts":[["2011"]]}},"locator":"30","suffix":". In order to draw out how women and girls with disability are cast outside norms of femininity through restrictive practices, it can be useful to juxtapose legal regulation of sterilisation of women and girls with disability to other gendered surgical interventions done on women and girls. Female genital mutilation (either in Australia or overseas) is criminalised because women and girls are not considered ever capable of consenting to this and thus gives rise to problematic ideas about non-Western and immigrant women as non-agential and in need of rescue by Australian law. In contrast, labioplasty is criminalised but with the exception that women can consent where it is necessary for a woman’s mental health and thus gives rise to ideas about feminine sexual body as central to social acceptance and mental wellbeing. In sterilisation, women and girls with disability can never consent but third parties can where this is necessary in light of their asexuality, need for care and inherent risk to violence. While in each of these women are denied full autonomy and these show different legal subject positions that give rise to different relations between capacity and consent. However, taken together they form a coherent picture that positions women engaging in labioplasty as idealised and women with disability and racialized women as outside of full agency."},{"id":6121,"uris":["http://zotero.org/groups/2733877/items/PW38GEVQ"],"uri":["http://zotero.org/groups/2733877/items/PW38GEVQ"],"itemData":{"id":6121,"type":"article-journal","abstract":"In this article we analyse the regulation of female genital surgery in Australia with a focus on New South Wales. We argue that the categorisation of some surgeries as Female Genital Mutilation (FGM) and others as Female Genital Cosmetic Surgery (FGCS) participates in the production of a constellation of gendered legal subjects, produced in language and law, that contribute to maintaining the raced and gendered status quo in Australia. Our analysis demonstrates that there is not one legal subject (or object) position for women produced through these laws; a range of legal subject positions are produced in and through this specific set of legal provisions, and these subject positions may shift over time. We analyse three legal subjects, produced relationally. First, anti-FGM feminists and female parliamentarians, who, through campaigning for and participating in passing these laws, enter into a partnership across gender with male lawmakers, become authors of law and full legal subjects of western liberal democracies in that process. Necessary to the emergence of these women as full legal subjects and authors of the law are those subjected to these legal provisions. The creation and prohibition of the category of FGM, through the definition of a wide range of varying cultural practices of female genital cutting, or female circumcision, as ‘mutilation’, creates the image of the ‘mutilated (brown) female’ as subjected to the law. Finally, a new subject of FGCS also emerges through these laws: the figure of a relatively privileged (white) woman who is saturated with sexuality and defined through the decision to mutilate her body in the pursuit of sexual pleasure. This figure, which we call the ‘new hysteric’, is the third gendered legal subject that we discuss.","container-title":"The Australian Feminist Law Journal","DOI":"10.1080/13200968.2018.1526056","ISSN":"1320-0968","issue":"2","note":"publisher: Routledge\n_eprint: https://doi.org/10.1080/13200968.2018.1526056","page":"175-201","source":"Taylor and Francis+NEJM","title":"Imagined Legal Subjects and the Regulation of Female Genital Surgery","volume":"44","author":[{"family":"Iribarne","given":"Macarena"},{"family":"Seuffert","given":"Nan"}],"issued":{"date-parts":[["2018"]]}},"prefix":"See, for example, "}],"schema":"https://github.com/citation-style-language/schema/raw/master/csl-citation.json"} </w:instrText>
      </w:r>
      <w:r w:rsidRPr="003F3D6D">
        <w:rPr>
          <w:rFonts w:cstheme="minorHAnsi"/>
        </w:rPr>
        <w:fldChar w:fldCharType="separate"/>
      </w:r>
      <w:r w:rsidRPr="00E704D1">
        <w:rPr>
          <w:rFonts w:ascii="Calibri" w:hAnsi="Calibri" w:cs="Calibri"/>
          <w:szCs w:val="24"/>
        </w:rPr>
        <w:t xml:space="preserve">Garland-Thomson (n 192) 30. In order to draw out how women and girls with disability are cast outside norms of femininity through restrictive practices, it can be useful to juxtapose legal regulation of sterilisation of women and girls with disability to other gendered surgical interventions done on women and girls. Female genital mutilation (either in Australia or overseas) is criminalised because </w:t>
      </w:r>
      <w:r>
        <w:rPr>
          <w:rFonts w:ascii="Calibri" w:hAnsi="Calibri" w:cs="Calibri"/>
          <w:szCs w:val="24"/>
        </w:rPr>
        <w:t xml:space="preserve">(racialised) </w:t>
      </w:r>
      <w:r w:rsidRPr="00E704D1">
        <w:rPr>
          <w:rFonts w:ascii="Calibri" w:hAnsi="Calibri" w:cs="Calibri"/>
          <w:szCs w:val="24"/>
        </w:rPr>
        <w:t xml:space="preserve">women and girls are not considered ever capable of consenting to this and thus gives rise to problematic ideas about non-Western and immigrant women as non-agential and in need of rescue by Australian law. In contrast, labioplasty is criminalised but with the exception that women can consent where it is necessary for a woman’s mental health and thus gives rise to ideas about feminine sexual body as central to social acceptance and mental wellbeing. In sterilisation, women and girls with disability can never consent but third parties can where this is necessary in light of their asexuality, need for care and inherent risk to violence. While in each of these </w:t>
      </w:r>
      <w:r>
        <w:rPr>
          <w:rFonts w:ascii="Calibri" w:hAnsi="Calibri" w:cs="Calibri"/>
          <w:szCs w:val="24"/>
        </w:rPr>
        <w:t xml:space="preserve">examples </w:t>
      </w:r>
      <w:r w:rsidRPr="00E704D1">
        <w:rPr>
          <w:rFonts w:ascii="Calibri" w:hAnsi="Calibri" w:cs="Calibri"/>
          <w:szCs w:val="24"/>
        </w:rPr>
        <w:t>women are denied full autonomy</w:t>
      </w:r>
      <w:r>
        <w:rPr>
          <w:rFonts w:ascii="Calibri" w:hAnsi="Calibri" w:cs="Calibri"/>
          <w:szCs w:val="24"/>
        </w:rPr>
        <w:t>,</w:t>
      </w:r>
      <w:r w:rsidRPr="00E704D1">
        <w:rPr>
          <w:rFonts w:ascii="Calibri" w:hAnsi="Calibri" w:cs="Calibri"/>
          <w:szCs w:val="24"/>
        </w:rPr>
        <w:t xml:space="preserve"> </w:t>
      </w:r>
      <w:r>
        <w:rPr>
          <w:rFonts w:ascii="Calibri" w:hAnsi="Calibri" w:cs="Calibri"/>
          <w:szCs w:val="24"/>
        </w:rPr>
        <w:t>in each women are given d</w:t>
      </w:r>
      <w:r w:rsidRPr="00E704D1">
        <w:rPr>
          <w:rFonts w:ascii="Calibri" w:hAnsi="Calibri" w:cs="Calibri"/>
          <w:szCs w:val="24"/>
        </w:rPr>
        <w:t>ifferent legal subject positions that give rise to different relations between capacity and consent</w:t>
      </w:r>
      <w:r>
        <w:rPr>
          <w:rFonts w:ascii="Calibri" w:hAnsi="Calibri" w:cs="Calibri"/>
          <w:szCs w:val="24"/>
        </w:rPr>
        <w:t xml:space="preserve"> at intersections of gender, disability and race</w:t>
      </w:r>
      <w:r w:rsidRPr="00E704D1">
        <w:rPr>
          <w:rFonts w:ascii="Calibri" w:hAnsi="Calibri" w:cs="Calibri"/>
          <w:szCs w:val="24"/>
        </w:rPr>
        <w:t xml:space="preserve">. See, for example, Macarena Iribarne and Nan Seuffert, ‘Imagined Legal Subjects and the Regulation of Female Genital Surgery’ (2018) 44(2) </w:t>
      </w:r>
      <w:r w:rsidRPr="00E704D1">
        <w:rPr>
          <w:rFonts w:ascii="Calibri" w:hAnsi="Calibri" w:cs="Calibri"/>
          <w:i/>
          <w:iCs/>
          <w:szCs w:val="24"/>
        </w:rPr>
        <w:t>The Australian Feminist Law Journal</w:t>
      </w:r>
      <w:r w:rsidRPr="00E704D1">
        <w:rPr>
          <w:rFonts w:ascii="Calibri" w:hAnsi="Calibri" w:cs="Calibri"/>
          <w:szCs w:val="24"/>
        </w:rPr>
        <w:t xml:space="preserve"> 175.</w:t>
      </w:r>
      <w:r w:rsidRPr="003F3D6D">
        <w:rPr>
          <w:rFonts w:cstheme="minorHAnsi"/>
        </w:rPr>
        <w:fldChar w:fldCharType="end"/>
      </w:r>
      <w:r>
        <w:rPr>
          <w:rFonts w:cstheme="minorHAnsi"/>
        </w:rPr>
        <w:t xml:space="preserve"> </w:t>
      </w:r>
      <w:r w:rsidRPr="00F616CD">
        <w:rPr>
          <w:rFonts w:cstheme="minorHAnsi"/>
        </w:rPr>
        <w:t>See exploration of some of these tensions in</w:t>
      </w:r>
      <w:r>
        <w:rPr>
          <w:rFonts w:cstheme="minorHAnsi"/>
        </w:rPr>
        <w:t xml:space="preserve"> the context of intersex surgeries:</w:t>
      </w:r>
      <w:r w:rsidRPr="00F616CD">
        <w:rPr>
          <w:rFonts w:cstheme="minorHAnsi"/>
        </w:rPr>
        <w:t xml:space="preserve"> </w:t>
      </w:r>
      <w:r w:rsidRPr="00F616CD">
        <w:rPr>
          <w:rFonts w:cstheme="minorHAnsi"/>
        </w:rPr>
        <w:fldChar w:fldCharType="begin"/>
      </w:r>
      <w:r>
        <w:rPr>
          <w:rFonts w:cstheme="minorHAnsi"/>
        </w:rPr>
        <w:instrText xml:space="preserve"> ADDIN ZOTERO_ITEM CSL_CITATION {"citationID":"fnMAQXGi","properties":{"formattedCitation":"Egale Canada, {\\i{}Egale Canada Files an Application at the Ontario Superior Court of Justice in Groundbreaking Intersex Human Rights Case} &lt;https://egale.ca/egale-in-action/ontario-superior-court-intersex-human-rights/&gt;; Intersex Human Rights Australia, {\\i{}Submission to the Australian Human Rights Commission on Protecting the Rights of People Born with Variations in Sex  Characteristics in the Context of Medical Interventions} (Intersex Human RIghts Australia, 30 September 2018) &lt;https://ihra.org.au/32490/ahrc-submission-2018/&gt;.","plainCitation":"Egale Canada, Egale Canada Files an Application at the Ontario Superior Court of Justice in Groundbreaking Intersex Human Rights Case &lt;https://egale.ca/egale-in-action/ontario-superior-court-intersex-human-rights/&gt;; Intersex Human Rights Australia, Submission to the Australian Human Rights Commission on Protecting the Rights of People Born with Variations in Sex  Characteristics in the Context of Medical Interventions (Intersex Human RIghts Australia, 30 September 2018) &lt;https://ihra.org.au/32490/ahrc-submission-2018/&gt;.","noteIndex":204},"citationItems":[{"id":8712,"uris":["http://zotero.org/users/5279374/items/W869Q8W3"],"uri":["http://zotero.org/users/5279374/items/W869Q8W3"],"itemData":{"id":8712,"type":"report","title":"Egale Canada Files an Application at the Ontario Superior Court of Justice in Groundbreaking Intersex Human Rights Case","URL":"https://egale.ca/egale-in-action/ontario-superior-court-intersex-human-rights/","author":[{"family":"Egale Canada","given":""}]}},{"id":8716,"uris":["http://zotero.org/users/5279374/items/AMGSHTIY"],"uri":["http://zotero.org/users/5279374/items/AMGSHTIY"],"itemData":{"id":8716,"type":"report","event-place":"Newtown","publisher":"Intersex Human RIghts Australia","publisher-place":"Newtown","title":"Submission to the Australian Human Rights Commission on Protecting the Rights of People Born with Variations in Sex  Characteristics in the Context of Medical Interventions","URL":"https://ihra.org.au/32490/ahrc-submission-2018/","author":[{"family":"Intersex Human Rights Australia","given":""}],"issued":{"date-parts":[["2018",9,30]]}}}],"schema":"https://github.com/citation-style-language/schema/raw/master/csl-citation.json"} </w:instrText>
      </w:r>
      <w:r w:rsidRPr="00F616CD">
        <w:rPr>
          <w:rFonts w:cstheme="minorHAnsi"/>
        </w:rPr>
        <w:fldChar w:fldCharType="separate"/>
      </w:r>
      <w:r w:rsidRPr="006A62D4">
        <w:rPr>
          <w:rFonts w:ascii="Calibri" w:hAnsi="Calibri" w:cs="Calibri"/>
          <w:szCs w:val="24"/>
        </w:rPr>
        <w:t xml:space="preserve">Egale Canada, </w:t>
      </w:r>
      <w:r w:rsidRPr="006A62D4">
        <w:rPr>
          <w:rFonts w:ascii="Calibri" w:hAnsi="Calibri" w:cs="Calibri"/>
          <w:i/>
          <w:iCs/>
          <w:szCs w:val="24"/>
        </w:rPr>
        <w:t>Egale Canada Files an Application at the Ontario Superior Court of Justice in Groundbreaking Intersex Human Rights Case</w:t>
      </w:r>
      <w:r w:rsidRPr="006A62D4">
        <w:rPr>
          <w:rFonts w:ascii="Calibri" w:hAnsi="Calibri" w:cs="Calibri"/>
          <w:szCs w:val="24"/>
        </w:rPr>
        <w:t xml:space="preserve"> &lt;https://egale.ca/egale-in-action/ontario-superior-court-intersex-human-rights/&gt;; Intersex Human Rights Australia, </w:t>
      </w:r>
      <w:r w:rsidRPr="006A62D4">
        <w:rPr>
          <w:rFonts w:ascii="Calibri" w:hAnsi="Calibri" w:cs="Calibri"/>
          <w:i/>
          <w:iCs/>
          <w:szCs w:val="24"/>
        </w:rPr>
        <w:t>Submission to the Australian Human Rights Commission on Protecting the Rights of People Born with Variations in Sex  Characteristics in the Context of Medical Interventions</w:t>
      </w:r>
      <w:r w:rsidRPr="006A62D4">
        <w:rPr>
          <w:rFonts w:ascii="Calibri" w:hAnsi="Calibri" w:cs="Calibri"/>
          <w:szCs w:val="24"/>
        </w:rPr>
        <w:t xml:space="preserve"> (Intersex Human RIghts Australia, 30 September 2018) &lt;https://ihra.org.au/32490/ahrc-submission-2018/&gt;.</w:t>
      </w:r>
      <w:r w:rsidRPr="00F616CD">
        <w:rPr>
          <w:rFonts w:cstheme="minorHAnsi"/>
        </w:rPr>
        <w:fldChar w:fldCharType="end"/>
      </w:r>
    </w:p>
  </w:endnote>
  <w:endnote w:id="205">
    <w:p w14:paraId="22E249AB" w14:textId="26D22D12"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{"citationID":"tiWepzI9","properties":{"formattedCitation":"Steele and Goldblatt (n 203) 79\\uc0\\u8211{}80.","plainCitation":"Steele and Goldblatt (n 203) 79–80.","noteIndex":205},"citationItems":[{"id":6174,"uris":["http://zotero.org/groups/2733877/items/45EDFJCY"],"uri":["http://zotero.org/groups/2733877/items/45EDFJCY"],"itemData":{"id":6174,"type":"chapter","container-title":"The Palgrave Handbook of Critical Menstruation Studies","page":"77","publisher":"Palgrave Macmillan","title":"The human rights of women and girls with disabilities: sterilisation and other coercive responses to menstruation","author":[{"family":"Steele","given":"Linda"},{"family":"Goldblatt","given":"Beth"}],"editor":[{"family":"Bobel","given":"Chris"},{"family":"Winkler","given":"Inga T"},{"family":"Fahs","given":"Breanne"},{"family":"Hasson","given":"Katie A"},{"family":"Kissling","given":"Elizabeth Arveda"},{"family":"Roberts","given":"Tomi-Ann"}],"issued":{"date-parts":[["2020"]]}},"locator":"79-80"}],"schema":"https://github.com/citation-style-language/schema/raw/master/csl-citation.json"} </w:instrText>
      </w:r>
      <w:r w:rsidRPr="003F3D6D">
        <w:rPr>
          <w:rFonts w:cstheme="minorHAnsi"/>
        </w:rPr>
        <w:fldChar w:fldCharType="separate"/>
      </w:r>
      <w:r w:rsidRPr="00A43287">
        <w:rPr>
          <w:rFonts w:ascii="Calibri" w:hAnsi="Calibri" w:cs="Calibri"/>
          <w:szCs w:val="24"/>
        </w:rPr>
        <w:t>Steele and Goldblatt (n 203) 79–80.</w:t>
      </w:r>
      <w:r w:rsidRPr="003F3D6D">
        <w:rPr>
          <w:rFonts w:cstheme="minorHAnsi"/>
        </w:rPr>
        <w:fldChar w:fldCharType="end"/>
      </w:r>
    </w:p>
  </w:endnote>
  <w:endnote w:id="206">
    <w:p w14:paraId="5E30FA3D" w14:textId="54200241"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{"citationID":"tI7rtfFI","properties":{"formattedCitation":"Nirmala Erevelles, \\uc0\\u8216{}The Color of Violence: Reflecting on Gender, Race, and Disability in Wartime\\uc0\\u8217{} in Kim Q Hall (ed), {\\i{}Feminist Disability Studies} (Indiana University Press, 2011) 117, 119.","plainCitation":"Nirmala Erevelles, ‘The Color of Violence: Reflecting on Gender, Race, and Disability in Wartime’ in Kim Q Hall (ed), Feminist Disability Studies (Indiana University Press, 2011) 117, 119.","noteIndex":206},"citationItems":[{"id":6120,"uris":["http://zotero.org/groups/2733877/items/74RD7JDZ"],"uri":["http://zotero.org/groups/2733877/items/74RD7JDZ"],"itemData":{"id":6120,"type":"chapter","container-title":"Feminist Disability Studies","event-place":"Bloomington &amp; Indianapolis","page":"117","publisher":"Indiana University Press","publisher-place":"Bloomington &amp; Indianapolis","title":"The Color of Violence: Reflecting on Gender, Race, and Disability in Wartime","author":[{"family":"Erevelles","given":"Nirmala"}],"editor":[{"family":"Hall","given":"Kim Q"}],"issued":{"date-parts":[["2011"]]}},"locator":"119"}],"schema":"https://github.com/citation-style-language/schema/raw/master/csl-citation.json"} </w:instrText>
      </w:r>
      <w:r w:rsidRPr="003F3D6D">
        <w:rPr>
          <w:rFonts w:cstheme="minorHAnsi"/>
        </w:rPr>
        <w:fldChar w:fldCharType="separate"/>
      </w:r>
      <w:r w:rsidRPr="003F3D6D">
        <w:rPr>
          <w:rFonts w:cstheme="minorHAnsi"/>
        </w:rPr>
        <w:t xml:space="preserve">Nirmala Erevelles, ‘The Color of Violence: Reflecting on Gender, Race, and Disability in Wartime’ in Kim Q Hall (ed), </w:t>
      </w:r>
      <w:r w:rsidRPr="003F3D6D">
        <w:rPr>
          <w:rFonts w:cstheme="minorHAnsi"/>
          <w:i/>
          <w:iCs/>
        </w:rPr>
        <w:t>Feminist Disability Studies</w:t>
      </w:r>
      <w:r w:rsidRPr="003F3D6D">
        <w:rPr>
          <w:rFonts w:cstheme="minorHAnsi"/>
        </w:rPr>
        <w:t xml:space="preserve"> (Indiana University Press, 2011) 117, 119.</w:t>
      </w:r>
      <w:r w:rsidRPr="003F3D6D">
        <w:rPr>
          <w:rFonts w:cstheme="minorHAnsi"/>
        </w:rPr>
        <w:fldChar w:fldCharType="end"/>
      </w:r>
    </w:p>
  </w:endnote>
  <w:endnote w:id="207">
    <w:p w14:paraId="17FCDD30" w14:textId="42CF32DA"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{"citationID":"ikLL9acc","properties":{"formattedCitation":"Patricia Hill Collins and Sirma Bilge, {\\i{}Intersectionality} (Polity Press, 2nd ed, 2020) &lt;https://politybooks.com/bookdetail/&gt;.","plainCitation":"Patricia Hill Collins and Sirma Bilge, Intersectionality (Polity Press, 2nd ed, 2020) &lt;https://politybooks.com/bookdetail/&gt;.","noteIndex":207},"citationItems":[{"id":6118,"uris":["http://zotero.org/groups/2733877/items/YSSKMGA2"],"uri":["http://zotero.org/groups/2733877/items/YSSKMGA2"],"itemData":{"id":6118,"type":"book","abstract":"Intersectionality, The concept of intersectionality has become a central topic in academic and activist circles alike","edition":"2nd","language":"en-US","publisher":"Polity Press","title":"Intersectionality","URL":"https://politybooks.com/bookdetail/","author":[{"family":"Collins","given":"Patricia Hill"},{"family":"Bilge","given":"Sirma"}],"accessed":{"date-parts":[["2021",2,2]]},"issued":{"date-parts":[["2020"]]}}}],"schema":"https://github.com/citation-style-language/schema/raw/master/csl-citation.json"} </w:instrText>
      </w:r>
      <w:r w:rsidRPr="003F3D6D">
        <w:rPr>
          <w:rFonts w:cstheme="minorHAnsi"/>
        </w:rPr>
        <w:fldChar w:fldCharType="separate"/>
      </w:r>
      <w:r w:rsidRPr="003F3D6D">
        <w:rPr>
          <w:rFonts w:cstheme="minorHAnsi"/>
        </w:rPr>
        <w:t xml:space="preserve">Patricia Hill Collins and Sirma Bilge, </w:t>
      </w:r>
      <w:r w:rsidRPr="003F3D6D">
        <w:rPr>
          <w:rFonts w:cstheme="minorHAnsi"/>
          <w:i/>
          <w:iCs/>
        </w:rPr>
        <w:t>Intersectionality</w:t>
      </w:r>
      <w:r w:rsidRPr="003F3D6D">
        <w:rPr>
          <w:rFonts w:cstheme="minorHAnsi"/>
        </w:rPr>
        <w:t xml:space="preserve"> (Polity Press, 2nd ed, 2020) &lt;https://politybooks.com/bookdetail/&gt;.</w:t>
      </w:r>
      <w:r w:rsidRPr="003F3D6D">
        <w:rPr>
          <w:rFonts w:cstheme="minorHAnsi"/>
        </w:rPr>
        <w:fldChar w:fldCharType="end"/>
      </w:r>
    </w:p>
  </w:endnote>
  <w:endnote w:id="208">
    <w:p w14:paraId="5ABE4AE9" w14:textId="594631D8"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qPfwzAij","properties":{"formattedCitation":"Ibid.","plainCitation":"Ibid.","noteIndex":208},"citationItems":[{"id":6118,"uris":["http://zotero.org/groups/2733877/items/YSSKMGA2"],"uri":["http://zotero.org/groups/2733877/items/YSSKMGA2"],"itemData":{"id":6118,"type":"book","abstract":"Intersectionality, The concept of intersectionality has become a central topic in academic and activist circles alike","edition":"2nd","language":"en-US","publisher":"Polity Press","title":"Intersectionality","URL":"https://politybooks.com/bookdetail/","author":[{"family":"Collins","given":"Patricia Hill"},{"family":"Bilge","given":"Sirma"}],"accessed":{"date-parts":[["2021",2,2]]},"issued":{"date-parts":[["2020"]]}}}],"schema":"https://github.com/citation-style-language/schema/raw/master/csl-citation.json"}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209">
    <w:p w14:paraId="514CA9A1" w14:textId="561D54B8"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89jIpK4l","properties":{"formattedCitation":"Ibid.","plainCitation":"Ibid.","noteIndex":209},"citationItems":[{"id":6118,"uris":["http://zotero.org/groups/2733877/items/YSSKMGA2"],"uri":["http://zotero.org/groups/2733877/items/YSSKMGA2"],"itemData":{"id":6118,"type":"book","abstract":"Intersectionality, The concept of intersectionality has become a central topic in academic and activist circles alike","edition":"2nd","language":"en-US","publisher":"Polity Press","title":"Intersectionality","URL":"https://politybooks.com/bookdetail/","author":[{"family":"Collins","given":"Patricia Hill"},{"family":"Bilge","given":"Sirma"}],"accessed":{"date-parts":[["2021",2,2]]},"issued":{"date-parts":[["2020"]]}}}],"schema":"https://github.com/citation-style-language/schema/raw/master/csl-citation.json"}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210">
    <w:p w14:paraId="05146F4A" w14:textId="10861E41"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{"citationID":"5XQq4m7y","properties":{"formattedCitation":"Ibid; Patricia Hill Collins, {\\i{}Black Feminist Thought: Knowledge: Consciousness, and the Politics of Empowerment} (Routledge, 2014); Sherene Razack, {\\i{}Looking White People in the Eye: Gender, Race, and Culture in Courtrooms and Classrooms} (University of Toronto Press, 1998) 13 &lt;https://utorontopress.com/us/looking-white-people-in-the-eye-3&gt;; Ameil Joseph, \\uc0\\u8216{}Beyond Intersectionalities of Identity or Interlocking Analyses of Difference: Confluence and the Problematic of \\uc0\\u8220{}Anti\\uc0\\u8221{}-Oppression\\uc0\\u8217{} (2015) 4(1) {\\i{}Intersectionalities: A Global Journal of Social Work Analysis, Research, Polity, and Practice} 15.","plainCitation":"Ibid; Patricia Hill Collins, Black Feminist Thought: Knowledge: Consciousness, and the Politics of Empowerment (Routledge, 2014); Sherene Razack, Looking White People in the Eye: Gender, Race, and Culture in Courtrooms and Classrooms (University of Toronto Press, 1998) 13 &lt;https://utorontopress.com/us/looking-white-people-in-the-eye-3&gt;; Ameil Joseph, ‘Beyond Intersectionalities of Identity or Interlocking Analyses of Difference: Confluence and the Problematic of “Anti”-Oppression’ (2015) 4(1) Intersectionalities: A Global Journal of Social Work Analysis, Research, Polity, and Practice 15.","noteIndex":210},"citationItems":[{"id":6118,"uris":["http://zotero.org/groups/2733877/items/YSSKMGA2"],"uri":["http://zotero.org/groups/2733877/items/YSSKMGA2"],"itemData":{"id":6118,"type":"book","abstract":"Intersectionality, The concept of intersectionality has become a central topic in academic and activist circles alike","edition":"2nd","language":"en-US","publisher":"Polity Press","title":"Intersectionality","URL":"https://politybooks.com/bookdetail/","author":[{"family":"Collins","given":"Patricia Hill"},{"family":"Bilge","given":"Sirma"}],"accessed":{"date-parts":[["2021",2,2]]},"issued":{"date-parts":[["2020"]]}}},{"id":6117,"uris":["http://zotero.org/groups/2733877/items/YRQVJLWG"],"uri":["http://zotero.org/groups/2733877/items/YRQVJLWG"],"itemData":{"id":6117,"type":"book","event-place":"New York","publisher":"Routledge","publisher-place":"New York","title":"Black feminist thought: Knowledge: Consciousness, and the politics of empowerment","author":[{"family":"Collins","given":"Patricia Hill"}],"issued":{"date-parts":[["2014"]]}}},{"id":6183,"uris":["http://zotero.org/groups/2733877/items/NLKQEITB"],"uri":["http://zotero.org/groups/2733877/items/NLKQEITB"],"itemData":{"id":6183,"type":"book","abstract":"In this book Sherene Razack explores what happens when whites look at non-whites, and in particular at non-white women. Most studies examining this encounter between dominant and subordinate groups focus on how it occurs in films, books, and popular culture. In contrast, Razack addresses how non-white women are viewed, and how they must respond, in classrooms and courtrooms. Examining the discussion of equity issues in the classroom and immigration and sexual violence cases in the courtroom, she argues that non-white women must often present themselves as culturally different instead of oppressed. Seen as victims of their own oppressive culture who must be pitied and rescued by white men and women, non-white women cannot then be seen as subjects. This book makes clear why we must be wary of educational and legal strategies that begin with saving 'Other' women. It offers powerful arguments for why it is important to examine who are the saviours and who are the saved, and what we must do to disrupt these historical relations of power.","event-place":"Toronto","ISBN":"978-0-8020-0928-9","language":"en","publisher":"University of Toronto Press","publisher-place":"Toronto","source":"utorontopress.com","title":"Looking White People in the Eye: Gender, Race, and Culture in Courtrooms and Classrooms","URL":"https://utorontopress.com/us/looking-white-people-in-the-eye-3","author":[{"family":"Razack","given":"Sherene"}],"accessed":{"date-parts":[["2021",2,2]]},"issued":{"date-parts":[["1998"]]}},"locator":"13"},{"id":6116,"uris":["http://zotero.org/groups/2733877/items/FMIDDNDR"],"uri":["http://zotero.org/groups/2733877/items/FMIDDNDR"],"itemData":{"id":6116,"type":"article-journal","container-title":"Intersectionalities: A Global Journal of Social Work Analysis, Research, Polity, and Practice","issue":"1","page":"15","title":"Beyond Intersectionalities of Identity or Interlocking Analyses of Difference: Confluence and the Problematic of “Anti”-oppression","volume":"4","author":[{"family":"Joseph","given":"Ameil"}],"issued":{"date-parts":[["2015"]]}}}],"schema":"https://github.com/citation-style-language/schema/raw/master/csl-citation.json"} </w:instrText>
      </w:r>
      <w:r w:rsidRPr="003F3D6D">
        <w:rPr>
          <w:rFonts w:cstheme="minorHAnsi"/>
        </w:rPr>
        <w:fldChar w:fldCharType="separate"/>
      </w:r>
      <w:r w:rsidRPr="003F3D6D">
        <w:rPr>
          <w:rFonts w:cstheme="minorHAnsi"/>
        </w:rPr>
        <w:t xml:space="preserve">Ibid; Patricia Hill Collins, </w:t>
      </w:r>
      <w:r w:rsidRPr="003F3D6D">
        <w:rPr>
          <w:rFonts w:cstheme="minorHAnsi"/>
          <w:i/>
          <w:iCs/>
        </w:rPr>
        <w:t>Black Feminist Thought: Knowledge: Consciousness, and the Politics of Empowerment</w:t>
      </w:r>
      <w:r w:rsidRPr="003F3D6D">
        <w:rPr>
          <w:rFonts w:cstheme="minorHAnsi"/>
        </w:rPr>
        <w:t xml:space="preserve"> (Routledge, 2014); Sherene Razack, </w:t>
      </w:r>
      <w:r w:rsidRPr="003F3D6D">
        <w:rPr>
          <w:rFonts w:cstheme="minorHAnsi"/>
          <w:i/>
          <w:iCs/>
        </w:rPr>
        <w:t>Looking White People in the Eye: Gender, Race, and Culture in Courtrooms and Classrooms</w:t>
      </w:r>
      <w:r w:rsidRPr="003F3D6D">
        <w:rPr>
          <w:rFonts w:cstheme="minorHAnsi"/>
        </w:rPr>
        <w:t xml:space="preserve"> (University of Toronto Press, 1998) 13 &lt;https://utorontopress.com/us/looking-white-people-in-the-eye-3&gt;; Ameil Joseph, ‘Beyond Intersectionalities of Identity or Interlocking Analyses of Difference: Confluence and the Problematic of “Anti”-Oppression’ (2015) 4(1) </w:t>
      </w:r>
      <w:r w:rsidRPr="003F3D6D">
        <w:rPr>
          <w:rFonts w:cstheme="minorHAnsi"/>
          <w:i/>
          <w:iCs/>
        </w:rPr>
        <w:t>Intersectionalities: A Global Journal of Social Work Analysis, Research, Polity, and Practice</w:t>
      </w:r>
      <w:r w:rsidRPr="003F3D6D">
        <w:rPr>
          <w:rFonts w:cstheme="minorHAnsi"/>
        </w:rPr>
        <w:t xml:space="preserve"> 15.</w:t>
      </w:r>
      <w:r w:rsidRPr="003F3D6D">
        <w:rPr>
          <w:rFonts w:cstheme="minorHAnsi"/>
        </w:rPr>
        <w:fldChar w:fldCharType="end"/>
      </w:r>
    </w:p>
  </w:endnote>
  <w:endnote w:id="211">
    <w:p w14:paraId="61768489" w14:textId="0272B92D"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{"citationID":"ZtsxxzX5","properties":{"formattedCitation":"Leanne Dowse, \\uc0\\u8216{}Reconciling Cognitive Disability and Corrosive Social Disadvantage: Barriers to Intersectional Research, Policy and Practice\\uc0\\u8217{} in {\\i{}Disability and (Virtual) Institutions?: Interventions, Integration and Inclusion} (2018) 1.","plainCitation":"Leanne Dowse, ‘Reconciling Cognitive Disability and Corrosive Social Disadvantage: Barriers to Intersectional Research, Policy and Practice’ in Disability and (Virtual) Institutions?: Interventions, Integration and Inclusion (2018) 1.","noteIndex":211},"citationItems":[{"id":6194,"uris":["http://zotero.org/groups/2733877/items/8HL4XNYB"],"uri":["http://zotero.org/groups/2733877/items/8HL4XNYB"],"itemData":{"id":6194,"type":"paper-conference","container-title":"Disability and (virtual) institutions?: interventions, integration and inclusion","event":"International Institute for the Sociology of Law","event-place":"Onati, Spain","publisher-place":"Onati, Spain","title":"Reconciling cognitive disability and corrosive social disadvantage: barriers to intersectional research, policy and practice","author":[{"family":"Dowse","given":"Leanne"}],"issued":{"date-parts":[["2018",6,21]]}},"locator":"1"}],"schema":"https://github.com/citation-style-language/schema/raw/master/csl-citation.json"} </w:instrText>
      </w:r>
      <w:r w:rsidRPr="003F3D6D">
        <w:rPr>
          <w:rFonts w:cstheme="minorHAnsi"/>
        </w:rPr>
        <w:fldChar w:fldCharType="separate"/>
      </w:r>
      <w:r w:rsidRPr="003F3D6D">
        <w:rPr>
          <w:rFonts w:cstheme="minorHAnsi"/>
        </w:rPr>
        <w:t xml:space="preserve">Leanne Dowse, ‘Reconciling Cognitive Disability and Corrosive Social Disadvantage: Barriers to Intersectional Research, Policy and Practice’ in </w:t>
      </w:r>
      <w:r w:rsidRPr="003F3D6D">
        <w:rPr>
          <w:rFonts w:cstheme="minorHAnsi"/>
          <w:i/>
          <w:iCs/>
        </w:rPr>
        <w:t>Disability and (Virtual) Institutions?: Interventions, Integration and Inclusion</w:t>
      </w:r>
      <w:r w:rsidRPr="003F3D6D">
        <w:rPr>
          <w:rFonts w:cstheme="minorHAnsi"/>
        </w:rPr>
        <w:t xml:space="preserve"> (2018) 1.</w:t>
      </w:r>
      <w:r w:rsidRPr="003F3D6D">
        <w:rPr>
          <w:rFonts w:cstheme="minorHAnsi"/>
        </w:rPr>
        <w:fldChar w:fldCharType="end"/>
      </w:r>
    </w:p>
  </w:endnote>
  <w:endnote w:id="212">
    <w:p w14:paraId="1AC77395" w14:textId="0399699C"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{"citationID":"RJUZBhTW","properties":{"formattedCitation":"Kelly Fritsch, \\uc0\\u8216{}Gradations of Debility and Capacity: Biocapitalism and the Neoliberalization of Disability Relations\\uc0\\u8217{} (2015) 4(2) {\\i{}Canadian Journal of Disability Studies} 13, 33.","plainCitation":"Kelly Fritsch, ‘Gradations of Debility and Capacity: Biocapitalism and the Neoliberalization of Disability Relations’ (2015) 4(2) Canadian Journal of Disability Studies 13, 33.","noteIndex":212},"citationItems":[{"id":6034,"uris":["http://zotero.org/groups/2733877/items/V9BUQLGT"],"uri":["http://zotero.org/groups/2733877/items/V9BUQLGT"],"itemData":{"id":6034,"type":"article-journal","abstract":"This article explores how disability as a political identity emerged alongside the neoliberalization of social relations and the boom in the life sciences. This has had lasting consequences for the ways in which disability is mobilized in contemporary neoliberalized biocapitalism, including how disability has become differentially included through modes of debility and capacity that are not clearly defined along traditional abled/disabled binaries, implying that disability is not a uniformly oppressed category of being. I attend to how grievances about particular forms of disabled oppression and structural ableism are made through “wounded attachments” and question how to forge a disability politics that is able to traverse the complexities of the contemporary social and economic landscape.","container-title":"Canadian Journal of Disability Studies","DOI":"10.15353/cjds.v4i2.208","issue":"2","journalAbbreviation":"Canadian Journal of Disability Studies","page":"13","source":"ResearchGate","title":"Gradations of Debility and Capacity: Biocapitalism and the Neoliberalization of Disability Relations","volume":"4","author":[{"family":"Fritsch","given":"Kelly"}],"issued":{"date-parts":[["2015"]]}},"locator":"33"}],"schema":"https://github.com/citation-style-language/schema/raw/master/csl-citation.json"} </w:instrText>
      </w:r>
      <w:r w:rsidRPr="003F3D6D">
        <w:rPr>
          <w:rFonts w:cstheme="minorHAnsi"/>
        </w:rPr>
        <w:fldChar w:fldCharType="separate"/>
      </w:r>
      <w:r w:rsidRPr="003F3D6D">
        <w:rPr>
          <w:rFonts w:cstheme="minorHAnsi"/>
        </w:rPr>
        <w:t xml:space="preserve">Kelly Fritsch, ‘Gradations of Debility and Capacity: Biocapitalism and the Neoliberalization of Disability Relations’ (2015) 4(2) </w:t>
      </w:r>
      <w:r w:rsidRPr="003F3D6D">
        <w:rPr>
          <w:rFonts w:cstheme="minorHAnsi"/>
          <w:i/>
          <w:iCs/>
        </w:rPr>
        <w:t>Canadian Journal of Disability Studies</w:t>
      </w:r>
      <w:r w:rsidRPr="003F3D6D">
        <w:rPr>
          <w:rFonts w:cstheme="minorHAnsi"/>
        </w:rPr>
        <w:t xml:space="preserve"> 13, 33.</w:t>
      </w:r>
      <w:r w:rsidRPr="003F3D6D">
        <w:rPr>
          <w:rFonts w:cstheme="minorHAnsi"/>
        </w:rPr>
        <w:fldChar w:fldCharType="end"/>
      </w:r>
    </w:p>
  </w:endnote>
  <w:endnote w:id="213">
    <w:p w14:paraId="4C283526" w14:textId="4506C0F9" w:rsidR="00A00236" w:rsidRPr="008B4BEB" w:rsidRDefault="00A00236">
      <w:pPr>
        <w:pStyle w:val="EndnoteText"/>
        <w:rPr>
          <w:lang w:val="en-AU"/>
        </w:rPr>
      </w:pPr>
      <w:r>
        <w:rPr>
          <w:rStyle w:val="EndnoteReference"/>
        </w:rPr>
        <w:endnoteRef/>
      </w:r>
      <w:r>
        <w:t xml:space="preserve"> </w:t>
      </w:r>
      <w:r>
        <w:fldChar w:fldCharType="begin"/>
      </w:r>
      <w:r>
        <w:instrText xml:space="preserve"> ADDIN ZOTERO_ITEM CSL_CITATION {"citationID":"wMsGFxIH","properties":{"formattedCitation":"Lester Bostock, \\uc0\\u8216{}The Meares Oration:  Access, and Equity for People with a Double Disadvantage\\uc0\\u8217{} (Perth, WA, 20 February 1991).","plainCitation":"Lester Bostock, ‘The Meares Oration:  Access, and Equity for People with a Double Disadvantage’ (Perth, WA, 20 February 1991).","noteIndex":213},"citationItems":[{"id":8736,"uris":["http://zotero.org/users/5279374/items/WURGP22Q"],"uri":["http://zotero.org/users/5279374/items/WURGP22Q"],"itemData":{"id":8736,"type":"speech","event-place":"Perth, WA","publisher-place":"Perth, WA","title":"The Meares Oration:  Access, and Equity for People with a Double Disadvantage","author":[{"family":"Bostock","given":"Lester"}],"issued":{"date-parts":[["1991",2,20]]}}}],"schema":"https://github.com/citation-style-language/schema/raw/master/csl-citation.json"} </w:instrText>
      </w:r>
      <w:r>
        <w:fldChar w:fldCharType="separate"/>
      </w:r>
      <w:r w:rsidRPr="008B4BEB">
        <w:rPr>
          <w:rFonts w:ascii="Calibri" w:hAnsi="Calibri" w:cs="Calibri"/>
          <w:szCs w:val="24"/>
        </w:rPr>
        <w:t>Lester Bostock, ‘The Meares Oration:  Access, and Equity for People with a Double Disadvantage’ (Perth, WA, 20 February 1991).</w:t>
      </w:r>
      <w:r>
        <w:fldChar w:fldCharType="end"/>
      </w:r>
    </w:p>
  </w:endnote>
  <w:endnote w:id="214">
    <w:p w14:paraId="67FB2E0E" w14:textId="7E08BCA1" w:rsidR="00A00236" w:rsidRPr="00BF579D" w:rsidRDefault="00A00236">
      <w:pPr>
        <w:pStyle w:val="EndnoteText"/>
        <w:rPr>
          <w:lang w:val="en-AU"/>
        </w:rPr>
      </w:pPr>
      <w:r>
        <w:rPr>
          <w:rStyle w:val="EndnoteReference"/>
        </w:rPr>
        <w:endnoteRef/>
      </w:r>
      <w:r>
        <w:t xml:space="preserve"> </w:t>
      </w:r>
      <w:r>
        <w:fldChar w:fldCharType="begin"/>
      </w:r>
      <w:r>
        <w:instrText xml:space="preserve"> ADDIN ZOTERO_ITEM CSL_CITATION {"citationID":"iZ3Toknw","properties":{"formattedCitation":"Scott Avery, {\\i{}Culture Is Inclusion: A Narrative of Aboriginal and Torres Strait Islander People with Disability.} (First People\\uc0\\u8217{}s Disability Network (Australia), 2018) &lt;https://fpdn.org.au/product/cultureisinclusion/&gt;.","plainCitation":"Scott Avery, Culture Is Inclusion: A Narrative of Aboriginal and Torres Strait Islander People with Disability. (First People’s Disability Network (Australia), 2018) &lt;https://fpdn.org.au/product/cultureisinclusion/&gt;.","noteIndex":214},"citationItems":[{"id":6201,"uris":["http://zotero.org/groups/2733877/items/WKULVEY2"],"uri":["http://zotero.org/groups/2733877/items/WKULVEY2"],"itemData":{"id":6201,"type":"book","abstract":"Currently out of stock Please notify me when the book becomes available.  Author: Scott Avery ‘Culture is Inclusion’ is a remarkable and compelling story of Aboriginal and Torres Strait Islander...","event-place":"Sydney","language":"en-AU","publisher":"First People's Disability Network (Australia)","publisher-place":"Sydney","title":"Culture is Inclusion: A narrative of Aboriginal and Torres Strait Islander people with disability.","URL":"https://fpdn.org.au/product/cultureisinclusion/","author":[{"family":"Avery","given":"Scott"}],"accessed":{"date-parts":[["2021",2,3]]},"issued":{"date-parts":[["2018"]]}}}],"schema":"https://github.com/citation-style-language/schema/raw/master/csl-citation.json"} </w:instrText>
      </w:r>
      <w:r>
        <w:fldChar w:fldCharType="separate"/>
      </w:r>
      <w:r w:rsidRPr="00BF579D">
        <w:rPr>
          <w:rFonts w:ascii="Calibri" w:hAnsi="Calibri" w:cs="Calibri"/>
          <w:szCs w:val="24"/>
        </w:rPr>
        <w:t xml:space="preserve">Scott Avery, </w:t>
      </w:r>
      <w:r w:rsidRPr="00BF579D">
        <w:rPr>
          <w:rFonts w:ascii="Calibri" w:hAnsi="Calibri" w:cs="Calibri"/>
          <w:i/>
          <w:iCs/>
          <w:szCs w:val="24"/>
        </w:rPr>
        <w:t>Culture Is Inclusion: A Narrative of Aboriginal and Torres Strait Islander People with Disability.</w:t>
      </w:r>
      <w:r w:rsidRPr="00BF579D">
        <w:rPr>
          <w:rFonts w:ascii="Calibri" w:hAnsi="Calibri" w:cs="Calibri"/>
          <w:szCs w:val="24"/>
        </w:rPr>
        <w:t xml:space="preserve"> (First People’s Disability Network (Australia), 2018) &lt;https://fpdn.org.au/product/cultureisinclusion/&gt;.</w:t>
      </w:r>
      <w:r>
        <w:fldChar w:fldCharType="end"/>
      </w:r>
    </w:p>
  </w:endnote>
  <w:endnote w:id="215">
    <w:p w14:paraId="7C4DDF0A" w14:textId="20140465" w:rsidR="00A00236" w:rsidRPr="003F3D6D" w:rsidRDefault="00A00236" w:rsidP="00FE1FF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{"citationID":"AMGihTZb","properties":{"formattedCitation":"See, for example, Harris, \\uc0\\u8216{}Why Buck v. Bell Still Matters\\uc0\\u8217{} (n 178); Harris, \\uc0\\u8216{}Rewriting Buck v. Bell\\uc0\\u8217{} (n 178) 15\\uc0\\u8211{}35.","plainCitation":"See, for example, Harris, ‘Why Buck v. Bell Still Matters’ (n 178); Harris, ‘Rewriting Buck v. Bell’ (n 178) 15–35.","noteIndex":215},"citationItems":[{"id":5960,"uris":["http://zotero.org/groups/2733877/items/MQ5B69J8"],"uri":["http://zotero.org/groups/2733877/items/MQ5B69J8"],"itemData":{"id":5960,"type":"post-weblog","abstract":"In just three sentences, Justice Holmes delivers a message that has lasted through today: some lives matter more than others.","container-title":"Bill of Health: Examining the Intersection of Health Law, Biotechnology, and Bioethics","language":"en-US","title":"Why Buck v. Bell Still Matters","URL":"http://blog.petrieflom.law.harvard.edu/2020/10/14/why-buck-v-bell-still-matters/","author":[{"family":"Harris","given":"Jasmine"}],"accessed":{"date-parts":[["2021",2,1]]},"issued":{"date-parts":[["2020",10,14]]}},"prefix":"See, for example, "},{"id":5959,"uris":["http://zotero.org/groups/2733877/items/35HG7J77"],"uri":["http://zotero.org/groups/2733877/items/35HG7J77"],"itemData":{"id":5959,"type":"chapter","container-title":"Feminist Judgments Project: Reproductive Justice Rewritten","page":"15","publisher":"Cambridge University Press","title":"Rewriting Buck v. Bell","author":[{"family":"Harris","given":"Jasmine"}],"editor":[{"family":"Mutcherson","given":"Kimberly"}],"issued":{"date-parts":[["2019"]]}},"locator":"15-35"}],"schema":"https://github.com/citation-style-language/schema/raw/master/csl-citation.json"} </w:instrText>
      </w:r>
      <w:r w:rsidRPr="003F3D6D">
        <w:rPr>
          <w:rFonts w:cstheme="minorHAnsi"/>
        </w:rPr>
        <w:fldChar w:fldCharType="separate"/>
      </w:r>
      <w:r w:rsidRPr="008F06C3">
        <w:rPr>
          <w:rFonts w:ascii="Calibri" w:hAnsi="Calibri" w:cs="Calibri"/>
          <w:szCs w:val="24"/>
        </w:rPr>
        <w:t>See, for example, Harris, ‘Why Buck v. Bell Still Matters’ (n 178); Harris, ‘Rewriting Buck v. Bell’ (n 178) 15–35.</w:t>
      </w:r>
      <w:r w:rsidRPr="003F3D6D">
        <w:rPr>
          <w:rFonts w:cstheme="minorHAnsi"/>
        </w:rPr>
        <w:fldChar w:fldCharType="end"/>
      </w:r>
    </w:p>
  </w:endnote>
  <w:endnote w:id="216">
    <w:p w14:paraId="70A9DF9C" w14:textId="5AC01F7E"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{"citationID":"RW4t0rvK","properties":{"formattedCitation":"Erevelles (n 206) 119\\uc0\\u8211{}120; See also the concept of debility/capacity/disability: Jasbir K Puar, {\\i{}The Right to Maim: Debility, Capacity, Disability} (Duke University Press, 2017) &lt;https://www.dukeupress.edu/the-right-to-maim&gt;.","plainCitation":"Erevelles (n 206) 119–120; See also the concept of debility/capacity/disability: Jasbir K Puar, The Right to Maim: Debility, Capacity, Disability (Duke University Press, 2017) &lt;https://www.dukeupress.edu/the-right-to-maim&gt;.","noteIndex":216},"citationItems":[{"id":6120,"uris":["http://zotero.org/groups/2733877/items/74RD7JDZ"],"uri":["http://zotero.org/groups/2733877/items/74RD7JDZ"],"itemData":{"id":6120,"type":"chapter","container-title":"Feminist Disability Studies","event-place":"Bloomington &amp; Indianapolis","page":"117","publisher":"Indiana University Press","publisher-place":"Bloomington &amp; Indianapolis","title":"The Color of Violence: Reflecting on Gender, Race, and Disability in Wartime","author":[{"family":"Erevelles","given":"Nirmala"}],"editor":[{"family":"Hall","given":"Kim Q"}],"issued":{"date-parts":[["2011"]]}},"locator":"119-120"},{"id":6184,"uris":["http://zotero.org/groups/2733877/items/DCKEXTQ8"],"uri":["http://zotero.org/groups/2733877/items/DCKEXTQ8"],"itemData":{"id":6184,"type":"book","event-place":"Durham &amp; London","publisher":"Duke University Press","publisher-place":"Durham &amp; London","title":"The Right to Maim: Debility, Capacity, Disability","URL":"https://www.dukeupress.edu/the-right-to-maim","author":[{"family":"Puar","given":"Jasbir K"}],"accessed":{"date-parts":[["2021",2,2]]},"issued":{"date-parts":[["2017"]]}},"prefix":"See also the concept of debility/capacity/disability: "}],"schema":"https://github.com/citation-style-language/schema/raw/master/csl-citation.json"} </w:instrText>
      </w:r>
      <w:r w:rsidRPr="003F3D6D">
        <w:rPr>
          <w:rFonts w:cstheme="minorHAnsi"/>
        </w:rPr>
        <w:fldChar w:fldCharType="separate"/>
      </w:r>
      <w:r w:rsidRPr="00A43287">
        <w:rPr>
          <w:rFonts w:ascii="Calibri" w:hAnsi="Calibri" w:cs="Calibri"/>
          <w:szCs w:val="24"/>
        </w:rPr>
        <w:t xml:space="preserve">Erevelles (n 206) 119–120; See also the concept of debility/capacity/disability: Jasbir K Puar, </w:t>
      </w:r>
      <w:r w:rsidRPr="00A43287">
        <w:rPr>
          <w:rFonts w:ascii="Calibri" w:hAnsi="Calibri" w:cs="Calibri"/>
          <w:i/>
          <w:iCs/>
          <w:szCs w:val="24"/>
        </w:rPr>
        <w:t>The Right to Maim: Debility, Capacity, Disability</w:t>
      </w:r>
      <w:r w:rsidRPr="00A43287">
        <w:rPr>
          <w:rFonts w:ascii="Calibri" w:hAnsi="Calibri" w:cs="Calibri"/>
          <w:szCs w:val="24"/>
        </w:rPr>
        <w:t xml:space="preserve"> (Duke University Press, 2017) &lt;https://www.dukeupress.edu/the-right-to-maim&gt;.</w:t>
      </w:r>
      <w:r w:rsidRPr="003F3D6D">
        <w:rPr>
          <w:rFonts w:cstheme="minorHAnsi"/>
        </w:rPr>
        <w:fldChar w:fldCharType="end"/>
      </w:r>
    </w:p>
  </w:endnote>
  <w:endnote w:id="217">
    <w:p w14:paraId="36788EAD" w14:textId="798E2F27" w:rsidR="00A00236" w:rsidRPr="003F3D6D" w:rsidRDefault="00A00236" w:rsidP="00D401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{"citationID":"OCnVYqOj","properties":{"formattedCitation":"Kafer (n 163).","plainCitation":"Kafer (n 163).","noteIndex":217},"citationItems":[{"id":6084,"uris":["http://zotero.org/groups/2733877/items/REYPHRWH"],"uri":["http://zotero.org/groups/2733877/items/REYPHRWH"],"itemData":{"id":6084,"type":"book","abstract":"In Feminist, Queer, Crip Alison Kafer imagines a different future for disability and disabled bodies. Challenging the ways in which ideas about the future an...","event-place":"United States","language":"en-US","publisher":"Indiana University Press","publisher-place":"United States","title":"Feminist, Queer, Crip","URL":"https://iupress.org/9780253009340/feminist-queer-crip/","author":[{"family":"Kafer","given":"Alison"}],"accessed":{"date-parts":[["2021",2,2]]},"issued":{"date-parts":[["2013"]]}}}],"schema":"https://github.com/citation-style-language/schema/raw/master/csl-citation.json"} </w:instrText>
      </w:r>
      <w:r w:rsidRPr="003F3D6D">
        <w:rPr>
          <w:rFonts w:cstheme="minorHAnsi"/>
        </w:rPr>
        <w:fldChar w:fldCharType="separate"/>
      </w:r>
      <w:r w:rsidRPr="008F06C3">
        <w:rPr>
          <w:rFonts w:ascii="Calibri" w:hAnsi="Calibri" w:cs="Calibri"/>
        </w:rPr>
        <w:t>Kafer (n 163).</w:t>
      </w:r>
      <w:r w:rsidRPr="003F3D6D">
        <w:rPr>
          <w:rFonts w:cstheme="minorHAnsi"/>
        </w:rPr>
        <w:fldChar w:fldCharType="end"/>
      </w:r>
    </w:p>
  </w:endnote>
  <w:endnote w:id="218">
    <w:p w14:paraId="4A0656FE" w14:textId="46E0C294" w:rsidR="00A00236" w:rsidRPr="003F3D6D" w:rsidRDefault="00A00236" w:rsidP="00D401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T4KUS2kv","properties":{"formattedCitation":"Ibid.","plainCitation":"Ibid.","noteIndex":218},"citationItems":[{"id":6084,"uris":["http://zotero.org/groups/2733877/items/REYPHRWH"],"uri":["http://zotero.org/groups/2733877/items/REYPHRWH"],"itemData":{"id":6084,"type":"book","abstract":"In Feminist, Queer, Crip Alison Kafer imagines a different future for disability and disabled bodies. Challenging the ways in which ideas about the future an...","event-place":"United States","language":"en-US","publisher":"Indiana University Press","publisher-place":"United States","title":"Feminist, Queer, Crip","URL":"https://iupress.org/9780253009340/feminist-queer-crip/","author":[{"family":"Kafer","given":"Alison"}],"accessed":{"date-parts":[["2021",2,2]]},"issued":{"date-parts":[["2013"]]}}}],"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219">
    <w:p w14:paraId="7044276F" w14:textId="1F219621" w:rsidR="00A00236" w:rsidRPr="003F3D6D" w:rsidRDefault="00A00236" w:rsidP="00D401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{"citationID":"pjQf298U","properties":{"formattedCitation":"Claire Spivakovsky, \\uc0\\u8216{}The Impossibilities of \\uc0\\u8220{}Bearing Witness\\uc0\\u8221{} to the Institutional Violence of Coercive Interventions in the Disability Sector\\uc0\\u8217{} in Claire Spivakovsky, Kate Seear and Adrian Carter (eds), {\\i{}Critical Perspectives on Coercive Interventions: Law, Medicine and Society} (Routledge, 2018); Steele, \\uc0\\u8216{}Policing Normalcy: Sexual Violence against Women Offenders with Disability\\uc0\\u8217{} (n 203); Linda Steele, \\uc0\\u8216{}Temporality, Disability and Institutional Violence: Revisiting In Re F\\uc0\\u8217{} (2017) 26(3) {\\i{}Griffith Law Review} 378; Steele, {\\i{}Disability, Criminal Justice and Law Reconsidering Court Diversion} (n 193) 74, 85\\uc0\\u8211{}86.","plainCitation":"Claire Spivakovsky, ‘The Impossibilities of “Bearing Witness” to the Institutional Violence of Coercive Interventions in the Disability Sector’ in Claire Spivakovsky, Kate Seear and Adrian Carter (eds), Critical Perspectives on Coercive Interventions: Law, Medicine and Society (Routledge, 2018); Steele, ‘Policing Normalcy: Sexual Violence against Women Offenders with Disability’ (n 203); Linda Steele, ‘Temporality, Disability and Institutional Violence: Revisiting In Re F’ (2017) 26(3) Griffith Law Review 378; Steele, Disability, Criminal Justice and Law Reconsidering Court Diversion (n 193) 74, 85–86.","noteIndex":219},"citationItems":[{"id":6177,"uris":["http://zotero.org/groups/2733877/items/6JK8J43J"],"uri":["http://zotero.org/groups/2733877/items/6JK8J43J"],"itemData":{"id":6177,"type":"chapter","container-title":"Critical Perspectives on Coercive Interventions: Law, Medicine and Society","event-place":"Abingdon","publisher":"Routledge","publisher-place":"Abingdon","title":"The impossibilities of “bearing witness” to the institutional violence of coercive interventions in the disability sector","author":[{"family":"Spivakovsky","given":"Claire"}],"editor":[{"family":"Spivakovsky","given":"Claire"},{"family":"Seear","given":"Kate"},{"family":"Carter","given":"Adrian"}],"issued":{"date-parts":[["2018"]]}}},{"id":6220,"uris":["http://zotero.org/groups/2733877/items/ETQRTGE2"],"uri":["http://zotero.org/groups/2733877/items/ETQRTGE2"],"itemData":{"id":6220,"type":"article-journal","abstract":"This article explores police responses to sexual violence reported by women offenders designated as having cognitive and psychosocial disabilities. The article does so by reference to the critical disability studies analytical approach to disability as socially constructed ‘abnormality’. This article utilizes this approach in analysing the recorded police contacts of one woman offender designated as disabled, ‘Jane’. Jane has had multiple contacts with police over a period of 15 years as a victim of sexual violence, alleged offender and ‘mentally ill’ person. The article finds that through multiple contacts with police as victim, alleged offender and ‘mentally ill’ person, the police events records build a narrative of Jane as an ‘abnormal’ body who is reduced to a drain on police and public health resources, a dishonest and nuisance offender and an attention seeker. The article argues that it is the interlocking discourses of gender, disability and criminality that produce Jane as unworthy of victim status and, perversely, in need of punishment by the criminal justice system for her public displays of trauma, mental distress and requests for police assistance. Ultimately, the article concludes that we need to give greater attention to the relationship between disability and affect, and to the broader cultural, institutional, legal and economic discourses that shape individuals’ affective responses, in understanding police responses to violence against women offenders designated as disabled and in contesting these women’s status as ‘ungrievable’ victims of violence.","container-title":"Continuum","DOI":"10.1080/10304312.2016.1275144","ISSN":"1030-4312","issue":"3","note":"publisher: Routledge\n_eprint: https://doi.org/10.1080/10304312.2016.1275144","page":"422-435","source":"Taylor and Francis+NEJM","title":"Policing normalcy: sexual violence against women offenders with disability","volume":"31","author":[{"family":"Steele","given":"Linda"}],"issued":{"date-parts":[["2017"]]}}},{"id":6219,"uris":["http://zotero.org/groups/2733877/items/XSJGJZSX"],"uri":["http://zotero.org/groups/2733877/items/XSJGJZSX"],"itemData":{"id":6219,"type":"article-journal","abstract":"A recent suggestion of some disability legal scholars is to provide a non-discriminatory legal framework to regulate non-consensual medical and care interventions in relation to disabled people through adapting the doctrine of necessity. This article rejects this approach through a close reading of the leading decision on the doctrine of necessity in medical and care settings, In re F (Mental Patient: Sterilization) [1990] 2 AC 1. This decision confirms that any such suggestion for the application of the doctrine will impact disabled people differentially due to divergent legal constructions of temporality between disabled and able people. To use this doctrine in relation to ongoing disabled medical and care interventions the law constructs disabled people as being in a permanent state of mental incapacity. On the other hand, the doctrine of necessity constructs able people as temporarily mentally incapacitated from their usual state of autonomy, thus only requiring minimal medical and care interventions to return them to their prior state. Therefore, able people cannot, under this doctrine, lawfully be subject to similarly long periods of intervention and such a broader range of interventions. Application of the doctrine of necessity will thus exacerbate inequality of and violence against disabled people.","container-title":"Griffith Law Review","DOI":"10.1080/10383441.2017.1436368","ISSN":"1038-3441","issue":"3","note":"publisher: Routledge\n_eprint: https://doi.org/10.1080/10383441.2017.1436368","page":"378-400","source":"Taylor and Francis+NEJM","title":"Temporality, disability and institutional violence: revisiting In re F","volume":"26","author":[{"family":"Steele","given":"Linda"}],"issued":{"date-parts":[["2017",7,3]]}}},{"id":5948,"uris":["http://zotero.org/groups/2733877/items/GXS7S9UM"],"uri":["http://zotero.org/groups/2733877/items/GXS7S9UM"],"itemData":{"id":5948,"type":"book","event-place":"Abingdon","publisher":"Routledge","publisher-place":"Abingdon","title":"Disability, Criminal Justice and Law Reconsidering Court Diversion","URL":"https://www.routledge.com/Disability-Criminal-Justice-and-Law-Reconsidering-Court-Diversion/Steele/p/book/9780815375265","author":[{"family":"Steele","given":"Linda"}],"issued":{"date-parts":[["2020"]]}},"locator":"74, 85-86"}],"schema":"https://github.com/citation-style-language/schema/raw/master/csl-citation.json"} </w:instrText>
      </w:r>
      <w:r w:rsidRPr="003F3D6D">
        <w:rPr>
          <w:rFonts w:cstheme="minorHAnsi"/>
        </w:rPr>
        <w:fldChar w:fldCharType="separate"/>
      </w:r>
      <w:r w:rsidRPr="00DE38DB">
        <w:rPr>
          <w:rFonts w:ascii="Calibri" w:hAnsi="Calibri" w:cs="Calibri"/>
          <w:szCs w:val="24"/>
        </w:rPr>
        <w:t xml:space="preserve">Claire Spivakovsky, ‘The Impossibilities of “Bearing Witness” to the Institutional Violence of Coercive Interventions in the Disability Sector’ in Claire Spivakovsky, Kate Seear and Adrian Carter (eds), </w:t>
      </w:r>
      <w:r w:rsidRPr="00DE38DB">
        <w:rPr>
          <w:rFonts w:ascii="Calibri" w:hAnsi="Calibri" w:cs="Calibri"/>
          <w:i/>
          <w:iCs/>
          <w:szCs w:val="24"/>
        </w:rPr>
        <w:t>Critical Perspectives on Coercive Interventions: Law, Medicine and Society</w:t>
      </w:r>
      <w:r w:rsidRPr="00DE38DB">
        <w:rPr>
          <w:rFonts w:ascii="Calibri" w:hAnsi="Calibri" w:cs="Calibri"/>
          <w:szCs w:val="24"/>
        </w:rPr>
        <w:t xml:space="preserve"> (Routledge, 2018); Steele, ‘Policing Normalcy: Sexual Violence against Women Offenders with Disability’ (n 203); Linda Steele, ‘Temporality, Disability and Institutional Violence: Revisiting In Re F’ (2017) 26(3) </w:t>
      </w:r>
      <w:r w:rsidRPr="00DE38DB">
        <w:rPr>
          <w:rFonts w:ascii="Calibri" w:hAnsi="Calibri" w:cs="Calibri"/>
          <w:i/>
          <w:iCs/>
          <w:szCs w:val="24"/>
        </w:rPr>
        <w:t>Griffith Law Review</w:t>
      </w:r>
      <w:r w:rsidRPr="00DE38DB">
        <w:rPr>
          <w:rFonts w:ascii="Calibri" w:hAnsi="Calibri" w:cs="Calibri"/>
          <w:szCs w:val="24"/>
        </w:rPr>
        <w:t xml:space="preserve"> 378; Steele, </w:t>
      </w:r>
      <w:r w:rsidRPr="00DE38DB">
        <w:rPr>
          <w:rFonts w:ascii="Calibri" w:hAnsi="Calibri" w:cs="Calibri"/>
          <w:i/>
          <w:iCs/>
          <w:szCs w:val="24"/>
        </w:rPr>
        <w:t>Disability, Criminal Justice and Law Reconsidering Court Diversion</w:t>
      </w:r>
      <w:r w:rsidRPr="00DE38DB">
        <w:rPr>
          <w:rFonts w:ascii="Calibri" w:hAnsi="Calibri" w:cs="Calibri"/>
          <w:szCs w:val="24"/>
        </w:rPr>
        <w:t xml:space="preserve"> (n 193) 74, 85–86.</w:t>
      </w:r>
      <w:r w:rsidRPr="003F3D6D">
        <w:rPr>
          <w:rFonts w:cstheme="minorHAnsi"/>
        </w:rPr>
        <w:fldChar w:fldCharType="end"/>
      </w:r>
    </w:p>
  </w:endnote>
  <w:endnote w:id="220">
    <w:p w14:paraId="01A9D360" w14:textId="3CE10C40" w:rsidR="00A00236" w:rsidRPr="003F3D6D" w:rsidRDefault="00A00236" w:rsidP="00D401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{"citationID":"YT9oe44T","properties":{"formattedCitation":"Sylvia Wynter, \\uc0\\u8216{}No Humans Involved: An Open Letter to My Colleagues\\uc0\\u8217{} in {\\i{}Forum NHI: Knowledge for the 21st Century} (Institute NHI, 1994).","plainCitation":"Sylvia Wynter, ‘No Humans Involved: An Open Letter to My Colleagues’ in Forum NHI: Knowledge for the 21st Century (Institute NHI, 1994).","noteIndex":220},"citationItems":[{"id":6081,"uris":["http://zotero.org/groups/2733877/items/GF7CHDR7"],"uri":["http://zotero.org/groups/2733877/items/GF7CHDR7"],"itemData":{"id":6081,"type":"chapter","container-title":"Forum NHI: Knowledge for the 21st Century","event-place":"United States","publisher":"Institute NHI","publisher-place":"United States","title":"No Humans Involved: An Open Letter to my Colleagues","volume":"Volume 1 Number 1: Knowledge on Trial","author":[{"family":"Wynter","given":"Sylvia"}],"issued":{"date-parts":[["1994"]]}}}],"schema":"https://github.com/citation-style-language/schema/raw/master/csl-citation.json"} </w:instrText>
      </w:r>
      <w:r w:rsidRPr="003F3D6D">
        <w:rPr>
          <w:rFonts w:cstheme="minorHAnsi"/>
        </w:rPr>
        <w:fldChar w:fldCharType="separate"/>
      </w:r>
      <w:r w:rsidRPr="003F3D6D">
        <w:rPr>
          <w:rFonts w:cstheme="minorHAnsi"/>
        </w:rPr>
        <w:t xml:space="preserve">Sylvia Wynter, ‘No Humans Involved: An Open Letter to My Colleagues’ in </w:t>
      </w:r>
      <w:r w:rsidRPr="003F3D6D">
        <w:rPr>
          <w:rFonts w:cstheme="minorHAnsi"/>
          <w:i/>
          <w:iCs/>
        </w:rPr>
        <w:t>Forum NHI: Knowledge for the 21st Century</w:t>
      </w:r>
      <w:r w:rsidRPr="003F3D6D">
        <w:rPr>
          <w:rFonts w:cstheme="minorHAnsi"/>
        </w:rPr>
        <w:t xml:space="preserve"> (Institute NHI, 1994).</w:t>
      </w:r>
      <w:r w:rsidRPr="003F3D6D">
        <w:rPr>
          <w:rFonts w:cstheme="minorHAnsi"/>
        </w:rPr>
        <w:fldChar w:fldCharType="end"/>
      </w:r>
    </w:p>
  </w:endnote>
  <w:endnote w:id="221">
    <w:p w14:paraId="6B1EBBB3" w14:textId="59AAEFD6" w:rsidR="00A00236" w:rsidRPr="003F3D6D" w:rsidRDefault="00A00236" w:rsidP="00D401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{"citationID":"7j0wLaMS","properties":{"formattedCitation":"Chelsea Bond, \\uc0\\u8216{}We Just Black Matter: Australia\\uc0\\u8217{}s Indifference to Aboriginal Lives and Land\\uc0\\u8217{}, {\\i{}The Conversation} (16 October 2017) &lt;http://theconversation.com/we-just-black-matter-australias-indifference-to-aboriginal-lives-and-land-85168&gt;; Sherene Razack, {\\i{}Dying from Improvement: Inquests and Inquiries into Indigenous Deaths in Custody} (University of Toronto Press, 2015) &lt;https://utorontopress.com/us/dying-from-improvement-4&gt;; Patrick Wolfe, \\uc0\\u8216{}Settler Colonialism and the Elimination of the Native\\uc0\\u8217{} (2006) 8(4) {\\i{}Journal of Genocide Research} 387.","plainCitation":"Chelsea Bond, ‘We Just Black Matter: Australia’s Indifference to Aboriginal Lives and Land’, The Conversation (16 October 2017) &lt;http://theconversation.com/we-just-black-matter-australias-indifference-to-aboriginal-lives-and-land-85168&gt;; Sherene Razack, Dying from Improvement: Inquests and Inquiries into Indigenous Deaths in Custody (University of Toronto Press, 2015) &lt;https://utorontopress.com/us/dying-from-improvement-4&gt;; Patrick Wolfe, ‘Settler Colonialism and the Elimination of the Native’ (2006) 8(4) Journal of Genocide Research 387.","noteIndex":221},"citationItems":[{"id":6039,"uris":["http://zotero.org/groups/2733877/items/5EE298JH"],"uri":["http://zotero.org/groups/2733877/items/5EE298JH"],"itemData":{"id":6039,"type":"webpage","abstract":"Despite the promise of Black Lives Matter, it has not been taken up as a central political movement by Indigenous Australians.","container-title":"The Conversation","language":"en","title":"We just Black matter: Australia's indifference to Aboriginal lives and land","URL":"http://theconversation.com/we-just-black-matter-australias-indifference-to-aboriginal-lives-and-land-85168","author":[{"family":"Bond","given":"Chelsea"}],"accessed":{"date-parts":[["2021",2,2]]},"issued":{"date-parts":[["2017",10,16]]}}},{"id":6182,"uris":["http://zotero.org/groups/2733877/items/ZHRD9DAH"],"uri":["http://zotero.org/groups/2733877/items/ZHRD9DAH"],"itemData":{"id":6182,"type":"book","abstract":"No matter where in Canada they occur, inquiries and inquests into untimely Indigenous deaths in state custody often tell the same story. Repeating details of fatty livers, mental illness, alcoholic belligerence, and a mysterious incapacity to cope with modern life, the legal proceedings declare that there are no villains here, only inevitable casualties of Indigenous life.But what about a sixty-seven-year-old man who dies in a hospital in police custody with a large, visible, purple boot print on his chest? Or a barely conscious, alcoholic older man, dropped off by police in a dark alley on a cold Vancouver night? Or Saskatoon&amp;rsquo;s infamous and lethal starlight tours, whose victims were left on the outskirts of town in sub-zero temperatures? How do we account for the repeated failure to care evident in so many cases of Indigenous deaths in custody?In Dying from Improvement, Sherene H. Razack argues that, amidst systematic state violence against Indigenous people, inquiries and inquests serve to obscure the violence of ongoing settler colonialism under the guise of benevolent concern. They tell settler society that it is caring, compassionate, and engaged in improving the lives of Indigenous people &amp;ndash; even as the incarceration rate of Indigenous men and women increases and the number of those who die in custody rises.Razack&amp;rsquo;s powerful critique of the Canadian settler state and its legal system speaks to many of today&amp;rsquo;s most pressing issues of social justice: the treatment of Indigenous people, the unparalleled authority of the police and the justice system, and their systematic inhumanity towards those whose lives they perceive as insignificant.","event-place":"Toronto","ISBN":"978-1-4426-2891-5","language":"en","publisher":"University of Toronto Press","publisher-place":"Toronto","source":"utorontopress.com","title":"Dying from Improvement: Inquests and Inquiries into Indigenous Deaths in Custody","URL":"https://utorontopress.com/us/dying-from-improvement-4","author":[{"family":"Razack","given":"Sherene"}],"accessed":{"date-parts":[["2021",2,2]]},"issued":{"date-parts":[["2015"]]}}},{"id":6080,"uris":["http://zotero.org/groups/2733877/items/LEAFZCC4"],"uri":["http://zotero.org/groups/2733877/items/LEAFZCC4"],"itemData":{"id":6080,"type":"article-journal","container-title":"Journal of Genocide Research","DOI":"10.1080/14623520601056240","ISSN":"1462-3528","issue":"4","note":"publisher: Routledge\n_eprint: https://doi.org/10.1080/14623520601056240","page":"387-409","source":"Taylor and Francis+NEJM","title":"Settler colonialism and the elimination of the native","volume":"8","author":[{"family":"Wolfe","given":"Patrick"}],"issued":{"date-parts":[["2006",12,1]]}}}],"schema":"https://github.com/citation-style-language/schema/raw/master/csl-citation.json"} </w:instrText>
      </w:r>
      <w:r w:rsidRPr="003F3D6D">
        <w:rPr>
          <w:rFonts w:cstheme="minorHAnsi"/>
        </w:rPr>
        <w:fldChar w:fldCharType="separate"/>
      </w:r>
      <w:r w:rsidRPr="003F3D6D">
        <w:rPr>
          <w:rFonts w:cstheme="minorHAnsi"/>
        </w:rPr>
        <w:t xml:space="preserve">Chelsea Bond, ‘We Just Black Matter: Australia’s Indifference to Aboriginal Lives and Land’, </w:t>
      </w:r>
      <w:r w:rsidRPr="003F3D6D">
        <w:rPr>
          <w:rFonts w:cstheme="minorHAnsi"/>
          <w:i/>
          <w:iCs/>
        </w:rPr>
        <w:t>The Conversation</w:t>
      </w:r>
      <w:r w:rsidRPr="003F3D6D">
        <w:rPr>
          <w:rFonts w:cstheme="minorHAnsi"/>
        </w:rPr>
        <w:t xml:space="preserve"> (16 October 2017) &lt;http://theconversation.com/we-just-black-matter-australias-indifference-to-aboriginal-lives-and-land-85168&gt;; Sherene Razack, </w:t>
      </w:r>
      <w:r w:rsidRPr="003F3D6D">
        <w:rPr>
          <w:rFonts w:cstheme="minorHAnsi"/>
          <w:i/>
          <w:iCs/>
        </w:rPr>
        <w:t>Dying from Improvement: Inquests and Inquiries into Indigenous Deaths in Custody</w:t>
      </w:r>
      <w:r w:rsidRPr="003F3D6D">
        <w:rPr>
          <w:rFonts w:cstheme="minorHAnsi"/>
        </w:rPr>
        <w:t xml:space="preserve"> (University of Toronto Press, 2015) &lt;https://utorontopress.com/us/dying-from-improvement-4&gt;; Patrick Wolfe, ‘Settler Colonialism and the Elimination of the Native’ (2006) 8(4) </w:t>
      </w:r>
      <w:r w:rsidRPr="003F3D6D">
        <w:rPr>
          <w:rFonts w:cstheme="minorHAnsi"/>
          <w:i/>
          <w:iCs/>
        </w:rPr>
        <w:t>Journal of Genocide Research</w:t>
      </w:r>
      <w:r w:rsidRPr="003F3D6D">
        <w:rPr>
          <w:rFonts w:cstheme="minorHAnsi"/>
        </w:rPr>
        <w:t xml:space="preserve"> 387.</w:t>
      </w:r>
      <w:r w:rsidRPr="003F3D6D">
        <w:rPr>
          <w:rFonts w:cstheme="minorHAnsi"/>
        </w:rPr>
        <w:fldChar w:fldCharType="end"/>
      </w:r>
    </w:p>
  </w:endnote>
  <w:endnote w:id="222">
    <w:p w14:paraId="1513BA37" w14:textId="6BB281EC" w:rsidR="00A00236" w:rsidRPr="003F3D6D" w:rsidRDefault="00A00236" w:rsidP="00D4016D">
      <w:pPr>
        <w:pStyle w:val="EndnoteText"/>
        <w:rPr>
          <w:rFonts w:cstheme="minorHAnsi"/>
          <w:lang w:val="en-AU"/>
        </w:rPr>
      </w:pPr>
      <w:r w:rsidRPr="003F3D6D">
        <w:rPr>
          <w:rStyle w:val="EndnoteReference"/>
          <w:rFonts w:cstheme="minorHAnsi"/>
        </w:rPr>
        <w:endnoteRef/>
      </w:r>
      <w:r w:rsidRPr="003F3D6D">
        <w:rPr>
          <w:rFonts w:cstheme="minorHAnsi"/>
        </w:rPr>
        <w:t xml:space="preserve"> </w:t>
      </w:r>
      <w:r>
        <w:rPr>
          <w:rFonts w:cstheme="minorHAnsi"/>
        </w:rPr>
        <w:fldChar w:fldCharType="begin"/>
      </w:r>
      <w:r>
        <w:rPr>
          <w:rFonts w:cstheme="minorHAnsi"/>
        </w:rPr>
        <w:instrText xml:space="preserve"> ADDIN ZOTERO_ITEM CSL_CITATION {"citationID":"QoBl2dgl","properties":{"formattedCitation":"Miranda Fricker, {\\i{}Epistemic Injustice: Power and the Ethics of Knowing} (Oxford University Press, 2007) 1 &lt;https://oxford.universitypressscholarship.com/view/10.1093/acprof:oso/9780198237907.001.0001/acprof-9780198237907&gt;.","plainCitation":"Miranda Fricker, Epistemic Injustice: Power and the Ethics of Knowing (Oxford University Press, 2007) 1 &lt;https://oxford.universitypressscholarship.com/view/10.1093/acprof:oso/9780198237907.001.0001/acprof-9780198237907&gt;.","noteIndex":222},"citationItems":[{"id":6207,"uris":["http://zotero.org/groups/2733877/items/N3CNPDZ7"],"uri":["http://zotero.org/groups/2733877/items/N3CNPDZ7"],"itemData":{"id":6207,"type":"book","abstract":"\"Epistemic Injustice\" published on  by Oxford University Press.","event-place":"Oxford","ISBN":"978-0-19-170684-4","language":"en_US","note":"Publication Title: Epistemic Injustice","publisher":"Oxford University Press","publisher-place":"Oxford","source":"oxford.universitypressscholarship.com","title":"Epistemic Injustice: Power and the Ethics of Knowing","URL":"https://oxford.universitypressscholarship.com/view/10.1093/acprof:oso/9780198237907.001.0001/acprof-9780198237907","author":[{"family":"Fricker","given":"Miranda"}],"accessed":{"date-parts":[["2021",2,2]]},"issued":{"date-parts":[["2007"]]}},"locator":"1"}],"schema":"https://github.com/citation-style-language/schema/raw/master/csl-citation.json"} </w:instrText>
      </w:r>
      <w:r>
        <w:rPr>
          <w:rFonts w:cstheme="minorHAnsi"/>
        </w:rPr>
        <w:fldChar w:fldCharType="separate"/>
      </w:r>
      <w:r w:rsidRPr="003F319F">
        <w:rPr>
          <w:rFonts w:ascii="Calibri" w:hAnsi="Calibri" w:cs="Calibri"/>
          <w:szCs w:val="24"/>
        </w:rPr>
        <w:t xml:space="preserve">Miranda Fricker, </w:t>
      </w:r>
      <w:r w:rsidRPr="003F319F">
        <w:rPr>
          <w:rFonts w:ascii="Calibri" w:hAnsi="Calibri" w:cs="Calibri"/>
          <w:i/>
          <w:iCs/>
          <w:szCs w:val="24"/>
        </w:rPr>
        <w:t>Epistemic Injustice: Power and the Ethics of Knowing</w:t>
      </w:r>
      <w:r w:rsidRPr="003F319F">
        <w:rPr>
          <w:rFonts w:ascii="Calibri" w:hAnsi="Calibri" w:cs="Calibri"/>
          <w:szCs w:val="24"/>
        </w:rPr>
        <w:t xml:space="preserve"> (Oxford University Press, 2007) 1 &lt;https://oxford.universitypressscholarship.com/view/10.1093/acprof:oso/9780198237907.001.0001/acprof-9780198237907&gt;.</w:t>
      </w:r>
      <w:r>
        <w:rPr>
          <w:rFonts w:cstheme="minorHAnsi"/>
        </w:rPr>
        <w:fldChar w:fldCharType="end"/>
      </w:r>
    </w:p>
  </w:endnote>
  <w:endnote w:id="223">
    <w:p w14:paraId="30DB9C7C" w14:textId="60F919BA" w:rsidR="00A00236" w:rsidRPr="003F3D6D" w:rsidRDefault="00A00236" w:rsidP="00D401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vw8IHnqV","properties":{"formattedCitation":"Ibid.","plainCitation":"Ibid.","noteIndex":223},"citationItems":[{"id":6207,"uris":["http://zotero.org/groups/2733877/items/N3CNPDZ7"],"uri":["http://zotero.org/groups/2733877/items/N3CNPDZ7"],"itemData":{"id":6207,"type":"book","abstract":"\"Epistemic Injustice\" published on  by Oxford University Press.","event-place":"Oxford","ISBN":"978-0-19-170684-4","language":"en_US","note":"Publication Title: Epistemic Injustice","publisher":"Oxford University Press","publisher-place":"Oxford","source":"oxford.universitypressscholarship.com","title":"Epistemic Injustice: Power and the Ethics of Knowing","URL":"https://oxford.universitypressscholarship.com/view/10.1093/acprof:oso/9780198237907.001.0001/acprof-9780198237907","author":[{"family":"Fricker","given":"Miranda"}],"accessed":{"date-parts":[["2021",2,2]]},"issued":{"date-parts":[["2007"]]}},"locator":"1"}],"schema":"https://github.com/citation-style-language/schema/raw/master/csl-citation.json"} </w:instrText>
      </w:r>
      <w:r w:rsidRPr="003F3D6D">
        <w:rPr>
          <w:rFonts w:cstheme="minorHAnsi"/>
        </w:rPr>
        <w:fldChar w:fldCharType="separate"/>
      </w:r>
      <w:r w:rsidRPr="003F319F">
        <w:rPr>
          <w:rFonts w:ascii="Calibri" w:hAnsi="Calibri" w:cs="Calibri"/>
        </w:rPr>
        <w:t>Ibid.</w:t>
      </w:r>
      <w:r w:rsidRPr="003F3D6D">
        <w:rPr>
          <w:rFonts w:cstheme="minorHAnsi"/>
        </w:rPr>
        <w:fldChar w:fldCharType="end"/>
      </w:r>
    </w:p>
  </w:endnote>
  <w:endnote w:id="224">
    <w:p w14:paraId="740F05FA" w14:textId="78D064BB" w:rsidR="00A00236" w:rsidRPr="003F3D6D" w:rsidRDefault="00A00236" w:rsidP="00D401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{"citationID":"Z1p7PWeh","properties":{"formattedCitation":"Fleur Beaupert, \\uc0\\u8216{}Freedom of Opinion and Expression: From the Perspective of Psychosocial Disability and Madness\\uc0\\u8217{} (2018) 7(1) {\\i{}Laws} 3; Liz Brosnan, \\uc0\\u8216{}Navigating Mental Health Tribunals as a Mad-Identified Layperson: An Autoethnographical Account of Liminality\\uc0\\u8217{} in Claire Spivakovsky, Linda Steele and Penelope Weller (eds), {\\i{}The Legacies of Institutionalisation: Disability, Law and Policy in the \\uc0\\u8216{}Deinstitutionalised\\uc0\\u8217{} Community} (Hart-Bloomsbury Publishing, 2020) &lt;https://www.bloomsburyprofessional.com/uk/the-legacies-of-institutionalisation-9781509930746/&gt;; Chapman and Withers (n 114) 221; Maria Liegghio, \\uc0\\u8216{}A Denial of Being: Psychiatrization as Epistemic Violence\\uc0\\u8217{} in Brenda A Lefrancois, Robert J Menzies and Geoffrey Reaume (eds), {\\i{}Mad Matters: A Critical Reader in Canadian Mad Studies} (Canadian Scholars Press Inc, 2013); Cath Roper, \\uc0\\u8216{}Capacity Does Not Reside in Me\\uc0\\u8217{} in Claire Spivakovsky, Kate Seear and Adrian Carter (eds), {\\i{}Critical Perspectives on Coercive Interventions: Law, Medicine and Society} (Routledge, 2018) &lt;https://www.routledge.com/Critical-Perspectives-on-Coercive-Interventions-Law-Medicine-and-Society/Spivakovsky-Seear-Carter/p/book/9780367482442&gt;; Spivakovsky (n 219).","plainCitation":"Fleur Beaupert, ‘Freedom of Opinion and Expression: From the Perspective of Psychosocial Disability and Madness’ (2018) 7(1) Laws 3; Liz Brosnan, ‘Navigating Mental Health Tribunals as a Mad-Identified Layperson: An Autoethnographical Account of Liminality’ in Claire Spivakovsky, Linda Steele and Penelope Weller (eds), The Legacies of Institutionalisation: Disability, Law and Policy in the ‘Deinstitutionalised’ Community (Hart-Bloomsbury Publishing, 2020) &lt;https://www.bloomsburyprofessional.com/uk/the-legacies-of-institutionalisation-9781509930746/&gt;; Chapman and Withers (n 114) 221; Maria Liegghio, ‘A Denial of Being: Psychiatrization as Epistemic Violence’ in Brenda A Lefrancois, Robert J Menzies and Geoffrey Reaume (eds), Mad Matters: A Critical Reader in Canadian Mad Studies (Canadian Scholars Press Inc, 2013); Cath Roper, ‘Capacity Does Not Reside in Me’ in Claire Spivakovsky, Kate Seear and Adrian Carter (eds), Critical Perspectives on Coercive Interventions: Law, Medicine and Society (Routledge, 2018) &lt;https://www.routledge.com/Critical-Perspectives-on-Coercive-Interventions-Law-Medicine-and-Society/Spivakovsky-Seear-Carter/p/book/9780367482442&gt;; Spivakovsky (n 219).","noteIndex":224},"citationItems":[{"id":6040,"uris":["http://zotero.org/groups/2733877/items/YJ3TSPZ2"],"uri":["http://zotero.org/groups/2733877/items/YJ3TSPZ2"],"itemData":{"id":6040,"type":"article-journal","abstract":"This article argues that civil mental health laws operate to constrict how people think, understand, and speak about psychosocial disability, madness, and mental distress. It does so with reference to views and experiences of mental health service users and psychiatric survivors (users and survivors) and their/our accounts of disability, madness, and distress, such as those articulated by the emerging field of Mad studies. The analysis considers the application of the rights to freedom of opinion and expression that are enshrined in the International Covenant on Civil and Political Rights and other international human rights instruments to the mental health context. The article explores the suppression of freedom of opinion and expression that is effected through the symbolic violence of psychiatry and the mental health paradigm. Focusing on Australian legal frameworks, the article discusses how the material violence and coercion characterising mental health laws compound this process. It is further argued that civil mental health laws, by codifying the tenets of psychiatry and the mental health paradigm so as to render them largely unassailable, validate the ontological nullification of users and survivors. The foregoing analysis exposes dangers of adopting a functional test of mental capacity as the pre-eminent legal standard for authorising involuntary mental health interventions. It is suggested that considering freedom of opinion and expression from the perspective of psychosocial disability and madness reinforces the Committee on the Rights of Persons with Disabilities’ interpretation that such interventions are incompatible with international human rights standards.","container-title":"Laws","DOI":"10.3390/laws7010003","issue":"1","language":"en","note":"number: 1\npublisher: Multidisciplinary Digital Publishing Institute","page":"3","source":"www.mdpi.com","title":"Freedom of Opinion and Expression: From the Perspective of Psychosocial Disability and Madness","volume":"7","author":[{"family":"Beaupert","given":"Fleur"}],"issued":{"date-parts":[["2018",3]]}}},{"id":6196,"uris":["http://zotero.org/groups/2733877/items/F7FMXFX3"],"uri":["http://zotero.org/groups/2733877/items/F7FMXFX3"],"itemData":{"id":6196,"type":"chapter","abstract":"This is the first collection to examine the legal dynamics of deinstitutionalisation. It considers the extent to which some contemporary laws, policies and","container-title":"The Legacies of Institutionalisation: Disability, Law and Policy in the ‘Deinstitutionalised’ Community","event-place":"Oxford","language":"en","publisher":"Hart-Bloomsbury Publishing","publisher-place":"Oxford","title":"Navigating mental health tribunals as a Mad-identified layperson: an autoethnographical account of liminality","URL":"https://www.bloomsburyprofessional.com/uk/the-legacies-of-institutionalisation-9781509930746/","author":[{"family":"Brosnan","given":"Liz"}],"editor":[{"family":"Spivakovsky","given":"Claire"},{"family":"Steele","given":"Linda"},{"family":"Weller","given":"Penelope"}],"accessed":{"date-parts":[["2021",2,2]]},"issued":{"date-parts":[["2020"]]}}},{"id":6079,"uris":["http://zotero.org/groups/2733877/items/WYT2YLFU"],"uri":["http://zotero.org/groups/2733877/items/WYT2YLFU"],"itemData":{"id":6079,"type":"book","abstract":"A Violent History of Benevolence traces how normative histories of liberalism, progress, and social work enact and obscure systemic violences. Chris Chapman and A.J. Withers explore how normative social work history is structured in such a way that contemporary social workers can know many details about social work&amp;#x2019;s violences, without ever imagining that they may also be complicit in these violences. Framings of social work history actively create present-day political and ethical irresponsibility, even among those who imagine themselves to be anti-oppressive, liberal, or radical.\nThe authors document many histories usually left out of social work discourse, including communities of Black social workers (who, among other things, never removed children from their homes involuntarily), the role of early social workers in advancing eugenics and mass confinement, and the resonant emergence of colonial education, psychiatry, and the penitentiary in the same decade. Ultimately, A Violent History of Benevolence aims to invite contemporary social workers and others to reflect on the complex nature of contemporary social work, and specifically on the present-day structural violences that social work enacts in the name of benevolence.","event-place":"Toronto","ISBN":"978-1-4426-2886-1","language":"en","publisher":"University of Toronto Press","publisher-place":"Toronto","source":"utorontopress.com","title":"A Violent History of Benevolence: Interlocking Oppression and Moral Economies of Social Working","URL":"https://utorontopress.com/us/a-violent-history-of-benevolence-2","author":[{"family":"Chapman","given":"Chris"},{"family":"Withers","given":"AJ"}],"accessed":{"date-parts":[["2021",2,2]]},"issued":{"date-parts":[["2019"]]}},"locator":"221"},{"id":6187,"uris":["http://zotero.org/groups/2733877/items/NDWV2UY6"],"uri":["http://zotero.org/groups/2733877/items/NDWV2UY6"],"itemData":{"id":6187,"type":"chapter","container-title":"Mad matters: a critical reader in Canadian mad studies","event-place":"Toronto","publisher":"Canadian Scholars Press Inc","publisher-place":"Toronto","title":"A denial of being: psychiatrization as epistemic violence","author":[{"family":"Liegghio","given":"Maria"}],"editor":[{"family":"Lefrancois","given":"Brenda A"},{"family":"Menzies","given":"Robert J"},{"family":"Reaume","given":"Geoffrey"}],"issued":{"date-parts":[["2013"]]}}},{"id":6179,"uris":["http://zotero.org/groups/2733877/items/M22BRRPR"],"uri":["http://zotero.org/groups/2733877/items/M22BRRPR"],"itemData":{"id":6179,"type":"chapter","abstract":"Coercive medico-legal interventions are often employed to prevent people deemed to be unable to make competent decisions about their health, such as minors, people with mental illness, disability or problematic alcohol or other drug use, from harming themselves or others. These interventions can entail major curtailments of individuals’ liberty and bodily integrity, and may cause significant harm and distress. The use of coercive medico-legal interventions can also serve competing social inter","container-title":"Critical Perspectives on Coercive Interventions: Law, Medicine and Society","event-place":"Abingdon","language":"en","publisher":"Routledge","publisher-place":"Abingdon","title":"Capacity does not reside in me","URL":"https://www.routledge.com/Critical-Perspectives-on-Coercive-Interventions-Law-Medicine-and-Society/Spivakovsky-Seear-Carter/p/book/9780367482442","author":[{"family":"Roper","given":"Cath"}],"editor":[{"family":"Spivakovsky","given":"Claire"},{"family":"Seear","given":"Kate"},{"family":"Carter","given":"Adrian"}],"accessed":{"date-parts":[["2021",2,2]]},"issued":{"date-parts":[["2018"]]}}},{"id":6177,"uris":["http://zotero.org/groups/2733877/items/6JK8J43J"],"uri":["http://zotero.org/groups/2733877/items/6JK8J43J"],"itemData":{"id":6177,"type":"chapter","container-title":"Critical Perspectives on Coercive Interventions: Law, Medicine and Society","event-place":"Abingdon","publisher":"Routledge","publisher-place":"Abingdon","title":"The impossibilities of “bearing witness” to the institutional violence of coercive interventions in the disability sector","author":[{"family":"Spivakovsky","given":"Claire"}],"editor":[{"family":"Spivakovsky","given":"Claire"},{"family":"Seear","given":"Kate"},{"family":"Carter","given":"Adrian"}],"issued":{"date-parts":[["2018"]]}}}],"schema":"https://github.com/citation-style-language/schema/raw/master/csl-citation.json"} </w:instrText>
      </w:r>
      <w:r w:rsidRPr="003F3D6D">
        <w:rPr>
          <w:rFonts w:cstheme="minorHAnsi"/>
        </w:rPr>
        <w:fldChar w:fldCharType="separate"/>
      </w:r>
      <w:r w:rsidRPr="00BF579D">
        <w:rPr>
          <w:rFonts w:ascii="Calibri" w:hAnsi="Calibri" w:cs="Calibri"/>
          <w:szCs w:val="24"/>
        </w:rPr>
        <w:t xml:space="preserve">Fleur Beaupert, ‘Freedom of Opinion and Expression: From the Perspective of Psychosocial Disability and Madness’ (2018) 7(1) </w:t>
      </w:r>
      <w:r w:rsidRPr="00BF579D">
        <w:rPr>
          <w:rFonts w:ascii="Calibri" w:hAnsi="Calibri" w:cs="Calibri"/>
          <w:i/>
          <w:iCs/>
          <w:szCs w:val="24"/>
        </w:rPr>
        <w:t>Laws</w:t>
      </w:r>
      <w:r w:rsidRPr="00BF579D">
        <w:rPr>
          <w:rFonts w:ascii="Calibri" w:hAnsi="Calibri" w:cs="Calibri"/>
          <w:szCs w:val="24"/>
        </w:rPr>
        <w:t xml:space="preserve"> 3; Liz Brosnan, ‘Navigating Mental Health Tribunals as a Mad-Identified Layperson: An Autoethnographical Account of Liminality’ in Claire Spivakovsky, Linda Steele and Penelope Weller (eds), </w:t>
      </w:r>
      <w:r w:rsidRPr="00BF579D">
        <w:rPr>
          <w:rFonts w:ascii="Calibri" w:hAnsi="Calibri" w:cs="Calibri"/>
          <w:i/>
          <w:iCs/>
          <w:szCs w:val="24"/>
        </w:rPr>
        <w:t>The Legacies of Institutionalisation: Disability, Law and Policy in the ‘Deinstitutionalised’ Community</w:t>
      </w:r>
      <w:r w:rsidRPr="00BF579D">
        <w:rPr>
          <w:rFonts w:ascii="Calibri" w:hAnsi="Calibri" w:cs="Calibri"/>
          <w:szCs w:val="24"/>
        </w:rPr>
        <w:t xml:space="preserve"> (Hart-Bloomsbury Publishing, 2020) &lt;https://www.bloomsburyprofessional.com/uk/the-legacies-of-institutionalisation-9781509930746/&gt;; Chapman and Withers (n 114) 221; Maria Liegghio, ‘A Denial of Being: Psychiatrization as Epistemic Violence’ in Brenda A Lefrancois, Robert J Menzies and Geoffrey Reaume (eds), </w:t>
      </w:r>
      <w:r w:rsidRPr="00BF579D">
        <w:rPr>
          <w:rFonts w:ascii="Calibri" w:hAnsi="Calibri" w:cs="Calibri"/>
          <w:i/>
          <w:iCs/>
          <w:szCs w:val="24"/>
        </w:rPr>
        <w:t>Mad Matters: A Critical Reader in Canadian Mad Studies</w:t>
      </w:r>
      <w:r w:rsidRPr="00BF579D">
        <w:rPr>
          <w:rFonts w:ascii="Calibri" w:hAnsi="Calibri" w:cs="Calibri"/>
          <w:szCs w:val="24"/>
        </w:rPr>
        <w:t xml:space="preserve"> (Canadian Scholars Press Inc, 2013); Cath Roper, ‘Capacity Does Not Reside in Me’ in Claire Spivakovsky, Kate Seear and Adrian Carter (eds), </w:t>
      </w:r>
      <w:r w:rsidRPr="00BF579D">
        <w:rPr>
          <w:rFonts w:ascii="Calibri" w:hAnsi="Calibri" w:cs="Calibri"/>
          <w:i/>
          <w:iCs/>
          <w:szCs w:val="24"/>
        </w:rPr>
        <w:t>Critical Perspectives on Coercive Interventions: Law, Medicine and Society</w:t>
      </w:r>
      <w:r w:rsidRPr="00BF579D">
        <w:rPr>
          <w:rFonts w:ascii="Calibri" w:hAnsi="Calibri" w:cs="Calibri"/>
          <w:szCs w:val="24"/>
        </w:rPr>
        <w:t xml:space="preserve"> (Routledge, 2018) &lt;https://www.routledge.com/Critical-Perspectives-on-Coercive-Interventions-Law-Medicine-and-Society/Spivakovsky-Seear-Carter/p/book/9780367482442&gt;; Spivakovsky (n 219).</w:t>
      </w:r>
      <w:r w:rsidRPr="003F3D6D">
        <w:rPr>
          <w:rFonts w:cstheme="minorHAnsi"/>
        </w:rPr>
        <w:fldChar w:fldCharType="end"/>
      </w:r>
    </w:p>
  </w:endnote>
  <w:endnote w:id="225">
    <w:p w14:paraId="7F654C37" w14:textId="08135339" w:rsidR="00A00236" w:rsidRPr="003F3D6D" w:rsidRDefault="00A00236" w:rsidP="00D401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{"citationID":"ucpCvgqc","properties":{"formattedCitation":"Chapman and Withers (n 114) 221.","plainCitation":"Chapman and Withers (n 114) 221.","noteIndex":225},"citationItems":[{"id":6079,"uris":["http://zotero.org/groups/2733877/items/WYT2YLFU"],"uri":["http://zotero.org/groups/2733877/items/WYT2YLFU"],"itemData":{"id":6079,"type":"book","abstract":"A Violent History of Benevolence traces how normative histories of liberalism, progress, and social work enact and obscure systemic violences. Chris Chapman and A.J. Withers explore how normative social work history is structured in such a way that contemporary social workers can know many details about social work&amp;#x2019;s violences, without ever imagining that they may also be complicit in these violences. Framings of social work history actively create present-day political and ethical irresponsibility, even among those who imagine themselves to be anti-oppressive, liberal, or radical.\nThe authors document many histories usually left out of social work discourse, including communities of Black social workers (who, among other things, never removed children from their homes involuntarily), the role of early social workers in advancing eugenics and mass confinement, and the resonant emergence of colonial education, psychiatry, and the penitentiary in the same decade. Ultimately, A Violent History of Benevolence aims to invite contemporary social workers and others to reflect on the complex nature of contemporary social work, and specifically on the present-day structural violences that social work enacts in the name of benevolence.","event-place":"Toronto","ISBN":"978-1-4426-2886-1","language":"en","publisher":"University of Toronto Press","publisher-place":"Toronto","source":"utorontopress.com","title":"A Violent History of Benevolence: Interlocking Oppression and Moral Economies of Social Working","URL":"https://utorontopress.com/us/a-violent-history-of-benevolence-2","author":[{"family":"Chapman","given":"Chris"},{"family":"Withers","given":"AJ"}],"accessed":{"date-parts":[["2021",2,2]]},"issued":{"date-parts":[["2019"]]}},"locator":"221"}],"schema":"https://github.com/citation-style-language/schema/raw/master/csl-citation.json"} </w:instrText>
      </w:r>
      <w:r w:rsidRPr="003F3D6D">
        <w:rPr>
          <w:rFonts w:cstheme="minorHAnsi"/>
        </w:rPr>
        <w:fldChar w:fldCharType="separate"/>
      </w:r>
      <w:r w:rsidRPr="00573F56">
        <w:rPr>
          <w:rFonts w:ascii="Calibri" w:hAnsi="Calibri" w:cs="Calibri"/>
        </w:rPr>
        <w:t>Chapman and Withers (n 114) 221.</w:t>
      </w:r>
      <w:r w:rsidRPr="003F3D6D">
        <w:rPr>
          <w:rFonts w:cstheme="minorHAnsi"/>
        </w:rPr>
        <w:fldChar w:fldCharType="end"/>
      </w:r>
    </w:p>
  </w:endnote>
  <w:endnote w:id="226">
    <w:p w14:paraId="6C29D8AF" w14:textId="21E5FF09" w:rsidR="00A00236" w:rsidRPr="003F3D6D" w:rsidRDefault="00A00236" w:rsidP="00D401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{"citationID":"he6P0duH","properties":{"formattedCitation":"Steele, {\\i{}Disability, Criminal Justice and Law Reconsidering Court Diversion} (n 193).","plainCitation":"Steele, Disability, Criminal Justice and Law Reconsidering Court Diversion (n 193).","noteIndex":226},"citationItems":[{"id":5948,"uris":["http://zotero.org/groups/2733877/items/GXS7S9UM"],"uri":["http://zotero.org/groups/2733877/items/GXS7S9UM"],"itemData":{"id":5948,"type":"book","event-place":"Abingdon","publisher":"Routledge","publisher-place":"Abingdon","title":"Disability, Criminal Justice and Law Reconsidering Court Diversion","URL":"https://www.routledge.com/Disability-Criminal-Justice-and-Law-Reconsidering-Court-Diversion/Steele/p/book/9780815375265","author":[{"family":"Steele","given":"Linda"}],"issued":{"date-parts":[["2020"]]}}}],"schema":"https://github.com/citation-style-language/schema/raw/master/csl-citation.json"} </w:instrText>
      </w:r>
      <w:r w:rsidRPr="003F3D6D">
        <w:rPr>
          <w:rFonts w:cstheme="minorHAnsi"/>
        </w:rPr>
        <w:fldChar w:fldCharType="separate"/>
      </w:r>
      <w:r w:rsidRPr="00DE38DB">
        <w:rPr>
          <w:rFonts w:ascii="Calibri" w:hAnsi="Calibri" w:cs="Calibri"/>
          <w:szCs w:val="24"/>
        </w:rPr>
        <w:t xml:space="preserve">Steele, </w:t>
      </w:r>
      <w:r w:rsidRPr="00DE38DB">
        <w:rPr>
          <w:rFonts w:ascii="Calibri" w:hAnsi="Calibri" w:cs="Calibri"/>
          <w:i/>
          <w:iCs/>
          <w:szCs w:val="24"/>
        </w:rPr>
        <w:t>Disability, Criminal Justice and Law Reconsidering Court Diversion</w:t>
      </w:r>
      <w:r w:rsidRPr="00DE38DB">
        <w:rPr>
          <w:rFonts w:ascii="Calibri" w:hAnsi="Calibri" w:cs="Calibri"/>
          <w:szCs w:val="24"/>
        </w:rPr>
        <w:t xml:space="preserve"> (n 193).</w:t>
      </w:r>
      <w:r w:rsidRPr="003F3D6D">
        <w:rPr>
          <w:rFonts w:cstheme="minorHAnsi"/>
        </w:rPr>
        <w:fldChar w:fldCharType="end"/>
      </w:r>
    </w:p>
  </w:endnote>
  <w:endnote w:id="227">
    <w:p w14:paraId="1C6A9169" w14:textId="2ED90D29" w:rsidR="00A00236" w:rsidRPr="003F3D6D" w:rsidRDefault="00A00236" w:rsidP="00D401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{"citationID":"B855bHx7","properties":{"formattedCitation":"Beaupert (n 224); Fleur Beaupert, \\uc0\\u8216{}Silencing Prote(x)t: Disrupting the Scripts of Mental Health Law \\uc0\\u8211{} UNSW Law Journal\\uc0\\u8217{} (2018) 41(3) {\\i{}UNSW Law Journal} 746.","plainCitation":"Beaupert (n 224); Fleur Beaupert, ‘Silencing Prote(x)t: Disrupting the Scripts of Mental Health Law – UNSW Law Journal’ (2018) 41(3) UNSW Law Journal 746.","noteIndex":227},"citationItems":[{"id":6040,"uris":["http://zotero.org/groups/2733877/items/YJ3TSPZ2"],"uri":["http://zotero.org/groups/2733877/items/YJ3TSPZ2"],"itemData":{"id":6040,"type":"article-journal","abstract":"This article argues that civil mental health laws operate to constrict how people think, understand, and speak about psychosocial disability, madness, and mental distress. It does so with reference to views and experiences of mental health service users and psychiatric survivors (users and survivors) and their/our accounts of disability, madness, and distress, such as those articulated by the emerging field of Mad studies. The analysis considers the application of the rights to freedom of opinion and expression that are enshrined in the International Covenant on Civil and Political Rights and other international human rights instruments to the mental health context. The article explores the suppression of freedom of opinion and expression that is effected through the symbolic violence of psychiatry and the mental health paradigm. Focusing on Australian legal frameworks, the article discusses how the material violence and coercion characterising mental health laws compound this process. It is further argued that civil mental health laws, by codifying the tenets of psychiatry and the mental health paradigm so as to render them largely unassailable, validate the ontological nullification of users and survivors. The foregoing analysis exposes dangers of adopting a functional test of mental capacity as the pre-eminent legal standard for authorising involuntary mental health interventions. It is suggested that considering freedom of opinion and expression from the perspective of psychosocial disability and madness reinforces the Committee on the Rights of Persons with Disabilities’ interpretation that such interventions are incompatible with international human rights standards.","container-title":"Laws","DOI":"10.3390/laws7010003","issue":"1","language":"en","note":"number: 1\npublisher: Multidisciplinary Digital Publishing Institute","page":"3","source":"www.mdpi.com","title":"Freedom of Opinion and Expression: From the Perspective of Psychosocial Disability and Madness","volume":"7","author":[{"family":"Beaupert","given":"Fleur"}],"issued":{"date-parts":[["2018",3]]}}},{"id":6200,"uris":["http://zotero.org/groups/2733877/items/DIUCFYNG"],"uri":["http://zotero.org/groups/2733877/items/DIUCFYNG"],"itemData":{"id":6200,"type":"article-journal","container-title":"UNSW Law Journal","issue":"3","language":"en-AU","page":"746","title":"Silencing Prote(x)t: Disrupting the Scripts of Mental Health Law – UNSW Law Journal","volume":"41","author":[{"family":"Beaupert","given":"Fleur"}],"issued":{"date-parts":[["2018"]]}}}],"schema":"https://github.com/citation-style-language/schema/raw/master/csl-citation.json"} </w:instrText>
      </w:r>
      <w:r w:rsidRPr="003F3D6D">
        <w:rPr>
          <w:rFonts w:cstheme="minorHAnsi"/>
        </w:rPr>
        <w:fldChar w:fldCharType="separate"/>
      </w:r>
      <w:r w:rsidRPr="00BF579D">
        <w:rPr>
          <w:rFonts w:ascii="Calibri" w:hAnsi="Calibri" w:cs="Calibri"/>
          <w:szCs w:val="24"/>
        </w:rPr>
        <w:t xml:space="preserve">Beaupert (n 224); Fleur Beaupert, ‘Silencing Prote(x)t: Disrupting the Scripts of Mental Health Law – UNSW Law Journal’ (2018) 41(3) </w:t>
      </w:r>
      <w:r w:rsidRPr="00BF579D">
        <w:rPr>
          <w:rFonts w:ascii="Calibri" w:hAnsi="Calibri" w:cs="Calibri"/>
          <w:i/>
          <w:iCs/>
          <w:szCs w:val="24"/>
        </w:rPr>
        <w:t>UNSW Law Journal</w:t>
      </w:r>
      <w:r w:rsidRPr="00BF579D">
        <w:rPr>
          <w:rFonts w:ascii="Calibri" w:hAnsi="Calibri" w:cs="Calibri"/>
          <w:szCs w:val="24"/>
        </w:rPr>
        <w:t xml:space="preserve"> 746.</w:t>
      </w:r>
      <w:r w:rsidRPr="003F3D6D">
        <w:rPr>
          <w:rFonts w:cstheme="minorHAnsi"/>
        </w:rPr>
        <w:fldChar w:fldCharType="end"/>
      </w:r>
    </w:p>
  </w:endnote>
  <w:endnote w:id="228">
    <w:p w14:paraId="3F5928E9" w14:textId="0DFCBDF8" w:rsidR="00A00236" w:rsidRPr="003F3D6D" w:rsidRDefault="00A00236" w:rsidP="00D401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{"citationID":"J9jfUyow","properties":{"formattedCitation":"Heidi Rimke, \\uc0\\u8216{}Sickening Institutions: A Feminist Sociological Analysis and Critique of Religion, Medicine, and Psychiatry\\uc0\\u8217{} in Jennifer M Kilty and Erin Dej (eds), {\\i{}Containing Madness: Gender and \\uc0\\u8216{}Psy\\uc0\\u8217{} in Institutional Contexts} (Palgrave Macmillan, 2018) 15, 29\\uc0\\u8211{}33 &lt;https://www.palgrave.com/gp/book/9783319897486&gt;.","plainCitation":"Heidi Rimke, ‘Sickening Institutions: A Feminist Sociological Analysis and Critique of Religion, Medicine, and Psychiatry’ in Jennifer M Kilty and Erin Dej (eds), Containing Madness: Gender and ‘Psy’ in Institutional Contexts (Palgrave Macmillan, 2018) 15, 29–33 &lt;https://www.palgrave.com/gp/book/9783319897486&gt;.","noteIndex":228},"citationItems":[{"id":6202,"uris":["http://zotero.org/groups/2733877/items/JU5ZBYX4"],"uri":["http://zotero.org/groups/2733877/items/JU5ZBYX4"],"itemData":{"id":6202,"type":"chapter","abstract":"This collection explores the discursive production and treatment of mental distress as it is mediated by gender and race in different institutional contexts. Featuring analyses of the prison, the psychiatric hospital, immigration detention, and other locales, this book explores the multiple interlocking oppressions that result in the diagnosis and medical, psychological, and psychiatric treatment of individuals constituted as ‘mentally ill’ at various historical moments and across institutional spaces. Contributors unpack how feminine, masculine, and transgender bodies are made up as mentally ill/sick/deviant by way of biomedical and institutional knowledges and discourses and are intervened upon by different institutional and expert authorities.","container-title":"Containing Madness: Gender and ‘Psy’ in Institutional Contexts","ISBN":"978-3-319-89748-6","language":"en","note":"DOI: 10.1007/978-3-319-89749-3","page":"15-39","publisher":"Palgrave Macmillan","source":"www.palgrave.com","title":"Sickening Institutions: A Feminist Sociological Analysis and Critique of Religion, Medicine, and Psychiatry","URL":"https://www.palgrave.com/gp/book/9783319897486","editor":[{"family":"Kilty","given":"Jennifer M."},{"family":"Dej","given":"Erin"}],"author":[{"family":"Rimke","given":"Heidi"}],"accessed":{"date-parts":[["2021",2,2]]},"issued":{"date-parts":[["2018"]]}},"locator":"29-33"}],"schema":"https://github.com/citation-style-language/schema/raw/master/csl-citation.json"} </w:instrText>
      </w:r>
      <w:r w:rsidRPr="003F3D6D">
        <w:rPr>
          <w:rFonts w:cstheme="minorHAnsi"/>
        </w:rPr>
        <w:fldChar w:fldCharType="separate"/>
      </w:r>
      <w:r w:rsidRPr="003F3D6D">
        <w:rPr>
          <w:rFonts w:cstheme="minorHAnsi"/>
        </w:rPr>
        <w:t xml:space="preserve">Heidi Rimke, ‘Sickening Institutions: A Feminist Sociological Analysis and Critique of Religion, Medicine, and Psychiatry’ in Jennifer M Kilty and Erin Dej (eds), </w:t>
      </w:r>
      <w:r w:rsidRPr="003F3D6D">
        <w:rPr>
          <w:rFonts w:cstheme="minorHAnsi"/>
          <w:i/>
          <w:iCs/>
        </w:rPr>
        <w:t>Containing Madness: Gender and ‘Psy’ in Institutional Contexts</w:t>
      </w:r>
      <w:r w:rsidRPr="003F3D6D">
        <w:rPr>
          <w:rFonts w:cstheme="minorHAnsi"/>
        </w:rPr>
        <w:t xml:space="preserve"> (Palgrave Macmillan, 2018) 15, 29–33 &lt;https://www.palgrave.com/gp/book/9783319897486&gt;.</w:t>
      </w:r>
      <w:r w:rsidRPr="003F3D6D">
        <w:rPr>
          <w:rFonts w:cstheme="minorHAnsi"/>
        </w:rPr>
        <w:fldChar w:fldCharType="end"/>
      </w:r>
    </w:p>
  </w:endnote>
  <w:endnote w:id="229">
    <w:p w14:paraId="5A833C39" w14:textId="2A18BF0D" w:rsidR="00A00236" w:rsidRPr="003F3D6D" w:rsidRDefault="00A00236" w:rsidP="00D401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{"citationID":"DvPO8b1R","properties":{"formattedCitation":"Steele, \\uc0\\u8216{}Disability, Abnormality and Criminal Law: Sterilisation as Lawful and \\uc0\\u8220{}Good\\uc0\\u8221{} Violence\\uc0\\u8217{} (n 203).","plainCitation":"Steele, ‘Disability, Abnormality and Criminal Law: Sterilisation as Lawful and “Good” Violence’ (n 203).","noteIndex":229},"citationItems":[{"id":6208,"uris":["http://zotero.org/groups/2733877/items/38MIRITQ"],"uri":["http://zotero.org/groups/2733877/items/38MIRITQ"],"itemData":{"id":6208,"type":"article-journal","container-title":"Griffith Law Review","DOI":"10.1080/10383441.2014.1000223","issue":"3","page":"467-497","title":"Disability, abnormality and criminal law: sterilisation as lawful and \"good\" violence","volume":"23","author":[{"family":"Steele","given":"Linda"}],"issued":{"date-parts":[["2014",1,1]]}}}],"schema":"https://github.com/citation-style-language/schema/raw/master/csl-citation.json"} </w:instrText>
      </w:r>
      <w:r w:rsidRPr="003F3D6D">
        <w:rPr>
          <w:rFonts w:cstheme="minorHAnsi"/>
        </w:rPr>
        <w:fldChar w:fldCharType="separate"/>
      </w:r>
      <w:r w:rsidRPr="00A43287">
        <w:rPr>
          <w:rFonts w:ascii="Calibri" w:hAnsi="Calibri" w:cs="Calibri"/>
          <w:szCs w:val="24"/>
        </w:rPr>
        <w:t>Steele, ‘Disability, Abnormality and Criminal Law: Sterilisation as Lawful and “Good” Violence’ (n 203).</w:t>
      </w:r>
      <w:r w:rsidRPr="003F3D6D">
        <w:rPr>
          <w:rFonts w:cstheme="minorHAnsi"/>
        </w:rPr>
        <w:fldChar w:fldCharType="end"/>
      </w:r>
    </w:p>
  </w:endnote>
  <w:endnote w:id="230">
    <w:p w14:paraId="603E4F04" w14:textId="401620D0" w:rsidR="00A00236" w:rsidRPr="003F3D6D" w:rsidRDefault="00A00236" w:rsidP="007A77A7">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{"citationID":"T3etT5hs","properties":{"formattedCitation":"Catherine Barrett, {\\i{}Submission to the Royal Commission into Aged Care Quality and Safety Regarding: Sexual Abuse/Assault of Older Women} (OPAL Institute, 10 September 2019) 22; Daisy Smith et al, \\uc0\\u8216{}The Epidemiology of Sexual Assault of Older Female Nursing Home Residents, in Victoria Australia, between 2000 and 2015\\uc0\\u8217{} (2019) 36 {\\i{}Legal Medicine} 89; Daisy Smith et al, \\uc0\\u8216{}A Systematic Review of Sexual Assaults in Nursing Homes\\uc0\\u8217{} (2018) 58(6) {\\i{}The Gerontologist} e369.","plainCitation":"Catherine Barrett, Submission to the Royal Commission into Aged Care Quality and Safety Regarding: Sexual Abuse/Assault of Older Women (OPAL Institute, 10 September 2019) 22; Daisy Smith et al, ‘The Epidemiology of Sexual Assault of Older Female Nursing Home Residents, in Victoria Australia, between 2000 and 2015’ (2019) 36 Legal Medicine 89; Daisy Smith et al, ‘A Systematic Review of Sexual Assaults in Nursing Homes’ (2018) 58(6) The Gerontologist e369.","noteIndex":230},"citationItems":[{"id":6091,"uris":["http://zotero.org/groups/2733877/items/NWLT94IH"],"uri":["http://zotero.org/groups/2733877/items/NWLT94IH"],"itemData":{"id":6091,"type":"report","language":"en","page":"22","publisher":"OPAL Institute","source":"Zotero","title":"Submission to the Royal Commission into Aged Care Quality and Safety regarding: Sexual abuse/assault of older women","author":[{"family":"Barrett","given":"Catherine"}],"issued":{"date-parts":[["2019",9,10]]}}},{"id":6090,"uris":["http://zotero.org/groups/2733877/items/IUBHJZX9"],"uri":["http://zotero.org/groups/2733877/items/IUBHJZX9"],"itemData":{"id":6090,"type":"article-journal","abstract":"Sexual assault is the least acknowledged, detected, and reported type of assault against nursing home residents. Nursing home staff are responsible for reporting suspected allegations to the police, who will contact a clinical forensic examiner to conduct a forensic medical examination. This study examined the epidemiology of sexual assaults of older women (aged 65 years and older) residing in nursing homes in Victoria, Australia, between 2000 and 2015, whose alleged incidents were referred to a clinical forensic examiner for a forensic medical examination. A retrospective analysis of alleged sexual assaults reported to the Clinical Forensic Medicine Unit at the Victorian Institute of Forensic Medicine between 1 January 2000 and 31 December 2015 was conducted. The study identified 28 forensic medical examinations performed for alleged sexual assault. The alleged victims frequently had cognitive impairments; injuries were infrequent; and alleged victims were cooperative. The forensic medical examiner responded within 72 h of reporting; and frequently noted limitations to physical examinations of the alleged victim. The actual number of sexual assaults during this period may be masked by under-reporting and, lack of identification by nursing home staff. There are many unresolved issues including: incidence, levels of reporting, nature of investigations, responses required to assist the victim, and the interventions needed to prevent sexual assault. Better data is vital. This data should be standardized, validated, reliable, and gathered prospectively across Australia and internationally.","container-title":"Legal Medicine","DOI":"10.1016/j.legalmed.2018.11.006","ISSN":"1873-4162","journalAbbreviation":"Leg Med (Tokyo)","language":"eng","note":"PMID: 30469073","page":"89-95","source":"PubMed","title":"The epidemiology of sexual assault of older female nursing home residents, in Victoria Australia, between 2000 and 2015","volume":"36","author":[{"family":"Smith","given":"Daisy"},{"family":"Cunningham","given":"Nicola"},{"family":"Willoughby","given":"Melissa"},{"family":"Young","given":"Carmel"},{"family":"Odell","given":"Morris"},{"family":"Ibrahim","given":"Joseph"},{"family":"Bugeja","given":"Lyndal"}],"issued":{"date-parts":[["2019",2]]}}},{"id":6089,"uris":["http://zotero.org/groups/2733877/items/TL4VI3PT"],"uri":["http://zotero.org/groups/2733877/items/TL4VI3PT"],"itemData":{"id":6089,"type":"article-journal","abstract":"Purpose of the Study: The dramatic growth in the older adults (65 years+) has created an equivalent increase in the number of nursing home (NH) residents. NH residents often lack physical and cognitive abilities, making them particularly vulnerable to assault. Although sexual assault is among one of the most shocking types of assault, it is also the least acknowledged, detected, and reported type of assault against NH residents. This systematic review examines victim/perpetrator sociodemographic and relationship characteristics as well as the forensic characteristics of sexual assaults occurring in NH.\nDesign and Methods: A 7 database systematic search of studies published between January 1, 1949 and October 26, 2015 was conducted that examined sexual assaults in NH. Articles reporting on sexual assault in NH and other institutional settings were eligible. Community-dwelling populations and studies not describing sexual assault or physical aspects of sexual assault were excluded. Sexual assault was not restricted to a single definition, study method, or country.\nResults: Fifteen studies met inclusion criteria. Sexual assault was the least reported type of assault in NH. Victims of sexual assault were likely to be females with cognitive or physical impairments. Perpetrators were likely to be male residents, although staff members were also substantiated. Forensic characteristics and investigative data were limited. Study limitation included inconsistencies between study purposes and small sample sizes.\nImplications: This review highlights a gap in knowledge regarding sexual assaults in NH and demonstrates a need for better staff training in detecting, examining, and managing sexual assaults in NH.","container-title":"The Gerontologist","DOI":"10.1093/geront/gnx022","ISSN":"1758-5341","issue":"6","journalAbbreviation":"Gerontologist","language":"eng","note":"PMID: 28402419","page":"e369-e383","source":"PubMed","title":"A Systematic Review of Sexual Assaults in Nursing Homes","volume":"58","author":[{"family":"Smith","given":"Daisy"},{"family":"Bugeja","given":"Lyndal"},{"family":"Cunningham","given":"Nicola"},{"family":"Ibrahim","given":"Joseph E."}],"issued":{"date-parts":[["2018",11,3]]}}}],"schema":"https://github.com/citation-style-language/schema/raw/master/csl-citation.json"} </w:instrText>
      </w:r>
      <w:r w:rsidRPr="003F3D6D">
        <w:rPr>
          <w:rFonts w:cstheme="minorHAnsi"/>
        </w:rPr>
        <w:fldChar w:fldCharType="separate"/>
      </w:r>
      <w:r w:rsidRPr="003F3D6D">
        <w:rPr>
          <w:rFonts w:cstheme="minorHAnsi"/>
        </w:rPr>
        <w:t xml:space="preserve">Catherine Barrett, </w:t>
      </w:r>
      <w:r w:rsidRPr="003F3D6D">
        <w:rPr>
          <w:rFonts w:cstheme="minorHAnsi"/>
          <w:i/>
          <w:iCs/>
        </w:rPr>
        <w:t>Submission to the Royal Commission into Aged Care Quality and Safety Regarding: Sexual Abuse/Assault of Older Women</w:t>
      </w:r>
      <w:r w:rsidRPr="003F3D6D">
        <w:rPr>
          <w:rFonts w:cstheme="minorHAnsi"/>
        </w:rPr>
        <w:t xml:space="preserve"> (OPAL Institute, 10 September 2019) 22; Daisy Smith et al, ‘The Epidemiology of Sexual Assault of Older Female Nursing Home Residents, in Victoria Australia, between 2000 and 2015’ (2019) 36 </w:t>
      </w:r>
      <w:r w:rsidRPr="003F3D6D">
        <w:rPr>
          <w:rFonts w:cstheme="minorHAnsi"/>
          <w:i/>
          <w:iCs/>
        </w:rPr>
        <w:t>Legal Medicine</w:t>
      </w:r>
      <w:r w:rsidRPr="003F3D6D">
        <w:rPr>
          <w:rFonts w:cstheme="minorHAnsi"/>
        </w:rPr>
        <w:t xml:space="preserve"> 89; Daisy Smith et al, ‘A Systematic Review of Sexual Assaults in Nursing Homes’ (2018) 58(6) </w:t>
      </w:r>
      <w:r w:rsidRPr="003F3D6D">
        <w:rPr>
          <w:rFonts w:cstheme="minorHAnsi"/>
          <w:i/>
          <w:iCs/>
        </w:rPr>
        <w:t>The Gerontologist</w:t>
      </w:r>
      <w:r w:rsidRPr="003F3D6D">
        <w:rPr>
          <w:rFonts w:cstheme="minorHAnsi"/>
        </w:rPr>
        <w:t xml:space="preserve"> e369.</w:t>
      </w:r>
      <w:r w:rsidRPr="003F3D6D">
        <w:rPr>
          <w:rFonts w:cstheme="minorHAnsi"/>
        </w:rPr>
        <w:fldChar w:fldCharType="end"/>
      </w:r>
    </w:p>
  </w:endnote>
  <w:endnote w:id="231">
    <w:p w14:paraId="516A39B3" w14:textId="57CF8436" w:rsidR="00A00236" w:rsidRPr="003F3D6D" w:rsidRDefault="00A00236" w:rsidP="007A77A7">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{"citationID":"ASvKRrcr","properties":{"formattedCitation":"Smith et al, \\uc0\\u8216{}A Systematic Review of Sexual Assaults in Nursing Homes\\uc0\\u8217{} (n 230) e373.","plainCitation":"Smith et al, ‘A Systematic Review of Sexual Assaults in Nursing Homes’ (n 230) e373.","noteIndex":231},"citationItems":[{"id":6089,"uris":["http://zotero.org/groups/2733877/items/TL4VI3PT"],"uri":["http://zotero.org/groups/2733877/items/TL4VI3PT"],"itemData":{"id":6089,"type":"article-journal","abstract":"Purpose of the Study: The dramatic growth in the older adults (65 years+) has created an equivalent increase in the number of nursing home (NH) residents. NH residents often lack physical and cognitive abilities, making them particularly vulnerable to assault. Although sexual assault is among one of the most shocking types of assault, it is also the least acknowledged, detected, and reported type of assault against NH residents. This systematic review examines victim/perpetrator sociodemographic and relationship characteristics as well as the forensic characteristics of sexual assaults occurring in NH.\nDesign and Methods: A 7 database systematic search of studies published between January 1, 1949 and October 26, 2015 was conducted that examined sexual assaults in NH. Articles reporting on sexual assault in NH and other institutional settings were eligible. Community-dwelling populations and studies not describing sexual assault or physical aspects of sexual assault were excluded. Sexual assault was not restricted to a single definition, study method, or country.\nResults: Fifteen studies met inclusion criteria. Sexual assault was the least reported type of assault in NH. Victims of sexual assault were likely to be females with cognitive or physical impairments. Perpetrators were likely to be male residents, although staff members were also substantiated. Forensic characteristics and investigative data were limited. Study limitation included inconsistencies between study purposes and small sample sizes.\nImplications: This review highlights a gap in knowledge regarding sexual assaults in NH and demonstrates a need for better staff training in detecting, examining, and managing sexual assaults in NH.","container-title":"The Gerontologist","DOI":"10.1093/geront/gnx022","ISSN":"1758-5341","issue":"6","journalAbbreviation":"Gerontologist","language":"eng","note":"PMID: 28402419","page":"e369-e383","source":"PubMed","title":"A Systematic Review of Sexual Assaults in Nursing Homes","volume":"58","author":[{"family":"Smith","given":"Daisy"},{"family":"Bugeja","given":"Lyndal"},{"family":"Cunningham","given":"Nicola"},{"family":"Ibrahim","given":"Joseph E."}],"issued":{"date-parts":[["2018",11,3]]}},"locator":"e373"}],"schema":"https://github.com/citation-style-language/schema/raw/master/csl-citation.json"} </w:instrText>
      </w:r>
      <w:r w:rsidRPr="003F3D6D">
        <w:rPr>
          <w:rFonts w:cstheme="minorHAnsi"/>
        </w:rPr>
        <w:fldChar w:fldCharType="separate"/>
      </w:r>
      <w:r w:rsidRPr="00BF579D">
        <w:rPr>
          <w:rFonts w:ascii="Calibri" w:hAnsi="Calibri" w:cs="Calibri"/>
          <w:szCs w:val="24"/>
        </w:rPr>
        <w:t>Smith et al, ‘A Systematic Review of Sexual Assaults in Nursing Homes’ (n 230) e373.</w:t>
      </w:r>
      <w:r w:rsidRPr="003F3D6D">
        <w:rPr>
          <w:rFonts w:cstheme="minorHAnsi"/>
        </w:rPr>
        <w:fldChar w:fldCharType="end"/>
      </w:r>
    </w:p>
  </w:endnote>
  <w:endnote w:id="232">
    <w:p w14:paraId="73345B6B" w14:textId="1D897324" w:rsidR="00A00236" w:rsidRPr="003F3D6D" w:rsidRDefault="00A00236" w:rsidP="007A77A7">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{"citationID":"z4nGI6zH","properties":{"formattedCitation":"Smith et al, \\uc0\\u8216{}The Epidemiology of Sexual Assault of Older Female Nursing Home Residents, in Victoria Australia, between 2000 and 2015\\uc0\\u8217{} (n 230) 94; See also Rosemary Mann et al, {\\i{}Norma\\uc0\\u8217{}s Project: A Research Study into the Sexual Assault of Older Women in Australia} (Australian Research Centre in Sex, Health and Society, June 2014) 33\\uc0\\u8211{}36 &lt;https://apo.org.au/node/40334&gt;.","plainCitation":"Smith et al, ‘The Epidemiology of Sexual Assault of Older Female Nursing Home Residents, in Victoria Australia, between 2000 and 2015’ (n 230) 94; See also Rosemary Mann et al, Norma’s Project: A Research Study into the Sexual Assault of Older Women in Australia (Australian Research Centre in Sex, Health and Society, June 2014) 33–36 &lt;https://apo.org.au/node/40334&gt;.","noteIndex":232},"citationItems":[{"id":6090,"uris":["http://zotero.org/groups/2733877/items/IUBHJZX9"],"uri":["http://zotero.org/groups/2733877/items/IUBHJZX9"],"itemData":{"id":6090,"type":"article-journal","abstract":"Sexual assault is the least acknowledged, detected, and reported type of assault against nursing home residents. Nursing home staff are responsible for reporting suspected allegations to the police, who will contact a clinical forensic examiner to conduct a forensic medical examination. This study examined the epidemiology of sexual assaults of older women (aged 65 years and older) residing in nursing homes in Victoria, Australia, between 2000 and 2015, whose alleged incidents were referred to a clinical forensic examiner for a forensic medical examination. A retrospective analysis of alleged sexual assaults reported to the Clinical Forensic Medicine Unit at the Victorian Institute of Forensic Medicine between 1 January 2000 and 31 December 2015 was conducted. The study identified 28 forensic medical examinations performed for alleged sexual assault. The alleged victims frequently had cognitive impairments; injuries were infrequent; and alleged victims were cooperative. The forensic medical examiner responded within 72 h of reporting; and frequently noted limitations to physical examinations of the alleged victim. The actual number of sexual assaults during this period may be masked by under-reporting and, lack of identification by nursing home staff. There are many unresolved issues including: incidence, levels of reporting, nature of investigations, responses required to assist the victim, and the interventions needed to prevent sexual assault. Better data is vital. This data should be standardized, validated, reliable, and gathered prospectively across Australia and internationally.","container-title":"Legal Medicine","DOI":"10.1016/j.legalmed.2018.11.006","ISSN":"1873-4162","journalAbbreviation":"Leg Med (Tokyo)","language":"eng","note":"PMID: 30469073","page":"89-95","source":"PubMed","title":"The epidemiology of sexual assault of older female nursing home residents, in Victoria Australia, between 2000 and 2015","volume":"36","author":[{"family":"Smith","given":"Daisy"},{"family":"Cunningham","given":"Nicola"},{"family":"Willoughby","given":"Melissa"},{"family":"Young","given":"Carmel"},{"family":"Odell","given":"Morris"},{"family":"Ibrahim","given":"Joseph"},{"family":"Bugeja","given":"Lyndal"}],"issued":{"date-parts":[["2019",2]]}},"locator":"94"},{"id":6087,"uris":["http://zotero.org/groups/2733877/items/3AMYUP9G"],"uri":["http://zotero.org/groups/2733877/items/3AMYUP9G"],"itemData":{"id":6087,"type":"report","abstract":"INTRODUCTION","archive_location":"Australia","language":"en","note":"DOI: 10.4225/50/557E5961ACEEA","publisher":"Australian Research Centre in Sex, Health and Society","source":"apo.org.au","title":"Norma’s project: A research study into the sexual assault of older women in Australia","URL":"https://apo.org.au/node/40334","author":[{"family":"Mann","given":"Rosemary"},{"family":"Horsley","given":"Philomena"},{"family":"Barrett","given":"Catherine"},{"family":"Tinney","given":"Jean"}],"accessed":{"date-parts":[["2021",2,2]]},"issued":{"date-parts":[["2014",6]]}},"locator":"33-36","prefix":"See also"}],"schema":"https://github.com/citation-style-language/schema/raw/master/csl-citation.json"} </w:instrText>
      </w:r>
      <w:r w:rsidRPr="003F3D6D">
        <w:rPr>
          <w:rFonts w:cstheme="minorHAnsi"/>
        </w:rPr>
        <w:fldChar w:fldCharType="separate"/>
      </w:r>
      <w:r w:rsidRPr="00BF579D">
        <w:rPr>
          <w:rFonts w:ascii="Calibri" w:hAnsi="Calibri" w:cs="Calibri"/>
          <w:szCs w:val="24"/>
        </w:rPr>
        <w:t xml:space="preserve">Smith et al, ‘The Epidemiology of Sexual Assault of Older Female Nursing Home Residents, in Victoria Australia, between 2000 and 2015’ (n 230) 94; See also Rosemary Mann et al, </w:t>
      </w:r>
      <w:r w:rsidRPr="00BF579D">
        <w:rPr>
          <w:rFonts w:ascii="Calibri" w:hAnsi="Calibri" w:cs="Calibri"/>
          <w:i/>
          <w:iCs/>
          <w:szCs w:val="24"/>
        </w:rPr>
        <w:t>Norma’s Project: A Research Study into the Sexual Assault of Older Women in Australia</w:t>
      </w:r>
      <w:r w:rsidRPr="00BF579D">
        <w:rPr>
          <w:rFonts w:ascii="Calibri" w:hAnsi="Calibri" w:cs="Calibri"/>
          <w:szCs w:val="24"/>
        </w:rPr>
        <w:t xml:space="preserve"> (Australian Research Centre in Sex, Health and Society, June 2014) 33–36 &lt;https://apo.org.au/node/40334&gt;.</w:t>
      </w:r>
      <w:r w:rsidRPr="003F3D6D">
        <w:rPr>
          <w:rFonts w:cstheme="minorHAnsi"/>
        </w:rPr>
        <w:fldChar w:fldCharType="end"/>
      </w:r>
    </w:p>
  </w:endnote>
  <w:endnote w:id="233">
    <w:p w14:paraId="3AA41E71" w14:textId="4379A882" w:rsidR="00A00236" w:rsidRPr="003F3D6D" w:rsidRDefault="00A00236" w:rsidP="007A77A7">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{"citationID":"oARl1Pp9","properties":{"formattedCitation":"Smith et al, \\uc0\\u8216{}A Systematic Review of Sexual Assaults in Nursing Homes\\uc0\\u8217{} (n 230) e380; See also UN General Assembly, {\\i{}Report of the Special Rapporteur on the Rights of Persons with Disabilities} (A/74/186, United Nations, 17 July 2019) 14[38] &lt;https://undocs.org/en/A/74/186&gt;.","plainCitation":"Smith et al, ‘A Systematic Review of Sexual Assaults in Nursing Homes’ (n 230) e380; See also UN General Assembly, Report of the Special Rapporteur on the Rights of Persons with Disabilities (A/74/186, United Nations, 17 July 2019) 14[38] &lt;https://undocs.org/en/A/74/186&gt;.","noteIndex":233},"citationItems":[{"id":6089,"uris":["http://zotero.org/groups/2733877/items/TL4VI3PT"],"uri":["http://zotero.org/groups/2733877/items/TL4VI3PT"],"itemData":{"id":6089,"type":"article-journal","abstract":"Purpose of the Study: The dramatic growth in the older adults (65 years+) has created an equivalent increase in the number of nursing home (NH) residents. NH residents often lack physical and cognitive abilities, making them particularly vulnerable to assault. Although sexual assault is among one of the most shocking types of assault, it is also the least acknowledged, detected, and reported type of assault against NH residents. This systematic review examines victim/perpetrator sociodemographic and relationship characteristics as well as the forensic characteristics of sexual assaults occurring in NH.\nDesign and Methods: A 7 database systematic search of studies published between January 1, 1949 and October 26, 2015 was conducted that examined sexual assaults in NH. Articles reporting on sexual assault in NH and other institutional settings were eligible. Community-dwelling populations and studies not describing sexual assault or physical aspects of sexual assault were excluded. Sexual assault was not restricted to a single definition, study method, or country.\nResults: Fifteen studies met inclusion criteria. Sexual assault was the least reported type of assault in NH. Victims of sexual assault were likely to be females with cognitive or physical impairments. Perpetrators were likely to be male residents, although staff members were also substantiated. Forensic characteristics and investigative data were limited. Study limitation included inconsistencies between study purposes and small sample sizes.\nImplications: This review highlights a gap in knowledge regarding sexual assaults in NH and demonstrates a need for better staff training in detecting, examining, and managing sexual assaults in NH.","container-title":"The Gerontologist","DOI":"10.1093/geront/gnx022","ISSN":"1758-5341","issue":"6","journalAbbreviation":"Gerontologist","language":"eng","note":"PMID: 28402419","page":"e369-e383","source":"PubMed","title":"A Systematic Review of Sexual Assaults in Nursing Homes","volume":"58","author":[{"family":"Smith","given":"Daisy"},{"family":"Bugeja","given":"Lyndal"},{"family":"Cunningham","given":"Nicola"},{"family":"Ibrahim","given":"Joseph E."}],"issued":{"date-parts":[["2018",11,3]]}},"locator":"e380"},{"id":5934,"uris":["http://zotero.org/groups/2733877/items/DDSJCITE"],"uri":["http://zotero.org/groups/2733877/items/DDSJCITE"],"itemData":{"id":5934,"type":"report","collection-title":"UN Doc","genre":"A/74/186","publisher":"United Nations","title":"Report of the Special Rapporteur on the Rights of Persons with Disabilities","URL":"https://undocs.org/en/A/74/186","author":[{"family":"UN General Assembly","given":""}],"issued":{"date-parts":[["2019",7,17]]}},"locator":"14[38]","prefix":"See also"}],"schema":"https://github.com/citation-style-language/schema/raw/master/csl-citation.json"} </w:instrText>
      </w:r>
      <w:r w:rsidRPr="003F3D6D">
        <w:rPr>
          <w:rFonts w:cstheme="minorHAnsi"/>
        </w:rPr>
        <w:fldChar w:fldCharType="separate"/>
      </w:r>
      <w:r w:rsidRPr="00BF579D">
        <w:rPr>
          <w:rFonts w:ascii="Calibri" w:hAnsi="Calibri" w:cs="Calibri"/>
          <w:szCs w:val="24"/>
        </w:rPr>
        <w:t xml:space="preserve">Smith et al, ‘A Systematic Review of Sexual Assaults in Nursing Homes’ (n 230) e380; See also UN General Assembly, </w:t>
      </w:r>
      <w:r w:rsidRPr="00BF579D">
        <w:rPr>
          <w:rFonts w:ascii="Calibri" w:hAnsi="Calibri" w:cs="Calibri"/>
          <w:i/>
          <w:iCs/>
          <w:szCs w:val="24"/>
        </w:rPr>
        <w:t>Report of the Special Rapporteur on the Rights of Persons with Disabilities</w:t>
      </w:r>
      <w:r w:rsidRPr="00BF579D">
        <w:rPr>
          <w:rFonts w:ascii="Calibri" w:hAnsi="Calibri" w:cs="Calibri"/>
          <w:szCs w:val="24"/>
        </w:rPr>
        <w:t xml:space="preserve"> (A/74/186, United Nations, 17 July 2019) 14[38] &lt;https://undocs.org/en/A/74/186&gt;.</w:t>
      </w:r>
      <w:r w:rsidRPr="003F3D6D">
        <w:rPr>
          <w:rFonts w:cstheme="minorHAnsi"/>
        </w:rPr>
        <w:fldChar w:fldCharType="end"/>
      </w:r>
    </w:p>
  </w:endnote>
  <w:endnote w:id="234">
    <w:p w14:paraId="77AA3EC8" w14:textId="780C4285" w:rsidR="00A00236" w:rsidRPr="003F3D6D" w:rsidRDefault="00A00236" w:rsidP="00D401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{"citationID":"6A5ItIpk","properties":{"formattedCitation":"Cath Roper et al, \\uc0\\u8216{}Ending Restraint: An Insider View\\uc0\\u8217{} in Bernadette McSherry and Yvette Maker (eds), {\\i{}Restrictive Practices in Health Care and Disability Settings: Legal, Policy and Practical Responses} (Taylor &amp; Francis Group, 2020) 16, 16.","plainCitation":"Cath Roper et al, ‘Ending Restraint: An Insider View’ in Bernadette McSherry and Yvette Maker (eds), Restrictive Practices in Health Care and Disability Settings: Legal, Policy and Practical Responses (Taylor &amp; Francis Group, 2020) 16, 16.","noteIndex":234},"citationItems":[{"id":5958,"uris":["http://zotero.org/groups/2733877/items/E4BTY93W"],"uri":["http://zotero.org/groups/2733877/items/E4BTY93W"],"itemData":{"id":5958,"type":"chapter","container-title":"Restrictive Practices in Health Care and Disability Settings: Legal, Policy and Practical Responses","event-place":"London","page":"16","publisher":"Taylor &amp; Francis Group","publisher-place":"London","title":"Ending Restraint: An Insider View","author":[{"family":"Roper","given":"Cath"},{"family":"O'Hagan","given":"Mary"},{"family":"Kennedy","given":"Hamilton"},{"family":"Roennfeldt","given":"Helena"}],"editor":[{"family":"McSherry","given":"Bernadette"},{"family":"Maker","given":"Yvette"}],"issued":{"date-parts":[["2020"]]}},"locator":"16"}],"schema":"https://github.com/citation-style-language/schema/raw/master/csl-citation.json"} </w:instrText>
      </w:r>
      <w:r w:rsidRPr="003F3D6D">
        <w:rPr>
          <w:rFonts w:cstheme="minorHAnsi"/>
        </w:rPr>
        <w:fldChar w:fldCharType="separate"/>
      </w:r>
      <w:r w:rsidRPr="00DA0132">
        <w:rPr>
          <w:rFonts w:ascii="Calibri" w:hAnsi="Calibri" w:cs="Calibri"/>
          <w:szCs w:val="24"/>
        </w:rPr>
        <w:t xml:space="preserve">Cath Roper et al, ‘Ending Restraint: An Insider View’ in Bernadette McSherry and Yvette Maker (eds), </w:t>
      </w:r>
      <w:r w:rsidRPr="00DA0132">
        <w:rPr>
          <w:rFonts w:ascii="Calibri" w:hAnsi="Calibri" w:cs="Calibri"/>
          <w:i/>
          <w:iCs/>
          <w:szCs w:val="24"/>
        </w:rPr>
        <w:t>Restrictive Practices in Health Care and Disability Settings: Legal, Policy and Practical Responses</w:t>
      </w:r>
      <w:r w:rsidRPr="00DA0132">
        <w:rPr>
          <w:rFonts w:ascii="Calibri" w:hAnsi="Calibri" w:cs="Calibri"/>
          <w:szCs w:val="24"/>
        </w:rPr>
        <w:t xml:space="preserve"> (Taylor &amp; Francis Group, 2020) 16, 16.</w:t>
      </w:r>
      <w:r w:rsidRPr="003F3D6D">
        <w:rPr>
          <w:rFonts w:cstheme="minorHAnsi"/>
        </w:rPr>
        <w:fldChar w:fldCharType="end"/>
      </w:r>
    </w:p>
  </w:endnote>
  <w:endnote w:id="235">
    <w:p w14:paraId="593763F5" w14:textId="6232E14D" w:rsidR="00A00236" w:rsidRPr="003F3D6D" w:rsidRDefault="00A00236" w:rsidP="00D401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{"citationID":"HoE0MXW0","properties":{"formattedCitation":"Ibid 24.","plainCitation":"Ibid 24.","noteIndex":235},"citationItems":[{"id":5958,"uris":["http://zotero.org/groups/2733877/items/E4BTY93W"],"uri":["http://zotero.org/groups/2733877/items/E4BTY93W"],"itemData":{"id":5958,"type":"chapter","container-title":"Restrictive Practices in Health Care and Disability Settings: Legal, Policy and Practical Responses","event-place":"London","page":"16","publisher":"Taylor &amp; Francis Group","publisher-place":"London","title":"Ending Restraint: An Insider View","author":[{"family":"Roper","given":"Cath"},{"family":"O'Hagan","given":"Mary"},{"family":"Kennedy","given":"Hamilton"},{"family":"Roennfeldt","given":"Helena"}],"editor":[{"family":"McSherry","given":"Bernadette"},{"family":"Maker","given":"Yvette"}],"issued":{"date-parts":[["2020"]]}},"locator":"24"}],"schema":"https://github.com/citation-style-language/schema/raw/master/csl-citation.json"} </w:instrText>
      </w:r>
      <w:r w:rsidRPr="003F3D6D">
        <w:rPr>
          <w:rFonts w:cstheme="minorHAnsi"/>
        </w:rPr>
        <w:fldChar w:fldCharType="separate"/>
      </w:r>
      <w:r w:rsidRPr="003F3D6D">
        <w:rPr>
          <w:rFonts w:cstheme="minorHAnsi"/>
          <w:noProof/>
        </w:rPr>
        <w:t>Ibid 24.</w:t>
      </w:r>
      <w:r w:rsidRPr="003F3D6D">
        <w:rPr>
          <w:rFonts w:cstheme="minorHAnsi"/>
        </w:rPr>
        <w:fldChar w:fldCharType="end"/>
      </w:r>
    </w:p>
  </w:endnote>
  <w:endnote w:id="236">
    <w:p w14:paraId="3D029E06" w14:textId="5AA12657" w:rsidR="00A00236" w:rsidRPr="003F3D6D" w:rsidRDefault="00A00236" w:rsidP="00D401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{"citationID":"Z3OKsFEj","properties":{"formattedCitation":"Chris Chapman, \\uc0\\u8216{}Becoming Perpetrator: How I Came to Accept Restraining and Confining Disabled Aboriginal Children\\uc0\\u8217{} in Bonnie Burstow, Brenda A Lefrancois and Shaindi Diamond (eds), {\\i{}Psychiatry Disrupted: Theorizing Resistance and Crafting the (r)Evolution} (McGill-Queen\\uc0\\u8217{}s University Press, 2014) 16 &lt;https://www.mqup.ca/psychiatry-disrupted-products-9780773543300.php&gt;; Chapman and Withers (n 114).","plainCitation":"Chris Chapman, ‘Becoming Perpetrator: How I Came to Accept Restraining and Confining Disabled Aboriginal Children’ in Bonnie Burstow, Brenda A Lefrancois and Shaindi Diamond (eds), Psychiatry Disrupted: Theorizing Resistance and Crafting the (r)Evolution (McGill-Queen’s University Press, 2014) 16 &lt;https://www.mqup.ca/psychiatry-disrupted-products-9780773543300.php&gt;; Chapman and Withers (n 114).","noteIndex":236},"citationItems":[{"id":6195,"uris":["http://zotero.org/groups/2733877/items/DCEG8WD8"],"uri":["http://zotero.org/groups/2733877/items/DCEG8WD8"],"itemData":{"id":6195,"type":"chapter","abstract":"McGill-Queen’s University Press","container-title":"Psychiatry Disrupted: Theorizing resistance and crafting the (r)evolution","event-place":"Montreal &amp; Kingston","page":"16-33","publisher":"McGill-Queen’s University Press","publisher-place":"Montreal &amp; Kingston","title":"Becoming perpetrator: how I came to accept restraining and confining disabled aboriginal children","URL":"https://www.mqup.ca/psychiatry-disrupted-products-9780773543300.php","author":[{"family":"Chapman","given":"Chris"}],"editor":[{"family":"Burstow","given":"Bonnie"},{"family":"Lefrancois","given":"Brenda A"},{"family":"Diamond","given":"Shaindi"}],"accessed":{"date-parts":[["2021",2,2]]},"issued":{"date-parts":[["2014"]]}}},{"id":6079,"uris":["http://zotero.org/groups/2733877/items/WYT2YLFU"],"uri":["http://zotero.org/groups/2733877/items/WYT2YLFU"],"itemData":{"id":6079,"type":"book","abstract":"A Violent History of Benevolence traces how normative histories of liberalism, progress, and social work enact and obscure systemic violences. Chris Chapman and A.J. Withers explore how normative social work history is structured in such a way that contemporary social workers can know many details about social work&amp;#x2019;s violences, without ever imagining that they may also be complicit in these violences. Framings of social work history actively create present-day political and ethical irresponsibility, even among those who imagine themselves to be anti-oppressive, liberal, or radical.\nThe authors document many histories usually left out of social work discourse, including communities of Black social workers (who, among other things, never removed children from their homes involuntarily), the role of early social workers in advancing eugenics and mass confinement, and the resonant emergence of colonial education, psychiatry, and the penitentiary in the same decade. Ultimately, A Violent History of Benevolence aims to invite contemporary social workers and others to reflect on the complex nature of contemporary social work, and specifically on the present-day structural violences that social work enacts in the name of benevolence.","event-place":"Toronto","ISBN":"978-1-4426-2886-1","language":"en","publisher":"University of Toronto Press","publisher-place":"Toronto","source":"utorontopress.com","title":"A Violent History of Benevolence: Interlocking Oppression and Moral Economies of Social Working","URL":"https://utorontopress.com/us/a-violent-history-of-benevolence-2","author":[{"family":"Chapman","given":"Chris"},{"family":"Withers","given":"AJ"}],"accessed":{"date-parts":[["2021",2,2]]},"issued":{"date-parts":[["2019"]]}}}],"schema":"https://github.com/citation-style-language/schema/raw/master/csl-citation.json"} </w:instrText>
      </w:r>
      <w:r w:rsidRPr="003F3D6D">
        <w:rPr>
          <w:rFonts w:cstheme="minorHAnsi"/>
        </w:rPr>
        <w:fldChar w:fldCharType="separate"/>
      </w:r>
      <w:r w:rsidRPr="00573F56">
        <w:rPr>
          <w:rFonts w:ascii="Calibri" w:hAnsi="Calibri" w:cs="Calibri"/>
          <w:szCs w:val="24"/>
        </w:rPr>
        <w:t xml:space="preserve">Chris Chapman, ‘Becoming Perpetrator: How I Came to Accept Restraining and Confining Disabled Aboriginal Children’ in Bonnie Burstow, Brenda A Lefrancois and Shaindi Diamond (eds), </w:t>
      </w:r>
      <w:r w:rsidRPr="00573F56">
        <w:rPr>
          <w:rFonts w:ascii="Calibri" w:hAnsi="Calibri" w:cs="Calibri"/>
          <w:i/>
          <w:iCs/>
          <w:szCs w:val="24"/>
        </w:rPr>
        <w:t>Psychiatry Disrupted: Theorizing Resistance and Crafting the (r)Evolution</w:t>
      </w:r>
      <w:r w:rsidRPr="00573F56">
        <w:rPr>
          <w:rFonts w:ascii="Calibri" w:hAnsi="Calibri" w:cs="Calibri"/>
          <w:szCs w:val="24"/>
        </w:rPr>
        <w:t xml:space="preserve"> (McGill-Queen’s University Press, 2014) 16 &lt;https://www.mqup.ca/psychiatry-disrupted-products-9780773543300.php&gt;; Chapman and Withers (n 114).</w:t>
      </w:r>
      <w:r w:rsidRPr="003F3D6D">
        <w:rPr>
          <w:rFonts w:cstheme="minorHAnsi"/>
        </w:rPr>
        <w:fldChar w:fldCharType="end"/>
      </w:r>
    </w:p>
  </w:endnote>
  <w:endnote w:id="237">
    <w:p w14:paraId="54EA3996" w14:textId="0363D57C" w:rsidR="00A00236" w:rsidRPr="003F3D6D" w:rsidRDefault="00A00236" w:rsidP="007842E8">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{"citationID":"sHGZEf3e","properties":{"formattedCitation":"Roper et al (n 234) 19.","plainCitation":"Roper et al (n 234) 19.","noteIndex":237},"citationItems":[{"id":5958,"uris":["http://zotero.org/groups/2733877/items/E4BTY93W"],"uri":["http://zotero.org/groups/2733877/items/E4BTY93W"],"itemData":{"id":5958,"type":"chapter","container-title":"Restrictive Practices in Health Care and Disability Settings: Legal, Policy and Practical Responses","event-place":"London","page":"16","publisher":"Taylor &amp; Francis Group","publisher-place":"London","title":"Ending Restraint: An Insider View","author":[{"family":"Roper","given":"Cath"},{"family":"O'Hagan","given":"Mary"},{"family":"Kennedy","given":"Hamilton"},{"family":"Roennfeldt","given":"Helena"}],"editor":[{"family":"McSherry","given":"Bernadette"},{"family":"Maker","given":"Yvette"}],"issued":{"date-parts":[["2020"]]}},"locator":"19"}],"schema":"https://github.com/citation-style-language/schema/raw/master/csl-citation.json"} </w:instrText>
      </w:r>
      <w:r w:rsidRPr="003F3D6D">
        <w:rPr>
          <w:rFonts w:cstheme="minorHAnsi"/>
        </w:rPr>
        <w:fldChar w:fldCharType="separate"/>
      </w:r>
      <w:r w:rsidRPr="00BF579D">
        <w:rPr>
          <w:rFonts w:ascii="Calibri" w:hAnsi="Calibri" w:cs="Calibri"/>
        </w:rPr>
        <w:t>Roper et al (n 234) 19.</w:t>
      </w:r>
      <w:r w:rsidRPr="003F3D6D">
        <w:rPr>
          <w:rFonts w:cstheme="minorHAnsi"/>
        </w:rPr>
        <w:fldChar w:fldCharType="end"/>
      </w:r>
    </w:p>
  </w:endnote>
  <w:endnote w:id="238">
    <w:p w14:paraId="38B000DD" w14:textId="5C6828DD" w:rsidR="00A00236" w:rsidRPr="003F3D6D" w:rsidRDefault="00A00236" w:rsidP="007842E8">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{"citationID":"yHii7p1G","properties":{"formattedCitation":"Wolfe (n 221) 388.","plainCitation":"Wolfe (n 221) 388.","noteIndex":238},"citationItems":[{"id":6080,"uris":["http://zotero.org/groups/2733877/items/LEAFZCC4"],"uri":["http://zotero.org/groups/2733877/items/LEAFZCC4"],"itemData":{"id":6080,"type":"article-journal","container-title":"Journal of Genocide Research","DOI":"10.1080/14623520601056240","ISSN":"1462-3528","issue":"4","note":"publisher: Routledge\n_eprint: https://doi.org/10.1080/14623520601056240","page":"387-409","source":"Taylor and Francis+NEJM","title":"Settler colonialism and the elimination of the native","volume":"8","author":[{"family":"Wolfe","given":"Patrick"}],"issued":{"date-parts":[["2006",12,1]]}},"locator":"388"}],"schema":"https://github.com/citation-style-language/schema/raw/master/csl-citation.json"} </w:instrText>
      </w:r>
      <w:r w:rsidRPr="003F3D6D">
        <w:rPr>
          <w:rFonts w:cstheme="minorHAnsi"/>
        </w:rPr>
        <w:fldChar w:fldCharType="separate"/>
      </w:r>
      <w:r w:rsidRPr="00BF579D">
        <w:rPr>
          <w:rFonts w:ascii="Calibri" w:hAnsi="Calibri" w:cs="Calibri"/>
        </w:rPr>
        <w:t>Wolfe (n 221) 388.</w:t>
      </w:r>
      <w:r w:rsidRPr="003F3D6D">
        <w:rPr>
          <w:rFonts w:cstheme="minorHAnsi"/>
        </w:rPr>
        <w:fldChar w:fldCharType="end"/>
      </w:r>
    </w:p>
  </w:endnote>
  <w:endnote w:id="239">
    <w:p w14:paraId="4145E3F8" w14:textId="1561ADE4" w:rsidR="00A00236" w:rsidRPr="003F3D6D" w:rsidRDefault="00A00236" w:rsidP="007842E8">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{"citationID":"rRZNnAnl","properties":{"formattedCitation":"Bond (n 221).","plainCitation":"Bond (n 221).","noteIndex":239},"citationItems":[{"id":6039,"uris":["http://zotero.org/groups/2733877/items/5EE298JH"],"uri":["http://zotero.org/groups/2733877/items/5EE298JH"],"itemData":{"id":6039,"type":"webpage","abstract":"Despite the promise of Black Lives Matter, it has not been taken up as a central political movement by Indigenous Australians.","container-title":"The Conversation","language":"en","title":"We just Black matter: Australia's indifference to Aboriginal lives and land","URL":"http://theconversation.com/we-just-black-matter-australias-indifference-to-aboriginal-lives-and-land-85168","author":[{"family":"Bond","given":"Chelsea"}],"accessed":{"date-parts":[["2021",2,2]]},"issued":{"date-parts":[["2017",10,16]]}}}],"schema":"https://github.com/citation-style-language/schema/raw/master/csl-citation.json"} </w:instrText>
      </w:r>
      <w:r w:rsidRPr="003F3D6D">
        <w:rPr>
          <w:rFonts w:cstheme="minorHAnsi"/>
        </w:rPr>
        <w:fldChar w:fldCharType="separate"/>
      </w:r>
      <w:r w:rsidRPr="00BF579D">
        <w:rPr>
          <w:rFonts w:ascii="Calibri" w:hAnsi="Calibri" w:cs="Calibri"/>
        </w:rPr>
        <w:t>Bond (n 221).</w:t>
      </w:r>
      <w:r w:rsidRPr="003F3D6D">
        <w:rPr>
          <w:rFonts w:cstheme="minorHAnsi"/>
        </w:rPr>
        <w:fldChar w:fldCharType="end"/>
      </w:r>
    </w:p>
  </w:endnote>
  <w:endnote w:id="240">
    <w:p w14:paraId="31476B59" w14:textId="2DA77586" w:rsidR="00A00236" w:rsidRPr="003F3D6D" w:rsidRDefault="00A00236" w:rsidP="007842E8">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{"citationID":"eoPJQYDl","properties":{"formattedCitation":"Ibid; Razack (n 221).","plainCitation":"Ibid; Razack (n 221).","noteIndex":240},"citationItems":[{"id":6039,"uris":["http://zotero.org/groups/2733877/items/5EE298JH"],"uri":["http://zotero.org/groups/2733877/items/5EE298JH"],"itemData":{"id":6039,"type":"webpage","abstract":"Despite the promise of Black Lives Matter, it has not been taken up as a central political movement by Indigenous Australians.","container-title":"The Conversation","language":"en","title":"We just Black matter: Australia's indifference to Aboriginal lives and land","URL":"http://theconversation.com/we-just-black-matter-australias-indifference-to-aboriginal-lives-and-land-85168","author":[{"family":"Bond","given":"Chelsea"}],"accessed":{"date-parts":[["2021",2,2]]},"issued":{"date-parts":[["2017",10,16]]}}},{"id":6182,"uris":["http://zotero.org/groups/2733877/items/ZHRD9DAH"],"uri":["http://zotero.org/groups/2733877/items/ZHRD9DAH"],"itemData":{"id":6182,"type":"book","abstract":"No matter where in Canada they occur, inquiries and inquests into untimely Indigenous deaths in state custody often tell the same story. Repeating details of fatty livers, mental illness, alcoholic belligerence, and a mysterious incapacity to cope with modern life, the legal proceedings declare that there are no villains here, only inevitable casualties of Indigenous life.But what about a sixty-seven-year-old man who dies in a hospital in police custody with a large, visible, purple boot print on his chest? Or a barely conscious, alcoholic older man, dropped off by police in a dark alley on a cold Vancouver night? Or Saskatoon&amp;rsquo;s infamous and lethal starlight tours, whose victims were left on the outskirts of town in sub-zero temperatures? How do we account for the repeated failure to care evident in so many cases of Indigenous deaths in custody?In Dying from Improvement, Sherene H. Razack argues that, amidst systematic state violence against Indigenous people, inquiries and inquests serve to obscure the violence of ongoing settler colonialism under the guise of benevolent concern. They tell settler society that it is caring, compassionate, and engaged in improving the lives of Indigenous people &amp;ndash; even as the incarceration rate of Indigenous men and women increases and the number of those who die in custody rises.Razack&amp;rsquo;s powerful critique of the Canadian settler state and its legal system speaks to many of today&amp;rsquo;s most pressing issues of social justice: the treatment of Indigenous people, the unparalleled authority of the police and the justice system, and their systematic inhumanity towards those whose lives they perceive as insignificant.","event-place":"Toronto","ISBN":"978-1-4426-2891-5","language":"en","publisher":"University of Toronto Press","publisher-place":"Toronto","source":"utorontopress.com","title":"Dying from Improvement: Inquests and Inquiries into Indigenous Deaths in Custody","URL":"https://utorontopress.com/us/dying-from-improvement-4","author":[{"family":"Razack","given":"Sherene"}],"accessed":{"date-parts":[["2021",2,2]]},"issued":{"date-parts":[["2015"]]}}}],"schema":"https://github.com/citation-style-language/schema/raw/master/csl-citation.json"} </w:instrText>
      </w:r>
      <w:r w:rsidRPr="003F3D6D">
        <w:rPr>
          <w:rFonts w:cstheme="minorHAnsi"/>
        </w:rPr>
        <w:fldChar w:fldCharType="separate"/>
      </w:r>
      <w:r w:rsidRPr="00BF579D">
        <w:rPr>
          <w:rFonts w:ascii="Calibri" w:hAnsi="Calibri" w:cs="Calibri"/>
        </w:rPr>
        <w:t>Ibid; Razack (n 221).</w:t>
      </w:r>
      <w:r w:rsidRPr="003F3D6D">
        <w:rPr>
          <w:rFonts w:cstheme="minorHAnsi"/>
        </w:rPr>
        <w:fldChar w:fldCharType="end"/>
      </w:r>
    </w:p>
  </w:endnote>
  <w:endnote w:id="241">
    <w:p w14:paraId="1BEE0F66" w14:textId="126C9C3B" w:rsidR="00A00236" w:rsidRPr="003F3D6D" w:rsidRDefault="00A00236" w:rsidP="007842E8">
      <w:pPr>
        <w:pStyle w:val="EndnoteText"/>
        <w:rPr>
          <w:rFonts w:cstheme="minorHAnsi"/>
          <w:lang w:val="en-AU"/>
        </w:rPr>
      </w:pPr>
      <w:r w:rsidRPr="00AE1329">
        <w:rPr>
          <w:rStyle w:val="EndnoteReference"/>
          <w:rFonts w:cstheme="minorHAnsi"/>
        </w:rPr>
        <w:endnoteRef/>
      </w:r>
      <w:r w:rsidRPr="00AE1329">
        <w:rPr>
          <w:rFonts w:cstheme="minorHAnsi"/>
        </w:rPr>
        <w:t xml:space="preserve"> </w:t>
      </w:r>
      <w:r w:rsidRPr="00AE1329">
        <w:rPr>
          <w:rFonts w:cstheme="minorHAnsi"/>
        </w:rPr>
        <w:fldChar w:fldCharType="begin"/>
      </w:r>
      <w:r>
        <w:rPr>
          <w:rFonts w:cstheme="minorHAnsi"/>
        </w:rPr>
        <w:instrText xml:space="preserve"> ADDIN ZOTERO_ITEM CSL_CITATION {"citationID":"ii6ia5ce","properties":{"formattedCitation":"Steele, {\\i{}Disability, Criminal Justice and Law Reconsidering Court Diversion} (n 193) 46, 52\\uc0\\u8211{}53, 88\\uc0\\u8211{}89.","plainCitation":"Steele, Disability, Criminal Justice and Law Reconsidering Court Diversion (n 193) 46, 52–53, 88–89.","noteIndex":241},"citationItems":[{"id":5948,"uris":["http://zotero.org/groups/2733877/items/GXS7S9UM"],"uri":["http://zotero.org/groups/2733877/items/GXS7S9UM"],"itemData":{"id":5948,"type":"book","event-place":"Abingdon","publisher":"Routledge","publisher-place":"Abingdon","title":"Disability, Criminal Justice and Law Reconsidering Court Diversion","URL":"https://www.routledge.com/Disability-Criminal-Justice-and-Law-Reconsidering-Court-Diversion/Steele/p/book/9780815375265","author":[{"family":"Steele","given":"Linda"}],"issued":{"date-parts":[["2020"]]}},"locator":"46, 52–53, 88-89"}],"schema":"https://github.com/citation-style-language/schema/raw/master/csl-citation.json"} </w:instrText>
      </w:r>
      <w:r w:rsidRPr="00AE1329">
        <w:rPr>
          <w:rFonts w:cstheme="minorHAnsi"/>
        </w:rPr>
        <w:fldChar w:fldCharType="separate"/>
      </w:r>
      <w:r w:rsidRPr="00DE38DB">
        <w:rPr>
          <w:rFonts w:ascii="Calibri" w:hAnsi="Calibri" w:cs="Calibri"/>
          <w:szCs w:val="24"/>
        </w:rPr>
        <w:t xml:space="preserve">Steele, </w:t>
      </w:r>
      <w:r w:rsidRPr="00DE38DB">
        <w:rPr>
          <w:rFonts w:ascii="Calibri" w:hAnsi="Calibri" w:cs="Calibri"/>
          <w:i/>
          <w:iCs/>
          <w:szCs w:val="24"/>
        </w:rPr>
        <w:t>Disability, Criminal Justice and Law Reconsidering Court Diversion</w:t>
      </w:r>
      <w:r w:rsidRPr="00DE38DB">
        <w:rPr>
          <w:rFonts w:ascii="Calibri" w:hAnsi="Calibri" w:cs="Calibri"/>
          <w:szCs w:val="24"/>
        </w:rPr>
        <w:t xml:space="preserve"> (n 193) 46, 52–53, 88–89.</w:t>
      </w:r>
      <w:r w:rsidRPr="00AE1329">
        <w:rPr>
          <w:rFonts w:cstheme="minorHAnsi"/>
        </w:rPr>
        <w:fldChar w:fldCharType="end"/>
      </w:r>
    </w:p>
  </w:endnote>
  <w:endnote w:id="242">
    <w:p w14:paraId="16D17C45" w14:textId="3F9CD826" w:rsidR="00A00236" w:rsidRPr="003F3D6D" w:rsidRDefault="00A00236" w:rsidP="007842E8">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{"citationID":"4nAvsXxz","properties":{"formattedCitation":"See, for example, Avery (n 214); Shelley Bielefeld and Fleur Beaupert, \\uc0\\u8216{}Income Management and Intersectionality: Analysing Compulsory Income Management through the Lenses of Critical Race Theory and Disability Studies (\\uc0\\u8220{}discrit\\uc0\\u8221{})\\uc0\\u8217{} (2019) 41(3) {\\i{}Sydney Law Review} 327; Chris Chapman, \\uc0\\u8216{}Five Centuries\\uc0\\u8217{} Material Reforms and Ethical Reformulations of Social Elimination\\uc0\\u8217{} in Liat Ben-Moshe, Chris Chapman and Allison C Carey (eds), {\\i{}Disability Incarcerated: Imprisonment and Disability in the United States and Canada} (Palgrave Macmillan US, 2014) 25, 25\\uc0\\u8211{}44 &lt;https://doi.org/10.1057/9781137388476_2&gt;; Ameil J Joseph, \\uc0\\u8216{}A Prescription for Violence: The Legacy of Colonization in Contemporary Forensic Mental Health and the Production of Difference\\uc0\\u8217{} (2014) 22(2) {\\i{}Critical Criminology} 273; Ameil J Joseph, {\\i{}Deportation and the Confluence of Violence within Forensic Mental Health and Immigration Systems} (Palgrave Macmillan, 2015) &lt;https://www.palgrave.com/gp/book/9781137513403&gt;.","plainCitation":"See, for example, Avery (n 214); Shelley Bielefeld and Fleur Beaupert, ‘Income Management and Intersectionality: Analysing Compulsory Income Management through the Lenses of Critical Race Theory and Disability Studies (“discrit”)’ (2019) 41(3) Sydney Law Review 327; Chris Chapman, ‘Five Centuries’ Material Reforms and Ethical Reformulations of Social Elimination’ in Liat Ben-Moshe, Chris Chapman and Allison C Carey (eds), Disability Incarcerated: Imprisonment and Disability in the United States and Canada (Palgrave Macmillan US, 2014) 25, 25–44 &lt;https://doi.org/10.1057/9781137388476_2&gt;; Ameil J Joseph, ‘A Prescription for Violence: The Legacy of Colonization in Contemporary Forensic Mental Health and the Production of Difference’ (2014) 22(2) Critical Criminology 273; Ameil J Joseph, Deportation and the Confluence of Violence within Forensic Mental Health and Immigration Systems (Palgrave Macmillan, 2015) &lt;https://www.palgrave.com/gp/book/9781137513403&gt;.","noteIndex":242},"citationItems":[{"id":6201,"uris":["http://zotero.org/groups/2733877/items/WKULVEY2"],"uri":["http://zotero.org/groups/2733877/items/WKULVEY2"],"itemData":{"id":6201,"type":"book","abstract":"Currently out of stock Please notify me when the book becomes available.  Author: Scott Avery ‘Culture is Inclusion’ is a remarkable and compelling story of Aboriginal and Torres Strait Islander...","event-place":"Sydney","language":"en-AU","publisher":"First People's Disability Network (Australia)","publisher-place":"Sydney","title":"Culture is Inclusion: A narrative of Aboriginal and Torres Strait Islander people with disability.","URL":"https://fpdn.org.au/product/cultureisinclusion/","author":[{"family":"Avery","given":"Scott"}],"accessed":{"date-parts":[["2021",2,3]]},"issued":{"date-parts":[["2018"]]}},"prefix":"See, for example, "},{"id":6197,"uris":["http://zotero.org/groups/2733877/items/XJLD788P"],"uri":["http://zotero.org/groups/2733877/items/XJLD788P"],"itemData":{"id":6197,"type":"article-journal","container-title":"Sydney Law Review","issue":"3","page":"327","title":"Income management and intersectionality: analysing compulsory income management through the lenses of critical race theory and disability studies (\"discrit\")","volume":"41","author":[{"family":"Bielefeld","given":"Shelley"},{"family":"Beaupert","given":"Fleur"}],"issued":{"date-parts":[["2019"]]}}},{"id":6059,"uris":["http://zotero.org/groups/2733877/items/BCLBWIKX"],"uri":["http://zotero.org/groups/2733877/items/BCLBWIKX"],"itemData":{"id":6059,"type":"chapter","abstract":"I once worked in an institution where almost all the children were Indigenous. Many were children of survivors of “Indian Residential Schools,”1 and all had a disability diagnosis or suspected diagnosis recorded in their files (Chapman 2010; 2012). In wondering about historical developments through which places like this had emerged, I was surprised to find that North American timelines of the educationally oriented confinement of intellectually disabled people and of the Indian Residential School system mapped neatly onto one another. In the 1840s, both systems emerged, and their abolitions both began in the 1960s. What can be made of this? What historical developments paved the way for these new sites in the 1800s, and what legacies live beyond their specific abolitions, making contemporary incarcerations seem natural, politically neutral, and necessary (Ben-Moshe 2012; A. Davis 2003; Drinkwater 2005; Snyder and Mitchell 2006)? This chapter maps out tentative answers to these questions, exploring the “moral economies” (Ahmed 2010; Thobani 2007) circulating within five centuries’ forms and reforms of social elimination, through reading “political rationalities” (Foucault 1994b, c) that narrate practices of power.","container-title":"Disability Incarcerated: Imprisonment and Disability in the United States and Canada","event-place":"New York","ISBN":"978-1-137-38847-6","language":"en","note":"DOI: 10.1057/9781137388476_2","page":"25-44","publisher":"Palgrave Macmillan US","publisher-place":"New York","source":"Springer Link","title":"Five Centuries’ Material Reforms and Ethical Reformulations of Social Elimination","URL":"https://doi.org/10.1057/9781137388476_2","author":[{"family":"Chapman","given":"Chris"}],"editor":[{"family":"Ben-Moshe","given":"Liat"},{"family":"Chapman","given":"Chris"},{"family":"Carey","given":"Allison C."}],"accessed":{"date-parts":[["2021",2,3]]},"issued":{"date-parts":[["2014"]]}},"locator":"25-44"},{"id":6030,"uris":["http://zotero.org/groups/2733877/items/SN3LJ2SN"],"uri":["http://zotero.org/groups/2733877/items/SN3LJ2SN"],"itemData":{"id":6030,"type":"article-journal","abstract":"In this paper I will argue, through the example of the “treatment” of racialized minorities diagnosed with mental illness, that the mental health system (including its unique laws, production of different identity categories and ruling disciplines), with its dogmatic adherence to and reliance on alleged expert opinion and internal inquiry, allows for the erasure of subaltern voices. Often we hear about a tragic incident as reported by the media about someone diagnosed with a mental illness who has committed a crime. These representations routinely present the person as violent, aggressive, uncontrollable, and unpredictable. Repeatedly the voice of the accused is not represented; his or her social, historical, and political contexts are not considered relevant. The technologies of the criminal justice and mental health system’s use of physical or chemical restraint, coercive treatment, or practices such as deportation are also not reported, thus reproducing systems of harm. We don’t get to look inside the asylum. Patients’ voices are excluded from the discursive practices, disciplinary hegemony or dominant regimes of truth within the mental health system. This creates a system impermeable to criticism, where violence continues to prevail. Through a discussion of the disproportionate criminalization and deportation of the mentally ill, the false associations between mental illness and violence, the colonial ancestry of internal inquiry, and example cases from the media, this paper reviews how these particular technologies of violence owe their inheritance to the orientalising, discursive practices and disciplinary hegemony developed during colonization that when ignored, reproduce the dehumanizing outcomes upon which they were built.","container-title":"Critical Criminology","DOI":"10.1007/s10612-013-9208-1","ISSN":"1572-9877","issue":"2","journalAbbreviation":"Crit Crim","language":"en","page":"273-292","source":"Springer Link","title":"A Prescription for Violence: The Legacy of Colonization in Contemporary Forensic Mental Health and the Production of Difference","volume":"22","author":[{"family":"Joseph","given":"Ameil J."}],"issued":{"date-parts":[["2014",5,1]]}}},{"id":6058,"uris":["http://zotero.org/groups/2733877/items/WI2LGC5M"],"uri":["http://zotero.org/groups/2733877/items/WI2LGC5M"],"itemData":{"id":6058,"type":"book","event-place":"Basingstoke &amp; Hampshire","publisher":"Palgrave Macmillan","publisher-place":"Basingstoke &amp; Hampshire","title":"Deportation and the Confluence of Violence within Forensic Mental Health and Immigration Systems","URL":"https://www.palgrave.com/gp/book/9781137513403","author":[{"family":"Joseph","given":"Ameil J."}],"accessed":{"date-parts":[["2021",2,3]]},"issued":{"date-parts":[["2015"]]}}}],"schema":"https://github.com/citation-style-language/schema/raw/master/csl-citation.json"} </w:instrText>
      </w:r>
      <w:r w:rsidRPr="003F3D6D">
        <w:rPr>
          <w:rFonts w:cstheme="minorHAnsi"/>
        </w:rPr>
        <w:fldChar w:fldCharType="separate"/>
      </w:r>
      <w:r w:rsidRPr="00BF579D">
        <w:rPr>
          <w:rFonts w:ascii="Calibri" w:hAnsi="Calibri" w:cs="Calibri"/>
          <w:szCs w:val="24"/>
        </w:rPr>
        <w:t xml:space="preserve">See, for example, Avery (n 214); Shelley Bielefeld and Fleur Beaupert, ‘Income Management and Intersectionality: Analysing Compulsory Income Management through the Lenses of Critical Race Theory and Disability Studies (“discrit”)’ (2019) 41(3) </w:t>
      </w:r>
      <w:r w:rsidRPr="00BF579D">
        <w:rPr>
          <w:rFonts w:ascii="Calibri" w:hAnsi="Calibri" w:cs="Calibri"/>
          <w:i/>
          <w:iCs/>
          <w:szCs w:val="24"/>
        </w:rPr>
        <w:t>Sydney Law Review</w:t>
      </w:r>
      <w:r w:rsidRPr="00BF579D">
        <w:rPr>
          <w:rFonts w:ascii="Calibri" w:hAnsi="Calibri" w:cs="Calibri"/>
          <w:szCs w:val="24"/>
        </w:rPr>
        <w:t xml:space="preserve"> 327; Chris Chapman, ‘Five Centuries’ Material Reforms and Ethical Reformulations of Social Elimination’ in Liat Ben-Moshe, Chris Chapman and Allison C Carey (eds), </w:t>
      </w:r>
      <w:r w:rsidRPr="00BF579D">
        <w:rPr>
          <w:rFonts w:ascii="Calibri" w:hAnsi="Calibri" w:cs="Calibri"/>
          <w:i/>
          <w:iCs/>
          <w:szCs w:val="24"/>
        </w:rPr>
        <w:t>Disability Incarcerated: Imprisonment and Disability in the United States and Canada</w:t>
      </w:r>
      <w:r w:rsidRPr="00BF579D">
        <w:rPr>
          <w:rFonts w:ascii="Calibri" w:hAnsi="Calibri" w:cs="Calibri"/>
          <w:szCs w:val="24"/>
        </w:rPr>
        <w:t xml:space="preserve"> (Palgrave Macmillan US, 2014) 25, 25–44 &lt;https://doi.org/10.1057/9781137388476_2&gt;; Ameil J Joseph, ‘A Prescription for Violence: The Legacy of Colonization in Contemporary Forensic Mental Health and the Production of Difference’ (2014) 22(2) </w:t>
      </w:r>
      <w:r w:rsidRPr="00BF579D">
        <w:rPr>
          <w:rFonts w:ascii="Calibri" w:hAnsi="Calibri" w:cs="Calibri"/>
          <w:i/>
          <w:iCs/>
          <w:szCs w:val="24"/>
        </w:rPr>
        <w:t>Critical Criminology</w:t>
      </w:r>
      <w:r w:rsidRPr="00BF579D">
        <w:rPr>
          <w:rFonts w:ascii="Calibri" w:hAnsi="Calibri" w:cs="Calibri"/>
          <w:szCs w:val="24"/>
        </w:rPr>
        <w:t xml:space="preserve"> 273; Ameil J Joseph, </w:t>
      </w:r>
      <w:r w:rsidRPr="00BF579D">
        <w:rPr>
          <w:rFonts w:ascii="Calibri" w:hAnsi="Calibri" w:cs="Calibri"/>
          <w:i/>
          <w:iCs/>
          <w:szCs w:val="24"/>
        </w:rPr>
        <w:t>Deportation and the Confluence of Violence within Forensic Mental Health and Immigration Systems</w:t>
      </w:r>
      <w:r w:rsidRPr="00BF579D">
        <w:rPr>
          <w:rFonts w:ascii="Calibri" w:hAnsi="Calibri" w:cs="Calibri"/>
          <w:szCs w:val="24"/>
        </w:rPr>
        <w:t xml:space="preserve"> (Palgrave Macmillan, 2015) &lt;https://www.palgrave.com/gp/book/9781137513403&gt;.</w:t>
      </w:r>
      <w:r w:rsidRPr="003F3D6D">
        <w:rPr>
          <w:rFonts w:cstheme="minorHAnsi"/>
        </w:rPr>
        <w:fldChar w:fldCharType="end"/>
      </w:r>
    </w:p>
  </w:endnote>
  <w:endnote w:id="243">
    <w:p w14:paraId="7D993017" w14:textId="7B31AC44" w:rsidR="00A00236" w:rsidRPr="003F3D6D" w:rsidRDefault="00A00236" w:rsidP="007842E8">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{"citationID":"voqbktRZ","properties":{"formattedCitation":"Avery (n 214); David Hollinsworth, \\uc0\\u8216{}Decolonizing Indigenous Disability in Australia\\uc0\\u8217{} (2013) 28(5) {\\i{}Disability &amp; Society} 601; Joseph, \\uc0\\u8216{}A Prescription for Violence: The Legacy of Colonization in Contemporary Forensic Mental Health and the Production of Difference\\uc0\\u8217{} (n 242); Karen Soldatic, \\uc0\\u8216{}Post Colonial Re Productions: Disability, Indigeneity and the Formation of the White Masculine Settler State of Australia\\uc0\\u8217{} (2015) 21(1) {\\i{}Social Identities} 53.","plainCitation":"Avery (n 214); David Hollinsworth, ‘Decolonizing Indigenous Disability in Australia’ (2013) 28(5) Disability &amp; Society 601; Joseph, ‘A Prescription for Violence: The Legacy of Colonization in Contemporary Forensic Mental Health and the Production of Difference’ (n 242); Karen Soldatic, ‘Post Colonial Re Productions: Disability, Indigeneity and the Formation of the White Masculine Settler State of Australia’ (2015) 21(1) Social Identities 53.","noteIndex":243},"citationItems":[{"id":6201,"uris":["http://zotero.org/groups/2733877/items/WKULVEY2"],"uri":["http://zotero.org/groups/2733877/items/WKULVEY2"],"itemData":{"id":6201,"type":"book","abstract":"Currently out of stock Please notify me when the book becomes available.  Author: Scott Avery ‘Culture is Inclusion’ is a remarkable and compelling story of Aboriginal and Torres Strait Islander...","event-place":"Sydney","language":"en-AU","publisher":"First People's Disability Network (Australia)","publisher-place":"Sydney","title":"Culture is Inclusion: A narrative of Aboriginal and Torres Strait Islander people with disability.","URL":"https://fpdn.org.au/product/cultureisinclusion/","author":[{"family":"Avery","given":"Scott"}],"accessed":{"date-parts":[["2021",2,3]]},"issued":{"date-parts":[["2018"]]}}},{"id":6063,"uris":["http://zotero.org/groups/2733877/items/GAB9P3RN"],"uri":["http://zotero.org/groups/2733877/items/GAB9P3RN"],"itemData":{"id":6063,"type":"article-journal","abstract":"Cultural diversity and social inequality are often ignored or downplayed in disability services. Where they are recognized, racial and cultural differences are often essentialized, ignoring diversity within minority groups and intersectionality with other forms of oppression. This is often an issue for Indigenous Australians living with disability. This paper argues that understanding Indigenous disability in Australia requires a critical examination of the history of racism that has systematically disabled most Indigenous people across generations and continues to cause disproportionate rates of impairment. Approaches that focus on the cultural ‘otherness’ of Indigenous people and fail to address taken-for-granted normative ‘whiteness’ and institutional and discursive racism are unable to escape that history.","container-title":"Disability &amp; Society","DOI":"10.1080/09687599.2012.717879","ISSN":"0968-7599","issue":"5","note":"publisher: Routledge\n_eprint: https://doi.org/10.1080/09687599.2012.717879","page":"601-615","source":"Taylor and Francis+NEJM","title":"Decolonizing Indigenous disability in Australia","volume":"28","author":[{"family":"Hollinsworth","given":"David"}],"issued":{"date-parts":[["2013"]]}}},{"id":6030,"uris":["http://zotero.org/groups/2733877/items/SN3LJ2SN"],"uri":["http://zotero.org/groups/2733877/items/SN3LJ2SN"],"itemData":{"id":6030,"type":"article-journal","abstract":"In this paper I will argue, through the example of the “treatment” of racialized minorities diagnosed with mental illness, that the mental health system (including its unique laws, production of different identity categories and ruling disciplines), with its dogmatic adherence to and reliance on alleged expert opinion and internal inquiry, allows for the erasure of subaltern voices. Often we hear about a tragic incident as reported by the media about someone diagnosed with a mental illness who has committed a crime. These representations routinely present the person as violent, aggressive, uncontrollable, and unpredictable. Repeatedly the voice of the accused is not represented; his or her social, historical, and political contexts are not considered relevant. The technologies of the criminal justice and mental health system’s use of physical or chemical restraint, coercive treatment, or practices such as deportation are also not reported, thus reproducing systems of harm. We don’t get to look inside the asylum. Patients’ voices are excluded from the discursive practices, disciplinary hegemony or dominant regimes of truth within the mental health system. This creates a system impermeable to criticism, where violence continues to prevail. Through a discussion of the disproportionate criminalization and deportation of the mentally ill, the false associations between mental illness and violence, the colonial ancestry of internal inquiry, and example cases from the media, this paper reviews how these particular technologies of violence owe their inheritance to the orientalising, discursive practices and disciplinary hegemony developed during colonization that when ignored, reproduce the dehumanizing outcomes upon which they were built.","container-title":"Critical Criminology","DOI":"10.1007/s10612-013-9208-1","ISSN":"1572-9877","issue":"2","journalAbbreviation":"Crit Crim","language":"en","page":"273-292","source":"Springer Link","title":"A Prescription for Violence: The Legacy of Colonization in Contemporary Forensic Mental Health and the Production of Difference","volume":"22","author":[{"family":"Joseph","given":"Ameil J."}],"issued":{"date-parts":[["2014",5,1]]}}},{"id":6222,"uris":["http://zotero.org/groups/2733877/items/JK7ILDJZ"],"uri":["http://zotero.org/groups/2733877/items/JK7ILDJZ"],"itemData":{"id":6222,"type":"article-journal","abstract":"There has been a growing debate within the broad field of postcolonial scholarship which seeks to challenge both its territorial boundaries with the advent of globalization and its limitations when applied to the realm of white-settler societies. The debate has been extremely fruitful in situating emerging scholarship that seeks to extend postcoloniality, its theoretical framing, and the internal processes of social categorization for peoples caught within the nation-state's territorial sphere. Unfortunately, disability and indigeneity remain largely absent from these fresh debates; or when included, are explored as singular fields of analytical inquiry with little intersectional dialogue. With this paper, I aim to extend these nascent debates by critically engaging with both disability and indigeneity as two interlocking sites of (post)colonial nation-state power. To explicate this argument, my analysis focuses on a key historical moment in the Australian experience - the formation of the colonial white-settler society of Australia in its early years (1901-1920s), comparing and contrasting the systems of administrative management of disability and indigeneity. In doing so, the paper reveals the deep materialities of white, able-bodied, masculine, (post)colonial settler rule that bring together disability and indigeneity via gender reproductive controls. The conclusion reflects on the transformative effects of managing transgressive bodies and minds under the white able-bodied settler state and the potential this opens to negotiate practices of solidarity.","container-title":"Social Identities","DOI":"10.1080/13504630.2014.995352","issue":"1","journalAbbreviation":"Social Identities","page":"53-68","source":"ResearchGate","title":"Post colonial re productions: disability, indigeneity and the formation of the white masculine settler state of Australia","volume":"21","author":[{"family":"Soldatic","given":"Karen"}],"issued":{"date-parts":[["2015"]]}}}],"schema":"https://github.com/citation-style-language/schema/raw/master/csl-citation.json"} </w:instrText>
      </w:r>
      <w:r w:rsidRPr="003F3D6D">
        <w:rPr>
          <w:rFonts w:cstheme="minorHAnsi"/>
        </w:rPr>
        <w:fldChar w:fldCharType="separate"/>
      </w:r>
      <w:r w:rsidRPr="003644C1">
        <w:rPr>
          <w:rFonts w:ascii="Calibri" w:hAnsi="Calibri" w:cs="Calibri"/>
          <w:szCs w:val="24"/>
        </w:rPr>
        <w:t xml:space="preserve">Avery (n 214); David Hollinsworth, ‘Decolonizing Indigenous Disability in Australia’ (2013) 28(5) </w:t>
      </w:r>
      <w:r w:rsidRPr="003644C1">
        <w:rPr>
          <w:rFonts w:ascii="Calibri" w:hAnsi="Calibri" w:cs="Calibri"/>
          <w:i/>
          <w:iCs/>
          <w:szCs w:val="24"/>
        </w:rPr>
        <w:t>Disability &amp; Society</w:t>
      </w:r>
      <w:r w:rsidRPr="003644C1">
        <w:rPr>
          <w:rFonts w:ascii="Calibri" w:hAnsi="Calibri" w:cs="Calibri"/>
          <w:szCs w:val="24"/>
        </w:rPr>
        <w:t xml:space="preserve"> 601; Joseph, ‘A Prescription for Violence: The Legacy of Colonization in Contemporary Forensic Mental Health and the Production of Difference’ (n 242); Karen Soldatic, ‘Post Colonial Re Productions: Disability, Indigeneity and the Formation of the White Masculine Settler State of Australia’ (2015) 21(1) </w:t>
      </w:r>
      <w:r w:rsidRPr="003644C1">
        <w:rPr>
          <w:rFonts w:ascii="Calibri" w:hAnsi="Calibri" w:cs="Calibri"/>
          <w:i/>
          <w:iCs/>
          <w:szCs w:val="24"/>
        </w:rPr>
        <w:t>Social Identities</w:t>
      </w:r>
      <w:r w:rsidRPr="003644C1">
        <w:rPr>
          <w:rFonts w:ascii="Calibri" w:hAnsi="Calibri" w:cs="Calibri"/>
          <w:szCs w:val="24"/>
        </w:rPr>
        <w:t xml:space="preserve"> 53.</w:t>
      </w:r>
      <w:r w:rsidRPr="003F3D6D">
        <w:rPr>
          <w:rFonts w:cstheme="minorHAnsi"/>
        </w:rPr>
        <w:fldChar w:fldCharType="end"/>
      </w:r>
    </w:p>
  </w:endnote>
  <w:endnote w:id="244">
    <w:p w14:paraId="78D6D811" w14:textId="69CF349F" w:rsidR="00A00236" w:rsidRPr="003F3D6D" w:rsidRDefault="00A00236" w:rsidP="007842E8">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{"citationID":"1r1pCpmt","properties":{"formattedCitation":"Chapman (n 242); Chapman and Withers (n 114); Hollinsworth (n 243).","plainCitation":"Chapman (n 242); Chapman and Withers (n 114); Hollinsworth (n 243).","noteIndex":244},"citationItems":[{"id":6059,"uris":["http://zotero.org/groups/2733877/items/BCLBWIKX"],"uri":["http://zotero.org/groups/2733877/items/BCLBWIKX"],"itemData":{"id":6059,"type":"chapter","abstract":"I once worked in an institution where almost all the children were Indigenous. Many were children of survivors of “Indian Residential Schools,”1 and all had a disability diagnosis or suspected diagnosis recorded in their files (Chapman 2010; 2012). In wondering about historical developments through which places like this had emerged, I was surprised to find that North American timelines of the educationally oriented confinement of intellectually disabled people and of the Indian Residential School system mapped neatly onto one another. In the 1840s, both systems emerged, and their abolitions both began in the 1960s. What can be made of this? What historical developments paved the way for these new sites in the 1800s, and what legacies live beyond their specific abolitions, making contemporary incarcerations seem natural, politically neutral, and necessary (Ben-Moshe 2012; A. Davis 2003; Drinkwater 2005; Snyder and Mitchell 2006)? This chapter maps out tentative answers to these questions, exploring the “moral economies” (Ahmed 2010; Thobani 2007) circulating within five centuries’ forms and reforms of social elimination, through reading “political rationalities” (Foucault 1994b, c) that narrate practices of power.","container-title":"Disability Incarcerated: Imprisonment and Disability in the United States and Canada","event-place":"New York","ISBN":"978-1-137-38847-6","language":"en","note":"DOI: 10.1057/9781137388476_2","page":"25-44","publisher":"Palgrave Macmillan US","publisher-place":"New York","source":"Springer Link","title":"Five Centuries’ Material Reforms and Ethical Reformulations of Social Elimination","URL":"https://doi.org/10.1057/9781137388476_2","author":[{"family":"Chapman","given":"Chris"}],"editor":[{"family":"Ben-Moshe","given":"Liat"},{"family":"Chapman","given":"Chris"},{"family":"Carey","given":"Allison C."}],"accessed":{"date-parts":[["2021",2,3]]},"issued":{"date-parts":[["2014"]]}}},{"id":6079,"uris":["http://zotero.org/groups/2733877/items/WYT2YLFU"],"uri":["http://zotero.org/groups/2733877/items/WYT2YLFU"],"itemData":{"id":6079,"type":"book","abstract":"A Violent History of Benevolence traces how normative histories of liberalism, progress, and social work enact and obscure systemic violences. Chris Chapman and A.J. Withers explore how normative social work history is structured in such a way that contemporary social workers can know many details about social work&amp;#x2019;s violences, without ever imagining that they may also be complicit in these violences. Framings of social work history actively create present-day political and ethical irresponsibility, even among those who imagine themselves to be anti-oppressive, liberal, or radical.\nThe authors document many histories usually left out of social work discourse, including communities of Black social workers (who, among other things, never removed children from their homes involuntarily), the role of early social workers in advancing eugenics and mass confinement, and the resonant emergence of colonial education, psychiatry, and the penitentiary in the same decade. Ultimately, A Violent History of Benevolence aims to invite contemporary social workers and others to reflect on the complex nature of contemporary social work, and specifically on the present-day structural violences that social work enacts in the name of benevolence.","event-place":"Toronto","ISBN":"978-1-4426-2886-1","language":"en","publisher":"University of Toronto Press","publisher-place":"Toronto","source":"utorontopress.com","title":"A Violent History of Benevolence: Interlocking Oppression and Moral Economies of Social Working","URL":"https://utorontopress.com/us/a-violent-history-of-benevolence-2","author":[{"family":"Chapman","given":"Chris"},{"family":"Withers","given":"AJ"}],"accessed":{"date-parts":[["2021",2,2]]},"issued":{"date-parts":[["2019"]]}}},{"id":6063,"uris":["http://zotero.org/groups/2733877/items/GAB9P3RN"],"uri":["http://zotero.org/groups/2733877/items/GAB9P3RN"],"itemData":{"id":6063,"type":"article-journal","abstract":"Cultural diversity and social inequality are often ignored or downplayed in disability services. Where they are recognized, racial and cultural differences are often essentialized, ignoring diversity within minority groups and intersectionality with other forms of oppression. This is often an issue for Indigenous Australians living with disability. This paper argues that understanding Indigenous disability in Australia requires a critical examination of the history of racism that has systematically disabled most Indigenous people across generations and continues to cause disproportionate rates of impairment. Approaches that focus on the cultural ‘otherness’ of Indigenous people and fail to address taken-for-granted normative ‘whiteness’ and institutional and discursive racism are unable to escape that history.","container-title":"Disability &amp; Society","DOI":"10.1080/09687599.2012.717879","ISSN":"0968-7599","issue":"5","note":"publisher: Routledge\n_eprint: https://doi.org/10.1080/09687599.2012.717879","page":"601-615","source":"Taylor and Francis+NEJM","title":"Decolonizing Indigenous disability in Australia","volume":"28","author":[{"family":"Hollinsworth","given":"David"}],"issued":{"date-parts":[["2013"]]}}}],"schema":"https://github.com/citation-style-language/schema/raw/master/csl-citation.json"} </w:instrText>
      </w:r>
      <w:r w:rsidRPr="003F3D6D">
        <w:rPr>
          <w:rFonts w:cstheme="minorHAnsi"/>
        </w:rPr>
        <w:fldChar w:fldCharType="separate"/>
      </w:r>
      <w:r w:rsidRPr="003644C1">
        <w:rPr>
          <w:rFonts w:ascii="Calibri" w:hAnsi="Calibri" w:cs="Calibri"/>
        </w:rPr>
        <w:t>Chapman (n 242); Chapman and Withers (n 114); Hollinsworth (n 243).</w:t>
      </w:r>
      <w:r w:rsidRPr="003F3D6D">
        <w:rPr>
          <w:rFonts w:cstheme="minorHAnsi"/>
        </w:rPr>
        <w:fldChar w:fldCharType="end"/>
      </w:r>
    </w:p>
  </w:endnote>
  <w:endnote w:id="245">
    <w:p w14:paraId="1AB5805D" w14:textId="311592F7" w:rsidR="00A00236" w:rsidRPr="003F3D6D" w:rsidRDefault="00A00236" w:rsidP="009C7634">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{"citationID":"fF9GFIYT","properties":{"formattedCitation":"See Royal Commission into Violence, Abuse, Neglect and Exploitation of People with Disability, \\uc0\\u8216{}Interim Report\\uc0\\u8217{} (n 69) 207: \\uc0\\u8216{}Despite availability of a range of non-restrictive ways to manage changed behaviour, workload pressures can often mean that there is not time to do anything other than to restrain older people. Even where staff members are adequately trained, they may not be supported to deliver alternatives and restraint may be used as a way of managing workload.\\uc0\\u8217{}","plainCitation":"See Royal Commission into Violence, Abuse, Neglect and Exploitation of People with Disability, ‘Interim Report’ (n 69) 207: ‘Despite availability of a range of non-restrictive ways to manage changed behaviour, workload pressures can often mean that there is not time to do anything other than to restrain older people. Even where staff members are adequately trained, they may not be supported to deliver alternatives and restraint may be used as a way of managing workload.’","noteIndex":245},"citationItems":[{"id":5967,"uris":["http://zotero.org/groups/2733877/items/NSCKRVDK"],"uri":["http://zotero.org/groups/2733877/items/NSCKRVDK"],"itemData":{"id":5967,"type":"report","abstract":"Annotation.","event-place":"Brisbane","language":"en","note":"OCLC: 1230218362","publisher":"Commonwealth of Australia","publisher-place":"Brisbane","source":"Open WorldCat","title":"Interim Report","URL":"https://disability.royalcommission.gov.au/publications/interim-report","author":[{"family":"Royal Commission into Violence, Abuse, Neglect and Exploitation of People with Disability","given":""}],"issued":{"date-parts":[["2020",10]]}},"locator":"207","prefix":"See ","suffix":": 'Despite availability of a range of non-restrictive ways to manage changed behaviour, workload pressures can often mean that there is not time to do anything other than to restrain older people. Even where staff members are adequately trained, they may not be supported to deliver alternatives and restraint may be used as a way of managing workload.'"}],"schema":"https://github.com/citation-style-language/schema/raw/master/csl-citation.json"} </w:instrText>
      </w:r>
      <w:r w:rsidRPr="003F3D6D">
        <w:rPr>
          <w:rFonts w:cstheme="minorHAnsi"/>
        </w:rPr>
        <w:fldChar w:fldCharType="separate"/>
      </w:r>
      <w:r w:rsidRPr="00794E5D">
        <w:rPr>
          <w:rFonts w:ascii="Calibri" w:hAnsi="Calibri" w:cs="Calibri"/>
          <w:szCs w:val="24"/>
        </w:rPr>
        <w:t>See Royal Commission into Violence, Abuse, Neglect and Exploitation of People with Disability, ‘Interim Report’ (n 69) 207: ‘Despite availability of a range of non-restrictive ways to manage changed behaviour, workload pressures can often mean that there is not time to do anything other than to restrain older people. Even where staff members are adequately trained, they may not be supported to deliver alternatives and restraint may be used as a way of managing workload.’</w:t>
      </w:r>
      <w:r w:rsidRPr="003F3D6D">
        <w:rPr>
          <w:rFonts w:cstheme="minorHAnsi"/>
        </w:rPr>
        <w:fldChar w:fldCharType="end"/>
      </w:r>
    </w:p>
  </w:endnote>
  <w:endnote w:id="246">
    <w:p w14:paraId="49481C1A" w14:textId="48BEE74B" w:rsidR="00A00236" w:rsidRPr="003F3D6D" w:rsidRDefault="00A00236" w:rsidP="006863F7">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{"citationID":"bpHg6iay","properties":{"formattedCitation":"Nirmala Erevelles, {\\i{}Disability and Difference in Global Contexts: Enabling a Transformative Body Politic} (Palgrave Macmillan, 2011) &lt;https://www.palgrave.com/gp/book/9780230100183&gt;.","plainCitation":"Nirmala Erevelles, Disability and Difference in Global Contexts: Enabling a Transformative Body Politic (Palgrave Macmillan, 2011) &lt;https://www.palgrave.com/gp/book/9780230100183&gt;.","noteIndex":246},"citationItems":[{"id":6193,"uris":["http://zotero.org/groups/2733877/items/79BDE4CI"],"uri":["http://zotero.org/groups/2733877/items/79BDE4CI"],"itemData":{"id":6193,"type":"book","abstract":"Disability and Difference in Global Contexts explores the possibilities and limitations re-theorizing disability using historical materialism in the interdisciplinary contexts of social theory, cultural studies, social and education policy, feminist ethics, and theories of citizenship.","event-place":"New York","ISBN":"978-0-230-10018-3","language":"en","note":"DOI: 10.1057/9781137001184","publisher":"Palgrave Macmillan","publisher-place":"New York","source":"www.palgrave.com","title":"Disability and Difference in Global Contexts: Enabling a Transformative Body Politic","URL":"https://www.palgrave.com/gp/book/9780230100183","author":[{"family":"Erevelles","given":"Nirmala"}],"accessed":{"date-parts":[["2021",2,2]]},"issued":{"date-parts":[["2011"]]}}}],"schema":"https://github.com/citation-style-language/schema/raw/master/csl-citation.json"} </w:instrText>
      </w:r>
      <w:r w:rsidRPr="003F3D6D">
        <w:rPr>
          <w:rFonts w:cstheme="minorHAnsi"/>
        </w:rPr>
        <w:fldChar w:fldCharType="separate"/>
      </w:r>
      <w:r w:rsidRPr="003F3D6D">
        <w:rPr>
          <w:rFonts w:cstheme="minorHAnsi"/>
        </w:rPr>
        <w:t xml:space="preserve">Nirmala Erevelles, </w:t>
      </w:r>
      <w:r w:rsidRPr="003F3D6D">
        <w:rPr>
          <w:rFonts w:cstheme="minorHAnsi"/>
          <w:i/>
          <w:iCs/>
        </w:rPr>
        <w:t>Disability and Difference in Global Contexts: Enabling a Transformative Body Politic</w:t>
      </w:r>
      <w:r w:rsidRPr="003F3D6D">
        <w:rPr>
          <w:rFonts w:cstheme="minorHAnsi"/>
        </w:rPr>
        <w:t xml:space="preserve"> (Palgrave Macmillan, 2011) &lt;https://www.palgrave.com/gp/book/9780230100183&gt;.</w:t>
      </w:r>
      <w:r w:rsidRPr="003F3D6D">
        <w:rPr>
          <w:rFonts w:cstheme="minorHAnsi"/>
        </w:rPr>
        <w:fldChar w:fldCharType="end"/>
      </w:r>
    </w:p>
  </w:endnote>
  <w:endnote w:id="247">
    <w:p w14:paraId="6E6AE091" w14:textId="72631036" w:rsidR="00A00236" w:rsidRPr="003F3D6D" w:rsidRDefault="00A00236" w:rsidP="006863F7">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{"citationID":"ybMaKKCa","properties":{"formattedCitation":"Geoffrey Reaume, {\\i{}Remembrance of Patients Past: Patient Life at the Toronto Hospital for the Insane, 1870-1940} (University of Toronto Press, 2009) &lt;https://utorontopress.com/us/remembrance-of-patients-past-3&gt;.","plainCitation":"Geoffrey Reaume, Remembrance of Patients Past: Patient Life at the Toronto Hospital for the Insane, 1870-1940 (University of Toronto Press, 2009) &lt;https://utorontopress.com/us/remembrance-of-patients-past-3&gt;.","noteIndex":247},"citationItems":[{"id":6181,"uris":["http://zotero.org/groups/2733877/items/X6Y7DI8P"],"uri":["http://zotero.org/groups/2733877/items/X6Y7DI8P"],"itemData":{"id":6181,"type":"book","abstract":"In Remembrance of Patients Past, historian Geoffrey Reaume remembers previously forgotten psychiatric patients by examining in rich detail their daily life at the Toronto Hospital for the Insane (now called the Centre for Addiction and Mental Health &amp;#x2013;&amp;nbsp;CAMH) from 1870-1940. Psychiatric patients endured abuse and could lead monotonous lives inside the asylum's walls, yet these same women and men worked hard at unpaid institutional jobs for years and decades on end, created their own entertainment, even in some cases made their own clothes, while forming meaningful relationships with other patients and some staff.\nUsing first person accounts by and about patients &amp;#x2013;&amp;nbsp;including letters written by inmates which were confiscated by hospital staff &amp;#x2013;&amp;nbsp;Reaume weaves together a tapestry of stories about the daily lives of people confined behind brick walls that patients themselves built.","event-place":"Toronto","ISBN":"978-1-4426-1075-0","language":"en","publisher":"University of Toronto Press","publisher-place":"Toronto","source":"utorontopress.com","title":"Remembrance of Patients Past: Patient Life at the Toronto Hospital for the Insane, 1870-1940","URL":"https://utorontopress.com/us/remembrance-of-patients-past-3","author":[{"family":"Reaume","given":"Geoffrey"}],"accessed":{"date-parts":[["2021",2,2]]},"issued":{"date-parts":[["2009"]]}}}],"schema":"https://github.com/citation-style-language/schema/raw/master/csl-citation.json"} </w:instrText>
      </w:r>
      <w:r w:rsidRPr="003F3D6D">
        <w:rPr>
          <w:rFonts w:cstheme="minorHAnsi"/>
        </w:rPr>
        <w:fldChar w:fldCharType="separate"/>
      </w:r>
      <w:r w:rsidRPr="003F3D6D">
        <w:rPr>
          <w:rFonts w:cstheme="minorHAnsi"/>
        </w:rPr>
        <w:t xml:space="preserve">Geoffrey Reaume, </w:t>
      </w:r>
      <w:r w:rsidRPr="003F3D6D">
        <w:rPr>
          <w:rFonts w:cstheme="minorHAnsi"/>
          <w:i/>
          <w:iCs/>
        </w:rPr>
        <w:t>Remembrance of Patients Past: Patient Life at the Toronto Hospital for the Insane, 1870-1940</w:t>
      </w:r>
      <w:r w:rsidRPr="003F3D6D">
        <w:rPr>
          <w:rFonts w:cstheme="minorHAnsi"/>
        </w:rPr>
        <w:t xml:space="preserve"> (University of Toronto Press, 2009) &lt;https://utorontopress.com/us/remembrance-of-patients-past-3&gt;.</w:t>
      </w:r>
      <w:r w:rsidRPr="003F3D6D">
        <w:rPr>
          <w:rFonts w:cstheme="minorHAnsi"/>
        </w:rPr>
        <w:fldChar w:fldCharType="end"/>
      </w:r>
    </w:p>
  </w:endnote>
  <w:endnote w:id="248">
    <w:p w14:paraId="6EB249E2" w14:textId="45DBC7ED" w:rsidR="00A00236" w:rsidRPr="003F3D6D" w:rsidRDefault="00A00236" w:rsidP="00CE19B7">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{"citationID":"vQCfdqAO","properties":{"formattedCitation":"Liat Ben-Moshe and Jean Stewart, \\uc0\\u8216{}Disablement, Prison and Historical Segregation: 15 Years Later\\uc0\\u8217{} in Ravi Malhotra (ed), {\\i{}Disability Politics in a Global Economy: Essays in Honour of Marta Russell} (Routledge, 2017) 87 &lt;https://www.routledge.com/Disability-Politics-in-a-Global-Economy-Essays-in-Honour-of-Marta-Russell/Malhotra/p/book/9781138590946&gt;.","plainCitation":"Liat Ben-Moshe and Jean Stewart, ‘Disablement, Prison and Historical Segregation: 15 Years Later’ in Ravi Malhotra (ed), Disability Politics in a Global Economy: Essays in Honour of Marta Russell (Routledge, 2017) 87 &lt;https://www.routledge.com/Disability-Politics-in-a-Global-Economy-Essays-in-Honour-of-Marta-Russell/Malhotra/p/book/9781138590946&gt;.","noteIndex":248},"citationItems":[{"id":6199,"uris":["http://zotero.org/groups/2733877/items/ZT5Z5443"],"uri":["http://zotero.org/groups/2733877/items/ZT5Z5443"],"itemData":{"id":6199,"type":"chapter","abstract":"While the visibility of disability studies has increased in recent years, few have thoroughly examined the marginalization of people with disabilities through the lens of political economy. This was the great contribution of Marta Russell (1951-2013), an activist and prominent scholar in the United States and best known for her analyses of the issues faced by people with disabilities. \nThis book examines the legacy of Marta Russell, bringing together distinguished scholars and activists such as","container-title":"Disability Politics in a Global Economy: Essays in Honour of Marta Russell","event-place":"Abingdon &amp; New York","language":"en","page":"87-104","publisher":"Routledge","publisher-place":"Abingdon &amp; New York","title":"Disablement, prison and historical segregation: 15 years later","URL":"https://www.routledge.com/Disability-Politics-in-a-Global-Economy-Essays-in-Honour-of-Marta-Russell/Malhotra/p/book/9781138590946","author":[{"family":"Ben-Moshe","given":"Liat"},{"family":"Stewart","given":"Jean"}],"editor":[{"family":"Malhotra","given":"Ravi"}],"accessed":{"date-parts":[["2021",2,2]]},"issued":{"date-parts":[["2017"]]}}}],"schema":"https://github.com/citation-style-language/schema/raw/master/csl-citation.json"} </w:instrText>
      </w:r>
      <w:r w:rsidRPr="003F3D6D">
        <w:rPr>
          <w:rFonts w:cstheme="minorHAnsi"/>
        </w:rPr>
        <w:fldChar w:fldCharType="separate"/>
      </w:r>
      <w:r w:rsidRPr="003F3D6D">
        <w:rPr>
          <w:rFonts w:cstheme="minorHAnsi"/>
        </w:rPr>
        <w:t xml:space="preserve">Liat Ben-Moshe and Jean Stewart, ‘Disablement, Prison and Historical Segregation: 15 Years Later’ in Ravi Malhotra (ed), </w:t>
      </w:r>
      <w:r w:rsidRPr="003F3D6D">
        <w:rPr>
          <w:rFonts w:cstheme="minorHAnsi"/>
          <w:i/>
          <w:iCs/>
        </w:rPr>
        <w:t>Disability Politics in a Global Economy: Essays in Honour of Marta Russell</w:t>
      </w:r>
      <w:r w:rsidRPr="003F3D6D">
        <w:rPr>
          <w:rFonts w:cstheme="minorHAnsi"/>
        </w:rPr>
        <w:t xml:space="preserve"> (Routledge, 2017) 87 &lt;https://www.routledge.com/Disability-Politics-in-a-Global-Economy-Essays-in-Honour-of-Marta-Russell/Malhotra/p/book/9781138590946&gt;.</w:t>
      </w:r>
      <w:r w:rsidRPr="003F3D6D">
        <w:rPr>
          <w:rFonts w:cstheme="minorHAnsi"/>
        </w:rPr>
        <w:fldChar w:fldCharType="end"/>
      </w:r>
    </w:p>
  </w:endnote>
  <w:endnote w:id="249">
    <w:p w14:paraId="6F4BC34B" w14:textId="21ADE16A" w:rsidR="00A00236" w:rsidRPr="00FB7FF2" w:rsidRDefault="00A00236">
      <w:pPr>
        <w:pStyle w:val="EndnoteText"/>
        <w:rPr>
          <w:lang w:val="en-AU"/>
        </w:rPr>
      </w:pPr>
      <w:r>
        <w:rPr>
          <w:rStyle w:val="EndnoteReference"/>
        </w:rPr>
        <w:endnoteRef/>
      </w:r>
      <w:r>
        <w:t xml:space="preserve"> </w:t>
      </w:r>
      <w:r>
        <w:fldChar w:fldCharType="begin"/>
      </w:r>
      <w:r>
        <w:instrText xml:space="preserve"> ADDIN ZOTERO_ITEM CSL_CITATION {"citationID":"Fvdsrd1d","properties":{"formattedCitation":"Steele and Goldblatt (n 203).","plainCitation":"Steele and Goldblatt (n 203).","noteIndex":249},"citationItems":[{"id":6174,"uris":["http://zotero.org/groups/2733877/items/45EDFJCY"],"uri":["http://zotero.org/groups/2733877/items/45EDFJCY"],"itemData":{"id":6174,"type":"chapter","container-title":"The Palgrave Handbook of Critical Menstruation Studies","page":"77","publisher":"Palgrave Macmillan","title":"The human rights of women and girls with disabilities: sterilisation and other coercive responses to menstruation","author":[{"family":"Steele","given":"Linda"},{"family":"Goldblatt","given":"Beth"}],"editor":[{"family":"Bobel","given":"Chris"},{"family":"Winkler","given":"Inga T"},{"family":"Fahs","given":"Breanne"},{"family":"Hasson","given":"Katie A"},{"family":"Kissling","given":"Elizabeth Arveda"},{"family":"Roberts","given":"Tomi-Ann"}],"issued":{"date-parts":[["2020"]]}}}],"schema":"https://github.com/citation-style-language/schema/raw/master/csl-citation.json"} </w:instrText>
      </w:r>
      <w:r>
        <w:fldChar w:fldCharType="separate"/>
      </w:r>
      <w:r w:rsidRPr="00A43287">
        <w:rPr>
          <w:rFonts w:ascii="Calibri" w:hAnsi="Calibri" w:cs="Calibri"/>
        </w:rPr>
        <w:t>Steele and Goldblatt (n 203).</w:t>
      </w:r>
      <w:r>
        <w:fldChar w:fldCharType="end"/>
      </w:r>
    </w:p>
  </w:endnote>
  <w:endnote w:id="250">
    <w:p w14:paraId="2FF23328" w14:textId="23DA858F" w:rsidR="00A00236" w:rsidRPr="003F3D6D" w:rsidRDefault="00A00236" w:rsidP="00646BC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{"citationID":"LPvSxdc1","properties":{"formattedCitation":"Committee on the Rights of Persons with Disabilities, \\uc0\\u8216{}General Comment No. 3 on Article 6: Women and Girls with Disabilities\\uc0\\u8217{} (n 96).","plainCitation":"Committee on the Rights of Persons with Disabilities, ‘General Comment No. 3 on Article 6: Women and Girls with Disabilities’ (n 96).","noteIndex":250},"citationItems":[{"id":6048,"uris":["http://zotero.org/groups/2733877/items/EJBHWJ76"],"uri":["http://zotero.org/groups/2733877/items/EJBHWJ76"],"itemData":{"id":6048,"type":"report","abstract":"Advance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Disabilities","given":""}],"accessed":{"date-parts":[["2021",2,1]]},"issued":{"date-parts":[["2016",9,2]]}}}],"schema":"https://github.com/citation-style-language/schema/raw/master/csl-citation.json"} </w:instrText>
      </w:r>
      <w:r w:rsidRPr="003F3D6D">
        <w:rPr>
          <w:rFonts w:cstheme="minorHAnsi"/>
        </w:rPr>
        <w:fldChar w:fldCharType="separate"/>
      </w:r>
      <w:r w:rsidRPr="00562342">
        <w:rPr>
          <w:rFonts w:ascii="Calibri" w:hAnsi="Calibri" w:cs="Calibri"/>
          <w:szCs w:val="24"/>
        </w:rPr>
        <w:t>Committee on the Rights of Persons with Disabilities, ‘General Comment No. 3 on Article 6: Women and Girls with Disabilities’ (n 96).</w:t>
      </w:r>
      <w:r w:rsidRPr="003F3D6D">
        <w:rPr>
          <w:rFonts w:cstheme="minorHAnsi"/>
        </w:rPr>
        <w:fldChar w:fldCharType="end"/>
      </w:r>
    </w:p>
  </w:endnote>
  <w:endnote w:id="251">
    <w:p w14:paraId="608F00B7" w14:textId="70680C01" w:rsidR="00A00236" w:rsidRPr="003F3D6D" w:rsidRDefault="00A00236" w:rsidP="00251903">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{"citationID":"FVLDHHdi","properties":{"formattedCitation":"Steele, \\uc0\\u8216{}Disability, Abnormality and Criminal Law: Sterilisation as Lawful and \\uc0\\u8220{}Good\\uc0\\u8221{} Violence\\uc0\\u8217{} (n 203); Beth Goldblatt and Linda Steele, \\uc0\\u8216{}Bloody Unfair: Inequality Related to Menstruation \\uc0\\u8211{} Considering the Role of Discrimination Law\\uc0\\u8217{} (2019) 41(3) {\\i{}Sydney Law Review} 293; Steele and Goldblatt (n 203).","plainCitation":"Steele, ‘Disability, Abnormality and Criminal Law: Sterilisation as Lawful and “Good” Violence’ (n 203); Beth Goldblatt and Linda Steele, ‘Bloody Unfair: Inequality Related to Menstruation – Considering the Role of Discrimination Law’ (2019) 41(3) Sydney Law Review 293; Steele and Goldblatt (n 203).","noteIndex":251},"citationItems":[{"id":6208,"uris":["http://zotero.org/groups/2733877/items/38MIRITQ"],"uri":["http://zotero.org/groups/2733877/items/38MIRITQ"],"itemData":{"id":6208,"type":"article-journal","container-title":"Griffith Law Review","DOI":"10.1080/10383441.2014.1000223","issue":"3","page":"467-497","title":"Disability, abnormality and criminal law: sterilisation as lawful and \"good\" violence","volume":"23","author":[{"family":"Steele","given":"Linda"}],"issued":{"date-parts":[["2014",1,1]]}}},{"id":5964,"uris":["http://zotero.org/groups/2733877/items/UEEB2UIM"],"uri":["http://zotero.org/groups/2733877/items/UEEB2UIM"],"itemData":{"id":5964,"type":"article-journal","container-title":"Sydney Law Review","issue":"3","page":"293","title":"Bloody Unfair: Inequality Related to Menstruation – Considering the Role of Discrimination Law","volume":"41","author":[{"family":"Goldblatt","given":"Beth"},{"family":"Steele","given":"Linda"}],"issued":{"date-parts":[["2019"]]}}},{"id":6174,"uris":["http://zotero.org/groups/2733877/items/45EDFJCY"],"uri":["http://zotero.org/groups/2733877/items/45EDFJCY"],"itemData":{"id":6174,"type":"chapter","container-title":"The Palgrave Handbook of Critical Menstruation Studies","page":"77","publisher":"Palgrave Macmillan","title":"The human rights of women and girls with disabilities: sterilisation and other coercive responses to menstruation","author":[{"family":"Steele","given":"Linda"},{"family":"Goldblatt","given":"Beth"}],"editor":[{"family":"Bobel","given":"Chris"},{"family":"Winkler","given":"Inga T"},{"family":"Fahs","given":"Breanne"},{"family":"Hasson","given":"Katie A"},{"family":"Kissling","given":"Elizabeth Arveda"},{"family":"Roberts","given":"Tomi-Ann"}],"issued":{"date-parts":[["2020"]]}}}],"schema":"https://github.com/citation-style-language/schema/raw/master/csl-citation.json"} </w:instrText>
      </w:r>
      <w:r w:rsidRPr="003F3D6D">
        <w:rPr>
          <w:rFonts w:cstheme="minorHAnsi"/>
        </w:rPr>
        <w:fldChar w:fldCharType="separate"/>
      </w:r>
      <w:r w:rsidRPr="00A43287">
        <w:rPr>
          <w:rFonts w:ascii="Calibri" w:hAnsi="Calibri" w:cs="Calibri"/>
          <w:szCs w:val="24"/>
        </w:rPr>
        <w:t xml:space="preserve">Steele, ‘Disability, Abnormality and Criminal Law: Sterilisation as Lawful and “Good” Violence’ (n 203); Beth Goldblatt and Linda Steele, ‘Bloody Unfair: Inequality Related to Menstruation – Considering the Role of Discrimination Law’ (2019) 41(3) </w:t>
      </w:r>
      <w:r w:rsidRPr="00A43287">
        <w:rPr>
          <w:rFonts w:ascii="Calibri" w:hAnsi="Calibri" w:cs="Calibri"/>
          <w:i/>
          <w:iCs/>
          <w:szCs w:val="24"/>
        </w:rPr>
        <w:t>Sydney Law Review</w:t>
      </w:r>
      <w:r w:rsidRPr="00A43287">
        <w:rPr>
          <w:rFonts w:ascii="Calibri" w:hAnsi="Calibri" w:cs="Calibri"/>
          <w:szCs w:val="24"/>
        </w:rPr>
        <w:t xml:space="preserve"> 293; Steele and Goldblatt (n 203).</w:t>
      </w:r>
      <w:r w:rsidRPr="003F3D6D">
        <w:rPr>
          <w:rFonts w:cstheme="minorHAnsi"/>
        </w:rPr>
        <w:fldChar w:fldCharType="end"/>
      </w:r>
    </w:p>
  </w:endnote>
  <w:endnote w:id="252">
    <w:p w14:paraId="0C314740" w14:textId="1D55DA97"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5F31C4">
        <w:rPr>
          <w:rFonts w:cstheme="minorHAnsi"/>
        </w:rPr>
        <w:instrText xml:space="preserve"> ADDIN ZOTERO_ITEM CSL_CITATION {"citationID":"HleXJAWT","properties":{"formattedCitation":"See, for example, the discussion of \\uc0\\u8216{}Molly\\uc0\\u8217{} in Steele, {\\i{}Disability, Criminal Justice and Law Reconsidering Court Diversion} (n 193) 5.","plainCitation":"See, for example, the discussion of ‘Molly’ in Steele, Disability, Criminal Justice and Law Reconsidering Court Diversion (n 193) 5.","noteIndex":252},"citationItems":[{"id":5948,"uris":["http://zotero.org/groups/2733877/items/GXS7S9UM"],"uri":["http://zotero.org/groups/2733877/items/GXS7S9UM"],"itemData":{"id":5948,"type":"book","event-place":"Abingdon","publisher":"Routledge","publisher-place":"Abingdon","title":"Disability, Criminal Justice and Law Reconsidering Court Diversion","URL":"https://www.routledge.com/Disability-Criminal-Justice-and-Law-Reconsidering-Court-Diversion/Steele/p/book/9780815375265","author":[{"family":"Steele","given":"Linda"}],"issued":{"date-parts":[["2020"]]}},"locator":"5","label":"chapter","prefix":"See, for example, the discussion of 'Molly' in "}],"schema":"https://github.com/citation-style-language/schema/raw/master/csl-citation.json"} </w:instrText>
      </w:r>
      <w:r w:rsidRPr="003F3D6D">
        <w:rPr>
          <w:rFonts w:cstheme="minorHAnsi"/>
        </w:rPr>
        <w:fldChar w:fldCharType="separate"/>
      </w:r>
      <w:r w:rsidR="005F31C4" w:rsidRPr="005F31C4">
        <w:rPr>
          <w:rFonts w:ascii="Calibri" w:hAnsi="Calibri" w:cs="Calibri"/>
          <w:szCs w:val="24"/>
        </w:rPr>
        <w:t xml:space="preserve">See, for example, the discussion of ‘Molly’ in Steele, </w:t>
      </w:r>
      <w:r w:rsidR="005F31C4" w:rsidRPr="005F31C4">
        <w:rPr>
          <w:rFonts w:ascii="Calibri" w:hAnsi="Calibri" w:cs="Calibri"/>
          <w:i/>
          <w:iCs/>
          <w:szCs w:val="24"/>
        </w:rPr>
        <w:t>Disability, Criminal Justice and Law Reconsidering Court Diversion</w:t>
      </w:r>
      <w:r w:rsidR="005F31C4" w:rsidRPr="005F31C4">
        <w:rPr>
          <w:rFonts w:ascii="Calibri" w:hAnsi="Calibri" w:cs="Calibri"/>
          <w:szCs w:val="24"/>
        </w:rPr>
        <w:t xml:space="preserve"> (n 193) 5.</w:t>
      </w:r>
      <w:r w:rsidRPr="003F3D6D">
        <w:rPr>
          <w:rFonts w:cstheme="minorHAnsi"/>
        </w:rPr>
        <w:fldChar w:fldCharType="end"/>
      </w:r>
    </w:p>
  </w:endnote>
  <w:endnote w:id="253">
    <w:p w14:paraId="59871773" w14:textId="4F2EE6ED" w:rsidR="00A00236" w:rsidRPr="003F3D6D" w:rsidRDefault="00A00236" w:rsidP="0083460E">
      <w:pPr>
        <w:pStyle w:val="EndnoteText"/>
        <w:rPr>
          <w:rFonts w:cstheme="minorHAnsi"/>
          <w:lang w:val="en-AU"/>
        </w:rPr>
      </w:pPr>
      <w:r w:rsidRPr="003F3D6D">
        <w:rPr>
          <w:rStyle w:val="EndnoteReference"/>
          <w:rFonts w:cstheme="minorHAnsi"/>
        </w:rPr>
        <w:endnoteRef/>
      </w:r>
      <w:r>
        <w:rPr>
          <w:rFonts w:cstheme="minorHAnsi"/>
        </w:rPr>
        <w:t xml:space="preserve"> </w:t>
      </w:r>
      <w:r>
        <w:rPr>
          <w:rFonts w:cstheme="minorHAnsi"/>
        </w:rPr>
        <w:fldChar w:fldCharType="begin"/>
      </w:r>
      <w:r>
        <w:rPr>
          <w:rFonts w:cstheme="minorHAnsi"/>
        </w:rPr>
        <w:instrText xml:space="preserve"> ADDIN ZOTERO_ITEM CSL_CITATION {"citationID":"YSkU9NI0","properties":{"formattedCitation":"Mary Stathopoulos et al, {\\i{}Addressing Women\\uc0\\u8217{}s Victimisation Histories in Custodial Settings} (Australian Institute of Family Studies, December 2012).","plainCitation":"Mary Stathopoulos et al, Addressing Women’s Victimisation Histories in Custodial Settings (Australian Institute of Family Studies, December 2012).","noteIndex":253},"citationItems":[{"id":8713,"uris":["http://zotero.org/users/5279374/items/JNEJ8T5Z"],"uri":["http://zotero.org/users/5279374/items/JNEJ8T5Z"],"itemData":{"id":8713,"type":"report","collection-title":"ACSSA Issues","event-place":"Melbourne","publisher":"Australian Institute of Family Studies","publisher-place":"Melbourne","title":"Addressing Women's Victimisation Histories in Custodial Settings","author":[{"family":"Stathopoulos","given":"Mary"},{"literal":"Antonia Quadara"},{"family":"Fileborn","given":"Bianca"},{"family":"Clark","given":"Haley"}],"issued":{"date-parts":[["2012",12]]}}}],"schema":"https://github.com/citation-style-language/schema/raw/master/csl-citation.json"} </w:instrText>
      </w:r>
      <w:r>
        <w:rPr>
          <w:rFonts w:cstheme="minorHAnsi"/>
        </w:rPr>
        <w:fldChar w:fldCharType="separate"/>
      </w:r>
      <w:r w:rsidRPr="003F319F">
        <w:rPr>
          <w:rFonts w:ascii="Calibri" w:hAnsi="Calibri" w:cs="Calibri"/>
          <w:szCs w:val="24"/>
        </w:rPr>
        <w:t xml:space="preserve">Mary Stathopoulos et al, </w:t>
      </w:r>
      <w:r w:rsidRPr="003F319F">
        <w:rPr>
          <w:rFonts w:ascii="Calibri" w:hAnsi="Calibri" w:cs="Calibri"/>
          <w:i/>
          <w:iCs/>
          <w:szCs w:val="24"/>
        </w:rPr>
        <w:t>Addressing Women’s Victimisation Histories in Custodial Settings</w:t>
      </w:r>
      <w:r w:rsidRPr="003F319F">
        <w:rPr>
          <w:rFonts w:ascii="Calibri" w:hAnsi="Calibri" w:cs="Calibri"/>
          <w:szCs w:val="24"/>
        </w:rPr>
        <w:t xml:space="preserve"> (Australian Institute of Family Studies, December 2012).</w:t>
      </w:r>
      <w:r>
        <w:rPr>
          <w:rFonts w:cstheme="minorHAnsi"/>
        </w:rPr>
        <w:fldChar w:fldCharType="end"/>
      </w:r>
    </w:p>
  </w:endnote>
  <w:endnote w:id="254">
    <w:p w14:paraId="2E0E3B0A" w14:textId="224EB819"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Pr>
          <w:rFonts w:cstheme="minorHAnsi"/>
        </w:rPr>
        <w:fldChar w:fldCharType="begin"/>
      </w:r>
      <w:r>
        <w:rPr>
          <w:rFonts w:cstheme="minorHAnsi"/>
        </w:rPr>
        <w:instrText xml:space="preserve"> ADDIN ZOTERO_ITEM CSL_CITATION {"citationID":"eF0dvVWG","properties":{"formattedCitation":"Rob Nixon, {\\i{}Slow Violence and the Environmentalism of the Poor} (Harvard University Press, 2013) 2 &lt;https://www.hup.harvard.edu/catalog.php?isbn=9780674072343&gt;.","plainCitation":"Rob Nixon, Slow Violence and the Environmentalism of the Poor (Harvard University Press, 2013) 2 &lt;https://www.hup.harvard.edu/catalog.php?isbn=9780674072343&gt;.","noteIndex":254},"citationItems":[{"id":6062,"uris":["http://zotero.org/groups/2733877/items/3WKHHI6Z"],"uri":["http://zotero.org/groups/2733877/items/3WKHHI6Z"],"itemData":{"id":6062,"type":"book","abstract":"'Slow violence' from climate change, toxic drift, deforestation, oil spills, and the environmental aftermath of war occurs gradually and often invisibly. Rob Nixon focuses on the inattention we have paid to the lethality of many environmental crises, in contrast with the sensational, spectacle-driven messaging that impels public activism today.","event-place":"Cambridge","language":"en","publisher":"Harvard University Press","publisher-place":"Cambridge","title":"Slow Violence and the Environmentalism of the Poor","URL":"https://www.hup.harvard.edu/catalog.php?isbn=9780674072343","author":[{"family":"Nixon","given":"Rob"}],"accessed":{"date-parts":[["2021",2,3]]},"issued":{"date-parts":[["2013"]]}},"locator":"2"}],"schema":"https://github.com/citation-style-language/schema/raw/master/csl-citation.json"} </w:instrText>
      </w:r>
      <w:r>
        <w:rPr>
          <w:rFonts w:cstheme="minorHAnsi"/>
        </w:rPr>
        <w:fldChar w:fldCharType="separate"/>
      </w:r>
      <w:r w:rsidRPr="003F319F">
        <w:rPr>
          <w:rFonts w:ascii="Calibri" w:hAnsi="Calibri" w:cs="Calibri"/>
          <w:szCs w:val="24"/>
        </w:rPr>
        <w:t xml:space="preserve">Rob Nixon, </w:t>
      </w:r>
      <w:r w:rsidRPr="003F319F">
        <w:rPr>
          <w:rFonts w:ascii="Calibri" w:hAnsi="Calibri" w:cs="Calibri"/>
          <w:i/>
          <w:iCs/>
          <w:szCs w:val="24"/>
        </w:rPr>
        <w:t>Slow Violence and the Environmentalism of the Poor</w:t>
      </w:r>
      <w:r w:rsidRPr="003F319F">
        <w:rPr>
          <w:rFonts w:ascii="Calibri" w:hAnsi="Calibri" w:cs="Calibri"/>
          <w:szCs w:val="24"/>
        </w:rPr>
        <w:t xml:space="preserve"> (Harvard University Press, 2013) 2 &lt;https://www.hup.harvard.edu/catalog.php?isbn=9780674072343&gt;.</w:t>
      </w:r>
      <w:r>
        <w:rPr>
          <w:rFonts w:cstheme="minorHAnsi"/>
        </w:rPr>
        <w:fldChar w:fldCharType="end"/>
      </w:r>
    </w:p>
  </w:endnote>
  <w:endnote w:id="255">
    <w:p w14:paraId="72FBAD0C" w14:textId="28A59099"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DRMc2Nl6","properties":{"formattedCitation":"Ibid.","plainCitation":"Ibid.","noteIndex":255},"citationItems":[{"id":6062,"uris":["http://zotero.org/groups/2733877/items/3WKHHI6Z"],"uri":["http://zotero.org/groups/2733877/items/3WKHHI6Z"],"itemData":{"id":6062,"type":"book","abstract":"'Slow violence' from climate change, toxic drift, deforestation, oil spills, and the environmental aftermath of war occurs gradually and often invisibly. Rob Nixon focuses on the inattention we have paid to the lethality of many environmental crises, in contrast with the sensational, spectacle-driven messaging that impels public activism today.","event-place":"Cambridge","language":"en","publisher":"Harvard University Press","publisher-place":"Cambridge","title":"Slow Violence and the Environmentalism of the Poor","URL":"https://www.hup.harvard.edu/catalog.php?isbn=9780674072343","author":[{"family":"Nixon","given":"Rob"}],"accessed":{"date-parts":[["2021",2,3]]},"issued":{"date-parts":[["2013"]]}},"locator":"2"}],"schema":"https://github.com/citation-style-language/schema/raw/master/csl-citation.json"} </w:instrText>
      </w:r>
      <w:r w:rsidRPr="003F3D6D">
        <w:rPr>
          <w:rFonts w:cstheme="minorHAnsi"/>
        </w:rPr>
        <w:fldChar w:fldCharType="separate"/>
      </w:r>
      <w:r w:rsidRPr="003F319F">
        <w:rPr>
          <w:rFonts w:ascii="Calibri" w:hAnsi="Calibri" w:cs="Calibri"/>
        </w:rPr>
        <w:t>Ibid.</w:t>
      </w:r>
      <w:r w:rsidRPr="003F3D6D">
        <w:rPr>
          <w:rFonts w:cstheme="minorHAnsi"/>
        </w:rPr>
        <w:fldChar w:fldCharType="end"/>
      </w:r>
    </w:p>
  </w:endnote>
  <w:endnote w:id="256">
    <w:p w14:paraId="3C2A8AF6" w14:textId="4FA6A96E"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5F31C4">
        <w:rPr>
          <w:rFonts w:cstheme="minorHAnsi"/>
        </w:rPr>
        <w:instrText xml:space="preserve"> ADDIN ZOTERO_ITEM CSL_CITATION {"citationID":"2g42l0vK","properties":{"formattedCitation":"Steele, {\\i{}Disability, Criminal Justice and Law Reconsidering Court Diversion} (n 193) 5; See also Dowse (n 211).","plainCitation":"Steele, Disability, Criminal Justice and Law Reconsidering Court Diversion (n 193) 5; See also Dowse (n 211).","noteIndex":256},"citationItems":[{"id":5948,"uris":["http://zotero.org/groups/2733877/items/GXS7S9UM"],"uri":["http://zotero.org/groups/2733877/items/GXS7S9UM"],"itemData":{"id":5948,"type":"book","event-place":"Abingdon","publisher":"Routledge","publisher-place":"Abingdon","title":"Disability, Criminal Justice and Law Reconsidering Court Diversion","URL":"https://www.routledge.com/Disability-Criminal-Justice-and-Law-Reconsidering-Court-Diversion/Steele/p/book/9780815375265","author":[{"family":"Steele","given":"Linda"}],"issued":{"date-parts":[["2020"]]}},"locator":"5","label":"chapter"},{"id":6194,"uris":["http://zotero.org/groups/2733877/items/8HL4XNYB"],"uri":["http://zotero.org/groups/2733877/items/8HL4XNYB"],"itemData":{"id":6194,"type":"paper-conference","container-title":"Disability and (virtual) institutions?: interventions, integration and inclusion","event":"International Institute for the Sociology of Law","event-place":"Onati, Spain","publisher-place":"Onati, Spain","title":"Reconciling cognitive disability and corrosive social disadvantage: barriers to intersectional research, policy and practice","author":[{"family":"Dowse","given":"Leanne"}],"issued":{"date-parts":[["2018",6,21]]}},"prefix":"See also"}],"schema":"https://github.com/citation-style-language/schema/raw/master/csl-citation.json"} </w:instrText>
      </w:r>
      <w:r w:rsidRPr="003F3D6D">
        <w:rPr>
          <w:rFonts w:cstheme="minorHAnsi"/>
        </w:rPr>
        <w:fldChar w:fldCharType="separate"/>
      </w:r>
      <w:r w:rsidR="005F31C4" w:rsidRPr="005F31C4">
        <w:rPr>
          <w:rFonts w:ascii="Calibri" w:hAnsi="Calibri" w:cs="Calibri"/>
          <w:szCs w:val="24"/>
        </w:rPr>
        <w:t xml:space="preserve">Steele, </w:t>
      </w:r>
      <w:r w:rsidR="005F31C4" w:rsidRPr="005F31C4">
        <w:rPr>
          <w:rFonts w:ascii="Calibri" w:hAnsi="Calibri" w:cs="Calibri"/>
          <w:i/>
          <w:iCs/>
          <w:szCs w:val="24"/>
        </w:rPr>
        <w:t>Disability, Criminal Justice and Law Reconsidering Court Diversion</w:t>
      </w:r>
      <w:r w:rsidR="005F31C4" w:rsidRPr="005F31C4">
        <w:rPr>
          <w:rFonts w:ascii="Calibri" w:hAnsi="Calibri" w:cs="Calibri"/>
          <w:szCs w:val="24"/>
        </w:rPr>
        <w:t xml:space="preserve"> (n 193) 5; See also Dowse (n 211).</w:t>
      </w:r>
      <w:r w:rsidRPr="003F3D6D">
        <w:rPr>
          <w:rFonts w:cstheme="minorHAnsi"/>
        </w:rPr>
        <w:fldChar w:fldCharType="end"/>
      </w:r>
    </w:p>
  </w:endnote>
  <w:endnote w:id="257">
    <w:p w14:paraId="34708D69" w14:textId="1055D663" w:rsidR="00A00236" w:rsidRPr="003F3D6D" w:rsidRDefault="00A00236" w:rsidP="008071D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{"citationID":"Z1Lqn1I9","properties":{"formattedCitation":"Puar (n 216).","plainCitation":"Puar (n 216).","noteIndex":257},"citationItems":[{"id":6184,"uris":["http://zotero.org/groups/2733877/items/DCKEXTQ8"],"uri":["http://zotero.org/groups/2733877/items/DCKEXTQ8"],"itemData":{"id":6184,"type":"book","event-place":"Durham &amp; London","publisher":"Duke University Press","publisher-place":"Durham &amp; London","title":"The Right to Maim: Debility, Capacity, Disability","URL":"https://www.dukeupress.edu/the-right-to-maim","author":[{"family":"Puar","given":"Jasbir K"}],"accessed":{"date-parts":[["2021",2,2]]},"issued":{"date-parts":[["2017"]]}}}],"schema":"https://github.com/citation-style-language/schema/raw/master/csl-citation.json"} </w:instrText>
      </w:r>
      <w:r w:rsidRPr="003F3D6D">
        <w:rPr>
          <w:rFonts w:cstheme="minorHAnsi"/>
        </w:rPr>
        <w:fldChar w:fldCharType="separate"/>
      </w:r>
      <w:r w:rsidRPr="00BF579D">
        <w:rPr>
          <w:rFonts w:ascii="Calibri" w:hAnsi="Calibri" w:cs="Calibri"/>
        </w:rPr>
        <w:t>Puar (n 216).</w:t>
      </w:r>
      <w:r w:rsidRPr="003F3D6D">
        <w:rPr>
          <w:rFonts w:cstheme="minorHAnsi"/>
        </w:rPr>
        <w:fldChar w:fldCharType="end"/>
      </w:r>
    </w:p>
  </w:endnote>
  <w:endnote w:id="258">
    <w:p w14:paraId="5CEDC9E3" w14:textId="0435062F" w:rsidR="00A00236" w:rsidRPr="003F3D6D" w:rsidRDefault="00A00236" w:rsidP="008071D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{"citationID":"xX35CZfB","properties":{"formattedCitation":"Michael Foucault, \\uc0\\u8216{}Lecture 17 March 1976\\uc0\\u8217{} in Mauro Bertani and Alessandro Fontana (eds), David Macey (tran), {\\i{}Society Must Be Defended: Lectures at the College De France, 1975-76} (Penguin Books, 1997) 239, 17.","plainCitation":"Michael Foucault, ‘Lecture 17 March 1976’ in Mauro Bertani and Alessandro Fontana (eds), David Macey (tran), Society Must Be Defended: Lectures at the College De France, 1975-76 (Penguin Books, 1997) 239, 17.","noteIndex":258},"citationItems":[{"id":6192,"uris":["http://zotero.org/groups/2733877/items/MVUY3XJP"],"uri":["http://zotero.org/groups/2733877/items/MVUY3XJP"],"itemData":{"id":6192,"type":"chapter","container-title":"Society Must be Defended: Lectures at the College De France, 1975-76","event-place":"New York","page":"239-264","publisher":"Penguin Books","publisher-place":"New York","title":"Lecture 17 March 1976","author":[{"family":"Foucault","given":"Michael"}],"editor":[{"family":"Bertani","given":"Mauro"},{"family":"Fontana","given":"Alessandro"}],"translator":[{"family":"Macey","given":"David"}],"issued":{"date-parts":[["1997"]]}},"locator":"17"}],"schema":"https://github.com/citation-style-language/schema/raw/master/csl-citation.json"} </w:instrText>
      </w:r>
      <w:r w:rsidRPr="003F3D6D">
        <w:rPr>
          <w:rFonts w:cstheme="minorHAnsi"/>
        </w:rPr>
        <w:fldChar w:fldCharType="separate"/>
      </w:r>
      <w:r w:rsidRPr="003F3D6D">
        <w:rPr>
          <w:rFonts w:cstheme="minorHAnsi"/>
        </w:rPr>
        <w:t xml:space="preserve">Michael Foucault, ‘Lecture 17 March 1976’ in Mauro Bertani and Alessandro Fontana (eds), David Macey (tran), </w:t>
      </w:r>
      <w:r w:rsidRPr="003F3D6D">
        <w:rPr>
          <w:rFonts w:cstheme="minorHAnsi"/>
          <w:i/>
          <w:iCs/>
        </w:rPr>
        <w:t>Society Must Be Defended: Lectures at the College De France, 1975-76</w:t>
      </w:r>
      <w:r w:rsidRPr="003F3D6D">
        <w:rPr>
          <w:rFonts w:cstheme="minorHAnsi"/>
        </w:rPr>
        <w:t xml:space="preserve"> (Penguin Books, 1997) 239, 17.</w:t>
      </w:r>
      <w:r w:rsidRPr="003F3D6D">
        <w:rPr>
          <w:rFonts w:cstheme="minorHAnsi"/>
        </w:rPr>
        <w:fldChar w:fldCharType="end"/>
      </w:r>
    </w:p>
  </w:endnote>
  <w:endnote w:id="259">
    <w:p w14:paraId="2966F404" w14:textId="166B4FCA" w:rsidR="00A00236" w:rsidRPr="003F3D6D" w:rsidRDefault="00A00236" w:rsidP="008071D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{"citationID":"asSuMLnT","properties":{"formattedCitation":"Lauren Berlant, \\uc0\\u8216{}Slow Death (Sovereignty, Obesity, Lateral Agency)\\uc0\\u8217{} (2007) 33(4) {\\i{}Critical Inquiry} 754; See discussion in disability context in Steele, {\\i{}Disability, Criminal Justice and Law Reconsidering Court Diversion} (n 193) 74.","plainCitation":"Lauren Berlant, ‘Slow Death (Sovereignty, Obesity, Lateral Agency)’ (2007) 33(4) Critical Inquiry 754; See discussion in disability context in Steele, Disability, Criminal Justice and Law Reconsidering Court Diversion (n 193) 74.","noteIndex":259},"citationItems":[{"id":6060,"uris":["http://zotero.org/groups/2733877/items/D5WMZQMA"],"uri":["http://zotero.org/groups/2733877/items/D5WMZQMA"],"itemData":{"id":6060,"type":"article-journal","container-title":"Critical Inquiry","DOI":"10.1086/521568","ISSN":"0093-1896, 1539-7858","issue":"4","journalAbbreviation":"Critical Inquiry","language":"en","page":"754-780","source":"DOI.org (Crossref)","title":"Slow Death (Sovereignty, Obesity, Lateral Agency)","volume":"33","author":[{"family":"Berlant","given":"Lauren"}],"issued":{"date-parts":[["2007"]]}}},{"id":5948,"uris":["http://zotero.org/groups/2733877/items/GXS7S9UM"],"uri":["http://zotero.org/groups/2733877/items/GXS7S9UM"],"itemData":{"id":5948,"type":"book","event-place":"Abingdon","publisher":"Routledge","publisher-place":"Abingdon","title":"Disability, Criminal Justice and Law Reconsidering Court Diversion","URL":"https://www.routledge.com/Disability-Criminal-Justice-and-Law-Reconsidering-Court-Diversion/Steele/p/book/9780815375265","author":[{"family":"Steele","given":"Linda"}],"issued":{"date-parts":[["2020"]]}},"locator":"74","prefix":"See discussion in disability context in "}],"schema":"https://github.com/citation-style-language/schema/raw/master/csl-citation.json"} </w:instrText>
      </w:r>
      <w:r w:rsidRPr="003F3D6D">
        <w:rPr>
          <w:rFonts w:cstheme="minorHAnsi"/>
        </w:rPr>
        <w:fldChar w:fldCharType="separate"/>
      </w:r>
      <w:r w:rsidRPr="00DE38DB">
        <w:rPr>
          <w:rFonts w:ascii="Calibri" w:hAnsi="Calibri" w:cs="Calibri"/>
          <w:szCs w:val="24"/>
        </w:rPr>
        <w:t xml:space="preserve">Lauren Berlant, ‘Slow Death (Sovereignty, Obesity, Lateral Agency)’ (2007) 33(4) </w:t>
      </w:r>
      <w:r w:rsidRPr="00DE38DB">
        <w:rPr>
          <w:rFonts w:ascii="Calibri" w:hAnsi="Calibri" w:cs="Calibri"/>
          <w:i/>
          <w:iCs/>
          <w:szCs w:val="24"/>
        </w:rPr>
        <w:t>Critical Inquiry</w:t>
      </w:r>
      <w:r w:rsidRPr="00DE38DB">
        <w:rPr>
          <w:rFonts w:ascii="Calibri" w:hAnsi="Calibri" w:cs="Calibri"/>
          <w:szCs w:val="24"/>
        </w:rPr>
        <w:t xml:space="preserve"> 754; See discussion in disability context in Steele, </w:t>
      </w:r>
      <w:r w:rsidRPr="00DE38DB">
        <w:rPr>
          <w:rFonts w:ascii="Calibri" w:hAnsi="Calibri" w:cs="Calibri"/>
          <w:i/>
          <w:iCs/>
          <w:szCs w:val="24"/>
        </w:rPr>
        <w:t>Disability, Criminal Justice and Law Reconsidering Court Diversion</w:t>
      </w:r>
      <w:r w:rsidRPr="00DE38DB">
        <w:rPr>
          <w:rFonts w:ascii="Calibri" w:hAnsi="Calibri" w:cs="Calibri"/>
          <w:szCs w:val="24"/>
        </w:rPr>
        <w:t xml:space="preserve"> (n 193) 74.</w:t>
      </w:r>
      <w:r w:rsidRPr="003F3D6D">
        <w:rPr>
          <w:rFonts w:cstheme="minorHAnsi"/>
        </w:rPr>
        <w:fldChar w:fldCharType="end"/>
      </w:r>
    </w:p>
  </w:endnote>
  <w:endnote w:id="260">
    <w:p w14:paraId="6DABFC2A" w14:textId="4AB029C7" w:rsidR="00A00236" w:rsidRPr="003F3D6D" w:rsidRDefault="00A00236" w:rsidP="008071D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{"citationID":"UlMvXlS5","properties":{"formattedCitation":"Puar (n 216) 73.","plainCitation":"Puar (n 216) 73.","noteIndex":260},"citationItems":[{"id":6184,"uris":["http://zotero.org/groups/2733877/items/DCKEXTQ8"],"uri":["http://zotero.org/groups/2733877/items/DCKEXTQ8"],"itemData":{"id":6184,"type":"book","event-place":"Durham &amp; London","publisher":"Duke University Press","publisher-place":"Durham &amp; London","title":"The Right to Maim: Debility, Capacity, Disability","URL":"https://www.dukeupress.edu/the-right-to-maim","author":[{"family":"Puar","given":"Jasbir K"}],"accessed":{"date-parts":[["2021",2,2]]},"issued":{"date-parts":[["2017"]]}},"locator":"73"}],"schema":"https://github.com/citation-style-language/schema/raw/master/csl-citation.json"} </w:instrText>
      </w:r>
      <w:r w:rsidRPr="003F3D6D">
        <w:rPr>
          <w:rFonts w:cstheme="minorHAnsi"/>
        </w:rPr>
        <w:fldChar w:fldCharType="separate"/>
      </w:r>
      <w:r w:rsidRPr="00BF579D">
        <w:rPr>
          <w:rFonts w:ascii="Calibri" w:hAnsi="Calibri" w:cs="Calibri"/>
        </w:rPr>
        <w:t>Puar (n 216) 73.</w:t>
      </w:r>
      <w:r w:rsidRPr="003F3D6D">
        <w:rPr>
          <w:rFonts w:cstheme="minorHAnsi"/>
        </w:rPr>
        <w:fldChar w:fldCharType="end"/>
      </w:r>
    </w:p>
  </w:endnote>
  <w:endnote w:id="261">
    <w:p w14:paraId="79F5D8BB" w14:textId="56193211" w:rsidR="00A00236" w:rsidRPr="003F3D6D" w:rsidRDefault="00A00236" w:rsidP="008071DC">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{"citationID":"6nkbr0mo","properties":{"formattedCitation":"Berlant (n 259) 754.","plainCitation":"Berlant (n 259) 754.","noteIndex":261},"citationItems":[{"id":6060,"uris":["http://zotero.org/groups/2733877/items/D5WMZQMA"],"uri":["http://zotero.org/groups/2733877/items/D5WMZQMA"],"itemData":{"id":6060,"type":"article-journal","container-title":"Critical Inquiry","DOI":"10.1086/521568","ISSN":"0093-1896, 1539-7858","issue":"4","journalAbbreviation":"Critical Inquiry","language":"en","page":"754-780","source":"DOI.org (Crossref)","title":"Slow Death (Sovereignty, Obesity, Lateral Agency)","volume":"33","author":[{"family":"Berlant","given":"Lauren"}],"issued":{"date-parts":[["2007"]]}},"locator":"754"}],"schema":"https://github.com/citation-style-language/schema/raw/master/csl-citation.json"} </w:instrText>
      </w:r>
      <w:r w:rsidRPr="003F3D6D">
        <w:rPr>
          <w:rFonts w:cstheme="minorHAnsi"/>
        </w:rPr>
        <w:fldChar w:fldCharType="separate"/>
      </w:r>
      <w:r w:rsidRPr="003644C1">
        <w:rPr>
          <w:rFonts w:ascii="Calibri" w:hAnsi="Calibri" w:cs="Calibri"/>
        </w:rPr>
        <w:t>Berlant (n 259) 754.</w:t>
      </w:r>
      <w:r w:rsidRPr="003F3D6D">
        <w:rPr>
          <w:rFonts w:cstheme="minorHAnsi"/>
        </w:rPr>
        <w:fldChar w:fldCharType="end"/>
      </w:r>
    </w:p>
  </w:endnote>
  <w:endnote w:id="262">
    <w:p w14:paraId="77691588" w14:textId="11303065" w:rsidR="00A00236" w:rsidRPr="003F3D6D" w:rsidRDefault="00A00236" w:rsidP="0062135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5F31C4">
        <w:rPr>
          <w:rFonts w:cstheme="minorHAnsi"/>
        </w:rPr>
        <w:instrText xml:space="preserve"> ADDIN ZOTERO_ITEM CSL_CITATION {"citationID":"A1V0QYS6","properties":{"formattedCitation":"{\\i{}Guardianship Act 1987} (NSW); {\\i{}Guardianship and Management of Property Act 1991} (ACT); {\\i{}Guardianship and Administration Act 1995} (Tas); {\\i{}Guardianship and Administration Act 1993} (SA); {\\i{}Guardianship and Administration Act 1990} (WA); {\\i{}Guardianship and Administration Act 2000} (Qld); {\\i{}Guardianship of Adults Act 2016} (NT).","plainCitation":"Guardianship Act 1987 (NSW); Guardianship and Management of Property Act 1991 (ACT); Guardianship and Administration Act 1995 (Tas); Guardianship and Administration Act 1993 (SA); Guardianship and Administration Act 1990 (WA); Guardianship and Administration Act 2000 (Qld); Guardianship of Adults Act 2016 (NT).","noteIndex":262},"citationItems":[{"id":"mOkcIPU4/FuQWk7mb","uris":["http://zotero.org/users/5640764/items/VSYB3P7J"],"uri":["http://zotero.org/users/5640764/items/VSYB3P7J"],"itemData":{"id":121,"type":"legislation","container-title":"NSW","title":"Guardianship Act 1987","URL":"https://www.legislation.nsw.gov.au/#/view/act/1987/257/part2","accessed":{"date-parts":[["2019",4,6]]}}},{"id":5906,"uris":["http://zotero.org/groups/2733877/items/4KC932XU"],"uri":["http://zotero.org/groups/2733877/items/4KC932XU"],"itemData":{"id":5906,"type":"legislation","container-title":"ACT","title":"Guardianship and Management of Property Act 1991"}},{"id":5904,"uris":["http://zotero.org/groups/2733877/items/NC8GKJQ7"],"uri":["http://zotero.org/groups/2733877/items/NC8GKJQ7"],"itemData":{"id":5904,"type":"legislation","container-title":"Tas","title":"Guardianship and Administration Act 1995"}},{"id":5903,"uris":["http://zotero.org/groups/2733877/items/SBSFRALF"],"uri":["http://zotero.org/groups/2733877/items/SBSFRALF"],"itemData":{"id":5903,"type":"legislation","container-title":"SA","title":"Guardianship and Administration Act 1993"}},{"id":5902,"uris":["http://zotero.org/groups/2733877/items/CGL7PKLB"],"uri":["http://zotero.org/groups/2733877/items/CGL7PKLB"],"itemData":{"id":5902,"type":"legislation","container-title":"WA","title":"Guardianship and Administration Act 1990"}},{"id":5901,"uris":["http://zotero.org/groups/2733877/items/XKTS435C"],"uri":["http://zotero.org/groups/2733877/items/XKTS435C"],"itemData":{"id":5901,"type":"legislation","container-title":"Qld","title":"Guardianship and Administration Act 2000"}},{"id":5900,"uris":["http://zotero.org/groups/2733877/items/SWDSNZE7"],"uri":["http://zotero.org/groups/2733877/items/SWDSNZE7"],"itemData":{"id":5900,"type":"legislation","container-title":"NT","title":"Guardianship of Adults Act 2016"}}],"schema":"https://github.com/citation-style-language/schema/raw/master/csl-citation.json"} </w:instrText>
      </w:r>
      <w:r w:rsidRPr="003F3D6D">
        <w:rPr>
          <w:rFonts w:cstheme="minorHAnsi"/>
        </w:rPr>
        <w:fldChar w:fldCharType="separate"/>
      </w:r>
      <w:r w:rsidRPr="003F3D6D">
        <w:rPr>
          <w:rFonts w:cstheme="minorHAnsi"/>
          <w:i/>
          <w:iCs/>
        </w:rPr>
        <w:t>Guardianship Act 1987</w:t>
      </w:r>
      <w:r w:rsidRPr="003F3D6D">
        <w:rPr>
          <w:rFonts w:cstheme="minorHAnsi"/>
        </w:rPr>
        <w:t xml:space="preserve"> (NSW); </w:t>
      </w:r>
      <w:r w:rsidRPr="003F3D6D">
        <w:rPr>
          <w:rFonts w:cstheme="minorHAnsi"/>
          <w:i/>
          <w:iCs/>
        </w:rPr>
        <w:t>Guardianship and Management of Property Act 1991</w:t>
      </w:r>
      <w:r w:rsidRPr="003F3D6D">
        <w:rPr>
          <w:rFonts w:cstheme="minorHAnsi"/>
        </w:rPr>
        <w:t xml:space="preserve"> (ACT); </w:t>
      </w:r>
      <w:r w:rsidRPr="003F3D6D">
        <w:rPr>
          <w:rFonts w:cstheme="minorHAnsi"/>
          <w:i/>
          <w:iCs/>
        </w:rPr>
        <w:t>Guardianship and Administration Act 1995</w:t>
      </w:r>
      <w:r w:rsidRPr="003F3D6D">
        <w:rPr>
          <w:rFonts w:cstheme="minorHAnsi"/>
        </w:rPr>
        <w:t xml:space="preserve"> (Tas); </w:t>
      </w:r>
      <w:r w:rsidRPr="003F3D6D">
        <w:rPr>
          <w:rFonts w:cstheme="minorHAnsi"/>
          <w:i/>
          <w:iCs/>
        </w:rPr>
        <w:t>Guardianship and Administration Act 1993</w:t>
      </w:r>
      <w:r w:rsidRPr="003F3D6D">
        <w:rPr>
          <w:rFonts w:cstheme="minorHAnsi"/>
        </w:rPr>
        <w:t xml:space="preserve"> (SA); </w:t>
      </w:r>
      <w:r w:rsidRPr="003F3D6D">
        <w:rPr>
          <w:rFonts w:cstheme="minorHAnsi"/>
          <w:i/>
          <w:iCs/>
        </w:rPr>
        <w:t>Guardianship and Administration Act 1990</w:t>
      </w:r>
      <w:r w:rsidRPr="003F3D6D">
        <w:rPr>
          <w:rFonts w:cstheme="minorHAnsi"/>
        </w:rPr>
        <w:t xml:space="preserve"> (WA); </w:t>
      </w:r>
      <w:r w:rsidRPr="003F3D6D">
        <w:rPr>
          <w:rFonts w:cstheme="minorHAnsi"/>
          <w:i/>
          <w:iCs/>
        </w:rPr>
        <w:t>Guardianship and Administration Act 2000</w:t>
      </w:r>
      <w:r w:rsidRPr="003F3D6D">
        <w:rPr>
          <w:rFonts w:cstheme="minorHAnsi"/>
        </w:rPr>
        <w:t xml:space="preserve"> (Qld); </w:t>
      </w:r>
      <w:r w:rsidRPr="003F3D6D">
        <w:rPr>
          <w:rFonts w:cstheme="minorHAnsi"/>
          <w:i/>
          <w:iCs/>
        </w:rPr>
        <w:t>Guardianship of Adults Act 2016</w:t>
      </w:r>
      <w:r w:rsidRPr="003F3D6D">
        <w:rPr>
          <w:rFonts w:cstheme="minorHAnsi"/>
        </w:rPr>
        <w:t xml:space="preserve"> (NT).</w:t>
      </w:r>
      <w:r w:rsidRPr="003F3D6D">
        <w:rPr>
          <w:rFonts w:cstheme="minorHAnsi"/>
        </w:rPr>
        <w:fldChar w:fldCharType="end"/>
      </w:r>
    </w:p>
  </w:endnote>
  <w:endnote w:id="263">
    <w:p w14:paraId="156BEC0F" w14:textId="3CEAC994" w:rsidR="00A00236" w:rsidRPr="003F3D6D" w:rsidRDefault="00A00236" w:rsidP="0062135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{"citationID":"scQQknFi","properties":{"formattedCitation":"{\\i{}Mental Health Act 2007} (NSW); {\\i{}Mental Health Act 2014} (Vic); {\\i{}Mental Health Act 2013} (Tas); {\\i{}Mental Health Act 2016} (Qld); {\\i{}Mental Health Act 2014} (WA); {\\i{}Mental Health and Related Services Act 1998} (NT); {\\i{}Mental Health Act 2015} (ACT); {\\i{}Mental Health Act 2009} (SA).","plainCitation":"Mental Health Act 2007 (NSW); Mental Health Act 2014 (Vic); Mental Health Act 2013 (Tas); Mental Health Act 2016 (Qld); Mental Health Act 2014 (WA); Mental Health and Related Services Act 1998 (NT); Mental Health Act 2015 (ACT); Mental Health Act 2009 (SA).","noteIndex":263},"citationItems":[{"id":5898,"uris":["http://zotero.org/groups/2733877/items/YQMFWBCY"],"uri":["http://zotero.org/groups/2733877/items/YQMFWBCY"],"itemData":{"id":5898,"type":"legislation","container-title":"NSW","title":"Mental Health Act 2007"}},{"id":5897,"uris":["http://zotero.org/groups/2733877/items/36KPFMXU"],"uri":["http://zotero.org/groups/2733877/items/36KPFMXU"],"itemData":{"id":5897,"type":"legislation","container-title":"Vic","title":"Mental Health Act 2014"}},{"id":5896,"uris":["http://zotero.org/groups/2733877/items/T4ED2NAA"],"uri":["http://zotero.org/groups/2733877/items/T4ED2NAA"],"itemData":{"id":5896,"type":"legislation","container-title":"Tas","title":"Mental Health Act 2013"}},{"id":6029,"uris":["http://zotero.org/groups/2733877/items/QXLXNZ4L"],"uri":["http://zotero.org/groups/2733877/items/QXLXNZ4L"],"itemData":{"id":6029,"type":"legislation","container-title":"Qld","title":"Mental Health Act 2016"}},{"id":6028,"uris":["http://zotero.org/groups/2733877/items/3NV5UDXK"],"uri":["http://zotero.org/groups/2733877/items/3NV5UDXK"],"itemData":{"id":6028,"type":"legislation","container-title":"WA","title":"Mental Health Act 2014"}},{"id":6027,"uris":["http://zotero.org/groups/2733877/items/QQNH78MX"],"uri":["http://zotero.org/groups/2733877/items/QQNH78MX"],"itemData":{"id":6027,"type":"legislation","container-title":"NT","title":"Mental Health and Related Services Act 1998"}},{"id":6026,"uris":["http://zotero.org/groups/2733877/items/LQL9RITZ"],"uri":["http://zotero.org/groups/2733877/items/LQL9RITZ"],"itemData":{"id":6026,"type":"legislation","container-title":"ACT","title":"Mental Health Act 2015"}},{"id":6025,"uris":["http://zotero.org/groups/2733877/items/UM2DYS57"],"uri":["http://zotero.org/groups/2733877/items/UM2DYS57"],"itemData":{"id":6025,"type":"legislation","container-title":"SA","title":"Mental Health Act 2009"}}],"schema":"https://github.com/citation-style-language/schema/raw/master/csl-citation.json"} </w:instrText>
      </w:r>
      <w:r w:rsidRPr="003F3D6D">
        <w:rPr>
          <w:rFonts w:cstheme="minorHAnsi"/>
        </w:rPr>
        <w:fldChar w:fldCharType="separate"/>
      </w:r>
      <w:r w:rsidRPr="003F3D6D">
        <w:rPr>
          <w:rFonts w:cstheme="minorHAnsi"/>
          <w:i/>
          <w:iCs/>
        </w:rPr>
        <w:t>Mental Health Act 2007</w:t>
      </w:r>
      <w:r w:rsidRPr="003F3D6D">
        <w:rPr>
          <w:rFonts w:cstheme="minorHAnsi"/>
        </w:rPr>
        <w:t xml:space="preserve"> (NSW); </w:t>
      </w:r>
      <w:r w:rsidRPr="003F3D6D">
        <w:rPr>
          <w:rFonts w:cstheme="minorHAnsi"/>
          <w:i/>
          <w:iCs/>
        </w:rPr>
        <w:t>Mental Health Act 2014</w:t>
      </w:r>
      <w:r w:rsidRPr="003F3D6D">
        <w:rPr>
          <w:rFonts w:cstheme="minorHAnsi"/>
        </w:rPr>
        <w:t xml:space="preserve"> (Vic); </w:t>
      </w:r>
      <w:r w:rsidRPr="003F3D6D">
        <w:rPr>
          <w:rFonts w:cstheme="minorHAnsi"/>
          <w:i/>
          <w:iCs/>
        </w:rPr>
        <w:t>Mental Health Act 2013</w:t>
      </w:r>
      <w:r w:rsidRPr="003F3D6D">
        <w:rPr>
          <w:rFonts w:cstheme="minorHAnsi"/>
        </w:rPr>
        <w:t xml:space="preserve"> (Tas); </w:t>
      </w:r>
      <w:r w:rsidRPr="003F3D6D">
        <w:rPr>
          <w:rFonts w:cstheme="minorHAnsi"/>
          <w:i/>
          <w:iCs/>
        </w:rPr>
        <w:t>Mental Health Act 2016</w:t>
      </w:r>
      <w:r w:rsidRPr="003F3D6D">
        <w:rPr>
          <w:rFonts w:cstheme="minorHAnsi"/>
        </w:rPr>
        <w:t xml:space="preserve"> (Qld); </w:t>
      </w:r>
      <w:r w:rsidRPr="003F3D6D">
        <w:rPr>
          <w:rFonts w:cstheme="minorHAnsi"/>
          <w:i/>
          <w:iCs/>
        </w:rPr>
        <w:t>Mental Health Act 2014</w:t>
      </w:r>
      <w:r w:rsidRPr="003F3D6D">
        <w:rPr>
          <w:rFonts w:cstheme="minorHAnsi"/>
        </w:rPr>
        <w:t xml:space="preserve"> (WA); </w:t>
      </w:r>
      <w:r w:rsidRPr="003F3D6D">
        <w:rPr>
          <w:rFonts w:cstheme="minorHAnsi"/>
          <w:i/>
          <w:iCs/>
        </w:rPr>
        <w:t>Mental Health and Related Services Act 1998</w:t>
      </w:r>
      <w:r w:rsidRPr="003F3D6D">
        <w:rPr>
          <w:rFonts w:cstheme="minorHAnsi"/>
        </w:rPr>
        <w:t xml:space="preserve"> (NT); </w:t>
      </w:r>
      <w:r w:rsidRPr="003F3D6D">
        <w:rPr>
          <w:rFonts w:cstheme="minorHAnsi"/>
          <w:i/>
          <w:iCs/>
        </w:rPr>
        <w:t>Mental Health Act 2015</w:t>
      </w:r>
      <w:r w:rsidRPr="003F3D6D">
        <w:rPr>
          <w:rFonts w:cstheme="minorHAnsi"/>
        </w:rPr>
        <w:t xml:space="preserve"> (ACT); </w:t>
      </w:r>
      <w:r w:rsidRPr="003F3D6D">
        <w:rPr>
          <w:rFonts w:cstheme="minorHAnsi"/>
          <w:i/>
          <w:iCs/>
        </w:rPr>
        <w:t>Mental Health Act 2009</w:t>
      </w:r>
      <w:r w:rsidRPr="003F3D6D">
        <w:rPr>
          <w:rFonts w:cstheme="minorHAnsi"/>
        </w:rPr>
        <w:t xml:space="preserve"> (SA).</w:t>
      </w:r>
      <w:r w:rsidRPr="003F3D6D">
        <w:rPr>
          <w:rFonts w:cstheme="minorHAnsi"/>
        </w:rPr>
        <w:fldChar w:fldCharType="end"/>
      </w:r>
    </w:p>
  </w:endnote>
  <w:endnote w:id="264">
    <w:p w14:paraId="684BB36B" w14:textId="5E953FEF" w:rsidR="00A00236" w:rsidRPr="003F3D6D" w:rsidRDefault="00A00236" w:rsidP="00621359">
      <w:pPr>
        <w:pStyle w:val="EndnoteText"/>
        <w:rPr>
          <w:rFonts w:cstheme="minorHAnsi"/>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{"citationID":"8d6vfpZR","properties":{"formattedCitation":"{\\i{}Family Law Act 1975} (Cth) s 67ZC.","plainCitation":"Family Law Act 1975 (Cth) s 67ZC.","noteIndex":264},"citationItems":[{"id":6020,"uris":["http://zotero.org/groups/2733877/items/W4YV5RA2"],"uri":["http://zotero.org/groups/2733877/items/W4YV5RA2"],"itemData":{"id":6020,"type":"legislation","container-title":"Cth","title":"Family Law Act 1975"},"locator":"s 67ZC"}],"schema":"https://github.com/citation-style-language/schema/raw/master/csl-citation.json"} </w:instrText>
      </w:r>
      <w:r w:rsidRPr="003F3D6D">
        <w:rPr>
          <w:rFonts w:cstheme="minorHAnsi"/>
        </w:rPr>
        <w:fldChar w:fldCharType="separate"/>
      </w:r>
      <w:r w:rsidRPr="003F3D6D">
        <w:rPr>
          <w:rFonts w:cstheme="minorHAnsi"/>
          <w:i/>
          <w:iCs/>
        </w:rPr>
        <w:t>Family Law Act 1975</w:t>
      </w:r>
      <w:r w:rsidRPr="003F3D6D">
        <w:rPr>
          <w:rFonts w:cstheme="minorHAnsi"/>
        </w:rPr>
        <w:t xml:space="preserve"> (Cth) s 67ZC.</w:t>
      </w:r>
      <w:r w:rsidRPr="003F3D6D">
        <w:rPr>
          <w:rFonts w:cstheme="minorHAnsi"/>
        </w:rPr>
        <w:fldChar w:fldCharType="end"/>
      </w:r>
    </w:p>
  </w:endnote>
  <w:endnote w:id="265">
    <w:p w14:paraId="3B2F0403" w14:textId="009A2C59" w:rsidR="00A00236" w:rsidRPr="003F3D6D" w:rsidRDefault="00A00236" w:rsidP="0062135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{"citationID":"vTHw2idR","properties":{"formattedCitation":"See, for example, {\\i{}Children and Young Persons (Care and Protection) Act 1998} (NSW) ch 9.","plainCitation":"See, for example, Children and Young Persons (Care and Protection) Act 1998 (NSW) ch 9.","noteIndex":265},"citationItems":[{"id":6019,"uris":["http://zotero.org/groups/2733877/items/5MWJ9YG2"],"uri":["http://zotero.org/groups/2733877/items/5MWJ9YG2"],"itemData":{"id":6019,"type":"legislation","container-title":"NSW","title":"Children and Young Persons (Care and Protection) Act 1998"},"locator":"ch 9","prefix":"See, for example, "}],"schema":"https://github.com/citation-style-language/schema/raw/master/csl-citation.json"} </w:instrText>
      </w:r>
      <w:r w:rsidRPr="003F3D6D">
        <w:rPr>
          <w:rFonts w:cstheme="minorHAnsi"/>
        </w:rPr>
        <w:fldChar w:fldCharType="separate"/>
      </w:r>
      <w:r w:rsidRPr="003509C3">
        <w:rPr>
          <w:rFonts w:ascii="Calibri" w:hAnsi="Calibri" w:cs="Calibri"/>
          <w:szCs w:val="24"/>
        </w:rPr>
        <w:t xml:space="preserve">See, for example, </w:t>
      </w:r>
      <w:r w:rsidRPr="003509C3">
        <w:rPr>
          <w:rFonts w:ascii="Calibri" w:hAnsi="Calibri" w:cs="Calibri"/>
          <w:i/>
          <w:iCs/>
          <w:szCs w:val="24"/>
        </w:rPr>
        <w:t>Children and Young Persons (Care and Protection) Act 1998</w:t>
      </w:r>
      <w:r w:rsidRPr="003509C3">
        <w:rPr>
          <w:rFonts w:ascii="Calibri" w:hAnsi="Calibri" w:cs="Calibri"/>
          <w:szCs w:val="24"/>
        </w:rPr>
        <w:t xml:space="preserve"> (NSW) ch 9.</w:t>
      </w:r>
      <w:r w:rsidRPr="003F3D6D">
        <w:rPr>
          <w:rFonts w:cstheme="minorHAnsi"/>
        </w:rPr>
        <w:fldChar w:fldCharType="end"/>
      </w:r>
    </w:p>
  </w:endnote>
  <w:endnote w:id="266">
    <w:p w14:paraId="1B424D2B" w14:textId="0EAF80DA" w:rsidR="00A00236" w:rsidRPr="00621359" w:rsidRDefault="00A00236">
      <w:pPr>
        <w:pStyle w:val="EndnoteText"/>
        <w:rPr>
          <w:lang w:val="en-AU"/>
        </w:rPr>
      </w:pPr>
      <w:r>
        <w:rPr>
          <w:rStyle w:val="EndnoteReference"/>
        </w:rPr>
        <w:endnoteRef/>
      </w:r>
      <w:r>
        <w:t xml:space="preserve"> </w:t>
      </w:r>
      <w:r>
        <w:fldChar w:fldCharType="begin"/>
      </w:r>
      <w:r>
        <w:instrText xml:space="preserve"> ADDIN ZOTERO_ITEM CSL_CITATION {"citationID":"O6izs04A","properties":{"formattedCitation":"Steele, \\uc0\\u8216{}Disability, Abnormality and Criminal Law: Sterilisation as Lawful and \\uc0\\u8220{}Good\\uc0\\u8221{} Violence\\uc0\\u8217{} (n 203); Steele, \\uc0\\u8216{}Temporality, Disability and Institutional Violence: Revisiting In Re F\\uc0\\u8217{} (n 219).","plainCitation":"Steele, ‘Disability, Abnormality and Criminal Law: Sterilisation as Lawful and “Good” Violence’ (n 203); Steele, ‘Temporality, Disability and Institutional Violence: Revisiting In Re F’ (n 219).","noteIndex":266},"citationItems":[{"id":6208,"uris":["http://zotero.org/groups/2733877/items/38MIRITQ"],"uri":["http://zotero.org/groups/2733877/items/38MIRITQ"],"itemData":{"id":6208,"type":"article-journal","container-title":"Griffith Law Review","DOI":"10.1080/10383441.2014.1000223","issue":"3","page":"467-497","title":"Disability, abnormality and criminal law: sterilisation as lawful and \"good\" violence","volume":"23","author":[{"family":"Steele","given":"Linda"}],"issued":{"date-parts":[["2014",1,1]]}}},{"id":6219,"uris":["http://zotero.org/groups/2733877/items/XSJGJZSX"],"uri":["http://zotero.org/groups/2733877/items/XSJGJZSX"],"itemData":{"id":6219,"type":"article-journal","abstract":"A recent suggestion of some disability legal scholars is to provide a non-discriminatory legal framework to regulate non-consensual medical and care interventions in relation to disabled people through adapting the doctrine of necessity. This article rejects this approach through a close reading of the leading decision on the doctrine of necessity in medical and care settings, In re F (Mental Patient: Sterilization) [1990] 2 AC 1. This decision confirms that any such suggestion for the application of the doctrine will impact disabled people differentially due to divergent legal constructions of temporality between disabled and able people. To use this doctrine in relation to ongoing disabled medical and care interventions the law constructs disabled people as being in a permanent state of mental incapacity. On the other hand, the doctrine of necessity constructs able people as temporarily mentally incapacitated from their usual state of autonomy, thus only requiring minimal medical and care interventions to return them to their prior state. Therefore, able people cannot, under this doctrine, lawfully be subject to similarly long periods of intervention and such a broader range of interventions. Application of the doctrine of necessity will thus exacerbate inequality of and violence against disabled people.","container-title":"Griffith Law Review","DOI":"10.1080/10383441.2017.1436368","ISSN":"1038-3441","issue":"3","note":"publisher: Routledge\n_eprint: https://doi.org/10.1080/10383441.2017.1436368","page":"378-400","source":"Taylor and Francis+NEJM","title":"Temporality, disability and institutional violence: revisiting In re F","volume":"26","author":[{"family":"Steele","given":"Linda"}],"issued":{"date-parts":[["2017",7,3]]}}}],"schema":"https://github.com/citation-style-language/schema/raw/master/csl-citation.json"} </w:instrText>
      </w:r>
      <w:r>
        <w:fldChar w:fldCharType="separate"/>
      </w:r>
      <w:r w:rsidRPr="00BF579D">
        <w:rPr>
          <w:rFonts w:ascii="Calibri" w:hAnsi="Calibri" w:cs="Calibri"/>
          <w:szCs w:val="24"/>
        </w:rPr>
        <w:t>Steele, ‘Disability, Abnormality and Criminal Law: Sterilisation as Lawful and “Good” Violence’ (n 203); Steele, ‘Temporality, Disability and Institutional Violence: Revisiting In Re F’ (n 219).</w:t>
      </w:r>
      <w:r>
        <w:fldChar w:fldCharType="end"/>
      </w:r>
    </w:p>
  </w:endnote>
  <w:endnote w:id="267">
    <w:p w14:paraId="15B9AF66" w14:textId="77777777" w:rsidR="00A00236" w:rsidRPr="00867F8A" w:rsidRDefault="00A00236" w:rsidP="00621359">
      <w:pPr>
        <w:autoSpaceDE w:val="0"/>
        <w:autoSpaceDN w:val="0"/>
        <w:adjustRightInd w:val="0"/>
        <w:rPr>
          <w:rFonts w:asciiTheme="minorHAnsi" w:eastAsiaTheme="minorHAnsi" w:hAnsiTheme="minorHAnsi" w:cstheme="minorHAnsi"/>
          <w:sz w:val="20"/>
          <w:szCs w:val="20"/>
        </w:rPr>
      </w:pPr>
      <w:r w:rsidRPr="00867F8A">
        <w:rPr>
          <w:rStyle w:val="EndnoteReference"/>
          <w:rFonts w:asciiTheme="minorHAnsi" w:hAnsiTheme="minorHAnsi" w:cstheme="minorHAnsi"/>
          <w:sz w:val="20"/>
          <w:szCs w:val="20"/>
        </w:rPr>
        <w:endnoteRef/>
      </w:r>
      <w:r w:rsidRPr="00867F8A">
        <w:rPr>
          <w:rFonts w:asciiTheme="minorHAnsi" w:hAnsiTheme="minorHAnsi" w:cstheme="minorHAnsi"/>
          <w:sz w:val="20"/>
          <w:szCs w:val="20"/>
        </w:rPr>
        <w:t xml:space="preserve"> </w:t>
      </w:r>
      <w:r w:rsidRPr="00867F8A">
        <w:rPr>
          <w:rFonts w:asciiTheme="minorHAnsi" w:eastAsiaTheme="minorHAnsi" w:hAnsiTheme="minorHAnsi" w:cstheme="minorHAnsi"/>
          <w:sz w:val="20"/>
          <w:szCs w:val="20"/>
        </w:rPr>
        <w:t xml:space="preserve">See, eg, </w:t>
      </w:r>
      <w:r w:rsidRPr="00867F8A">
        <w:rPr>
          <w:rFonts w:asciiTheme="minorHAnsi" w:eastAsiaTheme="minorHAnsi" w:hAnsiTheme="minorHAnsi" w:cstheme="minorHAnsi"/>
          <w:i/>
          <w:iCs/>
          <w:sz w:val="20"/>
          <w:szCs w:val="20"/>
        </w:rPr>
        <w:t xml:space="preserve">Coco v R </w:t>
      </w:r>
      <w:r w:rsidRPr="00867F8A">
        <w:rPr>
          <w:rFonts w:asciiTheme="minorHAnsi" w:eastAsiaTheme="minorHAnsi" w:hAnsiTheme="minorHAnsi" w:cstheme="minorHAnsi"/>
          <w:sz w:val="20"/>
          <w:szCs w:val="20"/>
        </w:rPr>
        <w:t xml:space="preserve">(1994) 179 CLR 427; </w:t>
      </w:r>
      <w:r w:rsidRPr="00867F8A">
        <w:rPr>
          <w:rFonts w:asciiTheme="minorHAnsi" w:eastAsiaTheme="minorHAnsi" w:hAnsiTheme="minorHAnsi" w:cstheme="minorHAnsi"/>
          <w:i/>
          <w:iCs/>
          <w:sz w:val="20"/>
          <w:szCs w:val="20"/>
        </w:rPr>
        <w:t xml:space="preserve">Cowell v Corrective Services Commission of New South Wales </w:t>
      </w:r>
      <w:r w:rsidRPr="00867F8A">
        <w:rPr>
          <w:rFonts w:asciiTheme="minorHAnsi" w:eastAsiaTheme="minorHAnsi" w:hAnsiTheme="minorHAnsi" w:cstheme="minorHAnsi"/>
          <w:sz w:val="20"/>
          <w:szCs w:val="20"/>
        </w:rPr>
        <w:t>(1988) 13 NSWLR 714.</w:t>
      </w:r>
    </w:p>
  </w:endnote>
  <w:endnote w:id="268">
    <w:p w14:paraId="0F8A9A66" w14:textId="0D52041D" w:rsidR="00A00236" w:rsidRPr="003F3D6D" w:rsidRDefault="00A00236" w:rsidP="0062135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{"citationID":"5qPFFvVZ","properties":{"formattedCitation":"{\\i{}Southwark London Borough Council v Williams} (1971) 1 Ch 734; {\\i{}R v Loughnan} [1981] VR 443; In a medical and social care context, see {\\i{}In re F (Mental Patient: Sterilization)} (1990) 2 AC 1.","plainCitation":"Southwark London Borough Council v Williams (1971) 1 Ch 734; R v Loughnan [1981] VR 443; In a medical and social care context, see In re F (Mental Patient: Sterilization) (1990) 2 AC 1.","noteIndex":268},"citationItems":[{"id":6023,"uris":["http://zotero.org/groups/2733877/items/D2EBIDPQ"],"uri":["http://zotero.org/groups/2733877/items/D2EBIDPQ"],"itemData":{"id":6023,"type":"legal_case","container-title":"Ch","page":"734","title":"Southwark London Borough Council v Williams","volume":"1","issued":{"date-parts":[["1971"]]}}},{"id":6022,"uris":["http://zotero.org/groups/2733877/items/RQRXLAWR"],"uri":["http://zotero.org/groups/2733877/items/RQRXLAWR"],"itemData":{"id":6022,"type":"legal_case","container-title":"VR","page":"443","title":"R v Loughnan","issued":{"date-parts":[["1981"]]}}},{"id":6021,"uris":["http://zotero.org/groups/2733877/items/XQD77L67"],"uri":["http://zotero.org/groups/2733877/items/XQD77L67"],"itemData":{"id":6021,"type":"legal_case","container-title":"AC","page":"1","title":"In re F (Mental Patient: Sterilization)","volume":"2","issued":{"date-parts":[["1990"]]}},"prefix":"In a medical and social care context, see"}],"schema":"https://github.com/citation-style-language/schema/raw/master/csl-citation.json"} </w:instrText>
      </w:r>
      <w:r w:rsidRPr="003F3D6D">
        <w:rPr>
          <w:rFonts w:cstheme="minorHAnsi"/>
        </w:rPr>
        <w:fldChar w:fldCharType="separate"/>
      </w:r>
      <w:r w:rsidRPr="003F3D6D">
        <w:rPr>
          <w:rFonts w:cstheme="minorHAnsi"/>
          <w:i/>
          <w:iCs/>
        </w:rPr>
        <w:t>Southwark London Borough Council v Williams</w:t>
      </w:r>
      <w:r w:rsidRPr="003F3D6D">
        <w:rPr>
          <w:rFonts w:cstheme="minorHAnsi"/>
        </w:rPr>
        <w:t xml:space="preserve"> (1971) 1 Ch 734; </w:t>
      </w:r>
      <w:r w:rsidRPr="003F3D6D">
        <w:rPr>
          <w:rFonts w:cstheme="minorHAnsi"/>
          <w:i/>
          <w:iCs/>
        </w:rPr>
        <w:t>R v Loughnan</w:t>
      </w:r>
      <w:r w:rsidRPr="003F3D6D">
        <w:rPr>
          <w:rFonts w:cstheme="minorHAnsi"/>
        </w:rPr>
        <w:t xml:space="preserve"> [1981] VR 443; In a medical and social care context, see </w:t>
      </w:r>
      <w:r w:rsidRPr="003F3D6D">
        <w:rPr>
          <w:rFonts w:cstheme="minorHAnsi"/>
          <w:i/>
          <w:iCs/>
        </w:rPr>
        <w:t>In re F (Mental Patient: Sterilization)</w:t>
      </w:r>
      <w:r w:rsidRPr="003F3D6D">
        <w:rPr>
          <w:rFonts w:cstheme="minorHAnsi"/>
        </w:rPr>
        <w:t xml:space="preserve"> (1990) 2 AC 1.</w:t>
      </w:r>
      <w:r w:rsidRPr="003F3D6D">
        <w:rPr>
          <w:rFonts w:cstheme="minorHAnsi"/>
        </w:rPr>
        <w:fldChar w:fldCharType="end"/>
      </w:r>
    </w:p>
  </w:endnote>
  <w:endnote w:id="269">
    <w:p w14:paraId="5351F353" w14:textId="4681F6D3" w:rsidR="00A00236" w:rsidRPr="003F3D6D" w:rsidRDefault="00A00236" w:rsidP="0062135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{"citationID":"lF83pno2","properties":{"formattedCitation":"Kim Chandler, \\uc0\\u8216{}The Regulation of Restrictive Practices on People with Intellectual Impairment: The Challenges and Opportunities Posed by a Rights-Based Approach\\uc0\\u8217{} in Bernadette McSherry and Yvette Maker (eds), {\\i{}Restrictive Practices in Health Care and Disability Settings: Legal, Policy and Practical Responses} (Taylor &amp; Francis Group, 2020) 68, 74.","plainCitation":"Kim Chandler, ‘The Regulation of Restrictive Practices on People with Intellectual Impairment: The Challenges and Opportunities Posed by a Rights-Based Approach’ in Bernadette McSherry and Yvette Maker (eds), Restrictive Practices in Health Care and Disability Settings: Legal, Policy and Practical Responses (Taylor &amp; Francis Group, 2020) 68, 74.","noteIndex":269},"citationItems":[{"id":6106,"uris":["http://zotero.org/groups/2733877/items/SW9JPICB"],"uri":["http://zotero.org/groups/2733877/items/SW9JPICB"],"itemData":{"id":6106,"type":"chapter","container-title":"Restrictive Practices in Health Care and Disability Settings: Legal, Policy and Practical Responses","event-place":"London","page":"68","publisher":"Taylor &amp; Francis Group","publisher-place":"London","title":"The regulation of restrictive practices on people with intellectual impairment: The challenges and opportunities posed by a rights-based approach","author":[{"family":"Chandler","given":"Kim"}],"editor":[{"family":"McSherry","given":"Bernadette"},{"family":"Maker","given":"Yvette"}],"issued":{"date-parts":[["2020"]]}},"locator":"74"}],"schema":"https://github.com/citation-style-language/schema/raw/master/csl-citation.json"} </w:instrText>
      </w:r>
      <w:r w:rsidRPr="003F3D6D">
        <w:rPr>
          <w:rFonts w:cstheme="minorHAnsi"/>
        </w:rPr>
        <w:fldChar w:fldCharType="separate"/>
      </w:r>
      <w:r w:rsidRPr="003F3D6D">
        <w:rPr>
          <w:rFonts w:cstheme="minorHAnsi"/>
        </w:rPr>
        <w:t xml:space="preserve">Kim Chandler, ‘The Regulation of Restrictive Practices on People with Intellectual Impairment: The Challenges and Opportunities Posed by a Rights-Based Approach’ in Bernadette McSherry and Yvette Maker (eds), </w:t>
      </w:r>
      <w:r w:rsidRPr="003F3D6D">
        <w:rPr>
          <w:rFonts w:cstheme="minorHAnsi"/>
          <w:i/>
          <w:iCs/>
        </w:rPr>
        <w:t>Restrictive Practices in Health Care and Disability Settings: Legal, Policy and Practical Responses</w:t>
      </w:r>
      <w:r w:rsidRPr="003F3D6D">
        <w:rPr>
          <w:rFonts w:cstheme="minorHAnsi"/>
        </w:rPr>
        <w:t xml:space="preserve"> (Taylor &amp; Francis Group, 2020) 68, 74.</w:t>
      </w:r>
      <w:r w:rsidRPr="003F3D6D">
        <w:rPr>
          <w:rFonts w:cstheme="minorHAnsi"/>
        </w:rPr>
        <w:fldChar w:fldCharType="end"/>
      </w:r>
    </w:p>
  </w:endnote>
  <w:endnote w:id="270">
    <w:p w14:paraId="09F0A0CE" w14:textId="23FAA3EC" w:rsidR="00A00236" w:rsidRPr="003F3D6D" w:rsidRDefault="00A00236" w:rsidP="0062135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{"citationID":"nzMJhQF5","properties":{"formattedCitation":"{\\i{}National Disability Insurance Scheme (Restrictive Practices and Behaviour Support) Rules 2018} (n 168); {\\i{}National Disability Insurance Scheme Act 2013} (n 134).","plainCitation":"National Disability Insurance Scheme (Restrictive Practices and Behaviour Support) Rules 2018 (n 168); National Disability Insurance Scheme Act 2013 (n 134).","noteIndex":270},"citationItems":[{"id":6018,"uris":["http://zotero.org/groups/2733877/items/4XLXZB3H"],"uri":["http://zotero.org/groups/2733877/items/4XLXZB3H"],"itemData":{"id":6018,"type":"legislation","container-title":"Cth","title":"National Disability Insurance Scheme (Restrictive Practices and Behaviour Support) Rules 2018"}},{"id":6017,"uris":["http://zotero.org/groups/2733877/items/3S2HP4B6"],"uri":["http://zotero.org/groups/2733877/items/3S2HP4B6"],"itemData":{"id":6017,"type":"legislation","container-title":"Cth","title":"National Disability Insurance Scheme Act 2013"}}],"schema":"https://github.com/citation-style-language/schema/raw/master/csl-citation.json"} </w:instrText>
      </w:r>
      <w:r w:rsidRPr="003F3D6D">
        <w:rPr>
          <w:rFonts w:cstheme="minorHAnsi"/>
        </w:rPr>
        <w:fldChar w:fldCharType="separate"/>
      </w:r>
      <w:r w:rsidRPr="008F06C3">
        <w:rPr>
          <w:rFonts w:ascii="Calibri" w:hAnsi="Calibri" w:cs="Calibri"/>
          <w:i/>
          <w:iCs/>
          <w:szCs w:val="24"/>
        </w:rPr>
        <w:t>National Disability Insurance Scheme (Restrictive Practices and Behaviour Support) Rules 2018</w:t>
      </w:r>
      <w:r w:rsidRPr="008F06C3">
        <w:rPr>
          <w:rFonts w:ascii="Calibri" w:hAnsi="Calibri" w:cs="Calibri"/>
          <w:szCs w:val="24"/>
        </w:rPr>
        <w:t xml:space="preserve"> (n 168); </w:t>
      </w:r>
      <w:r w:rsidRPr="008F06C3">
        <w:rPr>
          <w:rFonts w:ascii="Calibri" w:hAnsi="Calibri" w:cs="Calibri"/>
          <w:i/>
          <w:iCs/>
          <w:szCs w:val="24"/>
        </w:rPr>
        <w:t>National Disability Insurance Scheme Act 2013</w:t>
      </w:r>
      <w:r w:rsidRPr="008F06C3">
        <w:rPr>
          <w:rFonts w:ascii="Calibri" w:hAnsi="Calibri" w:cs="Calibri"/>
          <w:szCs w:val="24"/>
        </w:rPr>
        <w:t xml:space="preserve"> (n 134).</w:t>
      </w:r>
      <w:r w:rsidRPr="003F3D6D">
        <w:rPr>
          <w:rFonts w:cstheme="minorHAnsi"/>
        </w:rPr>
        <w:fldChar w:fldCharType="end"/>
      </w:r>
    </w:p>
  </w:endnote>
  <w:endnote w:id="271">
    <w:p w14:paraId="6F55B6A8" w14:textId="250188AF" w:rsidR="00A00236" w:rsidRPr="003F3D6D" w:rsidRDefault="00A00236" w:rsidP="00621359">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{"citationID":"qQfmHbTh","properties":{"formattedCitation":"{\\i{}Quality of Care Principles 2014} (n 169); {\\i{}Aged Care Act 1997} (Cth).","plainCitation":"Quality of Care Principles 2014 (n 169); Aged Care Act 1997 (Cth).","noteIndex":271},"citationItems":[{"id":6140,"uris":["http://zotero.org/groups/2733877/items/HZP3EDEE"],"uri":["http://zotero.org/groups/2733877/items/HZP3EDEE"],"itemData":{"id":6140,"type":"legislation","container-title":"Cth","title":"Quality of Care Principles 2014"}},{"id":6016,"uris":["http://zotero.org/groups/2733877/items/LS4J2HBG"],"uri":["http://zotero.org/groups/2733877/items/LS4J2HBG"],"itemData":{"id":6016,"type":"legislation","container-title":"Cth","title":"Aged Care Act 1997"}}],"schema":"https://github.com/citation-style-language/schema/raw/master/csl-citation.json"} </w:instrText>
      </w:r>
      <w:r w:rsidRPr="003F3D6D">
        <w:rPr>
          <w:rFonts w:cstheme="minorHAnsi"/>
        </w:rPr>
        <w:fldChar w:fldCharType="separate"/>
      </w:r>
      <w:r w:rsidRPr="008F06C3">
        <w:rPr>
          <w:rFonts w:ascii="Calibri" w:hAnsi="Calibri" w:cs="Calibri"/>
          <w:i/>
          <w:iCs/>
          <w:szCs w:val="24"/>
        </w:rPr>
        <w:t>Quality of Care Principles 2014</w:t>
      </w:r>
      <w:r w:rsidRPr="008F06C3">
        <w:rPr>
          <w:rFonts w:ascii="Calibri" w:hAnsi="Calibri" w:cs="Calibri"/>
          <w:szCs w:val="24"/>
        </w:rPr>
        <w:t xml:space="preserve"> (n 169); </w:t>
      </w:r>
      <w:r w:rsidRPr="008F06C3">
        <w:rPr>
          <w:rFonts w:ascii="Calibri" w:hAnsi="Calibri" w:cs="Calibri"/>
          <w:i/>
          <w:iCs/>
          <w:szCs w:val="24"/>
        </w:rPr>
        <w:t>Aged Care Act 1997</w:t>
      </w:r>
      <w:r w:rsidRPr="008F06C3">
        <w:rPr>
          <w:rFonts w:ascii="Calibri" w:hAnsi="Calibri" w:cs="Calibri"/>
          <w:szCs w:val="24"/>
        </w:rPr>
        <w:t xml:space="preserve"> (Cth).</w:t>
      </w:r>
      <w:r w:rsidRPr="003F3D6D">
        <w:rPr>
          <w:rFonts w:cstheme="minorHAnsi"/>
        </w:rPr>
        <w:fldChar w:fldCharType="end"/>
      </w:r>
    </w:p>
  </w:endnote>
  <w:endnote w:id="272">
    <w:p w14:paraId="7BCC3461" w14:textId="54CEC08D" w:rsidR="00A00236" w:rsidRPr="00734139" w:rsidRDefault="00A00236" w:rsidP="00BF6DE4">
      <w:pPr>
        <w:pStyle w:val="EndnoteText"/>
        <w:rPr>
          <w:lang w:val="en-AU"/>
        </w:rPr>
      </w:pPr>
      <w:r>
        <w:rPr>
          <w:rStyle w:val="EndnoteReference"/>
        </w:rPr>
        <w:endnoteRef/>
      </w:r>
      <w:r>
        <w:t xml:space="preserve"> </w:t>
      </w:r>
      <w:r>
        <w:fldChar w:fldCharType="begin"/>
      </w:r>
      <w:r>
        <w:instrText xml:space="preserve"> ADDIN ZOTERO_ITEM CSL_CITATION {"citationID":"gVW5HyB6","properties":{"formattedCitation":"Australian Government Solicitor, {\\i{}Report on the Key Elements of the Legislative Framework Affecting People with Disability} (Royal Commission into Violence, Abuse, Neglect and Exploitation of People with Disability, December 2020) &lt;https://disability.royalcommission.gov.au/system/files/2020-12/Research%20Report%20-%20Report%20on%20the%20key%20elements%20of%20the%20legislative%20framework%20affecting%20people%20with%20disability.pdf&gt;.","plainCitation":"Australian Government Solicitor, Report on the Key Elements of the Legislative Framework Affecting People with Disability (Royal Commission into Violence, Abuse, Neglect and Exploitation of People with Disability, December 2020) &lt;https://disability.royalcommission.gov.au/system/files/2020-12/Research%20Report%20-%20Report%20on%20the%20key%20elements%20of%20the%20legislative%20framework%20affecting%20people%20with%20disability.pdf&gt;.","noteIndex":272},"citationItems":[{"id":6159,"uris":["http://zotero.org/groups/2733877/items/Z5YVI2EP"],"uri":["http://zotero.org/groups/2733877/items/Z5YVI2EP"],"itemData":{"id":6159,"type":"report","publisher":"Royal Commission into Violence, Abuse, Neglect and Exploitation of People with Disability","title":"Report on the key elements of the legislative framework affecting people with disability","URL":"https://disability.royalcommission.gov.au/system/files/2020-12/Research%20Report%20-%20Report%20on%20the%20key%20elements%20of%20the%20legislative%20framework%20affecting%20people%20with%20disability.pdf","author":[{"family":"Australian Government Solicitor","given":""}],"issued":{"date-parts":[["2020",12]]}}}],"schema":"https://github.com/citation-style-language/schema/raw/master/csl-citation.json"} </w:instrText>
      </w:r>
      <w:r>
        <w:fldChar w:fldCharType="separate"/>
      </w:r>
      <w:r w:rsidRPr="00E219AA">
        <w:rPr>
          <w:rFonts w:ascii="Calibri" w:hAnsi="Calibri" w:cs="Calibri"/>
          <w:szCs w:val="24"/>
        </w:rPr>
        <w:t xml:space="preserve">Australian Government Solicitor, </w:t>
      </w:r>
      <w:r w:rsidRPr="00E219AA">
        <w:rPr>
          <w:rFonts w:ascii="Calibri" w:hAnsi="Calibri" w:cs="Calibri"/>
          <w:i/>
          <w:iCs/>
          <w:szCs w:val="24"/>
        </w:rPr>
        <w:t>Report on the Key Elements of the Legislative Framework Affecting People with Disability</w:t>
      </w:r>
      <w:r w:rsidRPr="00E219AA">
        <w:rPr>
          <w:rFonts w:ascii="Calibri" w:hAnsi="Calibri" w:cs="Calibri"/>
          <w:szCs w:val="24"/>
        </w:rPr>
        <w:t xml:space="preserve"> (Royal Commission into Violence, Abuse, Neglect and Exploitation of People with Disability, December 2020) &lt;https://disability.royalcommission.gov.au/system/files/2020-12/Research%20Report%20-%20Report%20on%20the%20key%20elements%20of%20the%20legislative%20framework%20affecting%20people%20with%20disability.pdf&gt;.</w:t>
      </w:r>
      <w:r>
        <w:fldChar w:fldCharType="end"/>
      </w:r>
    </w:p>
  </w:endnote>
  <w:endnote w:id="273">
    <w:p w14:paraId="698FDA38" w14:textId="2823A6E6" w:rsidR="00A00236" w:rsidRPr="003F3D6D" w:rsidRDefault="00A00236" w:rsidP="00BF6DE4">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{"citationID":"XLrjmJAG","properties":{"formattedCitation":"Committee on the Rights of Persons with Disabilities, \\uc0\\u8216{}Concluding Observations on the Combined Second and Third Periodic Reports of Australia, Adopted by the Committee at Its 511th Meeting (20 September 2019) of the 22nd Session\\uc0\\u8217{} (n 14).","plainCitation":"Committee on the Rights of Persons with Disabilities, ‘Concluding Observations on the Combined Second and Third Periodic Reports of Australia, Adopted by the Committee at Its 511th Meeting (20 September 2019) of the 22nd Session’ (n 14).","noteIndex":273},"citationItems":[{"id":5930,"uris":["http://zotero.org/groups/2733877/items/22NEYWVV"],"uri":["http://zotero.org/groups/2733877/items/22NEYWVV"],"itemData":{"id":5930,"type":"report","collection-title":"UN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Disabilities","given":""}],"issued":{"date-parts":[["2019",10,15]]}}}],"schema":"https://github.com/citation-style-language/schema/raw/master/csl-citation.json"} </w:instrText>
      </w:r>
      <w:r w:rsidRPr="003F3D6D">
        <w:rPr>
          <w:rFonts w:cstheme="minorHAnsi"/>
        </w:rPr>
        <w:fldChar w:fldCharType="separate"/>
      </w:r>
      <w:r w:rsidRPr="00C27B33">
        <w:rPr>
          <w:rFonts w:ascii="Calibri" w:hAnsi="Calibri" w:cs="Calibri"/>
          <w:szCs w:val="24"/>
        </w:rPr>
        <w:t>Committee on the Rights of Persons with Disabilities, ‘Concluding Observations on the Combined Second and Third Periodic Reports of Australia, Adopted by the Committee at Its 511th Meeting (20 September 2019) of the 22nd Session’ (n 14).</w:t>
      </w:r>
      <w:r w:rsidRPr="003F3D6D">
        <w:rPr>
          <w:rFonts w:cstheme="minorHAnsi"/>
        </w:rPr>
        <w:fldChar w:fldCharType="end"/>
      </w:r>
    </w:p>
  </w:endnote>
  <w:endnote w:id="274">
    <w:p w14:paraId="4EB38769" w14:textId="56F946C4" w:rsidR="00A00236" w:rsidRPr="003F3D6D" w:rsidRDefault="00A00236" w:rsidP="00BF6DE4">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{"citationID":"JN1wJylH","properties":{"formattedCitation":"Women With Disabilities Australia, {\\i{}WWDA Position Statement 2: The Right to Decision-Making} (WWDA, September 2016) 2.","plainCitation":"Women With Disabilities Australia, WWDA Position Statement 2: The Right to Decision-Making (WWDA, September 2016) 2.","noteIndex":274},"citationItems":[{"id":5966,"uris":["http://zotero.org/groups/2733877/items/8DDG9XKE"],"uri":["http://zotero.org/groups/2733877/items/8DDG9XKE"],"itemData":{"id":5966,"type":"report","event-place":"Hobart, Tasmania","publisher":"WWDA","publisher-place":"Hobart, Tasmania","title":"WWDA Position Statement 2: The Right to Decision-Making","author":[{"family":"Women With Disabilities Australia","given":""}],"issued":{"date-parts":[["2016",9]]}},"locator":"2"}],"schema":"https://github.com/citation-style-language/schema/raw/master/csl-citation.json"} </w:instrText>
      </w:r>
      <w:r w:rsidRPr="003F3D6D">
        <w:rPr>
          <w:rFonts w:cstheme="minorHAnsi"/>
        </w:rPr>
        <w:fldChar w:fldCharType="separate"/>
      </w:r>
      <w:r w:rsidRPr="003F3D6D">
        <w:rPr>
          <w:rFonts w:cstheme="minorHAnsi"/>
        </w:rPr>
        <w:t xml:space="preserve">Women With Disabilities Australia, </w:t>
      </w:r>
      <w:r w:rsidRPr="003F3D6D">
        <w:rPr>
          <w:rFonts w:cstheme="minorHAnsi"/>
          <w:i/>
          <w:iCs/>
        </w:rPr>
        <w:t>WWDA Position Statement 2: The Right to Decision-Making</w:t>
      </w:r>
      <w:r w:rsidRPr="003F3D6D">
        <w:rPr>
          <w:rFonts w:cstheme="minorHAnsi"/>
        </w:rPr>
        <w:t xml:space="preserve"> (WWDA, September 2016) 2.</w:t>
      </w:r>
      <w:r w:rsidRPr="003F3D6D">
        <w:rPr>
          <w:rFonts w:cstheme="minorHAnsi"/>
        </w:rPr>
        <w:fldChar w:fldCharType="end"/>
      </w:r>
    </w:p>
  </w:endnote>
  <w:endnote w:id="275">
    <w:p w14:paraId="5E60DDC2" w14:textId="2031C25C" w:rsidR="00A00236" w:rsidRPr="003F3D6D" w:rsidRDefault="00A00236" w:rsidP="009D2852">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{"citationID":"cUriO4su","properties":{"formattedCitation":"Steele, \\uc0\\u8216{}Disability, Abnormality and Criminal Law: Sterilisation as Lawful and \\uc0\\u8220{}Good\\uc0\\u8221{} Violence\\uc0\\u8217{} (n 203) 472\\uc0\\u8211{}473.","plainCitation":"Steele, ‘Disability, Abnormality and Criminal Law: Sterilisation as Lawful and “Good” Violence’ (n 203) 472–473.","noteIndex":275},"citationItems":[{"id":6208,"uris":["http://zotero.org/groups/2733877/items/38MIRITQ"],"uri":["http://zotero.org/groups/2733877/items/38MIRITQ"],"itemData":{"id":6208,"type":"article-journal","container-title":"Griffith Law Review","DOI":"10.1080/10383441.2014.1000223","issue":"3","page":"467-497","title":"Disability, abnormality and criminal law: sterilisation as lawful and \"good\" violence","volume":"23","author":[{"family":"Steele","given":"Linda"}],"issued":{"date-parts":[["2014",1,1]]}},"locator":"472-473"}],"schema":"https://github.com/citation-style-language/schema/raw/master/csl-citation.json"} </w:instrText>
      </w:r>
      <w:r w:rsidRPr="003F3D6D">
        <w:rPr>
          <w:rFonts w:cstheme="minorHAnsi"/>
        </w:rPr>
        <w:fldChar w:fldCharType="separate"/>
      </w:r>
      <w:r w:rsidRPr="00A43287">
        <w:rPr>
          <w:rFonts w:ascii="Calibri" w:hAnsi="Calibri" w:cs="Calibri"/>
          <w:szCs w:val="24"/>
        </w:rPr>
        <w:t>Steele, ‘Disability, Abnormality and Criminal Law: Sterilisation as Lawful and “Good” Violence’ (n 203) 472–473.</w:t>
      </w:r>
      <w:r w:rsidRPr="003F3D6D">
        <w:rPr>
          <w:rFonts w:cstheme="minorHAnsi"/>
        </w:rPr>
        <w:fldChar w:fldCharType="end"/>
      </w:r>
      <w:r>
        <w:rPr>
          <w:rFonts w:cstheme="minorHAnsi"/>
        </w:rPr>
        <w:t xml:space="preserve"> </w:t>
      </w:r>
      <w:r>
        <w:rPr>
          <w:rFonts w:cstheme="minorHAnsi"/>
        </w:rPr>
        <w:fldChar w:fldCharType="begin"/>
      </w:r>
      <w:r>
        <w:rPr>
          <w:rFonts w:cstheme="minorHAnsi"/>
        </w:rPr>
        <w:instrText xml:space="preserve"> ADDIN ZOTERO_TEMP </w:instrText>
      </w:r>
      <w:r>
        <w:rPr>
          <w:rFonts w:cstheme="minorHAnsi"/>
        </w:rPr>
        <w:fldChar w:fldCharType="separate"/>
      </w:r>
      <w:r>
        <w:rPr>
          <w:rFonts w:cstheme="minorHAnsi"/>
        </w:rPr>
        <w:t>{Citation}</w:t>
      </w:r>
      <w:r>
        <w:rPr>
          <w:rFonts w:cstheme="minorHAnsi"/>
        </w:rPr>
        <w:fldChar w:fldCharType="end"/>
      </w:r>
    </w:p>
  </w:endnote>
  <w:endnote w:id="276">
    <w:p w14:paraId="45283850" w14:textId="311AA1EC" w:rsidR="00A00236" w:rsidRPr="003F3D6D" w:rsidRDefault="00A00236" w:rsidP="009D2852">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{"citationID":"rKbV4TGt","properties":{"formattedCitation":"Austin Sarat, \\uc0\\u8216{}Situating Law between the Realities of Violence and the Claims of Justice\\uc0\\u8217{} in Austin Sarat (ed), {\\i{}Law, Violence, and the Possibility of Justice} (Princeton University Press, 2001) &lt;https://press.princeton.edu/books/paperback/9780691048451/law-violence-and-the-possibility-of-justice&gt;; Austin Sarat and Thomas R Kearns, \\uc0\\u8216{}Introduction\\uc0\\u8217{} in Austin Sarat and Thomas R Kearns (eds), {\\i{}Law\\uc0\\u8217{}s Violence} (University of Michigan Press, 1992) 1 &lt;https://www.press.umich.edu/13488/laws_violence&gt;.","plainCitation":"Austin Sarat, ‘Situating Law between the Realities of Violence and the Claims of Justice’ in Austin Sarat (ed), Law, Violence, and the Possibility of Justice (Princeton University Press, 2001) &lt;https://press.princeton.edu/books/paperback/9780691048451/law-violence-and-the-possibility-of-justice&gt;; Austin Sarat and Thomas R Kearns, ‘Introduction’ in Austin Sarat and Thomas R Kearns (eds), Law’s Violence (University of Michigan Press, 1992) 1 &lt;https://www.press.umich.edu/13488/laws_violence&gt;.","noteIndex":276},"citationItems":[{"id":6113,"uris":["http://zotero.org/groups/2733877/items/RE75TLRW"],"uri":["http://zotero.org/groups/2733877/items/RE75TLRW"],"itemData":{"id":6113,"type":"chapter","container-title":"Law, Violence, and the Possibility of Justice","event-place":"United States","ISBN":"978-0-691-04845-1","language":"en","publisher":"Princeton University Press","publisher-place":"United States","source":"press.princeton.edu","title":"Situating law between the realities of violence and the claims of justice","URL":"https://press.princeton.edu/books/paperback/9780691048451/law-violence-and-the-possibility-of-justice","author":[{"family":"Sarat","given":"Austin"}],"editor":[{"family":"Sarat","given":"Austin"}],"accessed":{"date-parts":[["2021",2,2]]},"issued":{"date-parts":[["2001"]]}}},{"id":6112,"uris":["http://zotero.org/groups/2733877/items/H84DZUSG"],"uri":["http://zotero.org/groups/2733877/items/H84DZUSG"],"itemData":{"id":6112,"type":"chapter","abstract":"The relationship between law and violence is made familiar to us in vivid pictures of police beating suspects, the large and growing prison population, and the tenacious attachment to capital punishment in the United States. Yet the link between law and violence and the ways that law manages to...","container-title":"Law's Violence","event-place":"Ann Arbor","ISBN":"978-0-472-10390-4","language":"en","publisher":"University of Michigan Press","publisher-place":"Ann Arbor","source":"www.press.umich.edu","title":"Introduction","URL":"https://www.press.umich.edu/13488/laws_violence","author":[{"family":"Sarat","given":"Austin"},{"family":"Kearns","given":"Thomas R"}],"editor":[{"family":"Sarat","given":"Austin"},{"family":"Kearns","given":"Thomas R"}],"accessed":{"date-parts":[["2021",2,2]]},"issued":{"date-parts":[["1992"]]}},"locator":"1"}],"schema":"https://github.com/citation-style-language/schema/raw/master/csl-citation.json"} </w:instrText>
      </w:r>
      <w:r w:rsidRPr="003F3D6D">
        <w:rPr>
          <w:rFonts w:cstheme="minorHAnsi"/>
        </w:rPr>
        <w:fldChar w:fldCharType="separate"/>
      </w:r>
      <w:r w:rsidRPr="003F3D6D">
        <w:rPr>
          <w:rFonts w:cstheme="minorHAnsi"/>
        </w:rPr>
        <w:t xml:space="preserve">Austin Sarat, ‘Situating Law between the Realities of Violence and the Claims of Justice’ in Austin Sarat (ed), </w:t>
      </w:r>
      <w:r w:rsidRPr="003F3D6D">
        <w:rPr>
          <w:rFonts w:cstheme="minorHAnsi"/>
          <w:i/>
          <w:iCs/>
        </w:rPr>
        <w:t>Law, Violence, and the Possibility of Justice</w:t>
      </w:r>
      <w:r w:rsidRPr="003F3D6D">
        <w:rPr>
          <w:rFonts w:cstheme="minorHAnsi"/>
        </w:rPr>
        <w:t xml:space="preserve"> (Princeton University Press, 2001) &lt;https://press.princeton.edu/books/paperback/9780691048451/law-violence-and-the-possibility-of-justice&gt;; Austin Sarat and Thomas R Kearns, ‘Introduction’ in Austin Sarat and Thomas R Kearns (eds), </w:t>
      </w:r>
      <w:r w:rsidRPr="003F3D6D">
        <w:rPr>
          <w:rFonts w:cstheme="minorHAnsi"/>
          <w:i/>
          <w:iCs/>
        </w:rPr>
        <w:t>Law’s Violence</w:t>
      </w:r>
      <w:r w:rsidRPr="003F3D6D">
        <w:rPr>
          <w:rFonts w:cstheme="minorHAnsi"/>
        </w:rPr>
        <w:t xml:space="preserve"> (University of Michigan Press, 1992) 1 &lt;https://www.press.umich.edu/13488/laws_violence&gt;.</w:t>
      </w:r>
      <w:r w:rsidRPr="003F3D6D">
        <w:rPr>
          <w:rFonts w:cstheme="minorHAnsi"/>
        </w:rPr>
        <w:fldChar w:fldCharType="end"/>
      </w:r>
    </w:p>
  </w:endnote>
  <w:endnote w:id="277">
    <w:p w14:paraId="330530ED" w14:textId="67FA8282" w:rsidR="00A00236" w:rsidRPr="003F3D6D" w:rsidRDefault="00A00236" w:rsidP="009D2852">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{"citationID":"CD0k9Hyt","properties":{"formattedCitation":"Robert Cover, \\uc0\\u8216{}Violence and the Word\\uc0\\u8217{} (1986) 95 {\\i{}The Yale Law Journal} 1601, 1611.","plainCitation":"Robert Cover, ‘Violence and the Word’ (1986) 95 The Yale Law Journal 1601, 1611.","noteIndex":277},"citationItems":[{"id":6111,"uris":["http://zotero.org/groups/2733877/items/SNIQ44AL"],"uri":["http://zotero.org/groups/2733877/items/SNIQ44AL"],"itemData":{"id":6111,"type":"article-journal","container-title":"The Yale Law Journal","page":"1601","title":"Violence and the word","volume":"95","author":[{"family":"Cover","given":"Robert"}],"issued":{"date-parts":[["1986"]]}},"locator":"1611"}],"schema":"https://github.com/citation-style-language/schema/raw/master/csl-citation.json"} </w:instrText>
      </w:r>
      <w:r w:rsidRPr="003F3D6D">
        <w:rPr>
          <w:rFonts w:cstheme="minorHAnsi"/>
        </w:rPr>
        <w:fldChar w:fldCharType="separate"/>
      </w:r>
      <w:r w:rsidRPr="003F3D6D">
        <w:rPr>
          <w:rFonts w:cstheme="minorHAnsi"/>
        </w:rPr>
        <w:t xml:space="preserve">Robert Cover, ‘Violence and the Word’ (1986) 95 </w:t>
      </w:r>
      <w:r w:rsidRPr="003F3D6D">
        <w:rPr>
          <w:rFonts w:cstheme="minorHAnsi"/>
          <w:i/>
          <w:iCs/>
        </w:rPr>
        <w:t>The Yale Law Journal</w:t>
      </w:r>
      <w:r w:rsidRPr="003F3D6D">
        <w:rPr>
          <w:rFonts w:cstheme="minorHAnsi"/>
        </w:rPr>
        <w:t xml:space="preserve"> 1601, 1611.</w:t>
      </w:r>
      <w:r w:rsidRPr="003F3D6D">
        <w:rPr>
          <w:rFonts w:cstheme="minorHAnsi"/>
        </w:rPr>
        <w:fldChar w:fldCharType="end"/>
      </w:r>
    </w:p>
  </w:endnote>
  <w:endnote w:id="278">
    <w:p w14:paraId="6932C219" w14:textId="3778B1D9" w:rsidR="00A00236" w:rsidRPr="003F3D6D" w:rsidRDefault="00A00236" w:rsidP="009D2852">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{"citationID":"KQWMVsMA","properties":{"formattedCitation":"Ibid 1608\\uc0\\u8211{}1609, 1618\\uc0\\u8211{}1628.","plainCitation":"Ibid 1608–1609, 1618–1628.","noteIndex":278},"citationItems":[{"id":6111,"uris":["http://zotero.org/groups/2733877/items/SNIQ44AL"],"uri":["http://zotero.org/groups/2733877/items/SNIQ44AL"],"itemData":{"id":6111,"type":"article-journal","container-title":"The Yale Law Journal","page":"1601","title":"Violence and the word","volume":"95","author":[{"family":"Cover","given":"Robert"}],"issued":{"date-parts":[["1986"]]}},"locator":"1608-1609, 1618-1628"}],"schema":"https://github.com/citation-style-language/schema/raw/master/csl-citation.json"} </w:instrText>
      </w:r>
      <w:r w:rsidRPr="003F3D6D">
        <w:rPr>
          <w:rFonts w:cstheme="minorHAnsi"/>
        </w:rPr>
        <w:fldChar w:fldCharType="separate"/>
      </w:r>
      <w:r w:rsidRPr="003F3D6D">
        <w:rPr>
          <w:rFonts w:cstheme="minorHAnsi"/>
        </w:rPr>
        <w:t>Ibid 1608–1609, 1618–1628.</w:t>
      </w:r>
      <w:r w:rsidRPr="003F3D6D">
        <w:rPr>
          <w:rFonts w:cstheme="minorHAnsi"/>
        </w:rPr>
        <w:fldChar w:fldCharType="end"/>
      </w:r>
    </w:p>
  </w:endnote>
  <w:endnote w:id="279">
    <w:p w14:paraId="54E460D8" w14:textId="30325ABE" w:rsidR="00A00236" w:rsidRPr="003F3D6D" w:rsidRDefault="00A00236" w:rsidP="00D06A25">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{"citationID":"ICrmZNlK","properties":{"formattedCitation":"Steele, {\\i{}Disability, Criminal Justice and Law Reconsidering Court Diversion} (n 193) 46; see also: Bielefeld and Beaupert (n 242).","plainCitation":"Steele, Disability, Criminal Justice and Law Reconsidering Court Diversion (n 193) 46; see also: Bielefeld and Beaupert (n 242).","noteIndex":279},"citationItems":[{"id":5948,"uris":["http://zotero.org/groups/2733877/items/GXS7S9UM"],"uri":["http://zotero.org/groups/2733877/items/GXS7S9UM"],"itemData":{"id":5948,"type":"book","event-place":"Abingdon","publisher":"Routledge","publisher-place":"Abingdon","title":"Disability, Criminal Justice and Law Reconsidering Court Diversion","URL":"https://www.routledge.com/Disability-Criminal-Justice-and-Law-Reconsidering-Court-Diversion/Steele/p/book/9780815375265","author":[{"family":"Steele","given":"Linda"}],"issued":{"date-parts":[["2020"]]}},"locator":"46"},{"id":6197,"uris":["http://zotero.org/groups/2733877/items/XJLD788P"],"uri":["http://zotero.org/groups/2733877/items/XJLD788P"],"itemData":{"id":6197,"type":"article-journal","container-title":"Sydney Law Review","issue":"3","page":"327","title":"Income management and intersectionality: analysing compulsory income management through the lenses of critical race theory and disability studies (\"discrit\")","volume":"41","author":[{"family":"Bielefeld","given":"Shelley"},{"family":"Beaupert","given":"Fleur"}],"issued":{"date-parts":[["2019"]]}},"prefix":"see also: "}],"schema":"https://github.com/citation-style-language/schema/raw/master/csl-citation.json"} </w:instrText>
      </w:r>
      <w:r w:rsidRPr="003F3D6D">
        <w:rPr>
          <w:rFonts w:cstheme="minorHAnsi"/>
        </w:rPr>
        <w:fldChar w:fldCharType="separate"/>
      </w:r>
      <w:r w:rsidRPr="003644C1">
        <w:rPr>
          <w:rFonts w:ascii="Calibri" w:hAnsi="Calibri" w:cs="Calibri"/>
          <w:szCs w:val="24"/>
        </w:rPr>
        <w:t xml:space="preserve">Steele, </w:t>
      </w:r>
      <w:r w:rsidRPr="003644C1">
        <w:rPr>
          <w:rFonts w:ascii="Calibri" w:hAnsi="Calibri" w:cs="Calibri"/>
          <w:i/>
          <w:iCs/>
          <w:szCs w:val="24"/>
        </w:rPr>
        <w:t>Disability, Criminal Justice and Law Reconsidering Court Diversion</w:t>
      </w:r>
      <w:r w:rsidRPr="003644C1">
        <w:rPr>
          <w:rFonts w:ascii="Calibri" w:hAnsi="Calibri" w:cs="Calibri"/>
          <w:szCs w:val="24"/>
        </w:rPr>
        <w:t xml:space="preserve"> (n 193) 46; see also: Bielefeld and Beaupert (n 242).</w:t>
      </w:r>
      <w:r w:rsidRPr="003F3D6D">
        <w:rPr>
          <w:rFonts w:cstheme="minorHAnsi"/>
        </w:rPr>
        <w:fldChar w:fldCharType="end"/>
      </w:r>
    </w:p>
  </w:endnote>
  <w:endnote w:id="280">
    <w:p w14:paraId="58641469" w14:textId="21BD2240" w:rsidR="00A00236" w:rsidRPr="003F3D6D" w:rsidRDefault="00A00236" w:rsidP="00D06A25">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{"citationID":"ddvlIBr7","properties":{"formattedCitation":"Steele, {\\i{}Disability, Criminal Justice and Law Reconsidering Court Diversion} (n 193) 88.","plainCitation":"Steele, Disability, Criminal Justice and Law Reconsidering Court Diversion (n 193) 88.","noteIndex":280},"citationItems":[{"id":5948,"uris":["http://zotero.org/groups/2733877/items/GXS7S9UM"],"uri":["http://zotero.org/groups/2733877/items/GXS7S9UM"],"itemData":{"id":5948,"type":"book","event-place":"Abingdon","publisher":"Routledge","publisher-place":"Abingdon","title":"Disability, Criminal Justice and Law Reconsidering Court Diversion","URL":"https://www.routledge.com/Disability-Criminal-Justice-and-Law-Reconsidering-Court-Diversion/Steele/p/book/9780815375265","author":[{"family":"Steele","given":"Linda"}],"issued":{"date-parts":[["2020"]]}},"locator":"88"}],"schema":"https://github.com/citation-style-language/schema/raw/master/csl-citation.json"} </w:instrText>
      </w:r>
      <w:r w:rsidRPr="003F3D6D">
        <w:rPr>
          <w:rFonts w:cstheme="minorHAnsi"/>
        </w:rPr>
        <w:fldChar w:fldCharType="separate"/>
      </w:r>
      <w:r w:rsidR="004849F5" w:rsidRPr="004849F5">
        <w:rPr>
          <w:rFonts w:ascii="Calibri" w:hAnsi="Calibri" w:cs="Calibri"/>
          <w:szCs w:val="24"/>
        </w:rPr>
        <w:t xml:space="preserve">Steele, </w:t>
      </w:r>
      <w:r w:rsidR="004849F5" w:rsidRPr="004849F5">
        <w:rPr>
          <w:rFonts w:ascii="Calibri" w:hAnsi="Calibri" w:cs="Calibri"/>
          <w:i/>
          <w:iCs/>
          <w:szCs w:val="24"/>
        </w:rPr>
        <w:t>Disability, Criminal Justice and Law Reconsidering Court Diversion</w:t>
      </w:r>
      <w:r w:rsidR="004849F5" w:rsidRPr="004849F5">
        <w:rPr>
          <w:rFonts w:ascii="Calibri" w:hAnsi="Calibri" w:cs="Calibri"/>
          <w:szCs w:val="24"/>
        </w:rPr>
        <w:t xml:space="preserve"> (n 193) 88.</w:t>
      </w:r>
      <w:r w:rsidRPr="003F3D6D">
        <w:rPr>
          <w:rFonts w:cstheme="minorHAnsi"/>
        </w:rPr>
        <w:fldChar w:fldCharType="end"/>
      </w:r>
    </w:p>
  </w:endnote>
  <w:endnote w:id="281">
    <w:p w14:paraId="282A52D9" w14:textId="7892B5A3" w:rsidR="00A00236" w:rsidRPr="003F3D6D" w:rsidRDefault="00A00236" w:rsidP="0083460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{"citationID":"OKNkcss8","properties":{"formattedCitation":"Steele, \\uc0\\u8216{}Disability, Abnormality and Criminal Law: Sterilisation as Lawful and \\uc0\\u8220{}Good\\uc0\\u8221{} Violence\\uc0\\u8217{} (n 203); Steele, \\uc0\\u8216{}Temporality, Disability and Institutional Violence: Revisiting In Re F\\uc0\\u8217{} (n 219); Linda Steele, \\uc0\\u8216{}Restrictive Practices in Australian Schools: Institutional Violence, Disability and Law\\uc0\\u8217{} in Roselyn Dixon, Karen Trimmer and Yvonne Stewart Findlay (eds), {\\i{}The Palgrave Handbook of Education Law for Schools} (Palgrave Macmillan, 2018); Linda Steele, \\uc0\\u8216{}Sterilisation, Disability and Wellbeing: The Curative Imaginary of the \\uc0\\u8220{}Welfare Jurisdiction\\uc0\\u8221{}\\uc0\\u8217{} in Claire Spivakovsky, Kate Seear and Adrian Carter (eds), {\\i{}Critical Perspectives on Coercive Interventions: Law, Medicine and Society} (Routledge, 2018); Steele, {\\i{}Disability, Criminal Justice and Law Reconsidering Court Diversion} (n 193) 23; see also: C Tess Sheldon, Karen R Spector and Mary Birdsell, \\uc0\\u8216{}Uncovering Law\\uc0\\u8217{}s Multiple Violences at the Inquest into the Death of Ashley Smith\\uc0\\u8217{} in Andrea Daley, Lucy Costa and Peter Beresford (eds), {\\i{}Madness, Violence and Power: A Critical Collection} (University of Toronto Press, 2019); Spivakovsky (n 219).","plainCitation":"Steele, ‘Disability, Abnormality and Criminal Law: Sterilisation as Lawful and “Good” Violence’ (n 203); Steele, ‘Temporality, Disability and Institutional Violence: Revisiting In Re F’ (n 219); Linda Steele, ‘Restrictive Practices in Australian Schools: Institutional Violence, Disability and Law’ in Roselyn Dixon, Karen Trimmer and Yvonne Stewart Findlay (eds), The Palgrave Handbook of Education Law for Schools (Palgrave Macmillan, 2018); Linda Steele, ‘Sterilisation, Disability and Wellbeing: The Curative Imaginary of the “Welfare Jurisdiction”’ in Claire Spivakovsky, Kate Seear and Adrian Carter (eds), Critical Perspectives on Coercive Interventions: Law, Medicine and Society (Routledge, 2018); Steele, Disability, Criminal Justice and Law Reconsidering Court Diversion (n 193) 23; see also: C Tess Sheldon, Karen R Spector and Mary Birdsell, ‘Uncovering Law’s Multiple Violences at the Inquest into the Death of Ashley Smith’ in Andrea Daley, Lucy Costa and Peter Beresford (eds), Madness, Violence and Power: A Critical Collection (University of Toronto Press, 2019); Spivakovsky (n 219).","noteIndex":281},"citationItems":[{"id":6208,"uris":["http://zotero.org/groups/2733877/items/38MIRITQ"],"uri":["http://zotero.org/groups/2733877/items/38MIRITQ"],"itemData":{"id":6208,"type":"article-journal","container-title":"Griffith Law Review","DOI":"10.1080/10383441.2014.1000223","issue":"3","page":"467-497","title":"Disability, abnormality and criminal law: sterilisation as lawful and \"good\" violence","volume":"23","author":[{"family":"Steele","given":"Linda"}],"issued":{"date-parts":[["2014",1,1]]}}},{"id":6219,"uris":["http://zotero.org/groups/2733877/items/XSJGJZSX"],"uri":["http://zotero.org/groups/2733877/items/XSJGJZSX"],"itemData":{"id":6219,"type":"article-journal","abstract":"A recent suggestion of some disability legal scholars is to provide a non-discriminatory legal framework to regulate non-consensual medical and care interventions in relation to disabled people through adapting the doctrine of necessity. This article rejects this approach through a close reading of the leading decision on the doctrine of necessity in medical and care settings, In re F (Mental Patient: Sterilization) [1990] 2 AC 1. This decision confirms that any such suggestion for the application of the doctrine will impact disabled people differentially due to divergent legal constructions of temporality between disabled and able people. To use this doctrine in relation to ongoing disabled medical and care interventions the law constructs disabled people as being in a permanent state of mental incapacity. On the other hand, the doctrine of necessity constructs able people as temporarily mentally incapacitated from their usual state of autonomy, thus only requiring minimal medical and care interventions to return them to their prior state. Therefore, able people cannot, under this doctrine, lawfully be subject to similarly long periods of intervention and such a broader range of interventions. Application of the doctrine of necessity will thus exacerbate inequality of and violence against disabled people.","container-title":"Griffith Law Review","DOI":"10.1080/10383441.2017.1436368","ISSN":"1038-3441","issue":"3","note":"publisher: Routledge\n_eprint: https://doi.org/10.1080/10383441.2017.1436368","page":"378-400","source":"Taylor and Francis+NEJM","title":"Temporality, disability and institutional violence: revisiting In re F","volume":"26","author":[{"family":"Steele","given":"Linda"}],"issued":{"date-parts":[["2017",7,3]]}}},{"id":6176,"uris":["http://zotero.org/groups/2733877/items/BECF3P6M"],"uri":["http://zotero.org/groups/2733877/items/BECF3P6M"],"itemData":{"id":6176,"type":"chapter","container-title":"The Palgrave Handbook of Education Law for Schools","publisher":"Palgrave Macmillan","title":"Restrictive practices in Australian Schools: institutional violence, disability and law","author":[{"family":"Steele","given":"Linda"}],"editor":[{"family":"Dixon","given":"Roselyn"},{"family":"Trimmer","given":"Karen"},{"family":"Stewart Findlay","given":"Yvonne"}],"issued":{"date-parts":[["2018"]]}}},{"id":6175,"uris":["http://zotero.org/groups/2733877/items/7A33TX7U"],"uri":["http://zotero.org/groups/2733877/items/7A33TX7U"],"itemData":{"id":6175,"type":"chapter","container-title":"Critical Perspectives on Coercive Interventions: Law, Medicine and Society","event-place":"Abingdon","publisher":"Routledge","publisher-place":"Abingdon","title":"Sterilisation, disability and wellbeing: the curative imaginary of the “welfare jurisdiction”","author":[{"family":"Steele","given":"Linda"}],"editor":[{"family":"Spivakovsky","given":"Claire"},{"family":"Seear","given":"Kate"},{"family":"Carter","given":"Adrian"}],"issued":{"date-parts":[["2018"]]}}},{"id":5948,"uris":["http://zotero.org/groups/2733877/items/GXS7S9UM"],"uri":["http://zotero.org/groups/2733877/items/GXS7S9UM"],"itemData":{"id":5948,"type":"book","event-place":"Abingdon","publisher":"Routledge","publisher-place":"Abingdon","title":"Disability, Criminal Justice and Law Reconsidering Court Diversion","URL":"https://www.routledge.com/Disability-Criminal-Justice-and-Law-Reconsidering-Court-Diversion/Steele/p/book/9780815375265","author":[{"family":"Steele","given":"Linda"}],"issued":{"date-parts":[["2020"]]}},"locator":"23"},{"id":6178,"uris":["http://zotero.org/groups/2733877/items/HFBJYXD2"],"uri":["http://zotero.org/groups/2733877/items/HFBJYXD2"],"itemData":{"id":6178,"type":"chapter","container-title":"Madness, Violence and Power: A Critical Collection","publisher":"University of Toronto Press","title":"Uncovering law’s multiple violences at the inquest into the death of Ashley Smith","author":[{"family":"Sheldon","given":"C. Tess"},{"family":"Spector","given":"Karen R."},{"family":"Birdsell","given":"Mary"}],"editor":[{"family":"Daley","given":"Andrea"},{"family":"Costa","given":"Lucy"},{"family":"Beresford","given":"Peter"}],"issued":{"date-parts":[["2019"]]}},"prefix":"see also: "},{"id":6177,"uris":["http://zotero.org/groups/2733877/items/6JK8J43J"],"uri":["http://zotero.org/groups/2733877/items/6JK8J43J"],"itemData":{"id":6177,"type":"chapter","container-title":"Critical Perspectives on Coercive Interventions: Law, Medicine and Society","event-place":"Abingdon","publisher":"Routledge","publisher-place":"Abingdon","title":"The impossibilities of “bearing witness” to the institutional violence of coercive interventions in the disability sector","author":[{"family":"Spivakovsky","given":"Claire"}],"editor":[{"family":"Spivakovsky","given":"Claire"},{"family":"Seear","given":"Kate"},{"family":"Carter","given":"Adrian"}],"issued":{"date-parts":[["2018"]]}}}],"schema":"https://github.com/citation-style-language/schema/raw/master/csl-citation.json"} </w:instrText>
      </w:r>
      <w:r w:rsidRPr="003F3D6D">
        <w:rPr>
          <w:rFonts w:cstheme="minorHAnsi"/>
        </w:rPr>
        <w:fldChar w:fldCharType="separate"/>
      </w:r>
      <w:r w:rsidRPr="00DE38DB">
        <w:rPr>
          <w:rFonts w:ascii="Calibri" w:hAnsi="Calibri" w:cs="Calibri"/>
          <w:szCs w:val="24"/>
        </w:rPr>
        <w:t xml:space="preserve">Steele, ‘Disability, Abnormality and Criminal Law: Sterilisation as Lawful and “Good” Violence’ (n 203); Steele, ‘Temporality, Disability and Institutional Violence: Revisiting In Re F’ (n 219); Linda Steele, ‘Restrictive Practices in Australian Schools: Institutional Violence, Disability and Law’ in Roselyn Dixon, Karen Trimmer and Yvonne Stewart Findlay (eds), </w:t>
      </w:r>
      <w:r w:rsidRPr="00DE38DB">
        <w:rPr>
          <w:rFonts w:ascii="Calibri" w:hAnsi="Calibri" w:cs="Calibri"/>
          <w:i/>
          <w:iCs/>
          <w:szCs w:val="24"/>
        </w:rPr>
        <w:t>The Palgrave Handbook of Education Law for Schools</w:t>
      </w:r>
      <w:r w:rsidRPr="00DE38DB">
        <w:rPr>
          <w:rFonts w:ascii="Calibri" w:hAnsi="Calibri" w:cs="Calibri"/>
          <w:szCs w:val="24"/>
        </w:rPr>
        <w:t xml:space="preserve"> (Palgrave Macmillan, 2018); Linda Steele, ‘Sterilisation, Disability and Wellbeing: The Curative Imaginary of the “Welfare Jurisdiction”’ in Claire Spivakovsky, Kate Seear and Adrian Carter (eds), </w:t>
      </w:r>
      <w:r w:rsidRPr="00DE38DB">
        <w:rPr>
          <w:rFonts w:ascii="Calibri" w:hAnsi="Calibri" w:cs="Calibri"/>
          <w:i/>
          <w:iCs/>
          <w:szCs w:val="24"/>
        </w:rPr>
        <w:t>Critical Perspectives on Coercive Interventions: Law, Medicine and Society</w:t>
      </w:r>
      <w:r w:rsidRPr="00DE38DB">
        <w:rPr>
          <w:rFonts w:ascii="Calibri" w:hAnsi="Calibri" w:cs="Calibri"/>
          <w:szCs w:val="24"/>
        </w:rPr>
        <w:t xml:space="preserve"> (Routledge, 2018); Steele, </w:t>
      </w:r>
      <w:r w:rsidRPr="00DE38DB">
        <w:rPr>
          <w:rFonts w:ascii="Calibri" w:hAnsi="Calibri" w:cs="Calibri"/>
          <w:i/>
          <w:iCs/>
          <w:szCs w:val="24"/>
        </w:rPr>
        <w:t>Disability, Criminal Justice and Law Reconsidering Court Diversion</w:t>
      </w:r>
      <w:r w:rsidRPr="00DE38DB">
        <w:rPr>
          <w:rFonts w:ascii="Calibri" w:hAnsi="Calibri" w:cs="Calibri"/>
          <w:szCs w:val="24"/>
        </w:rPr>
        <w:t xml:space="preserve"> (n 193) 23; see also: C Tess Sheldon, Karen R Spector and Mary Birdsell, ‘Uncovering Law’s Multiple Violences at the Inquest into the Death of Ashley Smith’ in Andrea Daley, Lucy Costa and Peter Beresford (eds), </w:t>
      </w:r>
      <w:r w:rsidRPr="00DE38DB">
        <w:rPr>
          <w:rFonts w:ascii="Calibri" w:hAnsi="Calibri" w:cs="Calibri"/>
          <w:i/>
          <w:iCs/>
          <w:szCs w:val="24"/>
        </w:rPr>
        <w:t>Madness, Violence and Power: A Critical Collection</w:t>
      </w:r>
      <w:r w:rsidRPr="00DE38DB">
        <w:rPr>
          <w:rFonts w:ascii="Calibri" w:hAnsi="Calibri" w:cs="Calibri"/>
          <w:szCs w:val="24"/>
        </w:rPr>
        <w:t xml:space="preserve"> (University of Toronto Press, 2019); Spivakovsky (n 219).</w:t>
      </w:r>
      <w:r w:rsidRPr="003F3D6D">
        <w:rPr>
          <w:rFonts w:cstheme="minorHAnsi"/>
        </w:rPr>
        <w:fldChar w:fldCharType="end"/>
      </w:r>
    </w:p>
  </w:endnote>
  <w:endnote w:id="282">
    <w:p w14:paraId="51FB3F52" w14:textId="3B5E17B6" w:rsidR="00A00236" w:rsidRPr="00471BDD" w:rsidRDefault="00A00236">
      <w:pPr>
        <w:pStyle w:val="EndnoteText"/>
        <w:rPr>
          <w:lang w:val="en-AU"/>
        </w:rPr>
      </w:pPr>
      <w:r>
        <w:rPr>
          <w:rStyle w:val="EndnoteReference"/>
        </w:rPr>
        <w:endnoteRef/>
      </w:r>
      <w:r>
        <w:t xml:space="preserve"> </w:t>
      </w:r>
      <w:r>
        <w:fldChar w:fldCharType="begin"/>
      </w:r>
      <w:r>
        <w:instrText xml:space="preserve"> ADDIN ZOTERO_ITEM CSL_CITATION {"citationID":"R3oZ1ZrM","properties":{"formattedCitation":"{\\i{}Re Marion (1990) 14 Fam LR 427} (Family Court of Australia, 1990); {\\i{}E (Mrs) v Eve} (1986) 2 SCR 388.","plainCitation":"Re Marion (1990) 14 Fam LR 427 (Family Court of Australia, 1990); E (Mrs) v Eve (1986) 2 SCR 388.","noteIndex":282},"citationItems":[{"id":6599,"uris":["http://zotero.org/groups/2796689/items/J4CU7TFP"],"uri":["http://zotero.org/groups/2796689/items/J4CU7TFP"],"itemData":{"id":6599,"type":"legal_case","authority":"Family Court of Australia","title":"Re Marion (1990) 14 Fam LR 427","issued":{"date-parts":[["1990"]]}}},{"id":6136,"uris":["http://zotero.org/groups/2733877/items/SAIIEMV7"],"uri":["http://zotero.org/groups/2733877/items/SAIIEMV7"],"itemData":{"id":6136,"type":"legal_case","authority":"Supreme Court of Canada","container-title":"SCR","page":"388","title":"E (Mrs) v Eve","volume":"2","issued":{"date-parts":[["1986"]]}}}],"schema":"https://github.com/citation-style-language/schema/raw/master/csl-citation.json"} </w:instrText>
      </w:r>
      <w:r>
        <w:fldChar w:fldCharType="separate"/>
      </w:r>
      <w:r w:rsidRPr="003509C3">
        <w:rPr>
          <w:rFonts w:ascii="Calibri" w:hAnsi="Calibri" w:cs="Calibri"/>
          <w:i/>
          <w:iCs/>
          <w:szCs w:val="24"/>
        </w:rPr>
        <w:t>Re Marion (1990) 14 Fam LR 427</w:t>
      </w:r>
      <w:r w:rsidRPr="003509C3">
        <w:rPr>
          <w:rFonts w:ascii="Calibri" w:hAnsi="Calibri" w:cs="Calibri"/>
          <w:szCs w:val="24"/>
        </w:rPr>
        <w:t xml:space="preserve"> (Family Court of Australia, 1990); </w:t>
      </w:r>
      <w:r w:rsidRPr="003509C3">
        <w:rPr>
          <w:rFonts w:ascii="Calibri" w:hAnsi="Calibri" w:cs="Calibri"/>
          <w:i/>
          <w:iCs/>
          <w:szCs w:val="24"/>
        </w:rPr>
        <w:t>E (Mrs) v Eve</w:t>
      </w:r>
      <w:r w:rsidRPr="003509C3">
        <w:rPr>
          <w:rFonts w:ascii="Calibri" w:hAnsi="Calibri" w:cs="Calibri"/>
          <w:szCs w:val="24"/>
        </w:rPr>
        <w:t xml:space="preserve"> (1986) 2 SCR 388.</w:t>
      </w:r>
      <w:r>
        <w:fldChar w:fldCharType="end"/>
      </w:r>
    </w:p>
  </w:endnote>
  <w:endnote w:id="283">
    <w:p w14:paraId="16B8A311" w14:textId="64892F89" w:rsidR="00A00236" w:rsidRPr="00B363D7" w:rsidRDefault="00A00236">
      <w:pPr>
        <w:pStyle w:val="EndnoteText"/>
        <w:rPr>
          <w:lang w:val="en-AU"/>
        </w:rPr>
      </w:pPr>
      <w:r>
        <w:rPr>
          <w:rStyle w:val="EndnoteReference"/>
        </w:rPr>
        <w:endnoteRef/>
      </w:r>
      <w:r>
        <w:t xml:space="preserve"> </w:t>
      </w:r>
      <w:r>
        <w:fldChar w:fldCharType="begin"/>
      </w:r>
      <w:r>
        <w:instrText xml:space="preserve"> ADDIN ZOTERO_ITEM CSL_CITATION {"citationID":"hanWms9M","properties":{"formattedCitation":"{\\i{}In Re F (Mental Patient: Sterilization)} (n 268).","plainCitation":"In Re F (Mental Patient: Sterilization) (n 268).","noteIndex":283},"citationItems":[{"id":6021,"uris":["http://zotero.org/groups/2733877/items/XQD77L67"],"uri":["http://zotero.org/groups/2733877/items/XQD77L67"],"itemData":{"id":6021,"type":"legal_case","container-title":"AC","page":"1","title":"In re F (Mental Patient: Sterilization)","volume":"2","issued":{"date-parts":[["1990"]]}}}],"schema":"https://github.com/citation-style-language/schema/raw/master/csl-citation.json"} </w:instrText>
      </w:r>
      <w:r>
        <w:fldChar w:fldCharType="separate"/>
      </w:r>
      <w:r w:rsidRPr="003644C1">
        <w:rPr>
          <w:rFonts w:ascii="Calibri" w:hAnsi="Calibri" w:cs="Calibri"/>
          <w:i/>
          <w:iCs/>
          <w:szCs w:val="24"/>
        </w:rPr>
        <w:t>In Re F (Mental Patient: Sterilization)</w:t>
      </w:r>
      <w:r w:rsidRPr="003644C1">
        <w:rPr>
          <w:rFonts w:ascii="Calibri" w:hAnsi="Calibri" w:cs="Calibri"/>
          <w:szCs w:val="24"/>
        </w:rPr>
        <w:t xml:space="preserve"> (n 268).</w:t>
      </w:r>
      <w:r>
        <w:fldChar w:fldCharType="end"/>
      </w:r>
    </w:p>
  </w:endnote>
  <w:endnote w:id="284">
    <w:p w14:paraId="311388F8" w14:textId="7A842AB8" w:rsidR="00A00236" w:rsidRPr="003F3D6D" w:rsidRDefault="00A00236" w:rsidP="00074750">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{"citationID":"EfL3rIXZ","properties":{"formattedCitation":"Roper et al (n 234) 29\\uc0\\u8211{}30.","plainCitation":"Roper et al (n 234) 29–30.","noteIndex":284},"citationItems":[{"id":5958,"uris":["http://zotero.org/groups/2733877/items/E4BTY93W"],"uri":["http://zotero.org/groups/2733877/items/E4BTY93W"],"itemData":{"id":5958,"type":"chapter","container-title":"Restrictive Practices in Health Care and Disability Settings: Legal, Policy and Practical Responses","event-place":"London","page":"16","publisher":"Taylor &amp; Francis Group","publisher-place":"London","title":"Ending Restraint: An Insider View","author":[{"family":"Roper","given":"Cath"},{"family":"O'Hagan","given":"Mary"},{"family":"Kennedy","given":"Hamilton"},{"family":"Roennfeldt","given":"Helena"}],"editor":[{"family":"McSherry","given":"Bernadette"},{"family":"Maker","given":"Yvette"}],"issued":{"date-parts":[["2020"]]}},"locator":"29-30"}],"schema":"https://github.com/citation-style-language/schema/raw/master/csl-citation.json"} </w:instrText>
      </w:r>
      <w:r w:rsidRPr="003F3D6D">
        <w:rPr>
          <w:rFonts w:cstheme="minorHAnsi"/>
        </w:rPr>
        <w:fldChar w:fldCharType="separate"/>
      </w:r>
      <w:r w:rsidRPr="00BF579D">
        <w:rPr>
          <w:rFonts w:ascii="Calibri" w:hAnsi="Calibri" w:cs="Calibri"/>
          <w:szCs w:val="24"/>
        </w:rPr>
        <w:t>Roper et al (n 234) 29–30.</w:t>
      </w:r>
      <w:r w:rsidRPr="003F3D6D">
        <w:rPr>
          <w:rFonts w:cstheme="minorHAnsi"/>
        </w:rPr>
        <w:fldChar w:fldCharType="end"/>
      </w:r>
    </w:p>
  </w:endnote>
  <w:endnote w:id="285">
    <w:p w14:paraId="557A571A" w14:textId="4DE0AAAE" w:rsidR="00A00236" w:rsidRPr="003F3D6D" w:rsidRDefault="00A00236" w:rsidP="00074750">
      <w:pPr>
        <w:pStyle w:val="EndnoteText"/>
        <w:rPr>
          <w:rFonts w:cstheme="minorHAnsi"/>
          <w:lang w:val="en-AU"/>
        </w:rPr>
      </w:pPr>
      <w:r w:rsidRPr="003F3D6D">
        <w:rPr>
          <w:rStyle w:val="EndnoteReference"/>
          <w:rFonts w:cstheme="minorHAnsi"/>
        </w:rPr>
        <w:endnoteRef/>
      </w:r>
      <w:r w:rsidRPr="003F3D6D">
        <w:rPr>
          <w:rFonts w:cstheme="minorHAnsi"/>
        </w:rPr>
        <w:t xml:space="preserve"> </w:t>
      </w:r>
      <w:r>
        <w:rPr>
          <w:rFonts w:cstheme="minorHAnsi"/>
        </w:rPr>
        <w:fldChar w:fldCharType="begin"/>
      </w:r>
      <w:r>
        <w:rPr>
          <w:rFonts w:cstheme="minorHAnsi"/>
        </w:rPr>
        <w:instrText xml:space="preserve"> ADDIN ZOTERO_ITEM CSL_CITATION {"citationID":"TUTUZp9Z","properties":{"formattedCitation":"See, e.g., Natalie Gerodetti, \\uc0\\u8216{}Whose Reparation Claims Count? Gender, History and (In)Justice\\uc0\\u8217{} (2016) 42(1) {\\i{}Australian Feminist Law Journal} 97.","plainCitation":"See, e.g., Natalie Gerodetti, ‘Whose Reparation Claims Count? Gender, History and (In)Justice’ (2016) 42(1) Australian Feminist Law Journal 97.","noteIndex":285},"citationItems":[{"id":6131,"uris":["http://zotero.org/groups/2733877/items/8HSIKLGT"],"uri":["http://zotero.org/groups/2733877/items/8HSIKLGT"],"itemData":{"id":6131,"type":"article-journal","container-title":"Australian Feminist Law Journal","DOI":"10.1080/13200968.2016.1196532","issue":"1","page":"97-118","title":"Whose Reparation Claims Count? Gender, History and (In)justice","volume":"42","author":[{"family":"Gerodetti","given":"Natalie"}],"issued":{"date-parts":[["2016"]]}},"prefix":"See, e.g., "}],"schema":"https://github.com/citation-style-language/schema/raw/master/csl-citation.json"} </w:instrText>
      </w:r>
      <w:r>
        <w:rPr>
          <w:rFonts w:cstheme="minorHAnsi"/>
        </w:rPr>
        <w:fldChar w:fldCharType="separate"/>
      </w:r>
      <w:r w:rsidRPr="009E64CC">
        <w:rPr>
          <w:rFonts w:ascii="Calibri" w:hAnsi="Calibri" w:cs="Calibri"/>
          <w:szCs w:val="24"/>
        </w:rPr>
        <w:t xml:space="preserve">See, e.g., Natalie Gerodetti, ‘Whose Reparation Claims Count? Gender, History and (In)Justice’ (2016) 42(1) </w:t>
      </w:r>
      <w:r w:rsidRPr="009E64CC">
        <w:rPr>
          <w:rFonts w:ascii="Calibri" w:hAnsi="Calibri" w:cs="Calibri"/>
          <w:i/>
          <w:iCs/>
          <w:szCs w:val="24"/>
        </w:rPr>
        <w:t>Australian Feminist Law Journal</w:t>
      </w:r>
      <w:r w:rsidRPr="009E64CC">
        <w:rPr>
          <w:rFonts w:ascii="Calibri" w:hAnsi="Calibri" w:cs="Calibri"/>
          <w:szCs w:val="24"/>
        </w:rPr>
        <w:t xml:space="preserve"> 97.</w:t>
      </w:r>
      <w:r>
        <w:rPr>
          <w:rFonts w:cstheme="minorHAnsi"/>
        </w:rPr>
        <w:fldChar w:fldCharType="end"/>
      </w:r>
    </w:p>
  </w:endnote>
  <w:endnote w:id="286">
    <w:p w14:paraId="516C6573" w14:textId="14966D2A" w:rsidR="00A00236" w:rsidRPr="003F3D6D" w:rsidRDefault="00A00236" w:rsidP="00074750">
      <w:pPr>
        <w:pStyle w:val="EndnoteText"/>
        <w:rPr>
          <w:rFonts w:cstheme="minorHAnsi"/>
          <w:lang w:val="en-AU"/>
        </w:rPr>
      </w:pPr>
      <w:r w:rsidRPr="003F3D6D">
        <w:rPr>
          <w:rStyle w:val="EndnoteReference"/>
          <w:rFonts w:cstheme="minorHAnsi"/>
        </w:rPr>
        <w:endnoteRef/>
      </w:r>
      <w:r w:rsidRPr="003F3D6D">
        <w:rPr>
          <w:rFonts w:cstheme="minorHAnsi"/>
        </w:rPr>
        <w:t xml:space="preserve"> </w:t>
      </w:r>
      <w:r>
        <w:rPr>
          <w:rFonts w:cstheme="minorHAnsi"/>
        </w:rPr>
        <w:fldChar w:fldCharType="begin"/>
      </w:r>
      <w:r>
        <w:rPr>
          <w:rFonts w:cstheme="minorHAnsi"/>
        </w:rPr>
        <w:instrText xml:space="preserve"> ADDIN ZOTERO_ITEM CSL_CITATION {"citationID":"bCdLO3rw","properties":{"formattedCitation":"Linda Steele, \\uc0\\u8216{}Sites of Conscience Redressing Disability Institutional Violence\\uc0\\u8217{} [2021] {\\i{}Incarceration: An International Journal of Imprisonment, Detention and Coercive Confinement}.","plainCitation":"Linda Steele, ‘Sites of Conscience Redressing Disability Institutional Violence’ [2021] Incarceration: An International Journal of Imprisonment, Detention and Coercive Confinement.","noteIndex":286},"citationItems":[{"id":6133,"uris":["http://zotero.org/groups/2733877/items/FECW9WRE"],"uri":["http://zotero.org/groups/2733877/items/FECW9WRE"],"itemData":{"id":6133,"type":"article-journal","container-title":"Incarceration: An International Journal of Imprisonment, Detention and Coercive Confinement","title":"Sites of Conscience Redressing Disability Institutional Violence","author":[{"family":"Steele","given":"Linda"}],"issued":{"date-parts":[["2021"]],"season":"forthcoming"}}}],"schema":"https://github.com/citation-style-language/schema/raw/master/csl-citation.json"} </w:instrText>
      </w:r>
      <w:r>
        <w:rPr>
          <w:rFonts w:cstheme="minorHAnsi"/>
        </w:rPr>
        <w:fldChar w:fldCharType="separate"/>
      </w:r>
      <w:r w:rsidRPr="009E64CC">
        <w:rPr>
          <w:rFonts w:ascii="Calibri" w:hAnsi="Calibri" w:cs="Calibri"/>
          <w:szCs w:val="24"/>
        </w:rPr>
        <w:t xml:space="preserve">Linda Steele, ‘Sites of Conscience Redressing Disability Institutional Violence’ [2021] </w:t>
      </w:r>
      <w:r w:rsidRPr="009E64CC">
        <w:rPr>
          <w:rFonts w:ascii="Calibri" w:hAnsi="Calibri" w:cs="Calibri"/>
          <w:i/>
          <w:iCs/>
          <w:szCs w:val="24"/>
        </w:rPr>
        <w:t>Incarceration: An International Journal of Imprisonment, Detention and Coercive Confinement</w:t>
      </w:r>
      <w:r w:rsidRPr="009E64CC">
        <w:rPr>
          <w:rFonts w:ascii="Calibri" w:hAnsi="Calibri" w:cs="Calibri"/>
          <w:szCs w:val="24"/>
        </w:rPr>
        <w:t>.</w:t>
      </w:r>
      <w:r>
        <w:rPr>
          <w:rFonts w:cstheme="minorHAnsi"/>
        </w:rPr>
        <w:fldChar w:fldCharType="end"/>
      </w:r>
    </w:p>
  </w:endnote>
  <w:endnote w:id="287">
    <w:p w14:paraId="467CC0EC" w14:textId="52C843DC" w:rsidR="00A00236" w:rsidRPr="003F3D6D" w:rsidRDefault="00A00236" w:rsidP="00074750">
      <w:pPr>
        <w:pStyle w:val="EndnoteText"/>
        <w:rPr>
          <w:rFonts w:cstheme="minorHAnsi"/>
          <w:lang w:val="en-AU"/>
        </w:rPr>
      </w:pPr>
      <w:r w:rsidRPr="003F3D6D">
        <w:rPr>
          <w:rStyle w:val="EndnoteReference"/>
          <w:rFonts w:cstheme="minorHAnsi"/>
        </w:rPr>
        <w:endnoteRef/>
      </w:r>
      <w:r>
        <w:rPr>
          <w:rFonts w:cstheme="minorHAnsi"/>
        </w:rPr>
        <w:t xml:space="preserve"> </w:t>
      </w:r>
      <w:r>
        <w:rPr>
          <w:rFonts w:cstheme="minorHAnsi"/>
        </w:rPr>
        <w:fldChar w:fldCharType="begin"/>
      </w:r>
      <w:r>
        <w:rPr>
          <w:rFonts w:cstheme="minorHAnsi"/>
        </w:rPr>
        <w:instrText xml:space="preserve"> ADDIN ZOTERO_ITEM CSL_CITATION {"citationID":"LT3oVl8t","properties":{"formattedCitation":"Steele, {\\i{}Disability, Criminal Justice and Law Reconsidering Court Diversion} (n 193) 198, 206\\uc0\\u8211{}212; Linda Steele et al, \\uc0\\u8216{}Parramatta Female Factory Precinct as a Site of Conscience: Using Institutional Pasts to Shape Just Legal Futures\\uc0\\u8217{} (2020) 43(2) {\\i{}UNSW Law Journal} 521; see also: Laura I Appleman, \\uc0\\u8216{}Pandemic Eugenics: Discrimination, Disability, &amp; Detention during COVID-19\\uc0\\u8217{} [2021] {\\i{}SSRN} &lt;https://papers.ssrn.com/sol3/papers.cfm?abstract_id=3801194&amp;dgcid=ejournal_htmlemail_disability:law:ejournal_abstractlink&gt;.","plainCitation":"Steele, Disability, Criminal Justice and Law Reconsidering Court Diversion (n 193) 198, 206–212; Linda Steele et al, ‘Parramatta Female Factory Precinct as a Site of Conscience: Using Institutional Pasts to Shape Just Legal Futures’ (2020) 43(2) UNSW Law Journal 521; see also: Laura I Appleman, ‘Pandemic Eugenics: Discrimination, Disability, &amp; Detention during COVID-19’ [2021] SSRN &lt;https://papers.ssrn.com/sol3/papers.cfm?abstract_id=3801194&amp;dgcid=ejournal_htmlemail_disability:law:ejournal_abstractlink&gt;.","noteIndex":287},"citationItems":[{"id":5948,"uris":["http://zotero.org/groups/2733877/items/GXS7S9UM"],"uri":["http://zotero.org/groups/2733877/items/GXS7S9UM"],"itemData":{"id":5948,"type":"book","event-place":"Abingdon","publisher":"Routledge","publisher-place":"Abingdon","title":"Disability, Criminal Justice and Law Reconsidering Court Diversion","URL":"https://www.routledge.com/Disability-Criminal-Justice-and-Law-Reconsidering-Court-Diversion/Steele/p/book/9780815375265","author":[{"family":"Steele","given":"Linda"}],"issued":{"date-parts":[["2020"]]}},"locator":"198, 206-212"},{"id":6135,"uris":["http://zotero.org/groups/2733877/items/4S9K6AWM"],"uri":["http://zotero.org/groups/2733877/items/4S9K6AWM"],"itemData":{"id":6135,"type":"article-journal","container-title":"UNSW Law Journal","issue":"2","page":"521-551","title":"Parramatta Female Factory Precinct as a Site of Conscience: Using Institutional Pasts to Shape Just Legal Futures","volume":"43","author":[{"family":"Steele","given":"Linda"},{"family":"Djuric","given":"Bonney"},{"family":"Hibberd","given":"Lily"},{"family":"Yeh","given":"Fiona"}],"issued":{"date-parts":[["2020"]]}}},{"id":6134,"uris":["http://zotero.org/groups/2733877/items/7GDD7KYU"],"uri":["http://zotero.org/groups/2733877/items/7GDD7KYU"],"itemData":{"id":6134,"type":"article-journal","container-title":"SSRN","title":"Pandemic Eugenics: Discrimination, Disability, &amp; Detention during COVID-19","URL":"https://papers.ssrn.com/sol3/papers.cfm?abstract_id=3801194&amp;dgcid=ejournal_htmlemail_disability:law:ejournal_abstractlink","author":[{"family":"Appleman","given":"Laura I"}],"issued":{"date-parts":[["2021",2,12]]}},"prefix":"see also: "}],"schema":"https://github.com/citation-style-language/schema/raw/master/csl-citation.json"} </w:instrText>
      </w:r>
      <w:r>
        <w:rPr>
          <w:rFonts w:cstheme="minorHAnsi"/>
        </w:rPr>
        <w:fldChar w:fldCharType="separate"/>
      </w:r>
      <w:r w:rsidRPr="00DE38DB">
        <w:rPr>
          <w:rFonts w:ascii="Calibri" w:hAnsi="Calibri" w:cs="Calibri"/>
          <w:szCs w:val="24"/>
        </w:rPr>
        <w:t xml:space="preserve">Steele, </w:t>
      </w:r>
      <w:r w:rsidRPr="00DE38DB">
        <w:rPr>
          <w:rFonts w:ascii="Calibri" w:hAnsi="Calibri" w:cs="Calibri"/>
          <w:i/>
          <w:iCs/>
          <w:szCs w:val="24"/>
        </w:rPr>
        <w:t>Disability, Criminal Justice and Law Reconsidering Court Diversion</w:t>
      </w:r>
      <w:r w:rsidRPr="00DE38DB">
        <w:rPr>
          <w:rFonts w:ascii="Calibri" w:hAnsi="Calibri" w:cs="Calibri"/>
          <w:szCs w:val="24"/>
        </w:rPr>
        <w:t xml:space="preserve"> (n 193) 198, 206–212; Linda Steele et al, ‘Parramatta Female Factory Precinct as a Site of Conscience: Using Institutional Pasts to Shape Just Legal Futures’ (2020) 43(2) </w:t>
      </w:r>
      <w:r w:rsidRPr="00DE38DB">
        <w:rPr>
          <w:rFonts w:ascii="Calibri" w:hAnsi="Calibri" w:cs="Calibri"/>
          <w:i/>
          <w:iCs/>
          <w:szCs w:val="24"/>
        </w:rPr>
        <w:t>UNSW Law Journal</w:t>
      </w:r>
      <w:r w:rsidRPr="00DE38DB">
        <w:rPr>
          <w:rFonts w:ascii="Calibri" w:hAnsi="Calibri" w:cs="Calibri"/>
          <w:szCs w:val="24"/>
        </w:rPr>
        <w:t xml:space="preserve"> 521; see also: Laura I Appleman, ‘Pandemic Eugenics: Discrimination, Disability, &amp; Detention during COVID-19’ [2021] </w:t>
      </w:r>
      <w:r w:rsidRPr="00DE38DB">
        <w:rPr>
          <w:rFonts w:ascii="Calibri" w:hAnsi="Calibri" w:cs="Calibri"/>
          <w:i/>
          <w:iCs/>
          <w:szCs w:val="24"/>
        </w:rPr>
        <w:t>SSRN</w:t>
      </w:r>
      <w:r w:rsidRPr="00DE38DB">
        <w:rPr>
          <w:rFonts w:ascii="Calibri" w:hAnsi="Calibri" w:cs="Calibri"/>
          <w:szCs w:val="24"/>
        </w:rPr>
        <w:t xml:space="preserve"> &lt;https://papers.ssrn.com/sol3/papers.cfm?abstract_id=3801194&amp;dgcid=ejournal_htmlemail_disability:law:ejournal_abstractlink&gt;.</w:t>
      </w:r>
      <w:r>
        <w:rPr>
          <w:rFonts w:cstheme="minorHAnsi"/>
        </w:rPr>
        <w:fldChar w:fldCharType="end"/>
      </w:r>
    </w:p>
  </w:endnote>
  <w:endnote w:id="288">
    <w:p w14:paraId="5569B53D" w14:textId="41F8A571" w:rsidR="00A00236" w:rsidRPr="003F3D6D" w:rsidRDefault="00A00236" w:rsidP="00074750">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{"citationID":"tK54CzVr","properties":{"formattedCitation":"Steele, {\\i{}Disability, Criminal Justice and Law Reconsidering Court Diversion} (n 193).","plainCitation":"Steele, Disability, Criminal Justice and Law Reconsidering Court Diversion (n 193).","noteIndex":288},"citationItems":[{"id":5948,"uris":["http://zotero.org/groups/2733877/items/GXS7S9UM"],"uri":["http://zotero.org/groups/2733877/items/GXS7S9UM"],"itemData":{"id":5948,"type":"book","event-place":"Abingdon","publisher":"Routledge","publisher-place":"Abingdon","title":"Disability, Criminal Justice and Law Reconsidering Court Diversion","URL":"https://www.routledge.com/Disability-Criminal-Justice-and-Law-Reconsidering-Court-Diversion/Steele/p/book/9780815375265","author":[{"family":"Steele","given":"Linda"}],"issued":{"date-parts":[["2020"]]}}}],"schema":"https://github.com/citation-style-language/schema/raw/master/csl-citation.json"} </w:instrText>
      </w:r>
      <w:r w:rsidRPr="003F3D6D">
        <w:rPr>
          <w:rFonts w:cstheme="minorHAnsi"/>
        </w:rPr>
        <w:fldChar w:fldCharType="separate"/>
      </w:r>
      <w:r w:rsidRPr="00DE38DB">
        <w:rPr>
          <w:rFonts w:ascii="Calibri" w:hAnsi="Calibri" w:cs="Calibri"/>
          <w:szCs w:val="24"/>
        </w:rPr>
        <w:t xml:space="preserve">Steele, </w:t>
      </w:r>
      <w:r w:rsidRPr="00DE38DB">
        <w:rPr>
          <w:rFonts w:ascii="Calibri" w:hAnsi="Calibri" w:cs="Calibri"/>
          <w:i/>
          <w:iCs/>
          <w:szCs w:val="24"/>
        </w:rPr>
        <w:t>Disability, Criminal Justice and Law Reconsidering Court Diversion</w:t>
      </w:r>
      <w:r w:rsidRPr="00DE38DB">
        <w:rPr>
          <w:rFonts w:ascii="Calibri" w:hAnsi="Calibri" w:cs="Calibri"/>
          <w:szCs w:val="24"/>
        </w:rPr>
        <w:t xml:space="preserve"> (n 193).</w:t>
      </w:r>
      <w:r w:rsidRPr="003F3D6D">
        <w:rPr>
          <w:rFonts w:cstheme="minorHAnsi"/>
        </w:rPr>
        <w:fldChar w:fldCharType="end"/>
      </w:r>
    </w:p>
  </w:endnote>
  <w:endnote w:id="289">
    <w:p w14:paraId="535ABD46" w14:textId="6DDE95F1" w:rsidR="00A00236" w:rsidRPr="003F3D6D" w:rsidRDefault="00A00236" w:rsidP="00074750">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{"citationID":"n5YN6fOF","properties":{"formattedCitation":"Royal Commission into Violence, Abuse, Neglect and Exploitation of People with Disability, \\uc0\\u8216{}Restrictive Practices Issues Paper\\uc0\\u8217{} (n 3) 7.","plainCitation":"Royal Commission into Violence, Abuse, Neglect and Exploitation of People with Disability, ‘Restrictive Practices Issues Paper’ (n 3) 7.","noteIndex":289},"citationItems":[{"id":6209,"uris":["http://zotero.org/groups/2733877/items/TGUJIQJE"],"uri":["http://zotero.org/groups/2733877/items/TGUJIQJE"],"itemData":{"id":6209,"type":"report","language":"en","page":"1-14","source":"Zotero","title":"Restrictive Practices Issues Paper","author":[{"family":"Royal Commission into Violence, Abuse, Neglect and Exploitation of People with Disability","given":""}],"issued":{"date-parts":[["2020",5,26]]}},"locator":"7"}],"schema":"https://github.com/citation-style-language/schema/raw/master/csl-citation.json"} </w:instrText>
      </w:r>
      <w:r w:rsidRPr="003F3D6D">
        <w:rPr>
          <w:rFonts w:cstheme="minorHAnsi"/>
        </w:rPr>
        <w:fldChar w:fldCharType="separate"/>
      </w:r>
      <w:r w:rsidRPr="003509C3">
        <w:rPr>
          <w:rFonts w:ascii="Calibri" w:hAnsi="Calibri" w:cs="Calibri"/>
          <w:szCs w:val="24"/>
        </w:rPr>
        <w:t>Royal Commission into Violence, Abuse, Neglect and Exploitation of People with Disability, ‘Restrictive Practices Issues Paper’ (n 3) 7.</w:t>
      </w:r>
      <w:r w:rsidRPr="003F3D6D">
        <w:rPr>
          <w:rFonts w:cstheme="minorHAnsi"/>
        </w:rPr>
        <w:fldChar w:fldCharType="end"/>
      </w:r>
    </w:p>
  </w:endnote>
  <w:endnote w:id="290">
    <w:p w14:paraId="5B1C17A5" w14:textId="19090BF4" w:rsidR="00A00236" w:rsidRPr="003F3D6D" w:rsidRDefault="00A00236" w:rsidP="00074750">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{"citationID":"4aaLvvOw","properties":{"formattedCitation":"Ibid 4.","plainCitation":"Ibid 4.","noteIndex":290},"citationItems":[{"id":6209,"uris":["http://zotero.org/groups/2733877/items/TGUJIQJE"],"uri":["http://zotero.org/groups/2733877/items/TGUJIQJE"],"itemData":{"id":6209,"type":"report","language":"en","page":"1-14","source":"Zotero","title":"Restrictive Practices Issues Paper","author":[{"family":"Royal Commission into Violence, Abuse, Neglect and Exploitation of People with Disability","given":""}],"issued":{"date-parts":[["2020",5,26]]}},"locator":"4"}],"schema":"https://github.com/citation-style-language/schema/raw/master/csl-citation.json"} </w:instrText>
      </w:r>
      <w:r w:rsidRPr="003F3D6D">
        <w:rPr>
          <w:rFonts w:cstheme="minorHAnsi"/>
        </w:rPr>
        <w:fldChar w:fldCharType="separate"/>
      </w:r>
      <w:r w:rsidRPr="003F3D6D">
        <w:rPr>
          <w:rFonts w:cstheme="minorHAnsi"/>
          <w:noProof/>
        </w:rPr>
        <w:t>Ibid 4.</w:t>
      </w:r>
      <w:r w:rsidRPr="003F3D6D">
        <w:rPr>
          <w:rFonts w:cstheme="minorHAnsi"/>
        </w:rPr>
        <w:fldChar w:fldCharType="end"/>
      </w:r>
    </w:p>
  </w:endnote>
  <w:endnote w:id="291">
    <w:p w14:paraId="79E55EB9" w14:textId="15AF499F" w:rsidR="00A00236" w:rsidRPr="003F3D6D" w:rsidRDefault="00A00236" w:rsidP="00CD5DCE">
      <w:pPr>
        <w:pStyle w:val="EndnoteText"/>
        <w:rPr>
          <w:rFonts w:cstheme="minorHAnsi"/>
        </w:rPr>
      </w:pPr>
      <w:r w:rsidRPr="003F3D6D">
        <w:rPr>
          <w:rStyle w:val="EndnoteReference"/>
          <w:rFonts w:cstheme="minorHAnsi"/>
        </w:rPr>
        <w:endnoteRef/>
      </w:r>
      <w:r w:rsidRPr="003F3D6D">
        <w:rPr>
          <w:rFonts w:cstheme="minorHAnsi"/>
        </w:rPr>
        <w:t xml:space="preserve"> The scheme is administered by the </w:t>
      </w:r>
      <w:hyperlink r:id="rId6" w:history="1">
        <w:r>
          <w:rPr>
            <w:rStyle w:val="Hyperlink"/>
            <w:rFonts w:cstheme="minorHAnsi"/>
          </w:rPr>
          <w:t>NDIA</w:t>
        </w:r>
      </w:hyperlink>
      <w:r w:rsidRPr="003F3D6D">
        <w:rPr>
          <w:rFonts w:cstheme="minorHAnsi"/>
        </w:rPr>
        <w:t xml:space="preserve"> which has been established under Commonwealth legislation, the </w:t>
      </w:r>
      <w:hyperlink r:id="rId7" w:history="1">
        <w:r w:rsidRPr="003F3D6D">
          <w:rPr>
            <w:rStyle w:val="Hyperlink"/>
            <w:rFonts w:cstheme="minorHAnsi"/>
          </w:rPr>
          <w:t>National Disability Insurance Scheme Act 2013</w:t>
        </w:r>
      </w:hyperlink>
      <w:r w:rsidRPr="003F3D6D">
        <w:rPr>
          <w:rFonts w:cstheme="minorHAnsi"/>
        </w:rPr>
        <w:t xml:space="preserve"> (NDIS Act) and is governed by a Board. </w:t>
      </w:r>
    </w:p>
  </w:endnote>
  <w:endnote w:id="292">
    <w:p w14:paraId="6F6FD4EB" w14:textId="2CEC27C7" w:rsidR="00A00236" w:rsidRPr="003F3D6D" w:rsidRDefault="00A00236" w:rsidP="00CD5DC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{"citationID":"223428fG","properties":{"formattedCitation":"{\\i{}National Disability Insurance Scheme Act 2013} (n 134).","plainCitation":"National Disability Insurance Scheme Act 2013 (n 134).","noteIndex":292},"citationItems":[{"id":6017,"uris":["http://zotero.org/groups/2733877/items/3S2HP4B6"],"uri":["http://zotero.org/groups/2733877/items/3S2HP4B6"],"itemData":{"id":6017,"type":"legislation","container-title":"Cth","title":"National Disability Insurance Scheme Act 2013"}}],"schema":"https://github.com/citation-style-language/schema/raw/master/csl-citation.json"} </w:instrText>
      </w:r>
      <w:r w:rsidRPr="003F3D6D">
        <w:rPr>
          <w:rFonts w:cstheme="minorHAnsi"/>
        </w:rPr>
        <w:fldChar w:fldCharType="separate"/>
      </w:r>
      <w:r w:rsidRPr="00573F56">
        <w:rPr>
          <w:rFonts w:ascii="Calibri" w:hAnsi="Calibri" w:cs="Calibri"/>
          <w:i/>
          <w:iCs/>
          <w:szCs w:val="24"/>
        </w:rPr>
        <w:t>National Disability Insurance Scheme Act 2013</w:t>
      </w:r>
      <w:r w:rsidRPr="00573F56">
        <w:rPr>
          <w:rFonts w:ascii="Calibri" w:hAnsi="Calibri" w:cs="Calibri"/>
          <w:szCs w:val="24"/>
        </w:rPr>
        <w:t xml:space="preserve"> (n 134).</w:t>
      </w:r>
      <w:r w:rsidRPr="003F3D6D">
        <w:rPr>
          <w:rFonts w:cstheme="minorHAnsi"/>
        </w:rPr>
        <w:fldChar w:fldCharType="end"/>
      </w:r>
    </w:p>
  </w:endnote>
  <w:endnote w:id="293">
    <w:p w14:paraId="6B97C5D4" w14:textId="309D0EE5" w:rsidR="00A00236" w:rsidRPr="00074750" w:rsidRDefault="00A00236">
      <w:pPr>
        <w:pStyle w:val="EndnoteText"/>
        <w:rPr>
          <w:lang w:val="en-AU"/>
        </w:rPr>
      </w:pPr>
      <w:r>
        <w:rPr>
          <w:rStyle w:val="EndnoteReference"/>
        </w:rPr>
        <w:endnoteRef/>
      </w:r>
      <w:r>
        <w:t xml:space="preserve"> </w:t>
      </w:r>
      <w:r>
        <w:fldChar w:fldCharType="begin"/>
      </w:r>
      <w:r>
        <w:instrText xml:space="preserve"> ADDIN ZOTERO_ITEM CSL_CITATION {"citationID":"rXRGeCuc","properties":{"formattedCitation":"Ibid 3(1)(c),(e).","plainCitation":"Ibid 3(1)(c),(e).","noteIndex":293},"citationItems":[{"id":6017,"uris":["http://zotero.org/groups/2733877/items/3S2HP4B6"],"uri":["http://zotero.org/groups/2733877/items/3S2HP4B6"],"itemData":{"id":6017,"type":"legislation","container-title":"Cth","title":"National Disability Insurance Scheme Act 2013"},"locator":"3(1)(c),(e)","label":"section"}],"schema":"https://github.com/citation-style-language/schema/raw/master/csl-citation.json"} </w:instrText>
      </w:r>
      <w:r>
        <w:fldChar w:fldCharType="separate"/>
      </w:r>
      <w:r w:rsidRPr="00074750">
        <w:rPr>
          <w:rFonts w:ascii="Calibri" w:hAnsi="Calibri" w:cs="Calibri"/>
        </w:rPr>
        <w:t>Ibid 3(1)(c),(e).</w:t>
      </w:r>
      <w:r>
        <w:fldChar w:fldCharType="end"/>
      </w:r>
    </w:p>
  </w:endnote>
  <w:endnote w:id="294">
    <w:p w14:paraId="30482300" w14:textId="7CA52D53" w:rsidR="00A00236" w:rsidRPr="003F3D6D" w:rsidRDefault="00A00236" w:rsidP="00CD5DC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{"citationID":"qZNER45a","properties":{"formattedCitation":"{\\i{}National Disability Insurance Scheme (Restrictive Practices and Behaviour Support) Rules 2018} (n 168).","plainCitation":"National Disability Insurance Scheme (Restrictive Practices and Behaviour Support) Rules 2018 (n 168).","noteIndex":294},"citationItems":[{"id":6018,"uris":["http://zotero.org/groups/2733877/items/4XLXZB3H"],"uri":["http://zotero.org/groups/2733877/items/4XLXZB3H"],"itemData":{"id":6018,"type":"legislation","container-title":"Cth","title":"National Disability Insurance Scheme (Restrictive Practices and Behaviour Support) Rules 2018"}}],"schema":"https://github.com/citation-style-language/schema/raw/master/csl-citation.json"} </w:instrText>
      </w:r>
      <w:r w:rsidRPr="003F3D6D">
        <w:rPr>
          <w:rFonts w:cstheme="minorHAnsi"/>
        </w:rPr>
        <w:fldChar w:fldCharType="separate"/>
      </w:r>
      <w:r w:rsidRPr="008F06C3">
        <w:rPr>
          <w:rFonts w:ascii="Calibri" w:hAnsi="Calibri" w:cs="Calibri"/>
          <w:i/>
          <w:iCs/>
          <w:szCs w:val="24"/>
        </w:rPr>
        <w:t>National Disability Insurance Scheme (Restrictive Practices and Behaviour Support) Rules 2018</w:t>
      </w:r>
      <w:r w:rsidRPr="008F06C3">
        <w:rPr>
          <w:rFonts w:ascii="Calibri" w:hAnsi="Calibri" w:cs="Calibri"/>
          <w:szCs w:val="24"/>
        </w:rPr>
        <w:t xml:space="preserve"> (n 168).</w:t>
      </w:r>
      <w:r w:rsidRPr="003F3D6D">
        <w:rPr>
          <w:rFonts w:cstheme="minorHAnsi"/>
        </w:rPr>
        <w:fldChar w:fldCharType="end"/>
      </w:r>
    </w:p>
  </w:endnote>
  <w:endnote w:id="295">
    <w:p w14:paraId="5A737291" w14:textId="7FBE462E" w:rsidR="00A00236" w:rsidRPr="003F3D6D" w:rsidRDefault="00A00236" w:rsidP="00CD5DC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{"citationID":"ABeYy9SD","properties":{"formattedCitation":"Ibid rr 21, 24(3).","plainCitation":"Ibid rr 21, 24(3).","noteIndex":295},"citationItems":[{"id":6018,"uris":["http://zotero.org/groups/2733877/items/4XLXZB3H"],"uri":["http://zotero.org/groups/2733877/items/4XLXZB3H"],"itemData":{"id":6018,"type":"legislation","container-title":"Cth","title":"National Disability Insurance Scheme (Restrictive Practices and Behaviour Support) Rules 2018"},"locator":"rr 21, 24(3)"}],"schema":"https://github.com/citation-style-language/schema/raw/master/csl-citation.json"} </w:instrText>
      </w:r>
      <w:r w:rsidRPr="003F3D6D">
        <w:rPr>
          <w:rFonts w:cstheme="minorHAnsi"/>
        </w:rPr>
        <w:fldChar w:fldCharType="separate"/>
      </w:r>
      <w:r w:rsidRPr="003F3D6D">
        <w:rPr>
          <w:rFonts w:cstheme="minorHAnsi"/>
          <w:noProof/>
        </w:rPr>
        <w:t>Ibid rr 21, 24(3).</w:t>
      </w:r>
      <w:r w:rsidRPr="003F3D6D">
        <w:rPr>
          <w:rFonts w:cstheme="minorHAnsi"/>
        </w:rPr>
        <w:fldChar w:fldCharType="end"/>
      </w:r>
    </w:p>
  </w:endnote>
  <w:endnote w:id="296">
    <w:p w14:paraId="19FF0E07" w14:textId="1FD7171E" w:rsidR="00A00236" w:rsidRPr="003F3D6D" w:rsidRDefault="00A00236" w:rsidP="00CD5DC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{"citationID":"DKD8cPOj","properties":{"formattedCitation":"{\\i{}National Disability Insurance Scheme Act 2013} (n 134) s 181B.","plainCitation":"National Disability Insurance Scheme Act 2013 (n 134) s 181B.","noteIndex":296},"citationItems":[{"id":6017,"uris":["http://zotero.org/groups/2733877/items/3S2HP4B6"],"uri":["http://zotero.org/groups/2733877/items/3S2HP4B6"],"itemData":{"id":6017,"type":"legislation","container-title":"Cth","title":"National Disability Insurance Scheme Act 2013"},"locator":"s 181B"}],"schema":"https://github.com/citation-style-language/schema/raw/master/csl-citation.json"} </w:instrText>
      </w:r>
      <w:r w:rsidRPr="003F3D6D">
        <w:rPr>
          <w:rFonts w:cstheme="minorHAnsi"/>
        </w:rPr>
        <w:fldChar w:fldCharType="separate"/>
      </w:r>
      <w:r w:rsidRPr="00573F56">
        <w:rPr>
          <w:rFonts w:ascii="Calibri" w:hAnsi="Calibri" w:cs="Calibri"/>
          <w:i/>
          <w:iCs/>
          <w:szCs w:val="24"/>
        </w:rPr>
        <w:t>National Disability Insurance Scheme Act 2013</w:t>
      </w:r>
      <w:r w:rsidRPr="00573F56">
        <w:rPr>
          <w:rFonts w:ascii="Calibri" w:hAnsi="Calibri" w:cs="Calibri"/>
          <w:szCs w:val="24"/>
        </w:rPr>
        <w:t xml:space="preserve"> (n 134) s 181B.</w:t>
      </w:r>
      <w:r w:rsidRPr="003F3D6D">
        <w:rPr>
          <w:rFonts w:cstheme="minorHAnsi"/>
        </w:rPr>
        <w:fldChar w:fldCharType="end"/>
      </w:r>
    </w:p>
  </w:endnote>
  <w:endnote w:id="297">
    <w:p w14:paraId="68C9E4DA" w14:textId="5BD42094" w:rsidR="00A00236" w:rsidRPr="003F3D6D" w:rsidRDefault="00A00236" w:rsidP="00CD5DC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{"citationID":"HtxUUFTi","properties":{"formattedCitation":"Ibid s 181E.","plainCitation":"Ibid s 181E.","noteIndex":297},"citationItems":[{"id":6017,"uris":["http://zotero.org/groups/2733877/items/3S2HP4B6"],"uri":["http://zotero.org/groups/2733877/items/3S2HP4B6"],"itemData":{"id":6017,"type":"legislation","container-title":"Cth","title":"National Disability Insurance Scheme Act 2013"},"locator":"s 181E"}],"schema":"https://github.com/citation-style-language/schema/raw/master/csl-citation.json"} </w:instrText>
      </w:r>
      <w:r w:rsidRPr="003F3D6D">
        <w:rPr>
          <w:rFonts w:cstheme="minorHAnsi"/>
        </w:rPr>
        <w:fldChar w:fldCharType="separate"/>
      </w:r>
      <w:r w:rsidRPr="003F3D6D">
        <w:rPr>
          <w:rFonts w:cstheme="minorHAnsi"/>
          <w:noProof/>
        </w:rPr>
        <w:t>Ibid s 181E.</w:t>
      </w:r>
      <w:r w:rsidRPr="003F3D6D">
        <w:rPr>
          <w:rFonts w:cstheme="minorHAnsi"/>
        </w:rPr>
        <w:fldChar w:fldCharType="end"/>
      </w:r>
    </w:p>
  </w:endnote>
  <w:endnote w:id="298">
    <w:p w14:paraId="245D75E2" w14:textId="66D2DEC0" w:rsidR="00A00236" w:rsidRPr="003F3D6D" w:rsidRDefault="00A00236" w:rsidP="00CD5DC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{"citationID":"yfrLfQBC","properties":{"formattedCitation":"Ibid s 181H.","plainCitation":"Ibid s 181H.","noteIndex":298},"citationItems":[{"id":6017,"uris":["http://zotero.org/groups/2733877/items/3S2HP4B6"],"uri":["http://zotero.org/groups/2733877/items/3S2HP4B6"],"itemData":{"id":6017,"type":"legislation","container-title":"Cth","title":"National Disability Insurance Scheme Act 2013"},"locator":"s 181H"}],"schema":"https://github.com/citation-style-language/schema/raw/master/csl-citation.json"} </w:instrText>
      </w:r>
      <w:r w:rsidRPr="003F3D6D">
        <w:rPr>
          <w:rFonts w:cstheme="minorHAnsi"/>
        </w:rPr>
        <w:fldChar w:fldCharType="separate"/>
      </w:r>
      <w:r w:rsidRPr="003F3D6D">
        <w:rPr>
          <w:rFonts w:cstheme="minorHAnsi"/>
          <w:noProof/>
        </w:rPr>
        <w:t>Ibid s 181H.</w:t>
      </w:r>
      <w:r w:rsidRPr="003F3D6D">
        <w:rPr>
          <w:rFonts w:cstheme="minorHAnsi"/>
        </w:rPr>
        <w:fldChar w:fldCharType="end"/>
      </w:r>
    </w:p>
  </w:endnote>
  <w:endnote w:id="299">
    <w:p w14:paraId="30802E27" w14:textId="1D38381B" w:rsidR="00A00236" w:rsidRPr="003F3D6D" w:rsidRDefault="00A00236" w:rsidP="00CD5DC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{"citationID":"Fk3sJLYS","properties":{"formattedCitation":"Ibid s 181G.","plainCitation":"Ibid s 181G.","noteIndex":299},"citationItems":[{"id":6017,"uris":["http://zotero.org/groups/2733877/items/3S2HP4B6"],"uri":["http://zotero.org/groups/2733877/items/3S2HP4B6"],"itemData":{"id":6017,"type":"legislation","container-title":"Cth","title":"National Disability Insurance Scheme Act 2013"},"locator":"s 181G"}],"schema":"https://github.com/citation-style-language/schema/raw/master/csl-citation.json"} </w:instrText>
      </w:r>
      <w:r w:rsidRPr="003F3D6D">
        <w:rPr>
          <w:rFonts w:cstheme="minorHAnsi"/>
        </w:rPr>
        <w:fldChar w:fldCharType="separate"/>
      </w:r>
      <w:r w:rsidRPr="003F3D6D">
        <w:rPr>
          <w:rFonts w:cstheme="minorHAnsi"/>
          <w:noProof/>
        </w:rPr>
        <w:t>Ibid s 181G.</w:t>
      </w:r>
      <w:r w:rsidRPr="003F3D6D">
        <w:rPr>
          <w:rFonts w:cstheme="minorHAnsi"/>
        </w:rPr>
        <w:fldChar w:fldCharType="end"/>
      </w:r>
    </w:p>
  </w:endnote>
  <w:endnote w:id="300">
    <w:p w14:paraId="407759D9" w14:textId="4F46946A" w:rsidR="00A00236" w:rsidRPr="003F3D6D" w:rsidRDefault="00A00236" w:rsidP="00CD5DC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{"citationID":"jQvr5wjZ","properties":{"formattedCitation":"Ibid s 181F.","plainCitation":"Ibid s 181F.","noteIndex":300},"citationItems":[{"id":6017,"uris":["http://zotero.org/groups/2733877/items/3S2HP4B6"],"uri":["http://zotero.org/groups/2733877/items/3S2HP4B6"],"itemData":{"id":6017,"type":"legislation","container-title":"Cth","title":"National Disability Insurance Scheme Act 2013"},"locator":"s 181F"}],"schema":"https://github.com/citation-style-language/schema/raw/master/csl-citation.json"} </w:instrText>
      </w:r>
      <w:r w:rsidRPr="003F3D6D">
        <w:rPr>
          <w:rFonts w:cstheme="minorHAnsi"/>
        </w:rPr>
        <w:fldChar w:fldCharType="separate"/>
      </w:r>
      <w:r w:rsidRPr="003F3D6D">
        <w:rPr>
          <w:rFonts w:cstheme="minorHAnsi"/>
          <w:noProof/>
        </w:rPr>
        <w:t>Ibid s 181F.</w:t>
      </w:r>
      <w:r w:rsidRPr="003F3D6D">
        <w:rPr>
          <w:rFonts w:cstheme="minorHAnsi"/>
        </w:rPr>
        <w:fldChar w:fldCharType="end"/>
      </w:r>
    </w:p>
  </w:endnote>
  <w:endnote w:id="301">
    <w:p w14:paraId="3DBE9ED7" w14:textId="67052EB4" w:rsidR="00A00236" w:rsidRPr="003F3D6D" w:rsidRDefault="00A00236" w:rsidP="00CD5DC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{"citationID":"u7NrAb3m","properties":{"formattedCitation":"Ibid s 16.","plainCitation":"Ibid s 16.","noteIndex":301},"citationItems":[{"id":6017,"uris":["http://zotero.org/groups/2733877/items/3S2HP4B6"],"uri":["http://zotero.org/groups/2733877/items/3S2HP4B6"],"itemData":{"id":6017,"type":"legislation","container-title":"Cth","title":"National Disability Insurance Scheme Act 2013"},"locator":"s 16"}],"schema":"https://github.com/citation-style-language/schema/raw/master/csl-citation.json"} </w:instrText>
      </w:r>
      <w:r w:rsidRPr="003F3D6D">
        <w:rPr>
          <w:rFonts w:cstheme="minorHAnsi"/>
        </w:rPr>
        <w:fldChar w:fldCharType="separate"/>
      </w:r>
      <w:r w:rsidRPr="003F3D6D">
        <w:rPr>
          <w:rFonts w:cstheme="minorHAnsi"/>
          <w:noProof/>
        </w:rPr>
        <w:t>Ibid s 16.</w:t>
      </w:r>
      <w:r w:rsidRPr="003F3D6D">
        <w:rPr>
          <w:rFonts w:cstheme="minorHAnsi"/>
        </w:rPr>
        <w:fldChar w:fldCharType="end"/>
      </w:r>
    </w:p>
  </w:endnote>
  <w:endnote w:id="302">
    <w:p w14:paraId="54E0831C" w14:textId="53E8230A" w:rsidR="00A00236" w:rsidRPr="00470D16" w:rsidRDefault="00A00236" w:rsidP="00CD5DCE">
      <w:pPr>
        <w:pStyle w:val="EndnoteText"/>
        <w:rPr>
          <w:lang w:val="en-AU"/>
        </w:rPr>
      </w:pPr>
      <w:r>
        <w:rPr>
          <w:rStyle w:val="EndnoteReference"/>
        </w:rPr>
        <w:endnoteRef/>
      </w:r>
      <w:r>
        <w:t xml:space="preserve"> </w:t>
      </w:r>
      <w:r>
        <w:fldChar w:fldCharType="begin"/>
      </w:r>
      <w:r>
        <w:instrText xml:space="preserve"> ADDIN ZOTERO_ITEM CSL_CITATION {"citationID":"vWQfa4US","properties":{"formattedCitation":"NDIS Quality and Safeguards Commission, {\\i{}Activity Report: 1 July 2020 to 31 December 2020} (NDIS Quality and Safeguards Commission) 5 &lt;https://www.ndiscommission.gov.au/sites/default/files/documents/2021-03/ndis-commission-activity-report-july-december-2020.pdf&gt;.","plainCitation":"NDIS Quality and Safeguards Commission, Activity Report: 1 July 2020 to 31 December 2020 (NDIS Quality and Safeguards Commission) 5 &lt;https://www.ndiscommission.gov.au/sites/default/files/documents/2021-03/ndis-commission-activity-report-july-december-2020.pdf&gt;.","noteIndex":302},"citationItems":[{"id":6149,"uris":["http://zotero.org/groups/2733877/items/MVXGY8L7"],"uri":["http://zotero.org/groups/2733877/items/MVXGY8L7"],"itemData":{"id":6149,"type":"report","publisher":"NDIS Quality and Safeguards Commission","title":"Activity Report: 1 July 2020 to 31 December 2020","URL":"https://www.ndiscommission.gov.au/sites/default/files/documents/2021-03/ndis-commission-activity-report-july-december-2020.pdf","author":[{"family":"NDIS Quality and Safeguards Commission","given":""}]},"locator":"5"}],"schema":"https://github.com/citation-style-language/schema/raw/master/csl-citation.json"} </w:instrText>
      </w:r>
      <w:r>
        <w:fldChar w:fldCharType="separate"/>
      </w:r>
      <w:r w:rsidRPr="00C70A45">
        <w:rPr>
          <w:rFonts w:ascii="Calibri" w:hAnsi="Calibri" w:cs="Calibri"/>
          <w:szCs w:val="24"/>
        </w:rPr>
        <w:t xml:space="preserve">NDIS Quality and Safeguards Commission, </w:t>
      </w:r>
      <w:r w:rsidRPr="00C70A45">
        <w:rPr>
          <w:rFonts w:ascii="Calibri" w:hAnsi="Calibri" w:cs="Calibri"/>
          <w:i/>
          <w:iCs/>
          <w:szCs w:val="24"/>
        </w:rPr>
        <w:t>Activity Report: 1 July 2020 to 31 December 2020</w:t>
      </w:r>
      <w:r w:rsidRPr="00C70A45">
        <w:rPr>
          <w:rFonts w:ascii="Calibri" w:hAnsi="Calibri" w:cs="Calibri"/>
          <w:szCs w:val="24"/>
        </w:rPr>
        <w:t xml:space="preserve"> (NDIS Quality and Safeguards Commission) 5 &lt;https://www.ndiscommission.gov.au/sites/default/files/documents/2021-03/ndis-commission-activity-report-july-december-2020.pdf&gt;.</w:t>
      </w:r>
      <w:r>
        <w:fldChar w:fldCharType="end"/>
      </w:r>
    </w:p>
  </w:endnote>
  <w:endnote w:id="303">
    <w:p w14:paraId="44129D51" w14:textId="11A081C8" w:rsidR="00A00236" w:rsidRPr="00470D16" w:rsidRDefault="00A00236" w:rsidP="00CD5DCE">
      <w:pPr>
        <w:pStyle w:val="EndnoteText"/>
        <w:rPr>
          <w:lang w:val="en-AU"/>
        </w:rPr>
      </w:pPr>
      <w:r>
        <w:rPr>
          <w:rStyle w:val="EndnoteReference"/>
        </w:rPr>
        <w:endnoteRef/>
      </w:r>
      <w:r>
        <w:t xml:space="preserve"> </w:t>
      </w:r>
      <w:r>
        <w:fldChar w:fldCharType="begin"/>
      </w:r>
      <w:r>
        <w:instrText xml:space="preserve"> ADDIN ZOTERO_ITEM CSL_CITATION {"citationID":"kWHczeF4","properties":{"formattedCitation":"Ibid 6.","plainCitation":"Ibid 6.","noteIndex":303},"citationItems":[{"id":6149,"uris":["http://zotero.org/groups/2733877/items/MVXGY8L7"],"uri":["http://zotero.org/groups/2733877/items/MVXGY8L7"],"itemData":{"id":6149,"type":"report","publisher":"NDIS Quality and Safeguards Commission","title":"Activity Report: 1 July 2020 to 31 December 2020","URL":"https://www.ndiscommission.gov.au/sites/default/files/documents/2021-03/ndis-commission-activity-report-july-december-2020.pdf","author":[{"family":"NDIS Quality and Safeguards Commission","given":""}]},"locator":"6"}],"schema":"https://github.com/citation-style-language/schema/raw/master/csl-citation.json"} </w:instrText>
      </w:r>
      <w:r>
        <w:fldChar w:fldCharType="separate"/>
      </w:r>
      <w:r w:rsidRPr="00470D16">
        <w:rPr>
          <w:rFonts w:ascii="Calibri" w:hAnsi="Calibri" w:cs="Calibri"/>
        </w:rPr>
        <w:t>Ibid 6.</w:t>
      </w:r>
      <w:r>
        <w:fldChar w:fldCharType="end"/>
      </w:r>
    </w:p>
  </w:endnote>
  <w:endnote w:id="304">
    <w:p w14:paraId="192A0598" w14:textId="70CE06E1" w:rsidR="00A00236" w:rsidRPr="003F3D6D" w:rsidRDefault="00A00236" w:rsidP="00CD5DC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Pr>
          <w:rFonts w:cstheme="minorHAnsi"/>
        </w:rPr>
        <w:instrText xml:space="preserve"> ADDIN ZOTERO_ITEM CSL_CITATION {"citationID":"nVV7mZJp","properties":{"formattedCitation":"National Disability Insurance Scheme, \\uc0\\u8216{}NDIS Quarterly Reports\\uc0\\u8217{} (12 November 2020) &lt;https://www.ndis.gov.au/about-us/publications/quarterly-reports&gt;.","plainCitation":"National Disability Insurance Scheme, ‘NDIS Quarterly Reports’ (12 November 2020) &lt;https://www.ndis.gov.au/about-us/publications/quarterly-reports&gt;.","noteIndex":304},"citationItems":[{"id":6094,"uris":["http://zotero.org/groups/2733877/items/PITC6DYV"],"uri":["http://zotero.org/groups/2733877/items/PITC6DYV"],"itemData":{"id":6094,"type":"webpage","title":"NDIS Quarterly Reports","URL":"https://www.ndis.gov.au/about-us/publications/quarterly-reports","author":[{"family":"National Disability Insurance Scheme","given":""}],"accessed":{"date-parts":[["2021",2,2]]},"issued":{"date-parts":[["2020",11,12]]}}}],"schema":"https://github.com/citation-style-language/schema/raw/master/csl-citation.json"} </w:instrText>
      </w:r>
      <w:r w:rsidRPr="003F3D6D">
        <w:rPr>
          <w:rFonts w:cstheme="minorHAnsi"/>
        </w:rPr>
        <w:fldChar w:fldCharType="separate"/>
      </w:r>
      <w:r w:rsidRPr="003F3D6D">
        <w:rPr>
          <w:rFonts w:cstheme="minorHAnsi"/>
        </w:rPr>
        <w:t>National Disability Insurance Scheme, ‘NDIS Quarterly Reports’ (12 November 2020) &lt;https://www.ndis.gov.au/about-us/publications/quarterly-reports&gt;.</w:t>
      </w:r>
      <w:r w:rsidRPr="003F3D6D">
        <w:rPr>
          <w:rFonts w:cstheme="minorHAnsi"/>
        </w:rPr>
        <w:fldChar w:fldCharType="end"/>
      </w:r>
    </w:p>
  </w:endnote>
  <w:endnote w:id="305">
    <w:p w14:paraId="4A5BAD25" w14:textId="00D20BE5" w:rsidR="00A00236" w:rsidRPr="002D4645" w:rsidRDefault="00A00236" w:rsidP="000F1C20">
      <w:pPr>
        <w:pStyle w:val="EndnoteText"/>
        <w:rPr>
          <w:lang w:val="en-AU"/>
        </w:rPr>
      </w:pPr>
      <w:r>
        <w:rPr>
          <w:rStyle w:val="EndnoteReference"/>
        </w:rPr>
        <w:endnoteRef/>
      </w:r>
      <w:r>
        <w:t xml:space="preserve"> On the origins of guardianship law, see </w:t>
      </w:r>
      <w:r>
        <w:fldChar w:fldCharType="begin"/>
      </w:r>
      <w:r>
        <w:instrText xml:space="preserve"> ADDIN ZOTERO_ITEM CSL_CITATION {"citationID":"OoBeaqAu","properties":{"formattedCitation":"Nick O\\uc0\\u8217{}Neill and Carmelle Peisah, {\\i{}Capacity and the Law} (Sydney University Press, 3rd ed, 2019) 5 &lt;http://austlii.community/wiki/Books/CapacityAndTheLaw/&gt;.","plainCitation":"Nick O’Neill and Carmelle Peisah, Capacity and the Law (Sydney University Press, 3rd ed, 2019) 5 &lt;http://austlii.community/wiki/Books/CapacityAndTheLaw/&gt;.","noteIndex":305},"citationItems":[{"id":6150,"uris":["http://zotero.org/groups/2733877/items/PBSVBYN6"],"uri":["http://zotero.org/groups/2733877/items/PBSVBYN6"],"itemData":{"id":6150,"type":"book","edition":"3rd","publisher":"Sydney University Press","title":"Capacity and the Law","URL":"http://austlii.community/wiki/Books/CapacityAndTheLaw/","author":[{"family":"O'Neill","given":"Nick"},{"family":"Peisah","given":"Carmelle"}],"issued":{"date-parts":[["2019"]]}},"locator":"5","label":"chapter"}],"schema":"https://github.com/citation-style-language/schema/raw/master/csl-citation.json"} </w:instrText>
      </w:r>
      <w:r>
        <w:fldChar w:fldCharType="separate"/>
      </w:r>
      <w:r w:rsidRPr="00C70A45">
        <w:rPr>
          <w:rFonts w:ascii="Calibri" w:hAnsi="Calibri" w:cs="Calibri"/>
          <w:szCs w:val="24"/>
        </w:rPr>
        <w:t xml:space="preserve">Nick O’Neill and Carmelle Peisah, </w:t>
      </w:r>
      <w:r w:rsidRPr="00C70A45">
        <w:rPr>
          <w:rFonts w:ascii="Calibri" w:hAnsi="Calibri" w:cs="Calibri"/>
          <w:i/>
          <w:iCs/>
          <w:szCs w:val="24"/>
        </w:rPr>
        <w:t>Capacity and the Law</w:t>
      </w:r>
      <w:r w:rsidRPr="00C70A45">
        <w:rPr>
          <w:rFonts w:ascii="Calibri" w:hAnsi="Calibri" w:cs="Calibri"/>
          <w:szCs w:val="24"/>
        </w:rPr>
        <w:t xml:space="preserve"> (Sydney University Press, 3rd ed, 2019) 5 &lt;http://austlii.community/wiki/Books/CapacityAndTheLaw/&gt;.</w:t>
      </w:r>
      <w:r>
        <w:fldChar w:fldCharType="end"/>
      </w:r>
    </w:p>
  </w:endnote>
  <w:endnote w:id="306">
    <w:p w14:paraId="3555BBA5" w14:textId="26D644D6" w:rsidR="00A00236" w:rsidRPr="00040ADB" w:rsidRDefault="00A00236" w:rsidP="001A4D06">
      <w:pPr>
        <w:pStyle w:val="EndnoteText"/>
        <w:jc w:val="both"/>
        <w:rPr>
          <w:rFonts w:ascii="Calibri" w:hAnsi="Calibri"/>
        </w:rPr>
      </w:pPr>
      <w:r w:rsidRPr="005E39EB">
        <w:rPr>
          <w:rStyle w:val="EndnoteReference"/>
        </w:rPr>
        <w:endnoteRef/>
      </w:r>
      <w:r w:rsidRPr="003C5DF7">
        <w:rPr>
          <w:rFonts w:ascii="Palatino Linotype" w:hAnsi="Palatino Linotype"/>
        </w:rPr>
        <w:t xml:space="preserve"> </w:t>
      </w:r>
      <w:r w:rsidRPr="00040ADB">
        <w:rPr>
          <w:rFonts w:ascii="Calibri" w:hAnsi="Calibri"/>
        </w:rPr>
        <w:fldChar w:fldCharType="begin"/>
      </w:r>
      <w:r w:rsidRPr="00040ADB">
        <w:rPr>
          <w:rFonts w:ascii="Calibri" w:hAnsi="Calibri"/>
        </w:rPr>
        <w:instrText xml:space="preserve"> ADDIN ZOTERO_ITEM CSL_CITATION {"citationID":"yYZbMXSd","properties":{"formattedCitation":"{\\i{}Hogan v Hinch} (n 91) [21] (French CJ).","plainCitation":"Hogan v Hinch (n 91) [21] (French CJ).","noteIndex":306},"citationItems":[{"id":5970,"uris":["http://zotero.org/groups/2733877/items/4R8PIT9M"],"uri":["http://zotero.org/groups/2733877/items/4R8PIT9M"],"itemData":{"id":5970,"type":"legal_case","container-title":"CLR","page":"506","title":"Hogan v Hinch","volume":"243","issued":{"date-parts":[["2011"]]}},"locator":"[21] (French CJ)"}],"schema":"https://github.com/citation-style-language/schema/raw/master/csl-citation.json"} </w:instrText>
      </w:r>
      <w:r w:rsidRPr="00040ADB">
        <w:rPr>
          <w:rFonts w:ascii="Calibri" w:hAnsi="Calibri"/>
        </w:rPr>
        <w:fldChar w:fldCharType="separate"/>
      </w:r>
      <w:r w:rsidRPr="00040ADB">
        <w:rPr>
          <w:rFonts w:ascii="Calibri" w:hAnsi="Calibri" w:cs="Times New Roman"/>
          <w:i/>
          <w:iCs/>
          <w:szCs w:val="24"/>
        </w:rPr>
        <w:t>Hogan v Hinch</w:t>
      </w:r>
      <w:r w:rsidRPr="00040ADB">
        <w:rPr>
          <w:rFonts w:ascii="Calibri" w:hAnsi="Calibri" w:cs="Times New Roman"/>
          <w:szCs w:val="24"/>
        </w:rPr>
        <w:t xml:space="preserve"> (n 91) [21] (French CJ).</w:t>
      </w:r>
      <w:r w:rsidRPr="00040ADB">
        <w:rPr>
          <w:rFonts w:ascii="Calibri" w:hAnsi="Calibri"/>
        </w:rPr>
        <w:fldChar w:fldCharType="end"/>
      </w:r>
      <w:r w:rsidRPr="00040ADB">
        <w:rPr>
          <w:rFonts w:ascii="Calibri" w:hAnsi="Calibri"/>
        </w:rPr>
        <w:t xml:space="preserve"> French CJ cited </w:t>
      </w:r>
      <w:r w:rsidRPr="00040ADB">
        <w:rPr>
          <w:rFonts w:ascii="Calibri" w:hAnsi="Calibri"/>
          <w:i/>
        </w:rPr>
        <w:t xml:space="preserve">Scott v Scott </w:t>
      </w:r>
      <w:r w:rsidRPr="00040ADB">
        <w:rPr>
          <w:rFonts w:ascii="Calibri" w:hAnsi="Calibri"/>
        </w:rPr>
        <w:t xml:space="preserve">[1913] AC 417 at 437 per Viscount Haldane LC, as well as </w:t>
      </w:r>
      <w:r w:rsidRPr="00040ADB">
        <w:rPr>
          <w:rFonts w:ascii="Calibri" w:hAnsi="Calibri"/>
          <w:i/>
        </w:rPr>
        <w:t>John Fairfax Publications Pty Ltd v Attorney-General (NSW)</w:t>
      </w:r>
      <w:r w:rsidRPr="00040ADB">
        <w:rPr>
          <w:rFonts w:ascii="Calibri" w:hAnsi="Calibri"/>
        </w:rPr>
        <w:t xml:space="preserve"> [2000] NSWCA 198 at [165] per Meagher JA.</w:t>
      </w:r>
    </w:p>
  </w:endnote>
  <w:endnote w:id="307">
    <w:p w14:paraId="350C6602" w14:textId="63765009" w:rsidR="00A00236" w:rsidRPr="00040ADB" w:rsidRDefault="00A00236" w:rsidP="001A4D06">
      <w:pPr>
        <w:pStyle w:val="EndnoteText"/>
        <w:jc w:val="both"/>
        <w:rPr>
          <w:rFonts w:ascii="Calibri" w:hAnsi="Calibri"/>
        </w:rPr>
      </w:pPr>
      <w:r w:rsidRPr="00040ADB">
        <w:rPr>
          <w:rStyle w:val="EndnoteReference"/>
          <w:rFonts w:ascii="Calibri" w:hAnsi="Calibri"/>
        </w:rPr>
        <w:endnoteRef/>
      </w:r>
      <w:r w:rsidRPr="00040ADB">
        <w:rPr>
          <w:rFonts w:ascii="Calibri" w:hAnsi="Calibri"/>
        </w:rPr>
        <w:t xml:space="preserve"> </w:t>
      </w:r>
      <w:r w:rsidRPr="00040ADB">
        <w:rPr>
          <w:rFonts w:ascii="Calibri" w:hAnsi="Calibri"/>
        </w:rPr>
        <w:fldChar w:fldCharType="begin"/>
      </w:r>
      <w:r w:rsidRPr="00040ADB">
        <w:rPr>
          <w:rFonts w:ascii="Calibri" w:hAnsi="Calibri"/>
        </w:rPr>
        <w:instrText xml:space="preserve"> ADDIN ZOTERO_ITEM CSL_CITATION {"citationID":"hzPk6TUl","properties":{"formattedCitation":"{\\i{}Scott v Scott [1913] AC 417} Viscount Haldane LC.","plainCitation":"Scott v Scott [1913] AC 417 Viscount Haldane LC.","noteIndex":307},"citationItems":[{"id":16,"uris":["http://zotero.org/users/5279374/items/7A8R2IUW"],"uri":["http://zotero.org/users/5279374/items/7A8R2IUW"],"itemData":{"id":16,"type":"legal_case","title":"Scott v Scott [1913] AC 417"},"suffix":"Viscount Haldane LC"}],"schema":"https://github.com/citation-style-language/schema/raw/master/csl-citation.json"} </w:instrText>
      </w:r>
      <w:r w:rsidRPr="00040ADB">
        <w:rPr>
          <w:rFonts w:ascii="Calibri" w:hAnsi="Calibri"/>
        </w:rPr>
        <w:fldChar w:fldCharType="separate"/>
      </w:r>
      <w:r w:rsidRPr="00040ADB">
        <w:rPr>
          <w:rFonts w:ascii="Calibri" w:hAnsi="Calibri" w:cs="Times New Roman"/>
          <w:i/>
          <w:iCs/>
          <w:szCs w:val="24"/>
        </w:rPr>
        <w:t>Scott v Scott [1913] AC 417</w:t>
      </w:r>
      <w:r w:rsidRPr="00040ADB">
        <w:rPr>
          <w:rFonts w:ascii="Calibri" w:hAnsi="Calibri" w:cs="Times New Roman"/>
          <w:szCs w:val="24"/>
        </w:rPr>
        <w:t xml:space="preserve"> Viscount Haldane LC.</w:t>
      </w:r>
      <w:r w:rsidRPr="00040ADB">
        <w:rPr>
          <w:rFonts w:ascii="Calibri" w:hAnsi="Calibri"/>
        </w:rPr>
        <w:fldChar w:fldCharType="end"/>
      </w:r>
    </w:p>
  </w:endnote>
  <w:endnote w:id="308">
    <w:p w14:paraId="37B235FD" w14:textId="68026E64" w:rsidR="00A00236" w:rsidRPr="00040ADB" w:rsidRDefault="00A00236" w:rsidP="001A4D06">
      <w:pPr>
        <w:pStyle w:val="EndnoteText"/>
        <w:jc w:val="both"/>
        <w:rPr>
          <w:rFonts w:ascii="Calibri" w:hAnsi="Calibri"/>
        </w:rPr>
      </w:pPr>
      <w:r w:rsidRPr="00040ADB">
        <w:rPr>
          <w:rStyle w:val="EndnoteReference"/>
          <w:rFonts w:ascii="Calibri" w:hAnsi="Calibri"/>
        </w:rPr>
        <w:endnoteRef/>
      </w:r>
      <w:r w:rsidRPr="00040ADB">
        <w:rPr>
          <w:rFonts w:ascii="Calibri" w:hAnsi="Calibri"/>
        </w:rPr>
        <w:t xml:space="preserve"> </w:t>
      </w:r>
      <w:r w:rsidRPr="00040ADB">
        <w:rPr>
          <w:rFonts w:ascii="Calibri" w:hAnsi="Calibri"/>
        </w:rPr>
        <w:fldChar w:fldCharType="begin"/>
      </w:r>
      <w:r w:rsidRPr="00040ADB">
        <w:rPr>
          <w:rFonts w:ascii="Calibri" w:hAnsi="Calibri"/>
        </w:rPr>
        <w:instrText xml:space="preserve"> ADDIN ZOTERO_ITEM CSL_CITATION {"citationID":"EiaV6JmE","properties":{"formattedCitation":"Ibid per Lord Shaw of Dunfermline.","plainCitation":"Ibid per Lord Shaw of Dunfermline.","noteIndex":308},"citationItems":[{"id":16,"uris":["http://zotero.org/users/5279374/items/7A8R2IUW"],"uri":["http://zotero.org/users/5279374/items/7A8R2IUW"],"itemData":{"id":16,"type":"legal_case","title":"Scott v Scott [1913] AC 417"},"suffix":"per Lord Shaw of Dunfermline"}],"schema":"https://github.com/citation-style-language/schema/raw/master/csl-citation.json"} </w:instrText>
      </w:r>
      <w:r w:rsidRPr="00040ADB">
        <w:rPr>
          <w:rFonts w:ascii="Calibri" w:hAnsi="Calibri"/>
        </w:rPr>
        <w:fldChar w:fldCharType="separate"/>
      </w:r>
      <w:r w:rsidRPr="00040ADB">
        <w:rPr>
          <w:rFonts w:ascii="Calibri" w:hAnsi="Calibri"/>
        </w:rPr>
        <w:t>Ibid per Lord Shaw of Dunfermline.</w:t>
      </w:r>
      <w:r w:rsidRPr="00040ADB">
        <w:rPr>
          <w:rFonts w:ascii="Calibri" w:hAnsi="Calibri"/>
        </w:rPr>
        <w:fldChar w:fldCharType="end"/>
      </w:r>
    </w:p>
  </w:endnote>
  <w:endnote w:id="309">
    <w:p w14:paraId="4ACE0DE4" w14:textId="5FC32179" w:rsidR="00A00236" w:rsidRPr="00040ADB" w:rsidRDefault="00A00236" w:rsidP="001A4D06">
      <w:pPr>
        <w:pStyle w:val="EndnoteText"/>
        <w:jc w:val="both"/>
        <w:rPr>
          <w:rFonts w:ascii="Calibri" w:hAnsi="Calibri"/>
        </w:rPr>
      </w:pPr>
      <w:r w:rsidRPr="00040ADB">
        <w:rPr>
          <w:rStyle w:val="EndnoteReference"/>
          <w:rFonts w:ascii="Calibri" w:hAnsi="Calibri"/>
        </w:rPr>
        <w:endnoteRef/>
      </w:r>
      <w:r w:rsidRPr="00040ADB">
        <w:rPr>
          <w:rFonts w:ascii="Calibri" w:hAnsi="Calibri"/>
        </w:rPr>
        <w:t xml:space="preserve"> </w:t>
      </w:r>
      <w:r w:rsidRPr="00040ADB">
        <w:rPr>
          <w:rFonts w:ascii="Calibri" w:hAnsi="Calibri"/>
        </w:rPr>
        <w:fldChar w:fldCharType="begin"/>
      </w:r>
      <w:r w:rsidRPr="00040ADB">
        <w:rPr>
          <w:rFonts w:ascii="Calibri" w:hAnsi="Calibri"/>
        </w:rPr>
        <w:instrText xml:space="preserve"> ADDIN ZOTERO_ITEM CSL_CITATION {"citationID":"DNOn3Ol1","properties":{"formattedCitation":"Ibid per Earl of Halsbury.","plainCitation":"Ibid per Earl of Halsbury.","noteIndex":309},"citationItems":[{"id":16,"uris":["http://zotero.org/users/5279374/items/7A8R2IUW"],"uri":["http://zotero.org/users/5279374/items/7A8R2IUW"],"itemData":{"id":16,"type":"legal_case","title":"Scott v Scott [1913] AC 417"},"suffix":"per Earl of Halsbury"}],"schema":"https://github.com/citation-style-language/schema/raw/master/csl-citation.json"} </w:instrText>
      </w:r>
      <w:r w:rsidRPr="00040ADB">
        <w:rPr>
          <w:rFonts w:ascii="Calibri" w:hAnsi="Calibri"/>
        </w:rPr>
        <w:fldChar w:fldCharType="separate"/>
      </w:r>
      <w:r w:rsidRPr="00040ADB">
        <w:rPr>
          <w:rFonts w:ascii="Calibri" w:hAnsi="Calibri"/>
        </w:rPr>
        <w:t>Ibid per Earl of Halsbury.</w:t>
      </w:r>
      <w:r w:rsidRPr="00040ADB">
        <w:rPr>
          <w:rFonts w:ascii="Calibri" w:hAnsi="Calibri"/>
        </w:rPr>
        <w:fldChar w:fldCharType="end"/>
      </w:r>
    </w:p>
  </w:endnote>
  <w:endnote w:id="310">
    <w:p w14:paraId="0981E5FC" w14:textId="1431BA5C" w:rsidR="00A00236" w:rsidRPr="00040ADB" w:rsidRDefault="00A00236" w:rsidP="001A4D06">
      <w:pPr>
        <w:pStyle w:val="EndnoteText"/>
        <w:jc w:val="both"/>
        <w:rPr>
          <w:rFonts w:ascii="Calibri" w:hAnsi="Calibri"/>
        </w:rPr>
      </w:pPr>
      <w:r w:rsidRPr="00040ADB">
        <w:rPr>
          <w:rStyle w:val="EndnoteReference"/>
          <w:rFonts w:ascii="Calibri" w:hAnsi="Calibri"/>
        </w:rPr>
        <w:endnoteRef/>
      </w:r>
      <w:r w:rsidRPr="00040ADB">
        <w:rPr>
          <w:rFonts w:ascii="Calibri" w:hAnsi="Calibri"/>
        </w:rPr>
        <w:t xml:space="preserve"> See similar discussion in the context of criminal law: </w:t>
      </w:r>
      <w:r w:rsidRPr="00040ADB">
        <w:rPr>
          <w:rFonts w:ascii="Calibri" w:hAnsi="Calibri"/>
        </w:rPr>
        <w:fldChar w:fldCharType="begin"/>
      </w:r>
      <w:r w:rsidRPr="00040ADB">
        <w:rPr>
          <w:rFonts w:ascii="Calibri" w:hAnsi="Calibri"/>
        </w:rPr>
        <w:instrText xml:space="preserve"> ADDIN ZOTERO_ITEM CSL_CITATION {"citationID":"FUp20QWJ","properties":{"formattedCitation":"Steele, {\\i{}Disability, Criminal Justice and Law Reconsidering Court Diversion} (n 193) 56.","plainCitation":"Steele, Disability, Criminal Justice and Law Reconsidering Court Diversion (n 193) 56.","noteIndex":310},"citationItems":[{"id":5948,"uris":["http://zotero.org/groups/2733877/items/GXS7S9UM"],"uri":["http://zotero.org/groups/2733877/items/GXS7S9UM"],"itemData":{"id":5948,"type":"book","event-place":"Abingdon","publisher":"Routledge","publisher-place":"Abingdon","title":"Disability, Criminal Justice and Law Reconsidering Court Diversion","URL":"https://www.routledge.com/Disability-Criminal-Justice-and-Law-Reconsidering-Court-Diversion/Steele/p/book/9780815375265","author":[{"family":"Steele","given":"Linda"}],"issued":{"date-parts":[["2020"]]}},"locator":"56"}],"schema":"https://github.com/citation-style-language/schema/raw/master/csl-citation.json"} </w:instrText>
      </w:r>
      <w:r w:rsidRPr="00040ADB">
        <w:rPr>
          <w:rFonts w:ascii="Calibri" w:hAnsi="Calibri"/>
        </w:rPr>
        <w:fldChar w:fldCharType="separate"/>
      </w:r>
      <w:r w:rsidRPr="00040ADB">
        <w:rPr>
          <w:rFonts w:ascii="Calibri" w:hAnsi="Calibri" w:cs="Times New Roman"/>
          <w:szCs w:val="24"/>
        </w:rPr>
        <w:t xml:space="preserve">Steele, </w:t>
      </w:r>
      <w:r w:rsidRPr="00040ADB">
        <w:rPr>
          <w:rFonts w:ascii="Calibri" w:hAnsi="Calibri" w:cs="Times New Roman"/>
          <w:i/>
          <w:iCs/>
          <w:szCs w:val="24"/>
        </w:rPr>
        <w:t>Disability, Criminal Justice and Law Reconsidering Court Diversion</w:t>
      </w:r>
      <w:r w:rsidRPr="00040ADB">
        <w:rPr>
          <w:rFonts w:ascii="Calibri" w:hAnsi="Calibri" w:cs="Times New Roman"/>
          <w:szCs w:val="24"/>
        </w:rPr>
        <w:t xml:space="preserve"> (n 193) 56.</w:t>
      </w:r>
      <w:r w:rsidRPr="00040ADB">
        <w:rPr>
          <w:rFonts w:ascii="Calibri" w:hAnsi="Calibri"/>
        </w:rPr>
        <w:fldChar w:fldCharType="end"/>
      </w:r>
    </w:p>
  </w:endnote>
  <w:endnote w:id="311">
    <w:p w14:paraId="23154636" w14:textId="1E56E8B4" w:rsidR="004849F5" w:rsidRPr="004849F5" w:rsidRDefault="004849F5">
      <w:pPr>
        <w:pStyle w:val="EndnoteText"/>
        <w:rPr>
          <w:lang w:val="en-AU"/>
        </w:rPr>
      </w:pPr>
      <w:r>
        <w:rPr>
          <w:rStyle w:val="EndnoteReference"/>
        </w:rPr>
        <w:endnoteRef/>
      </w:r>
      <w:r>
        <w:t xml:space="preserve"> </w:t>
      </w:r>
      <w:r>
        <w:fldChar w:fldCharType="begin"/>
      </w:r>
      <w:r>
        <w:instrText xml:space="preserve"> ADDIN ZOTERO_ITEM CSL_CITATION {"citationID":"ZHGw11vf","properties":{"formattedCitation":"China Mills and Brenda A LeFrancois, \\uc0\\u8216{}Child As Metaphor: Colonialism, Psy-Governance, and Epistemicide\\uc0\\u8217{} (2018) 74(7\\uc0\\u8211{}8) {\\i{}World Futures} 503, 507.","plainCitation":"China Mills and Brenda A LeFrancois, ‘Child As Metaphor: Colonialism, Psy-Governance, and Epistemicide’ (2018) 74(7–8) World Futures 503, 507.","noteIndex":311},"citationItems":[{"id":8737,"uris":["http://zotero.org/users/5279374/items/5DBC7SRE"],"uri":["http://zotero.org/users/5279374/items/5DBC7SRE"],"itemData":{"id":8737,"type":"article-journal","abstract":"This paper mobilizes transdisciplinary inquiry to explore and deconstruct the often-used comparison of racialized/colonized people, intellectually disabled people and mad people as being like children. To be childlike is a metaphor that is used to denigrate, to classify as irrational and incompetent, to dismiss as not being knowledge holders, to justify governance and action on others’ behalf, to deem as being animistic, as undeveloped, underdeveloped or wrongly developed, and, hence, to subjugate. We explore the political work done by the metaphorical appeal to childhood, and particularly the centrality of the metaphor of childhood to legitimizing colonialism and white supremacy. The article attends to the ways in which this metaphor contributes to the shaping of the material and discursive realities of racialized and colonized others, as well as those who have been psychiatrized and deemed “intellectually disabled”. Further, we explore specific metaphors of child-colony, and child-mad-“crip”. We then detail the developmental logic underlying the historical and continued use of the metaphorics of childhood, and explore how this makes possible an infantilization of colonized peoples and the global South more widely. The material and discursive impact of this metaphor on children’s lives, and particularly children who are racialized, colonized, and/or deemed mad or “crip”, is then considered. We argue that complex adult-child relations, sane-mad relations and Western-majority world relations within global psychiatry, are situated firmly within pejorative notions of what it means to be childlike, and reproduce multi-systemic forms of oppression that, ostensibly in their “best interests”, govern children and all those deemed childlike.","container-title":"World Futures","DOI":"10.1080/02604027.2018.1485438","issue":"7-8","page":"503-524","title":"Child As Metaphor: Colonialism, Psy-Governance, and Epistemicide","volume":"74","author":[{"literal":"China Mills"},{"family":"LeFrancois","given":"Brenda A"}],"issued":{"date-parts":[["2018"]]}},"locator":"507"}],"schema":"https://github.com/citation-style-language/schema/raw/master/csl-citation.json"} </w:instrText>
      </w:r>
      <w:r>
        <w:fldChar w:fldCharType="separate"/>
      </w:r>
      <w:r w:rsidRPr="004849F5">
        <w:rPr>
          <w:rFonts w:ascii="Calibri" w:hAnsi="Calibri" w:cs="Calibri"/>
          <w:szCs w:val="24"/>
        </w:rPr>
        <w:t xml:space="preserve">China Mills and Brenda A LeFrancois, ‘Child As Metaphor: Colonialism, Psy-Governance, and Epistemicide’ (2018) 74(7–8) </w:t>
      </w:r>
      <w:r w:rsidRPr="004849F5">
        <w:rPr>
          <w:rFonts w:ascii="Calibri" w:hAnsi="Calibri" w:cs="Calibri"/>
          <w:i/>
          <w:iCs/>
          <w:szCs w:val="24"/>
        </w:rPr>
        <w:t>World Futures</w:t>
      </w:r>
      <w:r w:rsidRPr="004849F5">
        <w:rPr>
          <w:rFonts w:ascii="Calibri" w:hAnsi="Calibri" w:cs="Calibri"/>
          <w:szCs w:val="24"/>
        </w:rPr>
        <w:t xml:space="preserve"> 503, 507.</w:t>
      </w:r>
      <w:r>
        <w:fldChar w:fldCharType="end"/>
      </w:r>
    </w:p>
  </w:endnote>
  <w:endnote w:id="312">
    <w:p w14:paraId="2045A1B0" w14:textId="15F07E3A" w:rsidR="004849F5" w:rsidRPr="004849F5" w:rsidRDefault="004849F5" w:rsidP="004849F5">
      <w:pPr>
        <w:pStyle w:val="EndnoteText"/>
        <w:rPr>
          <w:lang w:val="en-AU"/>
        </w:rPr>
      </w:pPr>
      <w:r>
        <w:rPr>
          <w:rStyle w:val="EndnoteReference"/>
        </w:rPr>
        <w:endnoteRef/>
      </w:r>
      <w:r>
        <w:t xml:space="preserve"> </w:t>
      </w:r>
      <w:r>
        <w:fldChar w:fldCharType="begin"/>
      </w:r>
      <w:r>
        <w:instrText xml:space="preserve"> ADDIN ZOTERO_ITEM CSL_CITATION {"citationID":"2eXI0xck","properties":{"formattedCitation":"Ibid 508.","plainCitation":"Ibid 508.","noteIndex":312},"citationItems":[{"id":8737,"uris":["http://zotero.org/users/5279374/items/5DBC7SRE"],"uri":["http://zotero.org/users/5279374/items/5DBC7SRE"],"itemData":{"id":8737,"type":"article-journal","abstract":"This paper mobilizes transdisciplinary inquiry to explore and deconstruct the often-used comparison of racialized/colonized people, intellectually disabled people and mad people as being like children. To be childlike is a metaphor that is used to denigrate, to classify as irrational and incompetent, to dismiss as not being knowledge holders, to justify governance and action on others’ behalf, to deem as being animistic, as undeveloped, underdeveloped or wrongly developed, and, hence, to subjugate. We explore the political work done by the metaphorical appeal to childhood, and particularly the centrality of the metaphor of childhood to legitimizing colonialism and white supremacy. The article attends to the ways in which this metaphor contributes to the shaping of the material and discursive realities of racialized and colonized others, as well as those who have been psychiatrized and deemed “intellectually disabled”. Further, we explore specific metaphors of child-colony, and child-mad-“crip”. We then detail the developmental logic underlying the historical and continued use of the metaphorics of childhood, and explore how this makes possible an infantilization of colonized peoples and the global South more widely. The material and discursive impact of this metaphor on children’s lives, and particularly children who are racialized, colonized, and/or deemed mad or “crip”, is then considered. We argue that complex adult-child relations, sane-mad relations and Western-majority world relations within global psychiatry, are situated firmly within pejorative notions of what it means to be childlike, and reproduce multi-systemic forms of oppression that, ostensibly in their “best interests”, govern children and all those deemed childlike.","container-title":"World Futures","DOI":"10.1080/02604027.2018.1485438","issue":"7-8","page":"503-524","title":"Child As Metaphor: Colonialism, Psy-Governance, and Epistemicide","volume":"74","author":[{"literal":"China Mills"},{"family":"LeFrancois","given":"Brenda A"}],"issued":{"date-parts":[["2018"]]}},"locator":"508"}],"schema":"https://github.com/citation-style-language/schema/raw/master/csl-citation.json"} </w:instrText>
      </w:r>
      <w:r>
        <w:fldChar w:fldCharType="separate"/>
      </w:r>
      <w:r w:rsidRPr="004849F5">
        <w:rPr>
          <w:rFonts w:ascii="Calibri" w:hAnsi="Calibri" w:cs="Calibri"/>
        </w:rPr>
        <w:t>Ibid 508.</w:t>
      </w:r>
      <w:r>
        <w:fldChar w:fldCharType="end"/>
      </w:r>
    </w:p>
  </w:endnote>
  <w:endnote w:id="313">
    <w:p w14:paraId="5CF44CDD" w14:textId="06D9D057" w:rsidR="00A00236" w:rsidRPr="004D03E6" w:rsidRDefault="00A00236" w:rsidP="006F3F43">
      <w:pPr>
        <w:pStyle w:val="EndnoteText"/>
        <w:rPr>
          <w:lang w:val="en-AU"/>
        </w:rPr>
      </w:pPr>
      <w:r w:rsidRPr="00AE1329">
        <w:rPr>
          <w:rStyle w:val="EndnoteReference"/>
        </w:rPr>
        <w:endnoteRef/>
      </w:r>
      <w:r w:rsidRPr="00AE1329">
        <w:t xml:space="preserve"> </w:t>
      </w:r>
      <w:r w:rsidRPr="00AE1329">
        <w:fldChar w:fldCharType="begin"/>
      </w:r>
      <w:r w:rsidR="004849F5">
        <w:instrText xml:space="preserve"> ADDIN ZOTERO_ITEM CSL_CITATION {"citationID":"LRknFskf","properties":{"formattedCitation":"Linda Steele, \\uc0\\u8216{}Making Sense of the Family Court\\uc0\\u8217{}s Decisions on the Non-Therapeutic Sterilisation of Girls with Intellectual\\uc0\\u160{}Disability\\uc0\\u8217{} (2008) 22 {\\i{}Australian Journal of Family Law} 34; Steele, \\uc0\\u8216{}Court Authorised Sterilisation and Human Rights: Inequality, Discrimination and Violence Against Women and Girls with Disability\\uc0\\u8217{} (n 7); Steele and Goldblatt (n 203).","plainCitation":"Linda Steele, ‘Making Sense of the Family Court’s Decisions on the Non-Therapeutic Sterilisation of Girls with Intellectual Disability’ (2008) 22 Australian Journal of Family Law 34; Steele, ‘Court Authorised Sterilisation and Human Rights: Inequality, Discrimination and Violence Against Women and Girls with Disability’ (n 7); Steele and Goldblatt (n 203).","noteIndex":313},"citationItems":[{"id":1743,"uris":["http://zotero.org/groups/2247402/items/XI7DTGUG"],"uri":["http://zotero.org/groups/2247402/items/XI7DTGUG"],"itemData":{"id":1743,"type":"article-journal","abstract":"The Family Court of Australia has jurisdiction to consent to the\nnon-therapeutic sterilisation of girls with intellectual disability. The Family\nCourt made a series of decisions concerning the sterilisation of girls with\nintellectual disability during the period 1988–1995. Despite the recent\nabsence of Family Court decisions on sterilisation, the non-therapeutic\nsterilisation of girls with intellectual disability remains a pertinent issue due to\nrecent developments in relation to the scope of the welfare jurisdiction, the\nincreased rights for people with intellectual disability, and moves towards the\ndevelopment of uniform legislation regulating the sterilisation of children with\nintellectual disability. To date, there has been only modest critical\nengagement in the legal context with the issue of sterilisation and there has\nbeen a failure to look at the ideas underpinning the Family Court’s decisions\nordering the sterilisation of girls with intellectual disability. This article seeks\nto address this gap by exploring the question ‘why does the non-therapeutic\nsterilisation of girls with intellectual disability make sense?’ In order to\nanswer this question, the writer applies a medical model of disability to an\nanalysis of the legal process through which a non-therapeutic sterilisation\ndecision is made — the question of jurisdiction and the application of the\nlegal test — to understand what the underlying assumptions about girls with\nintellectual disability are which inform the legal decision-making process.\nThis article also asks a second question: ‘how can intellectual disability\nalternatively be understood so that the application of the legal test in favour\nof non-therapeutic sterilisation is problematic and thus does not make\nsense?’ In order to answer this second question, the writer employs an\ninteractional model of disability. This article demonstrates that the logic of\nfamily law’s approach to non-therapeutic sterilisation is not absolute but is\nhighly contingent to a particular (and highly problematic) understanding of\nintellectual disability","container-title":"Australian Journal of Family Law","page":"34","title":"Making sense of the Family Court’s decisions on the non-therapeutic sterilisation of girls with intellectual disability","volume":"22","author":[{"family":"Steele","given":"Linda"}],"issued":{"date-parts":[["2008"]]}}},{"id":6210,"uris":["http://zotero.org/groups/2733877/items/TA4K5I9T"],"uri":["http://zotero.org/groups/2733877/items/TA4K5I9T"],"itemData":{"id":6210,"type":"article-journal","container-title":"UNSW Law Journal","issue":"3","language":"en","page":"1002-1037","source":"Zotero","title":"Court Authorised Sterilisation and Human Rights: Inequality, Discrimination and Violence Against Women and Girls with Disability","volume":"39","author":[{"family":"Steele","given":"Linda"}],"issued":{"date-parts":[["2016"]]}}},{"id":6174,"uris":["http://zotero.org/groups/2733877/items/45EDFJCY"],"uri":["http://zotero.org/groups/2733877/items/45EDFJCY"],"itemData":{"id":6174,"type":"chapter","container-title":"The Palgrave Handbook of Critical Menstruation Studies","page":"77","publisher":"Palgrave Macmillan","title":"The human rights of women and girls with disabilities: sterilisation and other coercive responses to menstruation","author":[{"family":"Steele","given":"Linda"},{"family":"Goldblatt","given":"Beth"}],"editor":[{"family":"Bobel","given":"Chris"},{"family":"Winkler","given":"Inga T"},{"family":"Fahs","given":"Breanne"},{"family":"Hasson","given":"Katie A"},{"family":"Kissling","given":"Elizabeth Arveda"},{"family":"Roberts","given":"Tomi-Ann"}],"issued":{"date-parts":[["2020"]]}}}],"schema":"https://github.com/citation-style-language/schema/raw/master/csl-citation.json"} </w:instrText>
      </w:r>
      <w:r w:rsidRPr="00AE1329">
        <w:fldChar w:fldCharType="separate"/>
      </w:r>
      <w:r w:rsidRPr="00A43287">
        <w:rPr>
          <w:rFonts w:ascii="Calibri" w:hAnsi="Calibri" w:cs="Calibri"/>
          <w:szCs w:val="24"/>
        </w:rPr>
        <w:t xml:space="preserve">Linda Steele, ‘Making Sense of the Family Court’s Decisions on the Non-Therapeutic Sterilisation of Girls with Intellectual Disability’ (2008) 22 </w:t>
      </w:r>
      <w:r w:rsidRPr="00A43287">
        <w:rPr>
          <w:rFonts w:ascii="Calibri" w:hAnsi="Calibri" w:cs="Calibri"/>
          <w:i/>
          <w:iCs/>
          <w:szCs w:val="24"/>
        </w:rPr>
        <w:t>Australian Journal of Family Law</w:t>
      </w:r>
      <w:r w:rsidRPr="00A43287">
        <w:rPr>
          <w:rFonts w:ascii="Calibri" w:hAnsi="Calibri" w:cs="Calibri"/>
          <w:szCs w:val="24"/>
        </w:rPr>
        <w:t xml:space="preserve"> 34; Steele, ‘Court Authorised Sterilisation and Human Rights: Inequality, Discrimination and Violence Against Women and Girls with Disability’ (n 7); Steele and Goldblatt (n 203).</w:t>
      </w:r>
      <w:r w:rsidRPr="00AE1329">
        <w:fldChar w:fldCharType="end"/>
      </w:r>
    </w:p>
  </w:endnote>
  <w:endnote w:id="314">
    <w:p w14:paraId="23500F43" w14:textId="0C5CD5B8" w:rsidR="00A00236" w:rsidRPr="009E64CC" w:rsidRDefault="00A00236">
      <w:pPr>
        <w:pStyle w:val="EndnoteText"/>
        <w:rPr>
          <w:lang w:val="en-AU"/>
        </w:rPr>
      </w:pPr>
      <w:r>
        <w:rPr>
          <w:rStyle w:val="EndnoteReference"/>
        </w:rPr>
        <w:endnoteRef/>
      </w:r>
      <w:r>
        <w:t xml:space="preserve"> </w:t>
      </w:r>
      <w:r>
        <w:fldChar w:fldCharType="begin"/>
      </w:r>
      <w:r w:rsidR="004849F5">
        <w:instrText xml:space="preserve"> ADDIN ZOTERO_ITEM CSL_CITATION {"citationID":"5gdlex8z","properties":{"formattedCitation":"Steele and Goldblatt (n 203) 85\\uc0\\u8211{}86.","plainCitation":"Steele and Goldblatt (n 203) 85–86.","noteIndex":314},"citationItems":[{"id":6174,"uris":["http://zotero.org/groups/2733877/items/45EDFJCY"],"uri":["http://zotero.org/groups/2733877/items/45EDFJCY"],"itemData":{"id":6174,"type":"chapter","container-title":"The Palgrave Handbook of Critical Menstruation Studies","page":"77","publisher":"Palgrave Macmillan","title":"The human rights of women and girls with disabilities: sterilisation and other coercive responses to menstruation","author":[{"family":"Steele","given":"Linda"},{"family":"Goldblatt","given":"Beth"}],"editor":[{"family":"Bobel","given":"Chris"},{"family":"Winkler","given":"Inga T"},{"family":"Fahs","given":"Breanne"},{"family":"Hasson","given":"Katie A"},{"family":"Kissling","given":"Elizabeth Arveda"},{"family":"Roberts","given":"Tomi-Ann"}],"issued":{"date-parts":[["2020"]]}},"locator":"85-86"}],"schema":"https://github.com/citation-style-language/schema/raw/master/csl-citation.json"} </w:instrText>
      </w:r>
      <w:r>
        <w:fldChar w:fldCharType="separate"/>
      </w:r>
      <w:r w:rsidRPr="00A43287">
        <w:rPr>
          <w:rFonts w:ascii="Calibri" w:hAnsi="Calibri" w:cs="Calibri"/>
          <w:szCs w:val="24"/>
        </w:rPr>
        <w:t>Steele and Goldblatt (n 203) 85–86.</w:t>
      </w:r>
      <w:r>
        <w:fldChar w:fldCharType="end"/>
      </w:r>
      <w:r>
        <w:t xml:space="preserve"> See also </w:t>
      </w:r>
      <w:r>
        <w:fldChar w:fldCharType="begin"/>
      </w:r>
      <w:r w:rsidR="004849F5">
        <w:instrText xml:space="preserve"> ADDIN ZOTERO_ITEM CSL_CITATION {"citationID":"4EX3Sey7","properties":{"formattedCitation":"Dunn (n 136).","plainCitation":"Dunn (n 136).","noteIndex":314},"citationItems":[{"id":6144,"uris":["http://zotero.org/groups/2733877/items/Q3FMIY2K"],"uri":["http://zotero.org/groups/2733877/items/Q3FMIY2K"],"itemData":{"id":6144,"type":"report","event-place":"Hobart, Tasmania","publisher":"Women With Disabilities Australia","publisher-place":"Hobart, Tasmania","title":"Sterilisation of Girls with Disability: The State Responsibility to Protect Human Rights","URL":"https://wwda.org.au/2018/09/sterilisation-state-responsibility/","author":[{"family":"Dunn","given":"Cashelle"}]}}],"schema":"https://github.com/citation-style-language/schema/raw/master/csl-citation.json"} </w:instrText>
      </w:r>
      <w:r>
        <w:fldChar w:fldCharType="separate"/>
      </w:r>
      <w:r w:rsidRPr="003644C1">
        <w:rPr>
          <w:rFonts w:ascii="Calibri" w:hAnsi="Calibri" w:cs="Calibri"/>
        </w:rPr>
        <w:t>Dunn (n 136).</w:t>
      </w:r>
      <w:r>
        <w:fldChar w:fldCharType="end"/>
      </w:r>
    </w:p>
  </w:endnote>
  <w:endnote w:id="315">
    <w:p w14:paraId="0E96892A" w14:textId="3B856902"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{"citationID":"eUTlWoLW","properties":{"formattedCitation":"Simonovic (n 86) 13-14[64].","plainCitation":"Simonovic (n 86) 13-14[64].","noteIndex":315},"citationItems":[{"id":6223,"uris":["http://zotero.org/groups/2733877/items/XWTAT747"],"uri":["http://zotero.org/groups/2733877/items/XWTAT747"],"itemData":{"id":6223,"type":"report","abstract":"Simonovic, Dubravka","genre":"A/HRC/38/47/Add.1","language":"en","note":"publisher: UN,","source":"digitallibrary.un.org","title":"Report of the Special Rapporteur on Violence against Women, its Causes and Consequences on her mission to Australia","URL":"http://digitallibrary.un.org/record/1627464","author":[{"family":"Simonovic","given":"Dubravka"}],"accessed":{"date-parts":[["2021",1,28]]},"issued":{"date-parts":[["2018",4,17]]}},"locator":"13-14[64]"}],"schema":"https://github.com/citation-style-language/schema/raw/master/csl-citation.json"} </w:instrText>
      </w:r>
      <w:r w:rsidRPr="003F3D6D">
        <w:rPr>
          <w:rFonts w:cstheme="minorHAnsi"/>
        </w:rPr>
        <w:fldChar w:fldCharType="separate"/>
      </w:r>
      <w:r w:rsidRPr="00794E5D">
        <w:rPr>
          <w:rFonts w:ascii="Calibri" w:hAnsi="Calibri" w:cs="Calibri"/>
        </w:rPr>
        <w:t>Simonovic (n 86) 13-14[64].</w:t>
      </w:r>
      <w:r w:rsidRPr="003F3D6D">
        <w:rPr>
          <w:rFonts w:cstheme="minorHAnsi"/>
        </w:rPr>
        <w:fldChar w:fldCharType="end"/>
      </w:r>
    </w:p>
  </w:endnote>
  <w:endnote w:id="316">
    <w:p w14:paraId="4018C9FE" w14:textId="6FCF7BFE"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{"citationID":"GjDshY59","properties":{"formattedCitation":"Ibid 14[66]-[67].","plainCitation":"Ibid 14[66]-[67].","noteIndex":316},"citationItems":[{"id":6223,"uris":["http://zotero.org/groups/2733877/items/XWTAT747"],"uri":["http://zotero.org/groups/2733877/items/XWTAT747"],"itemData":{"id":6223,"type":"report","abstract":"Simonovic, Dubravka","genre":"A/HRC/38/47/Add.1","language":"en","note":"publisher: UN,","source":"digitallibrary.un.org","title":"Report of the Special Rapporteur on Violence against Women, its Causes and Consequences on her mission to Australia","URL":"http://digitallibrary.un.org/record/1627464","author":[{"family":"Simonovic","given":"Dubravka"}],"accessed":{"date-parts":[["2021",1,28]]},"issued":{"date-parts":[["2018",4,17]]}},"locator":"14[66]-[67]"}],"schema":"https://github.com/citation-style-language/schema/raw/master/csl-citation.json"} </w:instrText>
      </w:r>
      <w:r w:rsidRPr="003F3D6D">
        <w:rPr>
          <w:rFonts w:cstheme="minorHAnsi"/>
        </w:rPr>
        <w:fldChar w:fldCharType="separate"/>
      </w:r>
      <w:r w:rsidRPr="003F3D6D">
        <w:rPr>
          <w:rFonts w:cstheme="minorHAnsi"/>
          <w:noProof/>
        </w:rPr>
        <w:t>Ibid 14[66]-[67].</w:t>
      </w:r>
      <w:r w:rsidRPr="003F3D6D">
        <w:rPr>
          <w:rFonts w:cstheme="minorHAnsi"/>
        </w:rPr>
        <w:fldChar w:fldCharType="end"/>
      </w:r>
    </w:p>
  </w:endnote>
  <w:endnote w:id="317">
    <w:p w14:paraId="1209DA2C" w14:textId="3DC279D8"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{"citationID":"q9EBJ4V5","properties":{"formattedCitation":"{\\i{}Convention on the Rights of Persons with Disabilities [2008] ATS 12} (n 4); UN General Assembly, \\uc0\\u8216{}Convention on the Rights of the Child [1991] ATS 4\\uc0\\u8217{} (n 4); UN General Assembly, \\uc0\\u8216{}Convention Against Torture and Other Cruel, Inhuman or Degrading Treatment or Punishment [1989] ATS 21\\uc0\\u8217{} (n 4); UN General Assembly, \\uc0\\u8216{}Convention on the Elimination of All Forms of Discrimination Against Women [1983] ATS 9\\uc0\\u8217{} (n 4); UN General Assembly, \\uc0\\u8216{}International Covenant on Civil and Political Rights [1980] ATS 23\\uc0\\u8217{} (n 4); UN General Assembly, \\uc0\\u8216{}International Covenant on Economic, Social and Cultural Rights [1976] ATS 5\\uc0\\u8217{} (n 4); UN General Assembly, \\uc0\\u8216{}International Convention on the Elimination of All Forms of Racial Discrimination [1975] ATS 40\\uc0\\u8217{} (n 4).","plainCitation":"Convention on the Rights of Persons with Disabilities [2008] ATS 12 (n 4); UN General Assembly, ‘Convention on the Rights of the Child [1991] ATS 4’ (n 4); UN General Assembly, ‘Convention Against Torture and Other Cruel, Inhuman or Degrading Treatment or Punishment [1989] ATS 21’ (n 4); UN General Assembly, ‘Convention on the Elimination of All Forms of Discrimination Against Women [1983] ATS 9’ (n 4); UN General Assembly, ‘International Covenant on Civil and Political Rights [1980] ATS 23’ (n 4); UN General Assembly, ‘International Covenant on Economic, Social and Cultural Rights [1976] ATS 5’ (n 4); UN General Assembly, ‘International Convention on the Elimination of All Forms of Racial Discrimination [1975] ATS 40’ (n 4).","noteIndex":317},"citationItems":[{"id":6215,"uris":["http://zotero.org/groups/2733877/items/8UQDQLRW"],"uri":["http://zotero.org/groups/2733877/items/8UQDQLRW"],"itemData":{"id":6215,"type":"report","abstract":"Adopted without vote, 76th plenary meeting; Issued in GAOR, 61st sess., Suppl. no. 49. \n\"Annex: Convention on the Rights of Persons with Disabilities\": p. 2-29.","genre":"A/RES/61/106","language":"en","publisher":"United Nations","title":"Convention on the Rights of Persons with Disabilities [2008] ATS 12","URL":"https://www.refworld.org/docid/45f973632.html","accessed":{"date-parts":[["2021",2,1]]},"issued":{"date-parts":[["2007",1,24]]}}},{"id":5941,"uris":["http://zotero.org/groups/2733877/items/Z94ADXJR"],"uri":["http://zotero.org/groups/2733877/items/Z94ADXJR"],"itemData":{"id":5941,"type":"report","abstract":"The Convention on the Rights of the Child was adopted and opened for signature, ratification and accession by General Assembly resolution 44/25 of 20 November 1989. It entered into force on 2 September 1990, in accordance with article 49.","collection-title":"Treaty Series vol. 1577","language":"en","publisher":"United Nations","title":"Convention on the Rights of the Child [1991] ATS 4","URL":"https://www.refworld.org/docid/3ae6b38f0.html","author":[{"family":"UN General Assembly","given":""}],"accessed":{"date-parts":[["2021",2,1]]},"issued":{"date-parts":[["1989",11,20]]}}},{"id":5940,"uris":["http://zotero.org/groups/2733877/items/5YR8UJDF"],"uri":["http://zotero.org/groups/2733877/items/5YR8UJDF"],"itemData":{"id":5940,"type":"report","abstract":"Adopted and opened for signature, ratification and accession by General Assembly resolution 39/46 of 10 December 1984. Entry into force 26 June 1987, in accordance with article 27 (1). &lt;a href=\"https://treaties.un.org/Pages/ViewDetails.aspx?src=IND&amp;mtdsg_no=IV-9&amp;chapter=4&amp;clang=_en\"_blank\"&gt;Status of signatures&lt;/a&gt;","collection-title":"Treaty Series vol. 1465","language":"en","publisher":"United Nations","title":"Convention Against Torture and Other Cruel, Inhuman or Degrading Treatment or Punishment [1989] ATS 21","URL":"https://www.refworld.org/docid/3ae6b3a94.html","author":[{"family":"UN General Assembly","given":""}],"accessed":{"date-parts":[["2021",2,1]]},"issued":{"date-parts":[["1984",12,10]]}}},{"id":5939,"uris":["http://zotero.org/groups/2733877/items/ZBXL2L22"],"uri":["http://zotero.org/groups/2733877/items/ZBXL2L22"],"itemData":{"id":5939,"type":"report","genre":"[1983] ATS 9","publisher":"United Nations","title":"Convention on the Elimination of All Forms of Discrimination Against Women [1983] ATS 9","URL":"https://www.ohchr.org/Documents/ProfessionalInterest/cedaw.pdf","author":[{"family":"UN General Assembly","given":""}],"issued":{"date-parts":[["1979",12,18]]}}},{"id":6203,"uris":["http://zotero.org/groups/2733877/items/TWXSZBQJ"],"uri":["http://zotero.org/groups/2733877/items/TWXSZBQJ"],"itemData":{"id":6203,"type":"report","collection-title":"[1980] ATS 23","publisher":"United Nations","title":"International Covenant on Civil and Political Rights [1980] ATS 23","URL":"https://www.ohchr.org/Documents/ProfessionalInterest/ccpr.pdf","author":[{"family":"UN General Assembly","given":""}],"issued":{"date-parts":[["1966",12,16]]}}},{"id":5938,"uris":["http://zotero.org/groups/2733877/items/GD9ZUNUP"],"uri":["http://zotero.org/groups/2733877/items/GD9ZUNUP"],"itemData":{"id":5938,"type":"report","genre":"[1976] ATS 5","publisher":"United Nations","title":"International Covenant on Economic, Social and Cultural Rights [1976] ATS 5","URL":"https://www.ohchr.org/Documents/ProfessionalInterest/cescr.pdf","author":[{"family":"UN General Assembly","given":""}],"issued":{"date-parts":[["1966",12,16]]}}},{"id":5937,"uris":["http://zotero.org/groups/2733877/items/VGJBJ44F"],"uri":["http://zotero.org/groups/2733877/items/VGJBJ44F"],"itemData":{"id":5937,"type":"report","genre":"[1975] ATS 40","publisher":"United Nations","title":"International Convention on the Elimination of All Forms of Racial Discrimination [1975] ATS 40","URL":"https://www.ohchr.org/EN/ProfessionalInterest/Pages/CERD.aspx","author":[{"family":"UN General Assembly","given":""}],"issued":{"date-parts":[["1965",12,21]]}}}],"schema":"https://github.com/citation-style-language/schema/raw/master/csl-citation.json"} </w:instrText>
      </w:r>
      <w:r w:rsidRPr="003F3D6D">
        <w:rPr>
          <w:rFonts w:cstheme="minorHAnsi"/>
        </w:rPr>
        <w:fldChar w:fldCharType="separate"/>
      </w:r>
      <w:r w:rsidRPr="00C27B33">
        <w:rPr>
          <w:rFonts w:ascii="Calibri" w:hAnsi="Calibri" w:cs="Calibri"/>
          <w:i/>
          <w:iCs/>
          <w:szCs w:val="24"/>
        </w:rPr>
        <w:t>Convention on the Rights of Persons with Disabilities [2008] ATS 12</w:t>
      </w:r>
      <w:r w:rsidRPr="00C27B33">
        <w:rPr>
          <w:rFonts w:ascii="Calibri" w:hAnsi="Calibri" w:cs="Calibri"/>
          <w:szCs w:val="24"/>
        </w:rPr>
        <w:t xml:space="preserve"> (n 4); UN General Assembly, ‘Convention on the Rights of the Child [1991] ATS 4’ (n 4); UN General Assembly, ‘Convention Against Torture and Other Cruel, Inhuman or Degrading Treatment or Punishment [1989] ATS 21’ (n 4); UN General Assembly, ‘Convention on the Elimination of All Forms of Discrimination Against Women [1983] ATS 9’ (n 4); UN General Assembly, ‘International Covenant on Civil and Political Rights [1980] ATS 23’ (n 4); UN General Assembly, ‘International Covenant on Economic, Social and Cultural Rights [1976] ATS 5’ (n 4); UN General Assembly, ‘International Convention on the Elimination of All Forms of Racial Discrimination [1975] ATS 40’ (n 4).</w:t>
      </w:r>
      <w:r w:rsidRPr="003F3D6D">
        <w:rPr>
          <w:rFonts w:cstheme="minorHAnsi"/>
        </w:rPr>
        <w:fldChar w:fldCharType="end"/>
      </w:r>
    </w:p>
  </w:endnote>
  <w:endnote w:id="318">
    <w:p w14:paraId="66EAA744" w14:textId="198300E8" w:rsidR="00A00236" w:rsidRPr="003F3D6D" w:rsidRDefault="00A00236" w:rsidP="00C17576">
      <w:pPr>
        <w:rPr>
          <w:rFonts w:asciiTheme="minorHAnsi" w:hAnsiTheme="minorHAnsi" w:cstheme="minorHAnsi"/>
          <w:color w:val="000000" w:themeColor="text1"/>
          <w:sz w:val="20"/>
          <w:szCs w:val="20"/>
        </w:rPr>
      </w:pPr>
      <w:r w:rsidRPr="003F3D6D">
        <w:rPr>
          <w:rStyle w:val="EndnoteReference"/>
          <w:rFonts w:asciiTheme="minorHAnsi" w:hAnsiTheme="minorHAnsi" w:cstheme="minorHAnsi"/>
          <w:color w:val="000000" w:themeColor="text1"/>
          <w:sz w:val="20"/>
          <w:szCs w:val="20"/>
        </w:rPr>
        <w:endnoteRef/>
      </w:r>
      <w:r w:rsidRPr="003F3D6D">
        <w:rPr>
          <w:rFonts w:asciiTheme="minorHAnsi" w:hAnsiTheme="minorHAnsi" w:cstheme="minorHAnsi"/>
          <w:color w:val="000000" w:themeColor="text1"/>
          <w:sz w:val="20"/>
          <w:szCs w:val="20"/>
        </w:rPr>
        <w:t xml:space="preserve"> Human rights treaties are often followed by "Optional Protocols" which may either provide for procedures with regard to the treaty or address a substantive area related to the treaty. Optional Protocols to human rights treaties are treaties in their own right, and are open to signature, accession or ratification by countries who are party to the main treaty. Optional protocols include an inquiry procedure, as well as a complaints procedure. An inquiry procedure enables the treaty body to conduct inquiries into serious and systematic abuses of human rights in countries that become States parties to the Optional Protocol. This allows widespread violations to be investigated where individuals or groups may be unable to make communications (for practical reasons or because of fear of reprisals) and is important where individual communications fail to reflect the systemic nature of widespread violations of human rights.</w:t>
      </w:r>
    </w:p>
  </w:endnote>
  <w:endnote w:id="319">
    <w:p w14:paraId="531FC98C" w14:textId="70553219"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{"citationID":"eQ6xOcCe","properties":{"formattedCitation":"See United Nations Human Rights, \\uc0\\u8216{}Human Rights Treaty Bodies - General Comments\\uc0\\u8217{}, {\\i{}Office of the High Commissioner of Human Rights} &lt;https://www.ohchr.org/EN/HRBodies/Pages/TBGeneralComments.aspx&gt;. The Committees publish their interpretation of the content of human rights provisions, known as General Comments, on thematic issues or methods of work. These cover a wide range of subjects, from the comprehensive interpretation of substantive provisions, such as the right to life or the right to adequate food, to general guidance on the information that should be submitted in State reports relating to specific articles of the treaties.","plainCitation":"See United Nations Human Rights, ‘Human Rights Treaty Bodies - General Comments’, Office of the High Commissioner of Human Rights &lt;https://www.ohchr.org/EN/HRBodies/Pages/TBGeneralComments.aspx&gt;. The Committees publish their interpretation of the content of human rights provisions, known as General Comments, on thematic issues or methods of work. These cover a wide range of subjects, from the comprehensive interpretation of substantive provisions, such as the right to life or the right to adequate food, to general guidance on the information that should be submitted in State reports relating to specific articles of the treaties.","noteIndex":319},"citationItems":[{"id":5956,"uris":["http://zotero.org/groups/2733877/items/S329W9XJ"],"uri":["http://zotero.org/groups/2733877/items/S329W9XJ"],"itemData":{"id":5956,"type":"webpage","container-title":"Office of the High Commissioner of Human Rights","title":"Human Rights Treaty Bodies - General Comments","URL":"https://www.ohchr.org/EN/HRBodies/Pages/TBGeneralComments.aspx","author":[{"family":"United Nations Human Rights","given":""}],"accessed":{"date-parts":[["2021",2,1]]}},"prefix":"See","suffix":". The Committees publish their interpretation of the content of human rights provisions, known as General Comments, on thematic issues or methods of work. These cover a wide range of subjects, from the comprehensive interpretation of substantive provisions, such as the right to life or the right to adequate food, to general guidance on the information that should be submitted in State reports relating to specific articles of the treaties."}],"schema":"https://github.com/citation-style-language/schema/raw/master/csl-citation.json"} </w:instrText>
      </w:r>
      <w:r w:rsidRPr="003F3D6D">
        <w:rPr>
          <w:rFonts w:cstheme="minorHAnsi"/>
        </w:rPr>
        <w:fldChar w:fldCharType="separate"/>
      </w:r>
      <w:r w:rsidRPr="003F3D6D">
        <w:rPr>
          <w:rFonts w:cstheme="minorHAnsi"/>
        </w:rPr>
        <w:t xml:space="preserve">See United Nations Human Rights, ‘Human Rights Treaty Bodies - General Comments’, </w:t>
      </w:r>
      <w:r w:rsidRPr="003F3D6D">
        <w:rPr>
          <w:rFonts w:cstheme="minorHAnsi"/>
          <w:i/>
          <w:iCs/>
        </w:rPr>
        <w:t>Office of the High Commissioner of Human Rights</w:t>
      </w:r>
      <w:r w:rsidRPr="003F3D6D">
        <w:rPr>
          <w:rFonts w:cstheme="minorHAnsi"/>
        </w:rPr>
        <w:t xml:space="preserve"> &lt;https://www.ohchr.org/EN/HRBodies/Pages/TBGeneralComments.aspx&gt;. The Committees publish their interpretation of the content of human rights provisions, known as General Comments, on thematic issues or methods of work. These cover a wide range of subjects, from the comprehensive interpretation of substantive provisions, such as the right to life or the right to adequate food, to general guidance on the information that should be submitted in State reports relating to specific articles of the treaties.</w:t>
      </w:r>
      <w:r w:rsidRPr="003F3D6D">
        <w:rPr>
          <w:rFonts w:cstheme="minorHAnsi"/>
        </w:rPr>
        <w:fldChar w:fldCharType="end"/>
      </w:r>
    </w:p>
  </w:endnote>
  <w:endnote w:id="320">
    <w:p w14:paraId="0583E4A4" w14:textId="0FB9DE01"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{"citationID":"rsgVSBaE","properties":{"formattedCitation":"Royal Commission into Violence, Abuse, Neglect and Exploitation of People with Disability, {\\i{}Our Terms of Reference} (n 65).","plainCitation":"Royal Commission into Violence, Abuse, Neglect and Exploitation of People with Disability, Our Terms of Reference (n 65).","noteIndex":320},"citationItems":[{"id":5924,"uris":["http://zotero.org/groups/2733877/items/PCBU8CVV"],"uri":["http://zotero.org/groups/2733877/items/PCBU8CVV"],"itemData":{"id":5924,"type":"webpage","abstract":"The Terms of Reference set out the Letters Patent – this is the name of the official document that establishes the Royal Commission, appoints its Commissioners and gives us rules for how can operate.","container-title":"Royal Commission into Violence, Abuse, Neglect and Exploitation of People with Disability","language":"en","title":"Our Terms of Reference","URL":"https://disability.royalcommission.gov.au/about-royal-commission/our-terms-reference","author":[{"family":"Royal Commission into Violence, Abuse, Neglect and Exploitation of People with Disability","given":""}],"accessed":{"date-parts":[["2021",1,27]]}}}],"schema":"https://github.com/citation-style-language/schema/raw/master/csl-citation.json"} </w:instrText>
      </w:r>
      <w:r w:rsidRPr="003F3D6D">
        <w:rPr>
          <w:rFonts w:cstheme="minorHAnsi"/>
        </w:rPr>
        <w:fldChar w:fldCharType="separate"/>
      </w:r>
      <w:r w:rsidRPr="003509C3">
        <w:rPr>
          <w:rFonts w:ascii="Calibri" w:hAnsi="Calibri" w:cs="Calibri"/>
          <w:szCs w:val="24"/>
        </w:rPr>
        <w:t xml:space="preserve">Royal Commission into Violence, Abuse, Neglect and Exploitation of People with Disability, </w:t>
      </w:r>
      <w:r w:rsidRPr="003509C3">
        <w:rPr>
          <w:rFonts w:ascii="Calibri" w:hAnsi="Calibri" w:cs="Calibri"/>
          <w:i/>
          <w:iCs/>
          <w:szCs w:val="24"/>
        </w:rPr>
        <w:t>Our Terms of Reference</w:t>
      </w:r>
      <w:r w:rsidRPr="003509C3">
        <w:rPr>
          <w:rFonts w:ascii="Calibri" w:hAnsi="Calibri" w:cs="Calibri"/>
          <w:szCs w:val="24"/>
        </w:rPr>
        <w:t xml:space="preserve"> (n 65).</w:t>
      </w:r>
      <w:r w:rsidRPr="003F3D6D">
        <w:rPr>
          <w:rFonts w:cstheme="minorHAnsi"/>
        </w:rPr>
        <w:fldChar w:fldCharType="end"/>
      </w:r>
    </w:p>
  </w:endnote>
  <w:endnote w:id="321">
    <w:p w14:paraId="2FE726D2" w14:textId="06178134"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{"citationID":"btpwvyi0","properties":{"formattedCitation":"For example, the UN Special Rapporteur on Torture has emphasised this: \\uc0\\u8216{}It is necessary to highlight additional measures needed to prevent torture and ill-treatment against people with disabilities, by synthesizing standards and coordinating actions in line with the CRPD.\\uc0\\u8217{} See Juan Mendez, {\\i{}Report of the Special Rapporteur on Torture and Other Cruel, Inhuman or Degrading Treatment or Punishment} (United Nations Human Rights Council, 1 February 2013) &lt;https://www.refworld.org/docid/51136ae62.html&gt;.","plainCitation":"For example, the UN Special Rapporteur on Torture has emphasised this: ‘It is necessary to highlight additional measures needed to prevent torture and ill-treatment against people with disabilities, by synthesizing standards and coordinating actions in line with the CRPD.’ See Juan Mendez, Report of the Special Rapporteur on Torture and Other Cruel, Inhuman or Degrading Treatment or Punishment (United Nations Human Rights Council, 1 February 2013) &lt;https://www.refworld.org/docid/51136ae62.html&gt;.","noteIndex":321},"citationItems":[{"id":5955,"uris":["http://zotero.org/groups/2733877/items/EPK4QZJA"],"uri":["http://zotero.org/groups/2733877/items/EPK4QZJA"],"itemData":{"id":5955,"type":"report","abstract":"Refworld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bodies.","collection-title":"A/HRC/2/53","language":"en","publisher":"United Nations Human Rights Council","title":"Report of the Special Rapporteur on torture and other cruel, inhuman or degrading treatment or punishment","URL":"https://www.refworld.org/docid/51136ae62.html","author":[{"family":"Mendez","given":"Juan"}],"accessed":{"date-parts":[["2021",2,1]]},"issued":{"date-parts":[["2013",2,1]]}},"prefix":"For example, the UN Special Rapporteur on Torture has emphasised this: \"It is necessary to highlight additional measures needed to prevent torture and ill-treatment against people with disabilities, by synthesizing standards and coordinating actions in line with the CRPD.\" See"}],"schema":"https://github.com/citation-style-language/schema/raw/master/csl-citation.json"} </w:instrText>
      </w:r>
      <w:r w:rsidRPr="003F3D6D">
        <w:rPr>
          <w:rFonts w:cstheme="minorHAnsi"/>
        </w:rPr>
        <w:fldChar w:fldCharType="separate"/>
      </w:r>
      <w:r w:rsidRPr="003F3D6D">
        <w:rPr>
          <w:rFonts w:cstheme="minorHAnsi"/>
        </w:rPr>
        <w:t xml:space="preserve">For example, the UN Special Rapporteur on Torture has emphasised this: ‘It is necessary to highlight additional measures needed to prevent torture and ill-treatment against people with disabilities, by synthesizing standards and coordinating actions in line with the CRPD.’ See Juan Mendez, </w:t>
      </w:r>
      <w:r w:rsidRPr="003F3D6D">
        <w:rPr>
          <w:rFonts w:cstheme="minorHAnsi"/>
          <w:i/>
          <w:iCs/>
        </w:rPr>
        <w:t>Report of the Special Rapporteur on Torture and Other Cruel, Inhuman or Degrading Treatment or Punishment</w:t>
      </w:r>
      <w:r w:rsidRPr="003F3D6D">
        <w:rPr>
          <w:rFonts w:cstheme="minorHAnsi"/>
        </w:rPr>
        <w:t xml:space="preserve"> (United Nations Human Rights Council, 1 February 2013) &lt;https://www.refworld.org/docid/51136ae62.html&gt;.</w:t>
      </w:r>
      <w:r w:rsidRPr="003F3D6D">
        <w:rPr>
          <w:rFonts w:cstheme="minorHAnsi"/>
        </w:rPr>
        <w:fldChar w:fldCharType="end"/>
      </w:r>
    </w:p>
  </w:endnote>
  <w:endnote w:id="322">
    <w:p w14:paraId="51C90574" w14:textId="76EEB0D5"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{"citationID":"lRk3OcUe","properties":{"formattedCitation":"Frohmader and Sands (n 87).","plainCitation":"Frohmader and Sands (n 87).","noteIndex":322},"citationItems":[{"id":6130,"uris":["http://zotero.org/groups/2733877/items/C292ZK32"],"uri":["http://zotero.org/groups/2733877/items/C292ZK32"],"itemData":{"id":6130,"type":"report","event-place":"Sydney, Australia","language":"en","publisher":"Australian Cross Disability Alliance (ACDA)","publisher-place":"Sydney, Australia","source":"Zotero","title":"Submission to the Senate Inquiry into Violence, abuse and neglect against people with disability in institutional and residential settings","URL":"https://wwda.org.au/wp-content/uploads/2013/12/ACDA_Sub_Sen_Inquiry_Violence_Institutions.pdf","author":[{"family":"Frohmader","given":"Carolyn"},{"family":"Sands","given":"Therese"}],"issued":{"date-parts":[["2015"]]}}}],"schema":"https://github.com/citation-style-language/schema/raw/master/csl-citation.json"} </w:instrText>
      </w:r>
      <w:r w:rsidRPr="003F3D6D">
        <w:rPr>
          <w:rFonts w:cstheme="minorHAnsi"/>
        </w:rPr>
        <w:fldChar w:fldCharType="separate"/>
      </w:r>
      <w:r w:rsidRPr="00794E5D">
        <w:rPr>
          <w:rFonts w:ascii="Calibri" w:hAnsi="Calibri" w:cs="Calibri"/>
        </w:rPr>
        <w:t>Frohmader and Sands (n 87).</w:t>
      </w:r>
      <w:r w:rsidRPr="003F3D6D">
        <w:rPr>
          <w:rFonts w:cstheme="minorHAnsi"/>
        </w:rPr>
        <w:fldChar w:fldCharType="end"/>
      </w:r>
    </w:p>
  </w:endnote>
  <w:endnote w:id="323">
    <w:p w14:paraId="27E311B4" w14:textId="13DA3F6D"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{"citationID":"pAbyOTlw","properties":{"formattedCitation":"Frohmader, Dowse and Didi (n 71).","plainCitation":"Frohmader, Dowse and Didi (n 71).","noteIndex":323},"citationItems":[{"id":5988,"uris":["http://zotero.org/groups/2733877/items/BKM3VIZJ"],"uri":["http://zotero.org/groups/2733877/items/BKM3VIZJ"],"itemData":{"id":5988,"type":"report","event-place":"Hobart, Tasmania","publisher":"Women With Disabilities Australia","publisher-place":"Hobart, Tasmania","title":"Preventing Violence Against Women and Girls with Disabilities: Integrating A Human Rights Perspective","URL":"https://wwda.org.au/wp-content/uploads/2013/12/Think_Piece_Revised_Edition.pdf","author":[{"family":"Frohmader","given":"Carolyn"},{"family":"Dowse","given":"Leanne"},{"family":"Didi","given":"Aminath"}],"issued":{"date-parts":[["2015"]]}}}],"schema":"https://github.com/citation-style-language/schema/raw/master/csl-citation.json"} </w:instrText>
      </w:r>
      <w:r w:rsidRPr="003F3D6D">
        <w:rPr>
          <w:rFonts w:cstheme="minorHAnsi"/>
        </w:rPr>
        <w:fldChar w:fldCharType="separate"/>
      </w:r>
      <w:r w:rsidRPr="00794E5D">
        <w:rPr>
          <w:rFonts w:ascii="Calibri" w:hAnsi="Calibri" w:cs="Calibri"/>
        </w:rPr>
        <w:t>Frohmader, Dowse and Didi (n 71).</w:t>
      </w:r>
      <w:r w:rsidRPr="003F3D6D">
        <w:rPr>
          <w:rFonts w:cstheme="minorHAnsi"/>
        </w:rPr>
        <w:fldChar w:fldCharType="end"/>
      </w:r>
    </w:p>
  </w:endnote>
  <w:endnote w:id="324">
    <w:p w14:paraId="4D2AE2B5" w14:textId="262C97A1"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{"citationID":"kesbnr8E","properties":{"formattedCitation":"Women with Disabilities Australia, {\\i{}WWDA Position Statement 1: The Right to Freedom From All Forms of Violence} (WWDA, September 2016) 1.","plainCitation":"Women with Disabilities Australia, WWDA Position Statement 1: The Right to Freedom From All Forms of Violence (WWDA, September 2016) 1.","noteIndex":324},"citationItems":[{"id":5953,"uris":["http://zotero.org/groups/2733877/items/ABSERGEV"],"uri":["http://zotero.org/groups/2733877/items/ABSERGEV"],"itemData":{"id":5953,"type":"report","event-place":"Hobart, Tasmania","publisher":"WWDA","publisher-place":"Hobart, Tasmania","title":"WWDA Position Statement 1: The Right to Freedom From All Forms of Violence","author":[{"family":"Women with Disabilities Australia","given":""}],"issued":{"date-parts":[["2016",9]]}},"locator":"1"}],"schema":"https://github.com/citation-style-language/schema/raw/master/csl-citation.json"} </w:instrText>
      </w:r>
      <w:r w:rsidRPr="003F3D6D">
        <w:rPr>
          <w:rFonts w:cstheme="minorHAnsi"/>
        </w:rPr>
        <w:fldChar w:fldCharType="separate"/>
      </w:r>
      <w:r w:rsidRPr="003F3D6D">
        <w:rPr>
          <w:rFonts w:cstheme="minorHAnsi"/>
        </w:rPr>
        <w:t xml:space="preserve">Women with Disabilities Australia, </w:t>
      </w:r>
      <w:r w:rsidRPr="003F3D6D">
        <w:rPr>
          <w:rFonts w:cstheme="minorHAnsi"/>
          <w:i/>
          <w:iCs/>
        </w:rPr>
        <w:t>WWDA Position Statement 1: The Right to Freedom From All Forms of Violence</w:t>
      </w:r>
      <w:r w:rsidRPr="003F3D6D">
        <w:rPr>
          <w:rFonts w:cstheme="minorHAnsi"/>
        </w:rPr>
        <w:t xml:space="preserve"> (WWDA, September 2016) 1.</w:t>
      </w:r>
      <w:r w:rsidRPr="003F3D6D">
        <w:rPr>
          <w:rFonts w:cstheme="minorHAnsi"/>
        </w:rPr>
        <w:fldChar w:fldCharType="end"/>
      </w:r>
    </w:p>
  </w:endnote>
  <w:endnote w:id="325">
    <w:p w14:paraId="01481C10" w14:textId="69BDE62A"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{"citationID":"mmJnASyU","properties":{"formattedCitation":"Senate Community Affairs Committee (n 9).","plainCitation":"Senate Community Affairs Committee (n 9).","noteIndex":325},"citationItems":[{"id":6015,"uris":["http://zotero.org/groups/2733877/items/67LC7VM3"],"uri":["http://zotero.org/groups/2733877/items/67LC7VM3"],"itemData":{"id":6015,"type":"report","event-place":"Canberra","publisher":"Parliament of Australia","publisher-place":"Canberra","title":"Involuntary or Coerced Sterilisation of People with Disabilities in Australia","author":[{"family":"Senate Community Affairs Committee","given":""}],"issued":{"date-parts":[["2013",7]]}}}],"schema":"https://github.com/citation-style-language/schema/raw/master/csl-citation.json"} </w:instrText>
      </w:r>
      <w:r w:rsidRPr="003F3D6D">
        <w:rPr>
          <w:rFonts w:cstheme="minorHAnsi"/>
        </w:rPr>
        <w:fldChar w:fldCharType="separate"/>
      </w:r>
      <w:r w:rsidRPr="003509C3">
        <w:rPr>
          <w:rFonts w:ascii="Calibri" w:hAnsi="Calibri" w:cs="Calibri"/>
        </w:rPr>
        <w:t>Senate Community Affairs Committee (n 9).</w:t>
      </w:r>
      <w:r w:rsidRPr="003F3D6D">
        <w:rPr>
          <w:rFonts w:cstheme="minorHAnsi"/>
        </w:rPr>
        <w:fldChar w:fldCharType="end"/>
      </w:r>
    </w:p>
  </w:endnote>
  <w:endnote w:id="326">
    <w:p w14:paraId="46695147" w14:textId="6D91F604"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{"citationID":"EUApToGn","properties":{"formattedCitation":"Ibid; See critique of the report by Steele, \\uc0\\u8216{}Court Authorised Sterilisation and Human Rights: Inequality, Discrimination and Violence Against Women and Girls with Disability\\uc0\\u8217{} (n 7); Steele and Goldblatt (n 203) 77\\uc0\\u8211{}92.","plainCitation":"Ibid; See critique of the report by Steele, ‘Court Authorised Sterilisation and Human Rights: Inequality, Discrimination and Violence Against Women and Girls with Disability’ (n 7); Steele and Goldblatt (n 203) 77–92.","noteIndex":326},"citationItems":[{"id":6015,"uris":["http://zotero.org/groups/2733877/items/67LC7VM3"],"uri":["http://zotero.org/groups/2733877/items/67LC7VM3"],"itemData":{"id":6015,"type":"report","event-place":"Canberra","publisher":"Parliament of Australia","publisher-place":"Canberra","title":"Involuntary or Coerced Sterilisation of People with Disabilities in Australia","author":[{"family":"Senate Community Affairs Committee","given":""}],"issued":{"date-parts":[["2013",7]]}}},{"id":6210,"uris":["http://zotero.org/groups/2733877/items/TA4K5I9T"],"uri":["http://zotero.org/groups/2733877/items/TA4K5I9T"],"itemData":{"id":6210,"type":"article-journal","container-title":"UNSW Law Journal","issue":"3","language":"en","page":"1002-1037","source":"Zotero","title":"Court Authorised Sterilisation and Human Rights: Inequality, Discrimination and Violence Against Women and Girls with Disability","volume":"39","author":[{"family":"Steele","given":"Linda"}],"issued":{"date-parts":[["2016"]]}},"prefix":"See critique of the report by"},{"id":6174,"uris":["http://zotero.org/groups/2733877/items/45EDFJCY"],"uri":["http://zotero.org/groups/2733877/items/45EDFJCY"],"itemData":{"id":6174,"type":"chapter","container-title":"The Palgrave Handbook of Critical Menstruation Studies","page":"77","publisher":"Palgrave Macmillan","title":"The human rights of women and girls with disabilities: sterilisation and other coercive responses to menstruation","author":[{"family":"Steele","given":"Linda"},{"family":"Goldblatt","given":"Beth"}],"editor":[{"family":"Bobel","given":"Chris"},{"family":"Winkler","given":"Inga T"},{"family":"Fahs","given":"Breanne"},{"family":"Hasson","given":"Katie A"},{"family":"Kissling","given":"Elizabeth Arveda"},{"family":"Roberts","given":"Tomi-Ann"}],"issued":{"date-parts":[["2020"]]}},"locator":"77-92"}],"schema":"https://github.com/citation-style-language/schema/raw/master/csl-citation.json"} </w:instrText>
      </w:r>
      <w:r w:rsidRPr="003F3D6D">
        <w:rPr>
          <w:rFonts w:cstheme="minorHAnsi"/>
        </w:rPr>
        <w:fldChar w:fldCharType="separate"/>
      </w:r>
      <w:r w:rsidRPr="00A43287">
        <w:rPr>
          <w:rFonts w:ascii="Calibri" w:hAnsi="Calibri" w:cs="Calibri"/>
          <w:szCs w:val="24"/>
        </w:rPr>
        <w:t>Ibid; See critique of the report by Steele, ‘Court Authorised Sterilisation and Human Rights: Inequality, Discrimination and Violence Against Women and Girls with Disability’ (n 7); Steele and Goldblatt (n 203) 77–92.</w:t>
      </w:r>
      <w:r w:rsidRPr="003F3D6D">
        <w:rPr>
          <w:rFonts w:cstheme="minorHAnsi"/>
        </w:rPr>
        <w:fldChar w:fldCharType="end"/>
      </w:r>
    </w:p>
  </w:endnote>
  <w:endnote w:id="327">
    <w:p w14:paraId="2D082433" w14:textId="7B643F9D" w:rsidR="00A00236" w:rsidRPr="00DC343E" w:rsidRDefault="00A00236">
      <w:pPr>
        <w:pStyle w:val="EndnoteText"/>
        <w:rPr>
          <w:lang w:val="en-AU"/>
        </w:rPr>
      </w:pPr>
      <w:r>
        <w:rPr>
          <w:rStyle w:val="EndnoteReference"/>
        </w:rPr>
        <w:endnoteRef/>
      </w:r>
      <w:r>
        <w:t xml:space="preserve"> </w:t>
      </w:r>
      <w:r>
        <w:fldChar w:fldCharType="begin"/>
      </w:r>
      <w:r w:rsidR="004849F5">
        <w:instrText xml:space="preserve"> ADDIN ZOTERO_ITEM CSL_CITATION {"citationID":"Vyo7NKGI","properties":{"formattedCitation":"Royal Commission into Violence, Abuse, Neglect and Exploitation of People with Disability, {\\i{}Health Care for People with Cognitive Disability Issues Paper} (Royal Commission into Violence, Abuse, Neglect and Exploitation of People with Disability, 16 December 2019) &lt;https://disability.royalcommission.gov.au/publications/health-care-people-cognitive-disability&gt;.","plainCitation":"Royal Commission into Violence, Abuse, Neglect and Exploitation of People with Disability, Health Care for People with Cognitive Disability Issues Paper (Royal Commission into Violence, Abuse, Neglect and Exploitation of People with Disability, 16 December 2019) &lt;https://disability.royalcommission.gov.au/publications/health-care-people-cognitive-disability&gt;.","noteIndex":327},"citationItems":[{"id":6137,"uris":["http://zotero.org/groups/2733877/items/EJA6HQML"],"uri":["http://zotero.org/groups/2733877/items/EJA6HQML"],"itemData":{"id":6137,"type":"report","publisher":"Royal Commission into Violence, Abuse, Neglect and Exploitation of People with Disability","title":"Health Care for People with Cognitive Disability Issues Paper","URL":"https://disability.royalcommission.gov.au/publications/health-care-people-cognitive-disability","author":[{"family":"Royal Commission into Violence, Abuse, Neglect and Exploitation of People with Disability","given":""}],"issued":{"date-parts":[["2019",12,16]]}}}],"schema":"https://github.com/citation-style-language/schema/raw/master/csl-citation.json"} </w:instrText>
      </w:r>
      <w:r>
        <w:fldChar w:fldCharType="separate"/>
      </w:r>
      <w:r w:rsidRPr="000621DC">
        <w:rPr>
          <w:rFonts w:ascii="Calibri" w:hAnsi="Calibri" w:cs="Calibri"/>
          <w:szCs w:val="24"/>
        </w:rPr>
        <w:t xml:space="preserve">Royal Commission into Violence, Abuse, Neglect and Exploitation of People with Disability, </w:t>
      </w:r>
      <w:r w:rsidRPr="000621DC">
        <w:rPr>
          <w:rFonts w:ascii="Calibri" w:hAnsi="Calibri" w:cs="Calibri"/>
          <w:i/>
          <w:iCs/>
          <w:szCs w:val="24"/>
        </w:rPr>
        <w:t>Health Care for People with Cognitive Disability Issues Paper</w:t>
      </w:r>
      <w:r w:rsidRPr="000621DC">
        <w:rPr>
          <w:rFonts w:ascii="Calibri" w:hAnsi="Calibri" w:cs="Calibri"/>
          <w:szCs w:val="24"/>
        </w:rPr>
        <w:t xml:space="preserve"> (Royal Commission into Violence, Abuse, Neglect and Exploitation of People with Disability, 16 December 2019) &lt;https://disability.royalcommission.gov.au/publications/health-care-people-cognitive-disability&gt;.</w:t>
      </w:r>
      <w:r>
        <w:fldChar w:fldCharType="end"/>
      </w:r>
    </w:p>
  </w:endnote>
  <w:endnote w:id="328">
    <w:p w14:paraId="11138AF8" w14:textId="5BFDB931" w:rsidR="00A00236" w:rsidRPr="00DC343E" w:rsidRDefault="00A00236">
      <w:pPr>
        <w:pStyle w:val="EndnoteText"/>
        <w:rPr>
          <w:lang w:val="en-AU"/>
        </w:rPr>
      </w:pPr>
      <w:r w:rsidRPr="00940CC1">
        <w:rPr>
          <w:rStyle w:val="EndnoteReference"/>
        </w:rPr>
        <w:endnoteRef/>
      </w:r>
      <w:r w:rsidRPr="00940CC1">
        <w:t xml:space="preserve"> </w:t>
      </w:r>
      <w:r w:rsidRPr="00940CC1">
        <w:rPr>
          <w:rFonts w:cstheme="minorHAnsi"/>
        </w:rPr>
        <w:t xml:space="preserve">See eg: </w:t>
      </w:r>
      <w:r w:rsidRPr="00940CC1">
        <w:rPr>
          <w:rFonts w:cstheme="minorHAnsi"/>
        </w:rPr>
        <w:fldChar w:fldCharType="begin"/>
      </w:r>
      <w:r w:rsidR="004849F5">
        <w:rPr>
          <w:rFonts w:cstheme="minorHAnsi"/>
        </w:rPr>
        <w:instrText xml:space="preserve"> ADDIN ZOTERO_ITEM CSL_CITATION {"citationID":"08ckEHqu","properties":{"formattedCitation":"Julian N Trollor et al, \\uc0\\u8216{}Cause of Death and Potentially Avoidable Deaths in Australian Adults with Intellectual Disability Using Retrospective Linked Data\\uc0\\u8217{} [2017] {\\i{}BMJ Open} e013489; Simone Reppermund et al, \\uc0\\u8216{}Factors Associated with Death in People with Intellectual Disability\\uc0\\u8217{} (2020) 33(3) {\\i{}Journal of Applied Research in Intellectual Disabilities} 420.","plainCitation":"Julian N Trollor et al, ‘Cause of Death and Potentially Avoidable Deaths in Australian Adults with Intellectual Disability Using Retrospective Linked Data’ [2017] BMJ Open e013489; Simone Reppermund et al, ‘Factors Associated with Death in People with Intellectual Disability’ (2020) 33(3) Journal of Applied Research in Intellectual Disabilities 420.","noteIndex":328},"citationItems":[{"id":8715,"uris":["http://zotero.org/users/5279374/items/GFU9G9IW"],"uri":["http://zotero.org/users/5279374/items/GFU9G9IW"],"itemData":{"id":8715,"type":"article-journal","container-title":"BMJ Open","DOI":"10.1136/bmjopen-2016-013489","page":"e013489","title":"Cause of Death and Potentially Avoidable Deaths in Australian Adults with Intellectual Disability using Retrospective Linked Data","author":[{"family":"Trollor","given":"Julian N"},{"family":"Srasuebkul","given":"Preeyaporn"},{"literal":"Han Xu"},{"family":"Howlett","given":"Sophie"}],"issued":{"date-parts":[["2017"]]}}},{"id":8714,"uris":["http://zotero.org/users/5279374/items/NE6WL8EI"],"uri":["http://zotero.org/users/5279374/items/NE6WL8EI"],"itemData":{"id":8714,"type":"article-journal","container-title":"Journal of Applied Research in Intellectual Disabilities","DOI":"doi.org/10.1111/jar.12684","issue":"3","page":"420-429","title":"Factors Associated with Death in People with Intellectual Disability","volume":"33","author":[{"family":"Reppermund","given":"Simone"},{"family":"Srasuebkul","given":"Preeyaporn"},{"family":"Dean","given":"Kimberlie"},{"family":"Trollor","given":"Julian N"}],"issued":{"date-parts":[["2020"]]}}}],"schema":"https://github.com/citation-style-language/schema/raw/master/csl-citation.json"} </w:instrText>
      </w:r>
      <w:r w:rsidRPr="00940CC1">
        <w:rPr>
          <w:rFonts w:cstheme="minorHAnsi"/>
        </w:rPr>
        <w:fldChar w:fldCharType="separate"/>
      </w:r>
      <w:r w:rsidRPr="00940CC1">
        <w:rPr>
          <w:rFonts w:ascii="Calibri" w:hAnsi="Calibri" w:cs="Calibri"/>
          <w:szCs w:val="24"/>
        </w:rPr>
        <w:t xml:space="preserve">Julian N Trollor et al, ‘Cause of Death and Potentially Avoidable Deaths in Australian Adults with Intellectual Disability Using Retrospective Linked Data’ [2017] </w:t>
      </w:r>
      <w:r w:rsidRPr="00940CC1">
        <w:rPr>
          <w:rFonts w:ascii="Calibri" w:hAnsi="Calibri" w:cs="Calibri"/>
          <w:i/>
          <w:iCs/>
          <w:szCs w:val="24"/>
        </w:rPr>
        <w:t>BMJ Open</w:t>
      </w:r>
      <w:r w:rsidRPr="00940CC1">
        <w:rPr>
          <w:rFonts w:ascii="Calibri" w:hAnsi="Calibri" w:cs="Calibri"/>
          <w:szCs w:val="24"/>
        </w:rPr>
        <w:t xml:space="preserve"> e013489; Simone Reppermund et al, ‘Factors Associated with Death in People with Intellectual Disability’ (2020) 33(3) </w:t>
      </w:r>
      <w:r w:rsidRPr="00940CC1">
        <w:rPr>
          <w:rFonts w:ascii="Calibri" w:hAnsi="Calibri" w:cs="Calibri"/>
          <w:i/>
          <w:iCs/>
          <w:szCs w:val="24"/>
        </w:rPr>
        <w:t>Journal of Applied Research in Intellectual Disabilities</w:t>
      </w:r>
      <w:r w:rsidRPr="00940CC1">
        <w:rPr>
          <w:rFonts w:ascii="Calibri" w:hAnsi="Calibri" w:cs="Calibri"/>
          <w:szCs w:val="24"/>
        </w:rPr>
        <w:t xml:space="preserve"> 420.</w:t>
      </w:r>
      <w:r w:rsidRPr="00940CC1">
        <w:rPr>
          <w:rFonts w:cstheme="minorHAnsi"/>
        </w:rPr>
        <w:fldChar w:fldCharType="end"/>
      </w:r>
      <w:r>
        <w:rPr>
          <w:rFonts w:cstheme="minorHAnsi"/>
        </w:rPr>
        <w:t xml:space="preserve"> See also </w:t>
      </w:r>
      <w:r>
        <w:rPr>
          <w:rFonts w:cstheme="minorHAnsi"/>
        </w:rPr>
        <w:fldChar w:fldCharType="begin"/>
      </w:r>
      <w:r w:rsidR="004849F5">
        <w:rPr>
          <w:rFonts w:cstheme="minorHAnsi"/>
        </w:rPr>
        <w:instrText xml:space="preserve"> ADDIN ZOTERO_ITEM CSL_CITATION {"citationID":"ljCCa2EU","properties":{"formattedCitation":"Vanamali Hermans, \\uc0\\u8216{}On Hospitals\\uc0\\u8217{} (2020) 239 Winter {\\i{}Overland} &lt;https://overland.org.au/ previous-issues/issue-239/feature-on-hospitals/&gt;.","plainCitation":"Vanamali Hermans, ‘On Hospitals’ (2020) 239 Winter Overland &lt;https://overland.org.au/ previous-issues/issue-239/feature-on-hospitals/&gt;.","noteIndex":328},"citationItems":[{"id":8735,"uris":["http://zotero.org/users/5279374/items/FPY4H2UQ"],"uri":["http://zotero.org/users/5279374/items/FPY4H2UQ"],"itemData":{"id":8735,"type":"article-journal","container-title":"Overland","title":"On Hospitals","URL":"https://overland.org.au/ previous-issues/issue-239/feature-on-hospitals/","volume":"239 Winter","author":[{"family":"Hermans","given":"Vanamali"}],"issued":{"date-parts":[["2020"]]}}}],"schema":"https://github.com/citation-style-language/schema/raw/master/csl-citation.json"} </w:instrText>
      </w:r>
      <w:r>
        <w:rPr>
          <w:rFonts w:cstheme="minorHAnsi"/>
        </w:rPr>
        <w:fldChar w:fldCharType="separate"/>
      </w:r>
      <w:r w:rsidRPr="003644C1">
        <w:rPr>
          <w:rFonts w:ascii="Calibri" w:hAnsi="Calibri" w:cs="Calibri"/>
          <w:szCs w:val="24"/>
        </w:rPr>
        <w:t xml:space="preserve">Vanamali Hermans, ‘On Hospitals’ (2020) 239 Winter </w:t>
      </w:r>
      <w:r w:rsidRPr="003644C1">
        <w:rPr>
          <w:rFonts w:ascii="Calibri" w:hAnsi="Calibri" w:cs="Calibri"/>
          <w:i/>
          <w:iCs/>
          <w:szCs w:val="24"/>
        </w:rPr>
        <w:t>Overland</w:t>
      </w:r>
      <w:r w:rsidRPr="003644C1">
        <w:rPr>
          <w:rFonts w:ascii="Calibri" w:hAnsi="Calibri" w:cs="Calibri"/>
          <w:szCs w:val="24"/>
        </w:rPr>
        <w:t xml:space="preserve"> &lt;https://overland.org.au/ previous-issues/issue-239/feature-on-hospitals/&gt;.</w:t>
      </w:r>
      <w:r>
        <w:rPr>
          <w:rFonts w:cstheme="minorHAnsi"/>
        </w:rPr>
        <w:fldChar w:fldCharType="end"/>
      </w:r>
    </w:p>
  </w:endnote>
  <w:endnote w:id="329">
    <w:p w14:paraId="515FE4DD" w14:textId="6AAACA6D"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{"citationID":"9vE9fuhn","properties":{"formattedCitation":"Parliamentary Joint Committee on Human Rights, {\\i{}Quality of Care Amendment (Minimising the Use of Restraints) Principles 2019} (Inquiry Report, Parliament of Australia, 13 November 2019) 1[1.3] &lt;https://www.aph.gov.au/Parliamentary_Business/Committees/Joint/Human_Rights/QualityCareAmendment/Report&gt;.","plainCitation":"Parliamentary Joint Committee on Human Rights, Quality of Care Amendment (Minimising the Use of Restraints) Principles 2019 (Inquiry Report, Parliament of Australia, 13 November 2019) 1[1.3] &lt;https://www.aph.gov.au/Parliamentary_Business/Committees/Joint/Human_Rights/QualityCareAmendment/Report&gt;.","noteIndex":329},"citationItems":[{"id":6005,"uris":["http://zotero.org/groups/2733877/items/CDQJLW5Z"],"uri":["http://zotero.org/groups/2733877/items/CDQJLW5Z"],"itemData":{"id":6005,"type":"report","event-place":"Canberra","genre":"Inquiry Report","publisher":"Parliament of Australia","publisher-place":"Canberra","title":"Quality of Care Amendment (Minimising the Use of Restraints) Principles 2019","URL":"https://www.aph.gov.au/Parliamentary_Business/Committees/Joint/Human_Rights/QualityCareAmendment/Report","author":[{"family":"Parliamentary Joint Committee on Human Rights","given":""}],"issued":{"date-parts":[["2019",11,13]]}},"locator":"1[1.3]"}],"schema":"https://github.com/citation-style-language/schema/raw/master/csl-citation.json"} </w:instrText>
      </w:r>
      <w:r w:rsidRPr="003F3D6D">
        <w:rPr>
          <w:rFonts w:cstheme="minorHAnsi"/>
        </w:rPr>
        <w:fldChar w:fldCharType="separate"/>
      </w:r>
      <w:r w:rsidRPr="008602B7">
        <w:rPr>
          <w:rFonts w:ascii="Calibri" w:hAnsi="Calibri" w:cs="Calibri"/>
          <w:szCs w:val="24"/>
        </w:rPr>
        <w:t xml:space="preserve">Parliamentary Joint Committee on Human Rights, </w:t>
      </w:r>
      <w:r w:rsidRPr="008602B7">
        <w:rPr>
          <w:rFonts w:ascii="Calibri" w:hAnsi="Calibri" w:cs="Calibri"/>
          <w:i/>
          <w:iCs/>
          <w:szCs w:val="24"/>
        </w:rPr>
        <w:t>Quality of Care Amendment (Minimising the Use of Restraints) Principles 2019</w:t>
      </w:r>
      <w:r w:rsidRPr="008602B7">
        <w:rPr>
          <w:rFonts w:ascii="Calibri" w:hAnsi="Calibri" w:cs="Calibri"/>
          <w:szCs w:val="24"/>
        </w:rPr>
        <w:t xml:space="preserve"> (Inquiry Report, Parliament of Australia, 13 November 2019) 1[1.3] &lt;https://www.aph.gov.au/Parliamentary_Business/Committees/Joint/Human_Rights/QualityCareAmendment/Report&gt;.</w:t>
      </w:r>
      <w:r w:rsidRPr="003F3D6D">
        <w:rPr>
          <w:rFonts w:cstheme="minorHAnsi"/>
        </w:rPr>
        <w:fldChar w:fldCharType="end"/>
      </w:r>
    </w:p>
  </w:endnote>
  <w:endnote w:id="330">
    <w:p w14:paraId="66DBCFF2" w14:textId="56FDFD04"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{"citationID":"JXhsMpfK","properties":{"formattedCitation":"UN Committee on Economic, Social and Cultural Rights, {\\i{}General Comment No. 5: Persons with Disabilities} (E/1995/22, United Nations, 9 December 1994) 5 &lt;https://www.refworld.org/docid/4538838f0.html&gt; (\\uc0\\u8216{}{\\i{}Refworld | General Comment No. 5}\\uc0\\u8217{}); {\\i{}Brown v Board of Education of Topeka} (1954) 347 US 483; {\\i{}Olmstead v LC} (1999) 527 US 581.","plainCitation":"UN Committee on Economic, Social and Cultural Rights, General Comment No. 5: Persons with Disabilities (E/1995/22, United Nations, 9 December 1994) 5 &lt;https://www.refworld.org/docid/4538838f0.html&gt; (‘Refworld | General Comment No. 5’); Brown v Board of Education of Topeka (1954) 347 US 483; Olmstead v LC (1999) 527 US 581.","noteIndex":330},"citationItems":[{"id":5952,"uris":["http://zotero.org/groups/2733877/items/X4XCDY4M"],"uri":["http://zotero.org/groups/2733877/items/X4XCDY4M"],"itemData":{"id":5952,"type":"report","abstract":"Adopted at the Eleventh Session of the Committee on Economic, Social and Cultural Rights, on 9 December 1994","genre":"E/1995/22","language":"en","publisher":"United Nations","title":"General Comment No. 5: Persons with Disabilities","title-short":"Refworld | General Comment No. 5","URL":"https://www.refworld.org/docid/4538838f0.html","author":[{"family":"UN Committee on Economic, Social and Cultural Rights","given":""}],"accessed":{"date-parts":[["2021",2,1]]},"issued":{"date-parts":[["1994",12,9]]}},"locator":"5"},{"id":5951,"uris":["http://zotero.org/groups/2733877/items/D2WEIMZ6"],"uri":["http://zotero.org/groups/2733877/items/D2WEIMZ6"],"itemData":{"id":5951,"type":"legal_case","container-title":"US","page":"483","title":"Brown v Board of Education of Topeka","URL":"https://en.wikipedia.org/wiki/Brown_v._Board_of_Education","volume":"347","issued":{"date-parts":[["1954"]]}}},{"id":5950,"uris":["http://zotero.org/groups/2733877/items/6LBMFEL8"],"uri":["http://zotero.org/groups/2733877/items/6LBMFEL8"],"itemData":{"id":5950,"type":"legal_case","container-title":"US","page":"581","title":"Olmstead v LC","URL":"https://en.wikipedia.org/wiki/Olmstead_v._L.C.","volume":"527","issued":{"date-parts":[["1999"]]}}}],"schema":"https://github.com/citation-style-language/schema/raw/master/csl-citation.json"} </w:instrText>
      </w:r>
      <w:r w:rsidRPr="003F3D6D">
        <w:rPr>
          <w:rFonts w:cstheme="minorHAnsi"/>
        </w:rPr>
        <w:fldChar w:fldCharType="separate"/>
      </w:r>
      <w:r w:rsidRPr="003F3D6D">
        <w:rPr>
          <w:rFonts w:cstheme="minorHAnsi"/>
        </w:rPr>
        <w:t xml:space="preserve">UN Committee on Economic, Social and Cultural Rights, </w:t>
      </w:r>
      <w:r w:rsidRPr="003F3D6D">
        <w:rPr>
          <w:rFonts w:cstheme="minorHAnsi"/>
          <w:i/>
          <w:iCs/>
        </w:rPr>
        <w:t>General Comment No. 5: Persons with Disabilities</w:t>
      </w:r>
      <w:r w:rsidRPr="003F3D6D">
        <w:rPr>
          <w:rFonts w:cstheme="minorHAnsi"/>
        </w:rPr>
        <w:t xml:space="preserve"> (E/1995/22, United Nations, 9 December 1994) 5 &lt;https://www.refworld.org/docid/4538838f0.html&gt; (‘</w:t>
      </w:r>
      <w:r w:rsidRPr="003F3D6D">
        <w:rPr>
          <w:rFonts w:cstheme="minorHAnsi"/>
          <w:i/>
          <w:iCs/>
        </w:rPr>
        <w:t>Refworld | General Comment No. 5</w:t>
      </w:r>
      <w:r w:rsidRPr="003F3D6D">
        <w:rPr>
          <w:rFonts w:cstheme="minorHAnsi"/>
        </w:rPr>
        <w:t xml:space="preserve">’); </w:t>
      </w:r>
      <w:r w:rsidRPr="003F3D6D">
        <w:rPr>
          <w:rFonts w:cstheme="minorHAnsi"/>
          <w:i/>
          <w:iCs/>
        </w:rPr>
        <w:t>Brown v Board of Education of Topeka</w:t>
      </w:r>
      <w:r w:rsidRPr="003F3D6D">
        <w:rPr>
          <w:rFonts w:cstheme="minorHAnsi"/>
        </w:rPr>
        <w:t xml:space="preserve"> (1954) 347 US 483; </w:t>
      </w:r>
      <w:r w:rsidRPr="003F3D6D">
        <w:rPr>
          <w:rFonts w:cstheme="minorHAnsi"/>
          <w:i/>
          <w:iCs/>
        </w:rPr>
        <w:t>Olmstead v LC</w:t>
      </w:r>
      <w:r w:rsidRPr="003F3D6D">
        <w:rPr>
          <w:rFonts w:cstheme="minorHAnsi"/>
        </w:rPr>
        <w:t xml:space="preserve"> (1999) 527 US 581.</w:t>
      </w:r>
      <w:r w:rsidRPr="003F3D6D">
        <w:rPr>
          <w:rFonts w:cstheme="minorHAnsi"/>
        </w:rPr>
        <w:fldChar w:fldCharType="end"/>
      </w:r>
    </w:p>
  </w:endnote>
  <w:endnote w:id="331">
    <w:p w14:paraId="19C552B4" w14:textId="04E789CB"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{"citationID":"cWoCeW3L","properties":{"formattedCitation":"Linda Steele et al, \\uc0\\u8216{}Ending Confinement and Segregation: Barriers to Realising Human Rights in the Everyday Lives of People Living with Dementia in Residential Aged Care\\uc0\\u8217{} [2020] {\\i{}Australian Journal of Human Rights} 1; ibid; Linda Steele et al, \\uc0\\u8216{}Questioning Segregation of People Living with Dementia in Australia: An International Human Rights Approach to Care Homes\\uc0\\u8217{} (2019) 8(3) {\\i{}Laws} 18.","plainCitation":"Linda Steele et al, ‘Ending Confinement and Segregation: Barriers to Realising Human Rights in the Everyday Lives of People Living with Dementia in Residential Aged Care’ [2020] Australian Journal of Human Rights 1; ibid; Linda Steele et al, ‘Questioning Segregation of People Living with Dementia in Australia: An International Human Rights Approach to Care Homes’ (2019) 8(3) Laws 18.","noteIndex":331},"citationItems":[{"id":6218,"uris":["http://zotero.org/groups/2733877/items/RNAX82UR"],"uri":["http://zotero.org/groups/2733877/items/RNAX82UR"],"itemData":{"id":6218,"type":"article-journal","container-title":"Australian Journal of Human Rights","DOI":"10.1080/1323238X.2020.1773671","ISSN":"1323-238X, 2573-573X","journalAbbreviation":"Australian Journal of Human Rights","language":"en","page":"1-21","source":"DOI.org (Crossref)","title":"Ending confinement and segregation: barriers to realising human rights in the everyday lives of people living with dementia in residential aged care","author":[{"family":"Steele","given":"Linda"},{"family":"Swaffer","given":"Kate"},{"family":"Carr","given":"Ray"},{"family":"Phillipson","given":"Lyn"},{"family":"Fleming","given":"Richard"}],"issued":{"date-parts":[["2020",6,25]]}}},{"id":6218,"uris":["http://zotero.org/groups/2733877/items/RNAX82UR"],"uri":["http://zotero.org/groups/2733877/items/RNAX82UR"],"itemData":{"id":6218,"type":"article-journal","container-title":"Australian Journal of Human Rights","DOI":"10.1080/1323238X.2020.1773671","ISSN":"1323-238X, 2573-573X","journalAbbreviation":"Australian Journal of Human Rights","language":"en","page":"1-21","source":"DOI.org (Crossref)","title":"Ending confinement and segregation: barriers to realising human rights in the everyday lives of people living with dementia in residential aged care","author":[{"family":"Steele","given":"Linda"},{"family":"Swaffer","given":"Kate"},{"family":"Carr","given":"Ray"},{"family":"Phillipson","given":"Lyn"},{"family":"Fleming","given":"Richard"}],"issued":{"date-parts":[["2020",6,25]]}}},{"id":6217,"uris":["http://zotero.org/groups/2733877/items/E6IP8LFQ"],"uri":["http://zotero.org/groups/2733877/items/E6IP8LFQ"],"itemData":{"id":6217,"type":"article-journal","abstract":"This article explores how care homes&amp;mdash;and, specifically, their common features such as dementia care units and locked doors and gates&amp;mdash;impact on the human rights of people living with dementia. We suggest that congregation, separation and confinement of people living with dementia by the care home built environment constitute &amp;lsquo;segregation&amp;rsquo;. In the specific context of residential aged care facilities in Australia, we draw on the United Nations Convention on the Rights of Persons with Disabilities (&amp;lsquo;CRPD&amp;rsquo;) to frame this segregation as an injustice. We focus on the rights to non-discrimination (Article 5), liberty and security of the person (Article 14), equality before the law (Article 12), accessibility (Article 9), and independent living and community inclusion (Article 19). Our analysis shows that addressing segregation must involve structural and resource reforms that are transformative in bringing about new ways of living and relating to each other. Such reforms are directed towards providing meaningful alternatives and appropriate supports to make choices from a range of alternative residency and support options, and building communities that are free from ableism, ageism and other systems of oppression that contribute to confinement and segregation.","container-title":"Laws","DOI":"10.3390/laws8030018","issue":"3","language":"en","note":"number: 3\npublisher: Multidisciplinary Digital Publishing Institute","page":"18","source":"www.mdpi.com","title":"Questioning Segregation of People Living with Dementia in Australia: An International Human Rights Approach to Care Homes","volume":"8","author":[{"family":"Steele","given":"Linda"},{"family":"Swaffer","given":"Kate"},{"family":"Phillipson","given":"Lyn"},{"family":"Fleming","given":"Richard"}],"issued":{"date-parts":[["2019",9]]}}}],"schema":"https://github.com/citation-style-language/schema/raw/master/csl-citation.json"} </w:instrText>
      </w:r>
      <w:r w:rsidRPr="003F3D6D">
        <w:rPr>
          <w:rFonts w:cstheme="minorHAnsi"/>
        </w:rPr>
        <w:fldChar w:fldCharType="separate"/>
      </w:r>
      <w:r w:rsidRPr="00074750">
        <w:rPr>
          <w:rFonts w:ascii="Calibri" w:hAnsi="Calibri" w:cs="Calibri"/>
          <w:szCs w:val="24"/>
        </w:rPr>
        <w:t xml:space="preserve">Linda Steele et al, ‘Ending Confinement and Segregation: Barriers to Realising Human Rights in the Everyday Lives of People Living with Dementia in Residential Aged Care’ [2020] </w:t>
      </w:r>
      <w:r w:rsidRPr="00074750">
        <w:rPr>
          <w:rFonts w:ascii="Calibri" w:hAnsi="Calibri" w:cs="Calibri"/>
          <w:i/>
          <w:iCs/>
          <w:szCs w:val="24"/>
        </w:rPr>
        <w:t>Australian Journal of Human Rights</w:t>
      </w:r>
      <w:r w:rsidRPr="00074750">
        <w:rPr>
          <w:rFonts w:ascii="Calibri" w:hAnsi="Calibri" w:cs="Calibri"/>
          <w:szCs w:val="24"/>
        </w:rPr>
        <w:t xml:space="preserve"> 1; ibid; Linda Steele et al, ‘Questioning Segregation of People Living with Dementia in Australia: An International Human Rights Approach to Care Homes’ (2019) 8(3) </w:t>
      </w:r>
      <w:r w:rsidRPr="00074750">
        <w:rPr>
          <w:rFonts w:ascii="Calibri" w:hAnsi="Calibri" w:cs="Calibri"/>
          <w:i/>
          <w:iCs/>
          <w:szCs w:val="24"/>
        </w:rPr>
        <w:t>Laws</w:t>
      </w:r>
      <w:r w:rsidRPr="00074750">
        <w:rPr>
          <w:rFonts w:ascii="Calibri" w:hAnsi="Calibri" w:cs="Calibri"/>
          <w:szCs w:val="24"/>
        </w:rPr>
        <w:t xml:space="preserve"> 18.</w:t>
      </w:r>
      <w:r w:rsidRPr="003F3D6D">
        <w:rPr>
          <w:rFonts w:cstheme="minorHAnsi"/>
        </w:rPr>
        <w:fldChar w:fldCharType="end"/>
      </w:r>
    </w:p>
  </w:endnote>
  <w:endnote w:id="332">
    <w:p w14:paraId="42028A6C" w14:textId="3C7DD4CA" w:rsidR="00A00236" w:rsidRPr="003F3D6D" w:rsidRDefault="00A00236" w:rsidP="00C17576">
      <w:pPr>
        <w:pStyle w:val="EndnoteText"/>
        <w:rPr>
          <w:rFonts w:cstheme="minorHAnsi"/>
          <w:lang w:val="en-AU"/>
        </w:rPr>
      </w:pPr>
      <w:r w:rsidRPr="007E2F88">
        <w:rPr>
          <w:rStyle w:val="EndnoteReference"/>
          <w:rFonts w:cstheme="minorHAnsi"/>
        </w:rPr>
        <w:endnoteRef/>
      </w:r>
      <w:r w:rsidRPr="007E2F88">
        <w:rPr>
          <w:rFonts w:cstheme="minorHAnsi"/>
        </w:rPr>
        <w:t xml:space="preserve"> </w:t>
      </w:r>
      <w:r w:rsidRPr="007E2F88">
        <w:rPr>
          <w:rFonts w:cstheme="minorHAnsi"/>
        </w:rPr>
        <w:fldChar w:fldCharType="begin"/>
      </w:r>
      <w:r w:rsidR="004849F5">
        <w:rPr>
          <w:rFonts w:cstheme="minorHAnsi"/>
        </w:rPr>
        <w:instrText xml:space="preserve"> ADDIN ZOTERO_ITEM CSL_CITATION {"citationID":"scEg7ujE","properties":{"formattedCitation":"Steele, {\\i{}Disability, Criminal Justice and Law Reconsidering Court Diversion} (n 193) 2.","plainCitation":"Steele, Disability, Criminal Justice and Law Reconsidering Court Diversion (n 193) 2.","noteIndex":332},"citationItems":[{"id":5948,"uris":["http://zotero.org/groups/2733877/items/GXS7S9UM"],"uri":["http://zotero.org/groups/2733877/items/GXS7S9UM"],"itemData":{"id":5948,"type":"book","event-place":"Abingdon","publisher":"Routledge","publisher-place":"Abingdon","title":"Disability, Criminal Justice and Law Reconsidering Court Diversion","URL":"https://www.routledge.com/Disability-Criminal-Justice-and-Law-Reconsidering-Court-Diversion/Steele/p/book/9780815375265","author":[{"family":"Steele","given":"Linda"}],"issued":{"date-parts":[["2020"]]}},"locator":"2","label":"chapter"}],"schema":"https://github.com/citation-style-language/schema/raw/master/csl-citation.json"} </w:instrText>
      </w:r>
      <w:r w:rsidRPr="007E2F88">
        <w:rPr>
          <w:rFonts w:cstheme="minorHAnsi"/>
        </w:rPr>
        <w:fldChar w:fldCharType="separate"/>
      </w:r>
      <w:r w:rsidRPr="00DE38DB">
        <w:rPr>
          <w:rFonts w:ascii="Calibri" w:hAnsi="Calibri" w:cs="Calibri"/>
          <w:szCs w:val="24"/>
        </w:rPr>
        <w:t xml:space="preserve">Steele, </w:t>
      </w:r>
      <w:r w:rsidRPr="00DE38DB">
        <w:rPr>
          <w:rFonts w:ascii="Calibri" w:hAnsi="Calibri" w:cs="Calibri"/>
          <w:i/>
          <w:iCs/>
          <w:szCs w:val="24"/>
        </w:rPr>
        <w:t>Disability, Criminal Justice and Law Reconsidering Court Diversion</w:t>
      </w:r>
      <w:r w:rsidRPr="00DE38DB">
        <w:rPr>
          <w:rFonts w:ascii="Calibri" w:hAnsi="Calibri" w:cs="Calibri"/>
          <w:szCs w:val="24"/>
        </w:rPr>
        <w:t xml:space="preserve"> (n 193) 2.</w:t>
      </w:r>
      <w:r w:rsidRPr="007E2F88">
        <w:rPr>
          <w:rFonts w:cstheme="minorHAnsi"/>
        </w:rPr>
        <w:fldChar w:fldCharType="end"/>
      </w:r>
    </w:p>
  </w:endnote>
  <w:endnote w:id="333">
    <w:p w14:paraId="76853290" w14:textId="3E8C3E2D"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{"citationID":"7wBFeRJD","properties":{"formattedCitation":"Steele, \\uc0\\u8216{}Court Authorised Sterilisation and Human Rights: Inequality, Discrimination and Violence Against Women and Girls with Disability\\uc0\\u8217{} (n 7).","plainCitation":"Steele, ‘Court Authorised Sterilisation and Human Rights: Inequality, Discrimination and Violence Against Women and Girls with Disability’ (n 7).","noteIndex":333},"citationItems":[{"id":6210,"uris":["http://zotero.org/groups/2733877/items/TA4K5I9T"],"uri":["http://zotero.org/groups/2733877/items/TA4K5I9T"],"itemData":{"id":6210,"type":"article-journal","container-title":"UNSW Law Journal","issue":"3","language":"en","page":"1002-1037","source":"Zotero","title":"Court Authorised Sterilisation and Human Rights: Inequality, Discrimination and Violence Against Women and Girls with Disability","volume":"39","author":[{"family":"Steele","given":"Linda"}],"issued":{"date-parts":[["2016"]]}}}],"schema":"https://github.com/citation-style-language/schema/raw/master/csl-citation.json"} </w:instrText>
      </w:r>
      <w:r w:rsidRPr="003F3D6D">
        <w:rPr>
          <w:rFonts w:cstheme="minorHAnsi"/>
        </w:rPr>
        <w:fldChar w:fldCharType="separate"/>
      </w:r>
      <w:r w:rsidRPr="003509C3">
        <w:rPr>
          <w:rFonts w:ascii="Calibri" w:hAnsi="Calibri" w:cs="Calibri"/>
          <w:szCs w:val="24"/>
        </w:rPr>
        <w:t>Steele, ‘Court Authorised Sterilisation and Human Rights: Inequality, Discrimination and Violence Against Women and Girls with Disability’ (n 7).</w:t>
      </w:r>
      <w:r w:rsidRPr="003F3D6D">
        <w:rPr>
          <w:rFonts w:cstheme="minorHAnsi"/>
        </w:rPr>
        <w:fldChar w:fldCharType="end"/>
      </w:r>
    </w:p>
  </w:endnote>
  <w:endnote w:id="334">
    <w:p w14:paraId="1B9D9AE8" w14:textId="77777777" w:rsidR="00A00236" w:rsidRPr="00035342" w:rsidRDefault="00A00236" w:rsidP="000D233F">
      <w:pPr>
        <w:pStyle w:val="EndnoteText"/>
        <w:rPr>
          <w:lang w:val="en-AU"/>
        </w:rPr>
      </w:pPr>
      <w:r>
        <w:rPr>
          <w:rStyle w:val="EndnoteReference"/>
        </w:rPr>
        <w:endnoteRef/>
      </w:r>
      <w:r>
        <w:t xml:space="preserve"> </w:t>
      </w:r>
      <w:r>
        <w:rPr>
          <w:lang w:val="en-AU"/>
        </w:rPr>
        <w:t>Royal Commission Interim Report, p.xi</w:t>
      </w:r>
    </w:p>
  </w:endnote>
  <w:endnote w:id="335">
    <w:p w14:paraId="6EF1BCA4" w14:textId="75AF01D6"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Pr>
          <w:rFonts w:cstheme="minorHAnsi"/>
        </w:rPr>
        <w:fldChar w:fldCharType="begin"/>
      </w:r>
      <w:r w:rsidR="004849F5">
        <w:rPr>
          <w:rFonts w:cstheme="minorHAnsi"/>
        </w:rPr>
        <w:instrText xml:space="preserve"> ADDIN ZOTERO_ITEM CSL_CITATION {"citationID":"x3DDpv3X","properties":{"formattedCitation":"Steele, {\\i{}Disability, Criminal Justice and Law Reconsidering Court Diversion} (n 193) 46, 198.","plainCitation":"Steele, Disability, Criminal Justice and Law Reconsidering Court Diversion (n 193) 46, 198.","noteIndex":335},"citationItems":[{"id":5948,"uris":["http://zotero.org/groups/2733877/items/GXS7S9UM"],"uri":["http://zotero.org/groups/2733877/items/GXS7S9UM"],"itemData":{"id":5948,"type":"book","event-place":"Abingdon","publisher":"Routledge","publisher-place":"Abingdon","title":"Disability, Criminal Justice and Law Reconsidering Court Diversion","URL":"https://www.routledge.com/Disability-Criminal-Justice-and-Law-Reconsidering-Court-Diversion/Steele/p/book/9780815375265","author":[{"family":"Steele","given":"Linda"}],"issued":{"date-parts":[["2020"]]}},"locator":"46, 198"}],"schema":"https://github.com/citation-style-language/schema/raw/master/csl-citation.json"} </w:instrText>
      </w:r>
      <w:r>
        <w:rPr>
          <w:rFonts w:cstheme="minorHAnsi"/>
        </w:rPr>
        <w:fldChar w:fldCharType="separate"/>
      </w:r>
      <w:r w:rsidRPr="00DE38DB">
        <w:rPr>
          <w:rFonts w:ascii="Calibri" w:hAnsi="Calibri" w:cs="Calibri"/>
          <w:szCs w:val="24"/>
        </w:rPr>
        <w:t xml:space="preserve">Steele, </w:t>
      </w:r>
      <w:r w:rsidRPr="00DE38DB">
        <w:rPr>
          <w:rFonts w:ascii="Calibri" w:hAnsi="Calibri" w:cs="Calibri"/>
          <w:i/>
          <w:iCs/>
          <w:szCs w:val="24"/>
        </w:rPr>
        <w:t>Disability, Criminal Justice and Law Reconsidering Court Diversion</w:t>
      </w:r>
      <w:r w:rsidRPr="00DE38DB">
        <w:rPr>
          <w:rFonts w:ascii="Calibri" w:hAnsi="Calibri" w:cs="Calibri"/>
          <w:szCs w:val="24"/>
        </w:rPr>
        <w:t xml:space="preserve"> (n 193) 46, 198.</w:t>
      </w:r>
      <w:r>
        <w:rPr>
          <w:rFonts w:cstheme="minorHAnsi"/>
        </w:rPr>
        <w:fldChar w:fldCharType="end"/>
      </w:r>
    </w:p>
  </w:endnote>
  <w:endnote w:id="336">
    <w:p w14:paraId="1EA4F2C3" w14:textId="29F8D14A"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{"citationID":"ibLwoYut","properties":{"formattedCitation":"Royal Commission into Violence, Abuse, Neglect and Exploitation of People with Disability, \\uc0\\u8216{}Restrictive Practices Issues Paper\\uc0\\u8217{} (n 3) 2.","plainCitation":"Royal Commission into Violence, Abuse, Neglect and Exploitation of People with Disability, ‘Restrictive Practices Issues Paper’ (n 3) 2.","noteIndex":336},"citationItems":[{"id":6209,"uris":["http://zotero.org/groups/2733877/items/TGUJIQJE"],"uri":["http://zotero.org/groups/2733877/items/TGUJIQJE"],"itemData":{"id":6209,"type":"report","language":"en","page":"1-14","source":"Zotero","title":"Restrictive Practices Issues Paper","author":[{"family":"Royal Commission into Violence, Abuse, Neglect and Exploitation of People with Disability","given":""}],"issued":{"date-parts":[["2020",5,26]]}},"locator":"2"}],"schema":"https://github.com/citation-style-language/schema/raw/master/csl-citation.json"} </w:instrText>
      </w:r>
      <w:r w:rsidRPr="003F3D6D">
        <w:rPr>
          <w:rFonts w:cstheme="minorHAnsi"/>
        </w:rPr>
        <w:fldChar w:fldCharType="separate"/>
      </w:r>
      <w:r w:rsidRPr="003509C3">
        <w:rPr>
          <w:rFonts w:ascii="Calibri" w:hAnsi="Calibri" w:cs="Calibri"/>
          <w:szCs w:val="24"/>
        </w:rPr>
        <w:t>Royal Commission into Violence, Abuse, Neglect and Exploitation of People with Disability, ‘Restrictive Practices Issues Paper’ (n 3) 2.</w:t>
      </w:r>
      <w:r w:rsidRPr="003F3D6D">
        <w:rPr>
          <w:rFonts w:cstheme="minorHAnsi"/>
        </w:rPr>
        <w:fldChar w:fldCharType="end"/>
      </w:r>
    </w:p>
  </w:endnote>
  <w:endnote w:id="337">
    <w:p w14:paraId="3901F689" w14:textId="116DF642"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{"citationID":"cp5nQVz0","properties":{"formattedCitation":"Bernadette McSherry and Yvette Maker, \\uc0\\u8216{}Restrictive Practices: Options and Opportunities\\uc0\\u8217{} in Bernadette McSherry and Yvette Maker (eds), {\\i{}Restrictive Practices in Health Care and Disability Settings: Legal, Policy and Practical Responses} (Taylor &amp; Francis Group, 2020) 3, 3.","plainCitation":"Bernadette McSherry and Yvette Maker, ‘Restrictive Practices: Options and Opportunities’ in Bernadette McSherry and Yvette Maker (eds), Restrictive Practices in Health Care and Disability Settings: Legal, Policy and Practical Responses (Taylor &amp; Francis Group, 2020) 3, 3.","noteIndex":337},"citationItems":[{"id":5944,"uris":["http://zotero.org/groups/2733877/items/ZQ9BNLJ5"],"uri":["http://zotero.org/groups/2733877/items/ZQ9BNLJ5"],"itemData":{"id":5944,"type":"chapter","container-title":"Restrictive Practices in Health Care and Disability Settings: Legal, Policy and Practical Responses","event-place":"London","page":"3","publisher":"Taylor &amp; Francis Group","publisher-place":"London","title":"Restrictive Practices: Options and Opportunities","author":[{"family":"McSherry","given":"Bernadette"},{"family":"Maker","given":"Yvette"}],"editor":[{"family":"McSherry","given":"Bernadette"},{"family":"Maker","given":"Yvette"}],"issued":{"date-parts":[["2020"]]}},"locator":"3"}],"schema":"https://github.com/citation-style-language/schema/raw/master/csl-citation.json"} </w:instrText>
      </w:r>
      <w:r w:rsidRPr="003F3D6D">
        <w:rPr>
          <w:rFonts w:cstheme="minorHAnsi"/>
        </w:rPr>
        <w:fldChar w:fldCharType="separate"/>
      </w:r>
      <w:r w:rsidRPr="003F3D6D">
        <w:rPr>
          <w:rFonts w:cstheme="minorHAnsi"/>
        </w:rPr>
        <w:t xml:space="preserve">Bernadette McSherry and Yvette Maker, ‘Restrictive Practices: Options and Opportunities’ in Bernadette McSherry and Yvette Maker (eds), </w:t>
      </w:r>
      <w:r w:rsidRPr="003F3D6D">
        <w:rPr>
          <w:rFonts w:cstheme="minorHAnsi"/>
          <w:i/>
          <w:iCs/>
        </w:rPr>
        <w:t>Restrictive Practices in Health Care and Disability Settings: Legal, Policy and Practical Responses</w:t>
      </w:r>
      <w:r w:rsidRPr="003F3D6D">
        <w:rPr>
          <w:rFonts w:cstheme="minorHAnsi"/>
        </w:rPr>
        <w:t xml:space="preserve"> (Taylor &amp; Francis Group, 2020) 3, 3.</w:t>
      </w:r>
      <w:r w:rsidRPr="003F3D6D">
        <w:rPr>
          <w:rFonts w:cstheme="minorHAnsi"/>
        </w:rPr>
        <w:fldChar w:fldCharType="end"/>
      </w:r>
    </w:p>
  </w:endnote>
  <w:endnote w:id="338">
    <w:p w14:paraId="1B5BBB7D" w14:textId="1EF72745"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{"citationID":"qVoT0t3X","properties":{"formattedCitation":"Steele and Goldblatt (n 203).","plainCitation":"Steele and Goldblatt (n 203).","noteIndex":338},"citationItems":[{"id":6174,"uris":["http://zotero.org/groups/2733877/items/45EDFJCY"],"uri":["http://zotero.org/groups/2733877/items/45EDFJCY"],"itemData":{"id":6174,"type":"chapter","container-title":"The Palgrave Handbook of Critical Menstruation Studies","page":"77","publisher":"Palgrave Macmillan","title":"The human rights of women and girls with disabilities: sterilisation and other coercive responses to menstruation","author":[{"family":"Steele","given":"Linda"},{"family":"Goldblatt","given":"Beth"}],"editor":[{"family":"Bobel","given":"Chris"},{"family":"Winkler","given":"Inga T"},{"family":"Fahs","given":"Breanne"},{"family":"Hasson","given":"Katie A"},{"family":"Kissling","given":"Elizabeth Arveda"},{"family":"Roberts","given":"Tomi-Ann"}],"issued":{"date-parts":[["2020"]]}}}],"schema":"https://github.com/citation-style-language/schema/raw/master/csl-citation.json"} </w:instrText>
      </w:r>
      <w:r w:rsidRPr="003F3D6D">
        <w:rPr>
          <w:rFonts w:cstheme="minorHAnsi"/>
        </w:rPr>
        <w:fldChar w:fldCharType="separate"/>
      </w:r>
      <w:r w:rsidRPr="00A43287">
        <w:rPr>
          <w:rFonts w:ascii="Calibri" w:hAnsi="Calibri" w:cs="Calibri"/>
        </w:rPr>
        <w:t>Steele and Goldblatt (n 203).</w:t>
      </w:r>
      <w:r w:rsidRPr="003F3D6D">
        <w:rPr>
          <w:rFonts w:cstheme="minorHAnsi"/>
        </w:rPr>
        <w:fldChar w:fldCharType="end"/>
      </w:r>
    </w:p>
  </w:endnote>
  <w:endnote w:id="339">
    <w:p w14:paraId="29347C75" w14:textId="59FF60EF"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{"citationID":"sosgymF0","properties":{"formattedCitation":"Theresia Degener, \\uc0\\u8216{}Disability in a Human Rights Context\\uc0\\u8217{} (2016) 5(3) {\\i{}Laws} 35.","plainCitation":"Theresia Degener, ‘Disability in a Human Rights Context’ (2016) 5(3) Laws 35.","noteIndex":339},"citationItems":[{"id":5943,"uris":["http://zotero.org/groups/2733877/items/9YRZW2QQ"],"uri":["http://zotero.org/groups/2733877/items/9YRZW2QQ"],"itemData":{"id":5943,"type":"article-journal","abstract":"The Convention on the Rights of Persons with Disabilities (CRPD) is a modern human rights treaty with innovative components. It impacts on disability studies as well as human rights law. Two innovations are scrutinized in this article: the model of disability and the equality and discrimination concepts of the CRPD. It is argued that the CRPD manifests a shift from the medical model to the human rights model of disability. Six propositions are offered why and how the human rights model differs from the social model of disability. It is further maintained that the CRPD introduces a new definition of discrimination into international public law. The underlying equality concept can be categorized as transformative equality with both individual and group oriented components. The applied methodology of this research is legal doctrinal analysis and disability studies model analysis. The main finding is that the human rights model of disability improves the social model of disability. Three different models of disability can be attributed to different concepts of equality. The medical model corresponds with formal equality, while the social model with substantive equality and the human rights model can be linked with transformative equality.","container-title":"Laws","DOI":"10.3390/laws5030035","issue":"3","language":"en","note":"number: 3\npublisher: Multidisciplinary Digital Publishing Institute","page":"35","source":"www.mdpi.com","title":"Disability in a Human Rights Context","volume":"5","author":[{"family":"Degener","given":"Theresia"}],"issued":{"date-parts":[["2016",9]]}}}],"schema":"https://github.com/citation-style-language/schema/raw/master/csl-citation.json"} </w:instrText>
      </w:r>
      <w:r w:rsidRPr="003F3D6D">
        <w:rPr>
          <w:rFonts w:cstheme="minorHAnsi"/>
        </w:rPr>
        <w:fldChar w:fldCharType="separate"/>
      </w:r>
      <w:r w:rsidRPr="003F3D6D">
        <w:rPr>
          <w:rFonts w:cstheme="minorHAnsi"/>
        </w:rPr>
        <w:t xml:space="preserve">Theresia Degener, ‘Disability in a Human Rights Context’ (2016) 5(3) </w:t>
      </w:r>
      <w:r w:rsidRPr="003F3D6D">
        <w:rPr>
          <w:rFonts w:cstheme="minorHAnsi"/>
          <w:i/>
          <w:iCs/>
        </w:rPr>
        <w:t>Laws</w:t>
      </w:r>
      <w:r w:rsidRPr="003F3D6D">
        <w:rPr>
          <w:rFonts w:cstheme="minorHAnsi"/>
        </w:rPr>
        <w:t xml:space="preserve"> 35.</w:t>
      </w:r>
      <w:r w:rsidRPr="003F3D6D">
        <w:rPr>
          <w:rFonts w:cstheme="minorHAnsi"/>
        </w:rPr>
        <w:fldChar w:fldCharType="end"/>
      </w:r>
    </w:p>
  </w:endnote>
  <w:endnote w:id="340">
    <w:p w14:paraId="5D976A5F" w14:textId="4687F27C"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{"citationID":"oSTrqoyX","properties":{"formattedCitation":"Committee on the Rights of Persons with Disabilities, {\\i{}General Comment No. 6 on Equality and Non-Discrimination} (CRPD/C/GC/6, United Nations, 26 April 2018) 2[9] &lt;https://tbinternet.ohchr.org/_layouts/15/treatybodyexternal/Download.aspx?symbolno=CRPD/C/GC/6&amp;Lang=en&gt;.","plainCitation":"Committee on the Rights of Persons with Disabilities, General Comment No. 6 on Equality and Non-Discrimination (CRPD/C/GC/6, United Nations, 26 April 2018) 2[9] &lt;https://tbinternet.ohchr.org/_layouts/15/treatybodyexternal/Download.aspx?symbolno=CRPD/C/GC/6&amp;Lang=en&gt;.","noteIndex":340},"citationItems":[{"id":5942,"uris":["http://zotero.org/groups/2733877/items/RCJUU6ZB"],"uri":["http://zotero.org/groups/2733877/items/RCJUU6ZB"],"itemData":{"id":5942,"type":"report","genre":"CRPD/C/GC/6","publisher":"United Nations","title":"General Comment No. 6 on equality and non-discrimination","URL":"https://tbinternet.ohchr.org/_layouts/15/treatybodyexternal/Download.aspx?symbolno=CRPD/C/GC/6&amp;Lang=en","author":[{"family":"Committee on the Rights of Persons with Disabilities","given":""}],"issued":{"date-parts":[["2018",4,26]]}},"locator":"2[9]"}],"schema":"https://github.com/citation-style-language/schema/raw/master/csl-citation.json"} </w:instrText>
      </w:r>
      <w:r w:rsidRPr="003F3D6D">
        <w:rPr>
          <w:rFonts w:cstheme="minorHAnsi"/>
        </w:rPr>
        <w:fldChar w:fldCharType="separate"/>
      </w:r>
      <w:r w:rsidRPr="003F3D6D">
        <w:rPr>
          <w:rFonts w:cstheme="minorHAnsi"/>
        </w:rPr>
        <w:t xml:space="preserve">Committee on the Rights of Persons with Disabilities, </w:t>
      </w:r>
      <w:r w:rsidRPr="003F3D6D">
        <w:rPr>
          <w:rFonts w:cstheme="minorHAnsi"/>
          <w:i/>
          <w:iCs/>
        </w:rPr>
        <w:t>General Comment No. 6 on Equality and Non-Discrimination</w:t>
      </w:r>
      <w:r w:rsidRPr="003F3D6D">
        <w:rPr>
          <w:rFonts w:cstheme="minorHAnsi"/>
        </w:rPr>
        <w:t xml:space="preserve"> (CRPD/C/GC/6, United Nations, 26 April 2018) 2[9] &lt;https://tbinternet.ohchr.org/_layouts/15/treatybodyexternal/Download.aspx?symbolno=CRPD/C/GC/6&amp;Lang=en&gt;.</w:t>
      </w:r>
      <w:r w:rsidRPr="003F3D6D">
        <w:rPr>
          <w:rFonts w:cstheme="minorHAnsi"/>
        </w:rPr>
        <w:fldChar w:fldCharType="end"/>
      </w:r>
    </w:p>
  </w:endnote>
  <w:endnote w:id="341">
    <w:p w14:paraId="14D89E7F" w14:textId="7CF991B5"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{"citationID":"uKyhrLIy","properties":{"formattedCitation":"Degener (n 339).","plainCitation":"Degener (n 339).","noteIndex":341},"citationItems":[{"id":5943,"uris":["http://zotero.org/groups/2733877/items/9YRZW2QQ"],"uri":["http://zotero.org/groups/2733877/items/9YRZW2QQ"],"itemData":{"id":5943,"type":"article-journal","abstract":"The Convention on the Rights of Persons with Disabilities (CRPD) is a modern human rights treaty with innovative components. It impacts on disability studies as well as human rights law. Two innovations are scrutinized in this article: the model of disability and the equality and discrimination concepts of the CRPD. It is argued that the CRPD manifests a shift from the medical model to the human rights model of disability. Six propositions are offered why and how the human rights model differs from the social model of disability. It is further maintained that the CRPD introduces a new definition of discrimination into international public law. The underlying equality concept can be categorized as transformative equality with both individual and group oriented components. The applied methodology of this research is legal doctrinal analysis and disability studies model analysis. The main finding is that the human rights model of disability improves the social model of disability. Three different models of disability can be attributed to different concepts of equality. The medical model corresponds with formal equality, while the social model with substantive equality and the human rights model can be linked with transformative equality.","container-title":"Laws","DOI":"10.3390/laws5030035","issue":"3","language":"en","note":"number: 3\npublisher: Multidisciplinary Digital Publishing Institute","page":"35","source":"www.mdpi.com","title":"Disability in a Human Rights Context","volume":"5","author":[{"family":"Degener","given":"Theresia"}],"issued":{"date-parts":[["2016",9]]}}}],"schema":"https://github.com/citation-style-language/schema/raw/master/csl-citation.json"} </w:instrText>
      </w:r>
      <w:r w:rsidRPr="003F3D6D">
        <w:rPr>
          <w:rFonts w:cstheme="minorHAnsi"/>
        </w:rPr>
        <w:fldChar w:fldCharType="separate"/>
      </w:r>
      <w:r w:rsidR="004849F5" w:rsidRPr="004849F5">
        <w:rPr>
          <w:rFonts w:ascii="Calibri" w:hAnsi="Calibri" w:cs="Calibri"/>
        </w:rPr>
        <w:t>Degener (n 339).</w:t>
      </w:r>
      <w:r w:rsidRPr="003F3D6D">
        <w:rPr>
          <w:rFonts w:cstheme="minorHAnsi"/>
        </w:rPr>
        <w:fldChar w:fldCharType="end"/>
      </w:r>
    </w:p>
  </w:endnote>
  <w:endnote w:id="342">
    <w:p w14:paraId="55453BC3" w14:textId="2AAC346D"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IuGpaaIj","properties":{"formattedCitation":"Ibid.","plainCitation":"Ibid.","noteIndex":342},"citationItems":[{"id":5943,"uris":["http://zotero.org/groups/2733877/items/9YRZW2QQ"],"uri":["http://zotero.org/groups/2733877/items/9YRZW2QQ"],"itemData":{"id":5943,"type":"article-journal","abstract":"The Convention on the Rights of Persons with Disabilities (CRPD) is a modern human rights treaty with innovative components. It impacts on disability studies as well as human rights law. Two innovations are scrutinized in this article: the model of disability and the equality and discrimination concepts of the CRPD. It is argued that the CRPD manifests a shift from the medical model to the human rights model of disability. Six propositions are offered why and how the human rights model differs from the social model of disability. It is further maintained that the CRPD introduces a new definition of discrimination into international public law. The underlying equality concept can be categorized as transformative equality with both individual and group oriented components. The applied methodology of this research is legal doctrinal analysis and disability studies model analysis. The main finding is that the human rights model of disability improves the social model of disability. Three different models of disability can be attributed to different concepts of equality. The medical model corresponds with formal equality, while the social model with substantive equality and the human rights model can be linked with transformative equality.","container-title":"Laws","DOI":"10.3390/laws5030035","issue":"3","language":"en","note":"number: 3\npublisher: Multidisciplinary Digital Publishing Institute","page":"35","source":"www.mdpi.com","title":"Disability in a Human Rights Context","volume":"5","author":[{"family":"Degener","given":"Theresia"}],"issued":{"date-parts":[["2016",9]]}}}],"schema":"https://github.com/citation-style-language/schema/raw/master/csl-citation.json"}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343">
    <w:p w14:paraId="5C128892" w14:textId="76DFD495"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{"citationID":"xKx4KhaG","properties":{"formattedCitation":"{\\i{}Convention on the Rights of Persons with Disabilities [2008] ATS 12} (n 4) art 3.","plainCitation":"Convention on the Rights of Persons with Disabilities [2008] ATS 12 (n 4) art 3.","noteIndex":343},"citationItems":[{"id":6215,"uris":["http://zotero.org/groups/2733877/items/8UQDQLRW"],"uri":["http://zotero.org/groups/2733877/items/8UQDQLRW"],"itemData":{"id":6215,"type":"report","abstract":"Adopted without vote, 76th plenary meeting; Issued in GAOR, 61st sess., Suppl. no. 49. \n\"Annex: Convention on the Rights of Persons with Disabilities\": p. 2-29.","genre":"A/RES/61/106","language":"en","publisher":"United Nations","title":"Convention on the Rights of Persons with Disabilities [2008] ATS 12","URL":"https://www.refworld.org/docid/45f973632.html","accessed":{"date-parts":[["2021",2,1]]},"issued":{"date-parts":[["2007",1,24]]}},"locator":"art 3"}],"schema":"https://github.com/citation-style-language/schema/raw/master/csl-citation.json"} </w:instrText>
      </w:r>
      <w:r w:rsidRPr="003F3D6D">
        <w:rPr>
          <w:rFonts w:cstheme="minorHAnsi"/>
        </w:rPr>
        <w:fldChar w:fldCharType="separate"/>
      </w:r>
      <w:r w:rsidRPr="00C27B33">
        <w:rPr>
          <w:rFonts w:ascii="Calibri" w:hAnsi="Calibri" w:cs="Calibri"/>
          <w:i/>
          <w:iCs/>
          <w:szCs w:val="24"/>
        </w:rPr>
        <w:t>Convention on the Rights of Persons with Disabilities [2008] ATS 12</w:t>
      </w:r>
      <w:r w:rsidRPr="00C27B33">
        <w:rPr>
          <w:rFonts w:ascii="Calibri" w:hAnsi="Calibri" w:cs="Calibri"/>
          <w:szCs w:val="24"/>
        </w:rPr>
        <w:t xml:space="preserve"> (n 4) art 3.</w:t>
      </w:r>
      <w:r w:rsidRPr="003F3D6D">
        <w:rPr>
          <w:rFonts w:cstheme="minorHAnsi"/>
        </w:rPr>
        <w:fldChar w:fldCharType="end"/>
      </w:r>
    </w:p>
  </w:endnote>
  <w:endnote w:id="344">
    <w:p w14:paraId="4E0E35FC" w14:textId="01C40ECB"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{"citationID":"FJ1jBVUv","properties":{"formattedCitation":"Ibid art 5.","plainCitation":"Ibid art 5.","noteIndex":344},"citationItems":[{"id":6215,"uris":["http://zotero.org/groups/2733877/items/8UQDQLRW"],"uri":["http://zotero.org/groups/2733877/items/8UQDQLRW"],"itemData":{"id":6215,"type":"report","abstract":"Adopted without vote, 76th plenary meeting; Issued in GAOR, 61st sess., Suppl. no. 49. \n\"Annex: Convention on the Rights of Persons with Disabilities\": p. 2-29.","genre":"A/RES/61/106","language":"en","publisher":"United Nations","title":"Convention on the Rights of Persons with Disabilities [2008] ATS 12","URL":"https://www.refworld.org/docid/45f973632.html","accessed":{"date-parts":[["2021",2,1]]},"issued":{"date-parts":[["2007",1,24]]}},"locator":"art 5"}],"schema":"https://github.com/citation-style-language/schema/raw/master/csl-citation.json"} </w:instrText>
      </w:r>
      <w:r w:rsidRPr="003F3D6D">
        <w:rPr>
          <w:rFonts w:cstheme="minorHAnsi"/>
        </w:rPr>
        <w:fldChar w:fldCharType="separate"/>
      </w:r>
      <w:r w:rsidRPr="003F3D6D">
        <w:rPr>
          <w:rFonts w:cstheme="minorHAnsi"/>
          <w:noProof/>
        </w:rPr>
        <w:t>Ibid art 5.</w:t>
      </w:r>
      <w:r w:rsidRPr="003F3D6D">
        <w:rPr>
          <w:rFonts w:cstheme="minorHAnsi"/>
        </w:rPr>
        <w:fldChar w:fldCharType="end"/>
      </w:r>
    </w:p>
  </w:endnote>
  <w:endnote w:id="345">
    <w:p w14:paraId="1239E26F" w14:textId="7B68E705"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{"citationID":"LZZC4rFB","properties":{"formattedCitation":"Ibid art 2.","plainCitation":"Ibid art 2.","noteIndex":345},"citationItems":[{"id":6215,"uris":["http://zotero.org/groups/2733877/items/8UQDQLRW"],"uri":["http://zotero.org/groups/2733877/items/8UQDQLRW"],"itemData":{"id":6215,"type":"report","abstract":"Adopted without vote, 76th plenary meeting; Issued in GAOR, 61st sess., Suppl. no. 49. \n\"Annex: Convention on the Rights of Persons with Disabilities\": p. 2-29.","genre":"A/RES/61/106","language":"en","publisher":"United Nations","title":"Convention on the Rights of Persons with Disabilities [2008] ATS 12","URL":"https://www.refworld.org/docid/45f973632.html","accessed":{"date-parts":[["2021",2,1]]},"issued":{"date-parts":[["2007",1,24]]}},"locator":"art 2"}],"schema":"https://github.com/citation-style-language/schema/raw/master/csl-citation.json"} </w:instrText>
      </w:r>
      <w:r w:rsidRPr="003F3D6D">
        <w:rPr>
          <w:rFonts w:cstheme="minorHAnsi"/>
        </w:rPr>
        <w:fldChar w:fldCharType="separate"/>
      </w:r>
      <w:r w:rsidRPr="003F3D6D">
        <w:rPr>
          <w:rFonts w:cstheme="minorHAnsi"/>
          <w:noProof/>
        </w:rPr>
        <w:t>Ibid art 2.</w:t>
      </w:r>
      <w:r w:rsidRPr="003F3D6D">
        <w:rPr>
          <w:rFonts w:cstheme="minorHAnsi"/>
        </w:rPr>
        <w:fldChar w:fldCharType="end"/>
      </w:r>
    </w:p>
  </w:endnote>
  <w:endnote w:id="346">
    <w:p w14:paraId="51B086A7" w14:textId="56BD27AA"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{"citationID":"uUs8fnzp","properties":{"formattedCitation":"Committee on the Rights of Persons with Disabilities, \\uc0\\u8216{}General Comment No. 6 on Equality and Non-Discrimination\\uc0\\u8217{} (n 340) 6[21].","plainCitation":"Committee on the Rights of Persons with Disabilities, ‘General Comment No. 6 on Equality and Non-Discrimination’ (n 340) 6[21].","noteIndex":346},"citationItems":[{"id":5942,"uris":["http://zotero.org/groups/2733877/items/RCJUU6ZB"],"uri":["http://zotero.org/groups/2733877/items/RCJUU6ZB"],"itemData":{"id":5942,"type":"report","genre":"CRPD/C/GC/6","publisher":"United Nations","title":"General Comment No. 6 on equality and non-discrimination","URL":"https://tbinternet.ohchr.org/_layouts/15/treatybodyexternal/Download.aspx?symbolno=CRPD/C/GC/6&amp;Lang=en","author":[{"family":"Committee on the Rights of Persons with Disabilities","given":""}],"issued":{"date-parts":[["2018",4,26]]}},"locator":"6[21]"}],"schema":"https://github.com/citation-style-language/schema/raw/master/csl-citation.json"} </w:instrText>
      </w:r>
      <w:r w:rsidRPr="003F3D6D">
        <w:rPr>
          <w:rFonts w:cstheme="minorHAnsi"/>
        </w:rPr>
        <w:fldChar w:fldCharType="separate"/>
      </w:r>
      <w:r w:rsidR="004849F5" w:rsidRPr="004849F5">
        <w:rPr>
          <w:rFonts w:ascii="Calibri" w:hAnsi="Calibri" w:cs="Calibri"/>
          <w:szCs w:val="24"/>
        </w:rPr>
        <w:t>Committee on the Rights of Persons with Disabilities, ‘General Comment No. 6 on Equality and Non-Discrimination’ (n 340) 6[21].</w:t>
      </w:r>
      <w:r w:rsidRPr="003F3D6D">
        <w:rPr>
          <w:rFonts w:cstheme="minorHAnsi"/>
        </w:rPr>
        <w:fldChar w:fldCharType="end"/>
      </w:r>
    </w:p>
  </w:endnote>
  <w:endnote w:id="347">
    <w:p w14:paraId="7C2A95B2" w14:textId="5BCD3F66"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{"citationID":"XmtN1EOj","properties":{"formattedCitation":"Ibid 1[3].","plainCitation":"Ibid 1[3].","noteIndex":347},"citationItems":[{"id":5942,"uris":["http://zotero.org/groups/2733877/items/RCJUU6ZB"],"uri":["http://zotero.org/groups/2733877/items/RCJUU6ZB"],"itemData":{"id":5942,"type":"report","genre":"CRPD/C/GC/6","publisher":"United Nations","title":"General Comment No. 6 on equality and non-discrimination","URL":"https://tbinternet.ohchr.org/_layouts/15/treatybodyexternal/Download.aspx?symbolno=CRPD/C/GC/6&amp;Lang=en","author":[{"family":"Committee on the Rights of Persons with Disabilities","given":""}],"issued":{"date-parts":[["2018",4,26]]}},"locator":"1[3]"}],"schema":"https://github.com/citation-style-language/schema/raw/master/csl-citation.json"} </w:instrText>
      </w:r>
      <w:r w:rsidRPr="003F3D6D">
        <w:rPr>
          <w:rFonts w:cstheme="minorHAnsi"/>
        </w:rPr>
        <w:fldChar w:fldCharType="separate"/>
      </w:r>
      <w:r w:rsidRPr="003F3D6D">
        <w:rPr>
          <w:rFonts w:cstheme="minorHAnsi"/>
          <w:noProof/>
        </w:rPr>
        <w:t>Ibid 1[3].</w:t>
      </w:r>
      <w:r w:rsidRPr="003F3D6D">
        <w:rPr>
          <w:rFonts w:cstheme="minorHAnsi"/>
        </w:rPr>
        <w:fldChar w:fldCharType="end"/>
      </w:r>
    </w:p>
  </w:endnote>
  <w:endnote w:id="348">
    <w:p w14:paraId="08BDD67D" w14:textId="60FC707D"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{"citationID":"x6jgcFHj","properties":{"formattedCitation":"Office of the United Nations High Commissioner for Human Rights (n 195) 3[9].","plainCitation":"Office of the United Nations High Commissioner for Human Rights (n 195) 3[9].","noteIndex":348},"citationItems":[{"id":6125,"uris":["http://zotero.org/groups/2733877/items/MWBMBJXU"],"uri":["http://zotero.org/groups/2733877/items/MWBMBJXU"],"itemData":{"id":6125,"type":"report","genre":"A/HRC/43/41","publisher":"United Nations","title":"Report of the Special Rapporteur on the rights of persons with disabilities","URL":"https://www.ohchr.org/en/issues/disability/srdisabilities/pages/srdisabilitiesindex.aspx","author":[{"family":"Office of the United Nations High Commissioner for Human Rights","given":""}],"accessed":{"date-parts":[["2021",2,1]]},"issued":{"date-parts":[["2019",12,17]]}},"locator":"3[9]"}],"schema":"https://github.com/citation-style-language/schema/raw/master/csl-citation.json"} </w:instrText>
      </w:r>
      <w:r w:rsidRPr="003F3D6D">
        <w:rPr>
          <w:rFonts w:cstheme="minorHAnsi"/>
        </w:rPr>
        <w:fldChar w:fldCharType="separate"/>
      </w:r>
      <w:r w:rsidRPr="00A43287">
        <w:rPr>
          <w:rFonts w:ascii="Calibri" w:hAnsi="Calibri" w:cs="Calibri"/>
        </w:rPr>
        <w:t>Office of the United Nations High Commissioner for Human Rights (n 195) 3[9].</w:t>
      </w:r>
      <w:r w:rsidRPr="003F3D6D">
        <w:rPr>
          <w:rFonts w:cstheme="minorHAnsi"/>
        </w:rPr>
        <w:fldChar w:fldCharType="end"/>
      </w:r>
    </w:p>
  </w:endnote>
  <w:endnote w:id="349">
    <w:p w14:paraId="75DA2098" w14:textId="15A00620"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{"citationID":"uI24zAQZ","properties":{"formattedCitation":"Ibid 3[10].","plainCitation":"Ibid 3[10].","noteIndex":349},"citationItems":[{"id":6125,"uris":["http://zotero.org/groups/2733877/items/MWBMBJXU"],"uri":["http://zotero.org/groups/2733877/items/MWBMBJXU"],"itemData":{"id":6125,"type":"report","genre":"A/HRC/43/41","publisher":"United Nations","title":"Report of the Special Rapporteur on the rights of persons with disabilities","URL":"https://www.ohchr.org/en/issues/disability/srdisabilities/pages/srdisabilitiesindex.aspx","author":[{"family":"Office of the United Nations High Commissioner for Human Rights","given":""}],"accessed":{"date-parts":[["2021",2,1]]},"issued":{"date-parts":[["2019",12,17]]}},"locator":"3[10]"}],"schema":"https://github.com/citation-style-language/schema/raw/master/csl-citation.json"} </w:instrText>
      </w:r>
      <w:r w:rsidRPr="003F3D6D">
        <w:rPr>
          <w:rFonts w:cstheme="minorHAnsi"/>
        </w:rPr>
        <w:fldChar w:fldCharType="separate"/>
      </w:r>
      <w:r w:rsidRPr="003F3D6D">
        <w:rPr>
          <w:rFonts w:cstheme="minorHAnsi"/>
          <w:noProof/>
        </w:rPr>
        <w:t>Ibid 3[10].</w:t>
      </w:r>
      <w:r w:rsidRPr="003F3D6D">
        <w:rPr>
          <w:rFonts w:cstheme="minorHAnsi"/>
        </w:rPr>
        <w:fldChar w:fldCharType="end"/>
      </w:r>
    </w:p>
  </w:endnote>
  <w:endnote w:id="350">
    <w:p w14:paraId="4C216759" w14:textId="1036988D"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{"citationID":"52cc0neb","properties":{"formattedCitation":"Ibid 17[74].","plainCitation":"Ibid 17[74].","noteIndex":350},"citationItems":[{"id":6125,"uris":["http://zotero.org/groups/2733877/items/MWBMBJXU"],"uri":["http://zotero.org/groups/2733877/items/MWBMBJXU"],"itemData":{"id":6125,"type":"report","genre":"A/HRC/43/41","publisher":"United Nations","title":"Report of the Special Rapporteur on the rights of persons with disabilities","URL":"https://www.ohchr.org/en/issues/disability/srdisabilities/pages/srdisabilitiesindex.aspx","author":[{"family":"Office of the United Nations High Commissioner for Human Rights","given":""}],"accessed":{"date-parts":[["2021",2,1]]},"issued":{"date-parts":[["2019",12,17]]}},"locator":"17[74]"}],"schema":"https://github.com/citation-style-language/schema/raw/master/csl-citation.json"} </w:instrText>
      </w:r>
      <w:r w:rsidRPr="003F3D6D">
        <w:rPr>
          <w:rFonts w:cstheme="minorHAnsi"/>
        </w:rPr>
        <w:fldChar w:fldCharType="separate"/>
      </w:r>
      <w:r w:rsidRPr="003F3D6D">
        <w:rPr>
          <w:rFonts w:cstheme="minorHAnsi"/>
          <w:noProof/>
        </w:rPr>
        <w:t>Ibid 17[74].</w:t>
      </w:r>
      <w:r w:rsidRPr="003F3D6D">
        <w:rPr>
          <w:rFonts w:cstheme="minorHAnsi"/>
        </w:rPr>
        <w:fldChar w:fldCharType="end"/>
      </w:r>
    </w:p>
  </w:endnote>
  <w:endnote w:id="351">
    <w:p w14:paraId="38868C30" w14:textId="266BF02C"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{"citationID":"yEeZcowS","properties":{"formattedCitation":"Ibid 17[75].","plainCitation":"Ibid 17[75].","noteIndex":351},"citationItems":[{"id":6125,"uris":["http://zotero.org/groups/2733877/items/MWBMBJXU"],"uri":["http://zotero.org/groups/2733877/items/MWBMBJXU"],"itemData":{"id":6125,"type":"report","genre":"A/HRC/43/41","publisher":"United Nations","title":"Report of the Special Rapporteur on the rights of persons with disabilities","URL":"https://www.ohchr.org/en/issues/disability/srdisabilities/pages/srdisabilitiesindex.aspx","author":[{"family":"Office of the United Nations High Commissioner for Human Rights","given":""}],"accessed":{"date-parts":[["2021",2,1]]},"issued":{"date-parts":[["2019",12,17]]}},"locator":"17[75]"}],"schema":"https://github.com/citation-style-language/schema/raw/master/csl-citation.json"} </w:instrText>
      </w:r>
      <w:r w:rsidRPr="003F3D6D">
        <w:rPr>
          <w:rFonts w:cstheme="minorHAnsi"/>
        </w:rPr>
        <w:fldChar w:fldCharType="separate"/>
      </w:r>
      <w:r w:rsidRPr="003F3D6D">
        <w:rPr>
          <w:rFonts w:cstheme="minorHAnsi"/>
          <w:noProof/>
        </w:rPr>
        <w:t>Ibid 17[75].</w:t>
      </w:r>
      <w:r w:rsidRPr="003F3D6D">
        <w:rPr>
          <w:rFonts w:cstheme="minorHAnsi"/>
        </w:rPr>
        <w:fldChar w:fldCharType="end"/>
      </w:r>
    </w:p>
  </w:endnote>
  <w:endnote w:id="352">
    <w:p w14:paraId="1CBCD286" w14:textId="5D40C31A"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{"citationID":"JMaFAWzI","properties":{"formattedCitation":"Committee on the Rights of Persons with Disabilities, \\uc0\\u8216{}General Comment No. 6 on Equality and Non-Discrimination\\uc0\\u8217{} (n 340) 3[14].","plainCitation":"Committee on the Rights of Persons with Disabilities, ‘General Comment No. 6 on Equality and Non-Discrimination’ (n 340) 3[14].","noteIndex":352},"citationItems":[{"id":5942,"uris":["http://zotero.org/groups/2733877/items/RCJUU6ZB"],"uri":["http://zotero.org/groups/2733877/items/RCJUU6ZB"],"itemData":{"id":5942,"type":"report","genre":"CRPD/C/GC/6","publisher":"United Nations","title":"General Comment No. 6 on equality and non-discrimination","URL":"https://tbinternet.ohchr.org/_layouts/15/treatybodyexternal/Download.aspx?symbolno=CRPD/C/GC/6&amp;Lang=en","author":[{"family":"Committee on the Rights of Persons with Disabilities","given":""}],"issued":{"date-parts":[["2018",4,26]]}},"locator":"3[14]"}],"schema":"https://github.com/citation-style-language/schema/raw/master/csl-citation.json"} </w:instrText>
      </w:r>
      <w:r w:rsidRPr="003F3D6D">
        <w:rPr>
          <w:rFonts w:cstheme="minorHAnsi"/>
        </w:rPr>
        <w:fldChar w:fldCharType="separate"/>
      </w:r>
      <w:r w:rsidR="004849F5" w:rsidRPr="004849F5">
        <w:rPr>
          <w:rFonts w:ascii="Calibri" w:hAnsi="Calibri" w:cs="Calibri"/>
          <w:szCs w:val="24"/>
        </w:rPr>
        <w:t>Committee on the Rights of Persons with Disabilities, ‘General Comment No. 6 on Equality and Non-Discrimination’ (n 340) 3[14].</w:t>
      </w:r>
      <w:r w:rsidRPr="003F3D6D">
        <w:rPr>
          <w:rFonts w:cstheme="minorHAnsi"/>
        </w:rPr>
        <w:fldChar w:fldCharType="end"/>
      </w:r>
    </w:p>
  </w:endnote>
  <w:endnote w:id="353">
    <w:p w14:paraId="12E5244B" w14:textId="5561D572"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{"citationID":"mtAE4vMA","properties":{"formattedCitation":"Ibid 3[14], see also 4[16].","plainCitation":"Ibid 3[14], see also 4[16].","noteIndex":353},"citationItems":[{"id":5942,"uris":["http://zotero.org/groups/2733877/items/RCJUU6ZB"],"uri":["http://zotero.org/groups/2733877/items/RCJUU6ZB"],"itemData":{"id":5942,"type":"report","genre":"CRPD/C/GC/6","publisher":"United Nations","title":"General Comment No. 6 on equality and non-discrimination","URL":"https://tbinternet.ohchr.org/_layouts/15/treatybodyexternal/Download.aspx?symbolno=CRPD/C/GC/6&amp;Lang=en","author":[{"family":"Committee on the Rights of Persons with Disabilities","given":""}],"issued":{"date-parts":[["2018",4,26]]}},"locator":"3[14], see also 4[16]"}],"schema":"https://github.com/citation-style-language/schema/raw/master/csl-citation.json"} </w:instrText>
      </w:r>
      <w:r w:rsidRPr="003F3D6D">
        <w:rPr>
          <w:rFonts w:cstheme="minorHAnsi"/>
        </w:rPr>
        <w:fldChar w:fldCharType="separate"/>
      </w:r>
      <w:r w:rsidRPr="003F3D6D">
        <w:rPr>
          <w:rFonts w:cstheme="minorHAnsi"/>
          <w:noProof/>
        </w:rPr>
        <w:t>Ibid 3[14], see also 4[16].</w:t>
      </w:r>
      <w:r w:rsidRPr="003F3D6D">
        <w:rPr>
          <w:rFonts w:cstheme="minorHAnsi"/>
        </w:rPr>
        <w:fldChar w:fldCharType="end"/>
      </w:r>
    </w:p>
  </w:endnote>
  <w:endnote w:id="354">
    <w:p w14:paraId="7BADFAE7" w14:textId="583F27E0"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{"citationID":"oPqEjJA6","properties":{"formattedCitation":"Ibid 14[56].","plainCitation":"Ibid 14[56].","noteIndex":354},"citationItems":[{"id":5942,"uris":["http://zotero.org/groups/2733877/items/RCJUU6ZB"],"uri":["http://zotero.org/groups/2733877/items/RCJUU6ZB"],"itemData":{"id":5942,"type":"report","genre":"CRPD/C/GC/6","publisher":"United Nations","title":"General Comment No. 6 on equality and non-discrimination","URL":"https://tbinternet.ohchr.org/_layouts/15/treatybodyexternal/Download.aspx?symbolno=CRPD/C/GC/6&amp;Lang=en","author":[{"family":"Committee on the Rights of Persons with Disabilities","given":""}],"issued":{"date-parts":[["2018",4,26]]}},"locator":"14[56]"}],"schema":"https://github.com/citation-style-language/schema/raw/master/csl-citation.json"} </w:instrText>
      </w:r>
      <w:r w:rsidRPr="003F3D6D">
        <w:rPr>
          <w:rFonts w:cstheme="minorHAnsi"/>
        </w:rPr>
        <w:fldChar w:fldCharType="separate"/>
      </w:r>
      <w:r w:rsidRPr="003F3D6D">
        <w:rPr>
          <w:rFonts w:cstheme="minorHAnsi"/>
          <w:noProof/>
        </w:rPr>
        <w:t>Ibid 14[56].</w:t>
      </w:r>
      <w:r w:rsidRPr="003F3D6D">
        <w:rPr>
          <w:rFonts w:cstheme="minorHAnsi"/>
        </w:rPr>
        <w:fldChar w:fldCharType="end"/>
      </w:r>
    </w:p>
  </w:endnote>
  <w:endnote w:id="355">
    <w:p w14:paraId="5C7F6FD2" w14:textId="16A7C6CF"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{"citationID":"ZDgRunLH","properties":{"formattedCitation":"Ibid 8-9[30].","plainCitation":"Ibid 8-9[30].","noteIndex":355},"citationItems":[{"id":5942,"uris":["http://zotero.org/groups/2733877/items/RCJUU6ZB"],"uri":["http://zotero.org/groups/2733877/items/RCJUU6ZB"],"itemData":{"id":5942,"type":"report","genre":"CRPD/C/GC/6","publisher":"United Nations","title":"General Comment No. 6 on equality and non-discrimination","URL":"https://tbinternet.ohchr.org/_layouts/15/treatybodyexternal/Download.aspx?symbolno=CRPD/C/GC/6&amp;Lang=en","author":[{"family":"Committee on the Rights of Persons with Disabilities","given":""}],"issued":{"date-parts":[["2018",4,26]]}},"locator":"8-9[30]"}],"schema":"https://github.com/citation-style-language/schema/raw/master/csl-citation.json"} </w:instrText>
      </w:r>
      <w:r w:rsidRPr="003F3D6D">
        <w:rPr>
          <w:rFonts w:cstheme="minorHAnsi"/>
        </w:rPr>
        <w:fldChar w:fldCharType="separate"/>
      </w:r>
      <w:r w:rsidRPr="003F3D6D">
        <w:rPr>
          <w:rFonts w:cstheme="minorHAnsi"/>
          <w:noProof/>
        </w:rPr>
        <w:t>Ibid 8-9[30].</w:t>
      </w:r>
      <w:r w:rsidRPr="003F3D6D">
        <w:rPr>
          <w:rFonts w:cstheme="minorHAnsi"/>
        </w:rPr>
        <w:fldChar w:fldCharType="end"/>
      </w:r>
    </w:p>
  </w:endnote>
  <w:endnote w:id="356">
    <w:p w14:paraId="1FF1A787" w14:textId="03C617C1"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{"citationID":"0RWCJbwg","properties":{"formattedCitation":"Committee on the Rights of Persons with Disabilities, \\uc0\\u8216{}General Comment No. 3 on Article 6: Women and Girls with Disabilities\\uc0\\u8217{} (n 96) 1[2].","plainCitation":"Committee on the Rights of Persons with Disabilities, ‘General Comment No. 3 on Article 6: Women and Girls with Disabilities’ (n 96) 1[2].","noteIndex":356},"citationItems":[{"id":6048,"uris":["http://zotero.org/groups/2733877/items/EJBHWJ76"],"uri":["http://zotero.org/groups/2733877/items/EJBHWJ76"],"itemData":{"id":6048,"type":"report","abstract":"Advance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Disabilities","given":""}],"accessed":{"date-parts":[["2021",2,1]]},"issued":{"date-parts":[["2016",9,2]]}},"locator":"1[2]"}],"schema":"https://github.com/citation-style-language/schema/raw/master/csl-citation.json"} </w:instrText>
      </w:r>
      <w:r w:rsidRPr="003F3D6D">
        <w:rPr>
          <w:rFonts w:cstheme="minorHAnsi"/>
        </w:rPr>
        <w:fldChar w:fldCharType="separate"/>
      </w:r>
      <w:r w:rsidRPr="00562342">
        <w:rPr>
          <w:rFonts w:ascii="Calibri" w:hAnsi="Calibri" w:cs="Calibri"/>
          <w:szCs w:val="24"/>
        </w:rPr>
        <w:t>Committee on the Rights of Persons with Disabilities, ‘General Comment No. 3 on Article 6: Women and Girls with Disabilities’ (n 96) 1[2].</w:t>
      </w:r>
      <w:r w:rsidRPr="003F3D6D">
        <w:rPr>
          <w:rFonts w:cstheme="minorHAnsi"/>
        </w:rPr>
        <w:fldChar w:fldCharType="end"/>
      </w:r>
    </w:p>
  </w:endnote>
  <w:endnote w:id="357">
    <w:p w14:paraId="14B4B086" w14:textId="66AF694B"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{"citationID":"sdybty00","properties":{"formattedCitation":"Committee on the Rights of Persons with Disabilities, \\uc0\\u8216{}General Comment No. 6 on Equality and Non-Discrimination\\uc0\\u8217{} (n 340) 14[56].","plainCitation":"Committee on the Rights of Persons with Disabilities, ‘General Comment No. 6 on Equality and Non-Discrimination’ (n 340) 14[56].","noteIndex":357},"citationItems":[{"id":5942,"uris":["http://zotero.org/groups/2733877/items/RCJUU6ZB"],"uri":["http://zotero.org/groups/2733877/items/RCJUU6ZB"],"itemData":{"id":5942,"type":"report","genre":"CRPD/C/GC/6","publisher":"United Nations","title":"General Comment No. 6 on equality and non-discrimination","URL":"https://tbinternet.ohchr.org/_layouts/15/treatybodyexternal/Download.aspx?symbolno=CRPD/C/GC/6&amp;Lang=en","author":[{"family":"Committee on the Rights of Persons with Disabilities","given":""}],"issued":{"date-parts":[["2018",4,26]]}},"locator":"14[56]"}],"schema":"https://github.com/citation-style-language/schema/raw/master/csl-citation.json"} </w:instrText>
      </w:r>
      <w:r w:rsidRPr="003F3D6D">
        <w:rPr>
          <w:rFonts w:cstheme="minorHAnsi"/>
        </w:rPr>
        <w:fldChar w:fldCharType="separate"/>
      </w:r>
      <w:r w:rsidR="004849F5" w:rsidRPr="004849F5">
        <w:rPr>
          <w:rFonts w:ascii="Calibri" w:hAnsi="Calibri" w:cs="Calibri"/>
          <w:szCs w:val="24"/>
        </w:rPr>
        <w:t>Committee on the Rights of Persons with Disabilities, ‘General Comment No. 6 on Equality and Non-Discrimination’ (n 340) 14[56].</w:t>
      </w:r>
      <w:r w:rsidRPr="003F3D6D">
        <w:rPr>
          <w:rFonts w:cstheme="minorHAnsi"/>
        </w:rPr>
        <w:fldChar w:fldCharType="end"/>
      </w:r>
    </w:p>
  </w:endnote>
  <w:endnote w:id="358">
    <w:p w14:paraId="72E4CD48" w14:textId="50FBB07F"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{"citationID":"nj2zYvxo","properties":{"formattedCitation":"{\\i{}Convention on the Rights of Persons with Disabilities [2008] ATS 12} (n 4); UN General Assembly, \\uc0\\u8216{}Convention on the Rights of the Child [1991] ATS 4\\uc0\\u8217{} (n 4); UN General Assembly, \\uc0\\u8216{}Convention Against Torture and Other Cruel, Inhuman or Degrading Treatment or Punishment [1989] ATS 21\\uc0\\u8217{} (n 4); UN General Assembly, \\uc0\\u8216{}Convention on the Elimination of All Forms of Discrimination Against Women [1983] ATS 9\\uc0\\u8217{} (n 4); UN General Assembly, \\uc0\\u8216{}International Covenant on Civil and Political Rights [1980] ATS 23\\uc0\\u8217{} (n 4); UN General Assembly, \\uc0\\u8216{}International Covenant on Economic, Social and Cultural Rights [1976] ATS 5\\uc0\\u8217{} (n 4); UN General Assembly, \\uc0\\u8216{}International Convention on the Elimination of All Forms of Racial Discrimination [1975] ATS 40\\uc0\\u8217{} (n 4).","plainCitation":"Convention on the Rights of Persons with Disabilities [2008] ATS 12 (n 4); UN General Assembly, ‘Convention on the Rights of the Child [1991] ATS 4’ (n 4); UN General Assembly, ‘Convention Against Torture and Other Cruel, Inhuman or Degrading Treatment or Punishment [1989] ATS 21’ (n 4); UN General Assembly, ‘Convention on the Elimination of All Forms of Discrimination Against Women [1983] ATS 9’ (n 4); UN General Assembly, ‘International Covenant on Civil and Political Rights [1980] ATS 23’ (n 4); UN General Assembly, ‘International Covenant on Economic, Social and Cultural Rights [1976] ATS 5’ (n 4); UN General Assembly, ‘International Convention on the Elimination of All Forms of Racial Discrimination [1975] ATS 40’ (n 4).","noteIndex":358},"citationItems":[{"id":6215,"uris":["http://zotero.org/groups/2733877/items/8UQDQLRW"],"uri":["http://zotero.org/groups/2733877/items/8UQDQLRW"],"itemData":{"id":6215,"type":"report","abstract":"Adopted without vote, 76th plenary meeting; Issued in GAOR, 61st sess., Suppl. no. 49. \n\"Annex: Convention on the Rights of Persons with Disabilities\": p. 2-29.","genre":"A/RES/61/106","language":"en","publisher":"United Nations","title":"Convention on the Rights of Persons with Disabilities [2008] ATS 12","URL":"https://www.refworld.org/docid/45f973632.html","accessed":{"date-parts":[["2021",2,1]]},"issued":{"date-parts":[["2007",1,24]]}}},{"id":5941,"uris":["http://zotero.org/groups/2733877/items/Z94ADXJR"],"uri":["http://zotero.org/groups/2733877/items/Z94ADXJR"],"itemData":{"id":5941,"type":"report","abstract":"The Convention on the Rights of the Child was adopted and opened for signature, ratification and accession by General Assembly resolution 44/25 of 20 November 1989. It entered into force on 2 September 1990, in accordance with article 49.","collection-title":"Treaty Series vol. 1577","language":"en","publisher":"United Nations","title":"Convention on the Rights of the Child [1991] ATS 4","URL":"https://www.refworld.org/docid/3ae6b38f0.html","author":[{"family":"UN General Assembly","given":""}],"accessed":{"date-parts":[["2021",2,1]]},"issued":{"date-parts":[["1989",11,20]]}}},{"id":5940,"uris":["http://zotero.org/groups/2733877/items/5YR8UJDF"],"uri":["http://zotero.org/groups/2733877/items/5YR8UJDF"],"itemData":{"id":5940,"type":"report","abstract":"Adopted and opened for signature, ratification and accession by General Assembly resolution 39/46 of 10 December 1984. Entry into force 26 June 1987, in accordance with article 27 (1). &lt;a href=\"https://treaties.un.org/Pages/ViewDetails.aspx?src=IND&amp;mtdsg_no=IV-9&amp;chapter=4&amp;clang=_en\"_blank\"&gt;Status of signatures&lt;/a&gt;","collection-title":"Treaty Series vol. 1465","language":"en","publisher":"United Nations","title":"Convention Against Torture and Other Cruel, Inhuman or Degrading Treatment or Punishment [1989] ATS 21","URL":"https://www.refworld.org/docid/3ae6b3a94.html","author":[{"family":"UN General Assembly","given":""}],"accessed":{"date-parts":[["2021",2,1]]},"issued":{"date-parts":[["1984",12,10]]}}},{"id":5939,"uris":["http://zotero.org/groups/2733877/items/ZBXL2L22"],"uri":["http://zotero.org/groups/2733877/items/ZBXL2L22"],"itemData":{"id":5939,"type":"report","genre":"[1983] ATS 9","publisher":"United Nations","title":"Convention on the Elimination of All Forms of Discrimination Against Women [1983] ATS 9","URL":"https://www.ohchr.org/Documents/ProfessionalInterest/cedaw.pdf","author":[{"family":"UN General Assembly","given":""}],"issued":{"date-parts":[["1979",12,18]]}}},{"id":6203,"uris":["http://zotero.org/groups/2733877/items/TWXSZBQJ"],"uri":["http://zotero.org/groups/2733877/items/TWXSZBQJ"],"itemData":{"id":6203,"type":"report","collection-title":"[1980] ATS 23","publisher":"United Nations","title":"International Covenant on Civil and Political Rights [1980] ATS 23","URL":"https://www.ohchr.org/Documents/ProfessionalInterest/ccpr.pdf","author":[{"family":"UN General Assembly","given":""}],"issued":{"date-parts":[["1966",12,16]]}}},{"id":5938,"uris":["http://zotero.org/groups/2733877/items/GD9ZUNUP"],"uri":["http://zotero.org/groups/2733877/items/GD9ZUNUP"],"itemData":{"id":5938,"type":"report","genre":"[1976] ATS 5","publisher":"United Nations","title":"International Covenant on Economic, Social and Cultural Rights [1976] ATS 5","URL":"https://www.ohchr.org/Documents/ProfessionalInterest/cescr.pdf","author":[{"family":"UN General Assembly","given":""}],"issued":{"date-parts":[["1966",12,16]]}}},{"id":5937,"uris":["http://zotero.org/groups/2733877/items/VGJBJ44F"],"uri":["http://zotero.org/groups/2733877/items/VGJBJ44F"],"itemData":{"id":5937,"type":"report","genre":"[1975] ATS 40","publisher":"United Nations","title":"International Convention on the Elimination of All Forms of Racial Discrimination [1975] ATS 40","URL":"https://www.ohchr.org/EN/ProfessionalInterest/Pages/CERD.aspx","author":[{"family":"UN General Assembly","given":""}],"issued":{"date-parts":[["1965",12,21]]}}}],"schema":"https://github.com/citation-style-language/schema/raw/master/csl-citation.json"} </w:instrText>
      </w:r>
      <w:r w:rsidRPr="003F3D6D">
        <w:rPr>
          <w:rFonts w:cstheme="minorHAnsi"/>
        </w:rPr>
        <w:fldChar w:fldCharType="separate"/>
      </w:r>
      <w:r w:rsidRPr="00C27B33">
        <w:rPr>
          <w:rFonts w:ascii="Calibri" w:hAnsi="Calibri" w:cs="Calibri"/>
          <w:i/>
          <w:iCs/>
          <w:szCs w:val="24"/>
        </w:rPr>
        <w:t>Convention on the Rights of Persons with Disabilities [2008] ATS 12</w:t>
      </w:r>
      <w:r w:rsidRPr="00C27B33">
        <w:rPr>
          <w:rFonts w:ascii="Calibri" w:hAnsi="Calibri" w:cs="Calibri"/>
          <w:szCs w:val="24"/>
        </w:rPr>
        <w:t xml:space="preserve"> (n 4); UN General Assembly, ‘Convention on the Rights of the Child [1991] ATS 4’ (n 4); UN General Assembly, ‘Convention Against Torture and Other Cruel, Inhuman or Degrading Treatment or Punishment [1989] ATS 21’ (n 4); UN General Assembly, ‘Convention on the Elimination of All Forms of Discrimination Against Women [1983] ATS 9’ (n 4); UN General Assembly, ‘International Covenant on Civil and Political Rights [1980] ATS 23’ (n 4); UN General Assembly, ‘International Covenant on Economic, Social and Cultural Rights [1976] ATS 5’ (n 4); UN General Assembly, ‘International Convention on the Elimination of All Forms of Racial Discrimination [1975] ATS 40’ (n 4).</w:t>
      </w:r>
      <w:r w:rsidRPr="003F3D6D">
        <w:rPr>
          <w:rFonts w:cstheme="minorHAnsi"/>
        </w:rPr>
        <w:fldChar w:fldCharType="end"/>
      </w:r>
    </w:p>
  </w:endnote>
  <w:endnote w:id="359">
    <w:p w14:paraId="4EA443BC" w14:textId="7AF9777E"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{"citationID":"3X6yrjPW","properties":{"formattedCitation":"Rosemary Kayess and Phillip French, \\uc0\\u8216{}Out of Darkness into Light? Introducing the Convention on the Rights of Persons with Disabilities\\uc0\\u8217{} 8(1) {\\i{}Human Rights Law Review} 1.","plainCitation":"Rosemary Kayess and Phillip French, ‘Out of Darkness into Light? Introducing the Convention on the Rights of Persons with Disabilities’ 8(1) Human Rights Law Review 1.","noteIndex":359},"citationItems":[{"id":6188,"uris":["http://zotero.org/groups/2733877/items/QH3H9FZW"],"uri":["http://zotero.org/groups/2733877/items/QH3H9FZW"],"itemData":{"id":6188,"type":"article-journal","container-title":"Human Rights Law Review","issue":"1","page":"1-34","title":"Out of Darkness into Light? Introducing the Convention on the Rights of Persons with Disabilities","volume":"8","author":[{"family":"Kayess","given":"Rosemary"},{"family":"French","given":"Phillip"}]}}],"schema":"https://github.com/citation-style-language/schema/raw/master/csl-citation.json"} </w:instrText>
      </w:r>
      <w:r w:rsidRPr="003F3D6D">
        <w:rPr>
          <w:rFonts w:cstheme="minorHAnsi"/>
        </w:rPr>
        <w:fldChar w:fldCharType="separate"/>
      </w:r>
      <w:r w:rsidRPr="003F3D6D">
        <w:rPr>
          <w:rFonts w:cstheme="minorHAnsi"/>
        </w:rPr>
        <w:t xml:space="preserve">Rosemary Kayess and Phillip French, ‘Out of Darkness into Light? Introducing the Convention on the Rights of Persons with Disabilities’ 8(1) </w:t>
      </w:r>
      <w:r w:rsidRPr="003F3D6D">
        <w:rPr>
          <w:rFonts w:cstheme="minorHAnsi"/>
          <w:i/>
          <w:iCs/>
        </w:rPr>
        <w:t>Human Rights Law Review</w:t>
      </w:r>
      <w:r w:rsidRPr="003F3D6D">
        <w:rPr>
          <w:rFonts w:cstheme="minorHAnsi"/>
        </w:rPr>
        <w:t xml:space="preserve"> 1.</w:t>
      </w:r>
      <w:r w:rsidRPr="003F3D6D">
        <w:rPr>
          <w:rFonts w:cstheme="minorHAnsi"/>
        </w:rPr>
        <w:fldChar w:fldCharType="end"/>
      </w:r>
    </w:p>
  </w:endnote>
  <w:endnote w:id="360">
    <w:p w14:paraId="0EC75173" w14:textId="0224220E"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{"citationID":"1nDcBduo","properties":{"formattedCitation":"UN General Assembly, \\uc0\\u8216{}Convention on the Elimination of All Forms of Discrimination Against Women [1983] ATS 9\\uc0\\u8217{} (n 4).","plainCitation":"UN General Assembly, ‘Convention on the Elimination of All Forms of Discrimination Against Women [1983] ATS 9’ (n 4).","noteIndex":360},"citationItems":[{"id":5939,"uris":["http://zotero.org/groups/2733877/items/ZBXL2L22"],"uri":["http://zotero.org/groups/2733877/items/ZBXL2L22"],"itemData":{"id":5939,"type":"report","genre":"[1983] ATS 9","publisher":"United Nations","title":"Convention on the Elimination of All Forms of Discrimination Against Women [1983] ATS 9","URL":"https://www.ohchr.org/Documents/ProfessionalInterest/cedaw.pdf","author":[{"family":"UN General Assembly","given":""}],"issued":{"date-parts":[["1979",12,18]]}}}],"schema":"https://github.com/citation-style-language/schema/raw/master/csl-citation.json"} </w:instrText>
      </w:r>
      <w:r w:rsidRPr="003F3D6D">
        <w:rPr>
          <w:rFonts w:cstheme="minorHAnsi"/>
        </w:rPr>
        <w:fldChar w:fldCharType="separate"/>
      </w:r>
      <w:r w:rsidRPr="00C27B33">
        <w:rPr>
          <w:rFonts w:ascii="Calibri" w:hAnsi="Calibri" w:cs="Calibri"/>
          <w:szCs w:val="24"/>
        </w:rPr>
        <w:t>UN General Assembly, ‘Convention on the Elimination of All Forms of Discrimination Against Women [1983] ATS 9’ (n 4).</w:t>
      </w:r>
      <w:r w:rsidRPr="003F3D6D">
        <w:rPr>
          <w:rFonts w:cstheme="minorHAnsi"/>
        </w:rPr>
        <w:fldChar w:fldCharType="end"/>
      </w:r>
    </w:p>
  </w:endnote>
  <w:endnote w:id="361">
    <w:p w14:paraId="0F8C6D91" w14:textId="71DFAE0C"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{"citationID":"GzLosMy9","properties":{"formattedCitation":"UN General Assembly, \\uc0\\u8216{}Convention on the Rights of the Child [1991] ATS 4\\uc0\\u8217{} (n 4).","plainCitation":"UN General Assembly, ‘Convention on the Rights of the Child [1991] ATS 4’ (n 4).","noteIndex":361},"citationItems":[{"id":5941,"uris":["http://zotero.org/groups/2733877/items/Z94ADXJR"],"uri":["http://zotero.org/groups/2733877/items/Z94ADXJR"],"itemData":{"id":5941,"type":"report","abstract":"The Convention on the Rights of the Child was adopted and opened for signature, ratification and accession by General Assembly resolution 44/25 of 20 November 1989. It entered into force on 2 September 1990, in accordance with article 49.","collection-title":"Treaty Series vol. 1577","language":"en","publisher":"United Nations","title":"Convention on the Rights of the Child [1991] ATS 4","URL":"https://www.refworld.org/docid/3ae6b38f0.html","author":[{"family":"UN General Assembly","given":""}],"accessed":{"date-parts":[["2021",2,1]]},"issued":{"date-parts":[["1989",11,20]]}}}],"schema":"https://github.com/citation-style-language/schema/raw/master/csl-citation.json"} </w:instrText>
      </w:r>
      <w:r w:rsidRPr="003F3D6D">
        <w:rPr>
          <w:rFonts w:cstheme="minorHAnsi"/>
        </w:rPr>
        <w:fldChar w:fldCharType="separate"/>
      </w:r>
      <w:r w:rsidRPr="00C27B33">
        <w:rPr>
          <w:rFonts w:ascii="Calibri" w:hAnsi="Calibri" w:cs="Calibri"/>
          <w:szCs w:val="24"/>
        </w:rPr>
        <w:t>UN General Assembly, ‘Convention on the Rights of the Child [1991] ATS 4’ (n 4).</w:t>
      </w:r>
      <w:r w:rsidRPr="003F3D6D">
        <w:rPr>
          <w:rFonts w:cstheme="minorHAnsi"/>
        </w:rPr>
        <w:fldChar w:fldCharType="end"/>
      </w:r>
    </w:p>
  </w:endnote>
  <w:endnote w:id="362">
    <w:p w14:paraId="1953FD6A" w14:textId="30E09C75"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{"citationID":"cvwF4RCR","properties":{"formattedCitation":"Committee on the Rights of Persons with Disabilities, \\uc0\\u8216{}General Comment No. 6 on Equality and Non-Discrimination\\uc0\\u8217{} (n 340) 14[56].","plainCitation":"Committee on the Rights of Persons with Disabilities, ‘General Comment No. 6 on Equality and Non-Discrimination’ (n 340) 14[56].","noteIndex":362},"citationItems":[{"id":5942,"uris":["http://zotero.org/groups/2733877/items/RCJUU6ZB"],"uri":["http://zotero.org/groups/2733877/items/RCJUU6ZB"],"itemData":{"id":5942,"type":"report","genre":"CRPD/C/GC/6","publisher":"United Nations","title":"General Comment No. 6 on equality and non-discrimination","URL":"https://tbinternet.ohchr.org/_layouts/15/treatybodyexternal/Download.aspx?symbolno=CRPD/C/GC/6&amp;Lang=en","author":[{"family":"Committee on the Rights of Persons with Disabilities","given":""}],"issued":{"date-parts":[["2018",4,26]]}},"locator":"14[56]"}],"schema":"https://github.com/citation-style-language/schema/raw/master/csl-citation.json"} </w:instrText>
      </w:r>
      <w:r w:rsidRPr="003F3D6D">
        <w:rPr>
          <w:rFonts w:cstheme="minorHAnsi"/>
        </w:rPr>
        <w:fldChar w:fldCharType="separate"/>
      </w:r>
      <w:r w:rsidR="004849F5" w:rsidRPr="004849F5">
        <w:rPr>
          <w:rFonts w:ascii="Calibri" w:hAnsi="Calibri" w:cs="Calibri"/>
          <w:szCs w:val="24"/>
        </w:rPr>
        <w:t>Committee on the Rights of Persons with Disabilities, ‘General Comment No. 6 on Equality and Non-Discrimination’ (n 340) 14[56].</w:t>
      </w:r>
      <w:r w:rsidRPr="003F3D6D">
        <w:rPr>
          <w:rFonts w:cstheme="minorHAnsi"/>
        </w:rPr>
        <w:fldChar w:fldCharType="end"/>
      </w:r>
    </w:p>
  </w:endnote>
  <w:endnote w:id="363">
    <w:p w14:paraId="462D85A7" w14:textId="01B16EB1"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{"citationID":"sC0leoHX","properties":{"formattedCitation":"{\\i{}Convention on the Rights of Persons with Disabilities [2008] ATS 12} (n 4) art 6(1).","plainCitation":"Convention on the Rights of Persons with Disabilities [2008] ATS 12 (n 4) art 6(1).","noteIndex":363},"citationItems":[{"id":6215,"uris":["http://zotero.org/groups/2733877/items/8UQDQLRW"],"uri":["http://zotero.org/groups/2733877/items/8UQDQLRW"],"itemData":{"id":6215,"type":"report","abstract":"Adopted without vote, 76th plenary meeting; Issued in GAOR, 61st sess., Suppl. no. 49. \n\"Annex: Convention on the Rights of Persons with Disabilities\": p. 2-29.","genre":"A/RES/61/106","language":"en","publisher":"United Nations","title":"Convention on the Rights of Persons with Disabilities [2008] ATS 12","URL":"https://www.refworld.org/docid/45f973632.html","accessed":{"date-parts":[["2021",2,1]]},"issued":{"date-parts":[["2007",1,24]]}},"locator":"art 6(1)"}],"schema":"https://github.com/citation-style-language/schema/raw/master/csl-citation.json"} </w:instrText>
      </w:r>
      <w:r w:rsidRPr="003F3D6D">
        <w:rPr>
          <w:rFonts w:cstheme="minorHAnsi"/>
        </w:rPr>
        <w:fldChar w:fldCharType="separate"/>
      </w:r>
      <w:r w:rsidRPr="00C27B33">
        <w:rPr>
          <w:rFonts w:ascii="Calibri" w:hAnsi="Calibri" w:cs="Calibri"/>
          <w:i/>
          <w:iCs/>
          <w:szCs w:val="24"/>
        </w:rPr>
        <w:t>Convention on the Rights of Persons with Disabilities [2008] ATS 12</w:t>
      </w:r>
      <w:r w:rsidRPr="00C27B33">
        <w:rPr>
          <w:rFonts w:ascii="Calibri" w:hAnsi="Calibri" w:cs="Calibri"/>
          <w:szCs w:val="24"/>
        </w:rPr>
        <w:t xml:space="preserve"> (n 4) art 6(1).</w:t>
      </w:r>
      <w:r w:rsidRPr="003F3D6D">
        <w:rPr>
          <w:rFonts w:cstheme="minorHAnsi"/>
        </w:rPr>
        <w:fldChar w:fldCharType="end"/>
      </w:r>
    </w:p>
  </w:endnote>
  <w:endnote w:id="364">
    <w:p w14:paraId="5B6D2FB5" w14:textId="40115852"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{"citationID":"NfZIB5FC","properties":{"formattedCitation":"Degener (n 339).","plainCitation":"Degener (n 339).","noteIndex":364},"citationItems":[{"id":5943,"uris":["http://zotero.org/groups/2733877/items/9YRZW2QQ"],"uri":["http://zotero.org/groups/2733877/items/9YRZW2QQ"],"itemData":{"id":5943,"type":"article-journal","abstract":"The Convention on the Rights of Persons with Disabilities (CRPD) is a modern human rights treaty with innovative components. It impacts on disability studies as well as human rights law. Two innovations are scrutinized in this article: the model of disability and the equality and discrimination concepts of the CRPD. It is argued that the CRPD manifests a shift from the medical model to the human rights model of disability. Six propositions are offered why and how the human rights model differs from the social model of disability. It is further maintained that the CRPD introduces a new definition of discrimination into international public law. The underlying equality concept can be categorized as transformative equality with both individual and group oriented components. The applied methodology of this research is legal doctrinal analysis and disability studies model analysis. The main finding is that the human rights model of disability improves the social model of disability. Three different models of disability can be attributed to different concepts of equality. The medical model corresponds with formal equality, while the social model with substantive equality and the human rights model can be linked with transformative equality.","container-title":"Laws","DOI":"10.3390/laws5030035","issue":"3","language":"en","note":"number: 3\npublisher: Multidisciplinary Digital Publishing Institute","page":"35","source":"www.mdpi.com","title":"Disability in a Human Rights Context","volume":"5","author":[{"family":"Degener","given":"Theresia"}],"issued":{"date-parts":[["2016",9]]}}}],"schema":"https://github.com/citation-style-language/schema/raw/master/csl-citation.json"} </w:instrText>
      </w:r>
      <w:r w:rsidRPr="003F3D6D">
        <w:rPr>
          <w:rFonts w:cstheme="minorHAnsi"/>
        </w:rPr>
        <w:fldChar w:fldCharType="separate"/>
      </w:r>
      <w:r w:rsidR="004849F5" w:rsidRPr="004849F5">
        <w:rPr>
          <w:rFonts w:ascii="Calibri" w:hAnsi="Calibri" w:cs="Calibri"/>
        </w:rPr>
        <w:t>Degener (n 339).</w:t>
      </w:r>
      <w:r w:rsidRPr="003F3D6D">
        <w:rPr>
          <w:rFonts w:cstheme="minorHAnsi"/>
        </w:rPr>
        <w:fldChar w:fldCharType="end"/>
      </w:r>
    </w:p>
  </w:endnote>
  <w:endnote w:id="365">
    <w:p w14:paraId="06CC1D02" w14:textId="4A66940A"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{"citationID":"GbNIzWGB","properties":{"formattedCitation":"Committee on the Rights of Persons with Disabilities, \\uc0\\u8216{}General Comment No. 3 on Article 6: Women and Girls with Disabilities\\uc0\\u8217{} (n 96) 5-6[17].","plainCitation":"Committee on the Rights of Persons with Disabilities, ‘General Comment No. 3 on Article 6: Women and Girls with Disabilities’ (n 96) 5-6[17].","noteIndex":365},"citationItems":[{"id":6048,"uris":["http://zotero.org/groups/2733877/items/EJBHWJ76"],"uri":["http://zotero.org/groups/2733877/items/EJBHWJ76"],"itemData":{"id":6048,"type":"report","abstract":"Advance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Disabilities","given":""}],"accessed":{"date-parts":[["2021",2,1]]},"issued":{"date-parts":[["2016",9,2]]}},"locator":"5-6[17]"}],"schema":"https://github.com/citation-style-language/schema/raw/master/csl-citation.json"} </w:instrText>
      </w:r>
      <w:r w:rsidRPr="003F3D6D">
        <w:rPr>
          <w:rFonts w:cstheme="minorHAnsi"/>
        </w:rPr>
        <w:fldChar w:fldCharType="separate"/>
      </w:r>
      <w:r w:rsidRPr="00562342">
        <w:rPr>
          <w:rFonts w:ascii="Calibri" w:hAnsi="Calibri" w:cs="Calibri"/>
          <w:szCs w:val="24"/>
        </w:rPr>
        <w:t>Committee on the Rights of Persons with Disabilities, ‘General Comment No. 3 on Article 6: Women and Girls with Disabilities’ (n 96) 5-6[17].</w:t>
      </w:r>
      <w:r w:rsidRPr="003F3D6D">
        <w:rPr>
          <w:rFonts w:cstheme="minorHAnsi"/>
        </w:rPr>
        <w:fldChar w:fldCharType="end"/>
      </w:r>
    </w:p>
  </w:endnote>
  <w:endnote w:id="366">
    <w:p w14:paraId="5F817891" w14:textId="7591DD9C"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{"citationID":"tbkX6aDF","properties":{"formattedCitation":"Ibid 3.","plainCitation":"Ibid 3.","noteIndex":366},"citationItems":[{"id":6048,"uris":["http://zotero.org/groups/2733877/items/EJBHWJ76"],"uri":["http://zotero.org/groups/2733877/items/EJBHWJ76"],"itemData":{"id":6048,"type":"report","abstract":"Advance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Disabilities","given":""}],"accessed":{"date-parts":[["2021",2,1]]},"issued":{"date-parts":[["2016",9,2]]}},"locator":"3"}],"schema":"https://github.com/citation-style-language/schema/raw/master/csl-citation.json"} </w:instrText>
      </w:r>
      <w:r w:rsidRPr="003F3D6D">
        <w:rPr>
          <w:rFonts w:cstheme="minorHAnsi"/>
        </w:rPr>
        <w:fldChar w:fldCharType="separate"/>
      </w:r>
      <w:r w:rsidRPr="003F3D6D">
        <w:rPr>
          <w:rFonts w:cstheme="minorHAnsi"/>
          <w:noProof/>
        </w:rPr>
        <w:t>Ibid 3.</w:t>
      </w:r>
      <w:r w:rsidRPr="003F3D6D">
        <w:rPr>
          <w:rFonts w:cstheme="minorHAnsi"/>
        </w:rPr>
        <w:fldChar w:fldCharType="end"/>
      </w:r>
    </w:p>
  </w:endnote>
  <w:endnote w:id="367">
    <w:p w14:paraId="04FB3E47" w14:textId="4BE9EC58"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{"citationID":"OazDbUtP","properties":{"formattedCitation":"Committee on the Rights of Persons with Disabilities, \\uc0\\u8216{}General Comment No. 3 on Article 6: Women and Girls with Disabilities\\uc0\\u8217{} (n 96).","plainCitation":"Committee on the Rights of Persons with Disabilities, ‘General Comment No. 3 on Article 6: Women and Girls with Disabilities’ (n 96).","noteIndex":367},"citationItems":[{"id":6048,"uris":["http://zotero.org/groups/2733877/items/EJBHWJ76"],"uri":["http://zotero.org/groups/2733877/items/EJBHWJ76"],"itemData":{"id":6048,"type":"report","abstract":"Advance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Disabilities","given":""}],"accessed":{"date-parts":[["2021",2,1]]},"issued":{"date-parts":[["2016",9,2]]}}}],"schema":"https://github.com/citation-style-language/schema/raw/master/csl-citation.json"} </w:instrText>
      </w:r>
      <w:r w:rsidRPr="003F3D6D">
        <w:rPr>
          <w:rFonts w:cstheme="minorHAnsi"/>
        </w:rPr>
        <w:fldChar w:fldCharType="separate"/>
      </w:r>
      <w:r w:rsidRPr="00562342">
        <w:rPr>
          <w:rFonts w:ascii="Calibri" w:hAnsi="Calibri" w:cs="Calibri"/>
          <w:szCs w:val="24"/>
        </w:rPr>
        <w:t>Committee on the Rights of Persons with Disabilities, ‘General Comment No. 3 on Article 6: Women and Girls with Disabilities’ (n 96).</w:t>
      </w:r>
      <w:r w:rsidRPr="003F3D6D">
        <w:rPr>
          <w:rFonts w:cstheme="minorHAnsi"/>
        </w:rPr>
        <w:fldChar w:fldCharType="end"/>
      </w:r>
    </w:p>
  </w:endnote>
  <w:endnote w:id="368">
    <w:p w14:paraId="3590D6FA" w14:textId="5BDC468C"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ry4ddoem","properties":{"formattedCitation":"Ibid.","plainCitation":"Ibid.","noteIndex":368},"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369">
    <w:p w14:paraId="1093FC9B" w14:textId="685DFE28"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8U1SFFVm","properties":{"formattedCitation":"Ibid.","plainCitation":"Ibid.","noteIndex":369},"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370">
    <w:p w14:paraId="184E7A3D" w14:textId="0280182A"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CeTnnShk","properties":{"formattedCitation":"Ibid.","plainCitation":"Ibid.","noteIndex":370},"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371">
    <w:p w14:paraId="15B424EB" w14:textId="77777777" w:rsidR="00A00236" w:rsidRPr="003F3D6D" w:rsidRDefault="00A00236" w:rsidP="00C17576">
      <w:pPr>
        <w:pStyle w:val="EndnoteText"/>
        <w:rPr>
          <w:rFonts w:cstheme="minorHAnsi"/>
          <w:lang w:val="en-US"/>
        </w:rPr>
      </w:pPr>
      <w:r w:rsidRPr="003F3D6D">
        <w:rPr>
          <w:rStyle w:val="EndnoteReference"/>
          <w:rFonts w:cstheme="minorHAnsi"/>
        </w:rPr>
        <w:endnoteRef/>
      </w:r>
      <w:r w:rsidRPr="003F3D6D">
        <w:rPr>
          <w:rFonts w:cstheme="minorHAnsi"/>
        </w:rPr>
        <w:t xml:space="preserve"> </w:t>
      </w:r>
      <w:r w:rsidRPr="003F3D6D">
        <w:rPr>
          <w:rFonts w:cstheme="minorHAnsi"/>
          <w:lang w:val="en-AU"/>
        </w:rPr>
        <w:t xml:space="preserve">These references are not intended to limit the gender analysis across the whole of the CRPD. These references are found in </w:t>
      </w:r>
      <w:r w:rsidRPr="003F3D6D">
        <w:rPr>
          <w:rFonts w:cstheme="minorHAnsi"/>
          <w:lang w:val="en-US"/>
        </w:rPr>
        <w:t>article 8 (Awareness-raising); article 13 (Access to justice); article 16 (freedom from exploitation, violence and abuse); article 25 (Health); Article 34 (Committee on the Rights of Persons with Disabilities).</w:t>
      </w:r>
    </w:p>
  </w:endnote>
  <w:endnote w:id="372">
    <w:p w14:paraId="3AF90C09" w14:textId="4EAE2B23"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{"citationID":"Syg7msSe","properties":{"formattedCitation":"Committee on the Rights of Persons with Disabilities, \\uc0\\u8216{}General Comment No. 3 on Article 6: Women and Girls with Disabilities\\uc0\\u8217{} (n 96) 15[53].","plainCitation":"Committee on the Rights of Persons with Disabilities, ‘General Comment No. 3 on Article 6: Women and Girls with Disabilities’ (n 96) 15[53].","noteIndex":372},"citationItems":[{"id":6048,"uris":["http://zotero.org/groups/2733877/items/EJBHWJ76"],"uri":["http://zotero.org/groups/2733877/items/EJBHWJ76"],"itemData":{"id":6048,"type":"report","abstract":"Advance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Disabilities","given":""}],"accessed":{"date-parts":[["2021",2,1]]},"issued":{"date-parts":[["2016",9,2]]}},"locator":"15[53]"}],"schema":"https://github.com/citation-style-language/schema/raw/master/csl-citation.json"} </w:instrText>
      </w:r>
      <w:r w:rsidRPr="003F3D6D">
        <w:rPr>
          <w:rFonts w:cstheme="minorHAnsi"/>
        </w:rPr>
        <w:fldChar w:fldCharType="separate"/>
      </w:r>
      <w:r w:rsidRPr="00562342">
        <w:rPr>
          <w:rFonts w:ascii="Calibri" w:hAnsi="Calibri" w:cs="Calibri"/>
          <w:szCs w:val="24"/>
        </w:rPr>
        <w:t>Committee on the Rights of Persons with Disabilities, ‘General Comment No. 3 on Article 6: Women and Girls with Disabilities’ (n 96) 15[53].</w:t>
      </w:r>
      <w:r w:rsidRPr="003F3D6D">
        <w:rPr>
          <w:rFonts w:cstheme="minorHAnsi"/>
        </w:rPr>
        <w:fldChar w:fldCharType="end"/>
      </w:r>
    </w:p>
  </w:endnote>
  <w:endnote w:id="373">
    <w:p w14:paraId="7F4F85BD" w14:textId="6D342E78"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{"citationID":"W42igaMS","properties":{"formattedCitation":"Ibid 2-3[8].","plainCitation":"Ibid 2-3[8].","noteIndex":373},"citationItems":[{"id":6048,"uris":["http://zotero.org/groups/2733877/items/EJBHWJ76"],"uri":["http://zotero.org/groups/2733877/items/EJBHWJ76"],"itemData":{"id":6048,"type":"report","abstract":"Advance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Disabilities","given":""}],"accessed":{"date-parts":[["2021",2,1]]},"issued":{"date-parts":[["2016",9,2]]}},"locator":"2-3[8]"}],"schema":"https://github.com/citation-style-language/schema/raw/master/csl-citation.json"} </w:instrText>
      </w:r>
      <w:r w:rsidRPr="003F3D6D">
        <w:rPr>
          <w:rFonts w:cstheme="minorHAnsi"/>
        </w:rPr>
        <w:fldChar w:fldCharType="separate"/>
      </w:r>
      <w:r w:rsidRPr="003F3D6D">
        <w:rPr>
          <w:rFonts w:cstheme="minorHAnsi"/>
          <w:noProof/>
        </w:rPr>
        <w:t>Ibid 2-3[8].</w:t>
      </w:r>
      <w:r w:rsidRPr="003F3D6D">
        <w:rPr>
          <w:rFonts w:cstheme="minorHAnsi"/>
        </w:rPr>
        <w:fldChar w:fldCharType="end"/>
      </w:r>
    </w:p>
  </w:endnote>
  <w:endnote w:id="374">
    <w:p w14:paraId="21128BAA" w14:textId="5D1FE67C" w:rsidR="00A00236" w:rsidRPr="003F3D6D" w:rsidRDefault="00A00236" w:rsidP="00B757A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{"citationID":"hhF2iUN3","properties":{"formattedCitation":"UN General Assembly, \\uc0\\u8216{}Report of the Special Rapporteur on the Rights of Persons with Disabilities\\uc0\\u8217{} (n 233) 5[7].","plainCitation":"UN General Assembly, ‘Report of the Special Rapporteur on the Rights of Persons with Disabilities’ (n 233) 5[7].","noteIndex":374},"citationItems":[{"id":5934,"uris":["http://zotero.org/groups/2733877/items/DDSJCITE"],"uri":["http://zotero.org/groups/2733877/items/DDSJCITE"],"itemData":{"id":5934,"type":"report","collection-title":"UN Doc","genre":"A/74/186","publisher":"United Nations","title":"Report of the Special Rapporteur on the Rights of Persons with Disabilities","URL":"https://undocs.org/en/A/74/186","author":[{"family":"UN General Assembly","given":""}],"issued":{"date-parts":[["2019",7,17]]}},"locator":"5[7]"}],"schema":"https://github.com/citation-style-language/schema/raw/master/csl-citation.json"} </w:instrText>
      </w:r>
      <w:r w:rsidRPr="003F3D6D">
        <w:rPr>
          <w:rFonts w:cstheme="minorHAnsi"/>
        </w:rPr>
        <w:fldChar w:fldCharType="separate"/>
      </w:r>
      <w:r w:rsidRPr="00BF579D">
        <w:rPr>
          <w:rFonts w:ascii="Calibri" w:hAnsi="Calibri" w:cs="Calibri"/>
          <w:szCs w:val="24"/>
        </w:rPr>
        <w:t>UN General Assembly, ‘Report of the Special Rapporteur on the Rights of Persons with Disabilities’ (n 233) 5[7].</w:t>
      </w:r>
      <w:r w:rsidRPr="003F3D6D">
        <w:rPr>
          <w:rFonts w:cstheme="minorHAnsi"/>
        </w:rPr>
        <w:fldChar w:fldCharType="end"/>
      </w:r>
    </w:p>
  </w:endnote>
  <w:endnote w:id="375">
    <w:p w14:paraId="5F84BD3E" w14:textId="0DD68A9A" w:rsidR="00A00236" w:rsidRPr="003F3D6D" w:rsidRDefault="00A00236" w:rsidP="00B757A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{"citationID":"O7G4ROKg","properties":{"formattedCitation":"Ibid 6[9].","plainCitation":"Ibid 6[9].","noteIndex":375},"citationItems":[{"id":5934,"uris":["http://zotero.org/groups/2733877/items/DDSJCITE"],"uri":["http://zotero.org/groups/2733877/items/DDSJCITE"],"itemData":{"id":5934,"type":"report","collection-title":"UN Doc","genre":"A/74/186","publisher":"United Nations","title":"Report of the Special Rapporteur on the Rights of Persons with Disabilities","URL":"https://undocs.org/en/A/74/186","author":[{"family":"UN General Assembly","given":""}],"issued":{"date-parts":[["2019",7,17]]}},"locator":"6[9]"}],"schema":"https://github.com/citation-style-language/schema/raw/master/csl-citation.json"} </w:instrText>
      </w:r>
      <w:r w:rsidRPr="003F3D6D">
        <w:rPr>
          <w:rFonts w:cstheme="minorHAnsi"/>
        </w:rPr>
        <w:fldChar w:fldCharType="separate"/>
      </w:r>
      <w:r w:rsidRPr="003F3D6D">
        <w:rPr>
          <w:rFonts w:cstheme="minorHAnsi"/>
          <w:noProof/>
        </w:rPr>
        <w:t>Ibid 6[9].</w:t>
      </w:r>
      <w:r w:rsidRPr="003F3D6D">
        <w:rPr>
          <w:rFonts w:cstheme="minorHAnsi"/>
        </w:rPr>
        <w:fldChar w:fldCharType="end"/>
      </w:r>
    </w:p>
  </w:endnote>
  <w:endnote w:id="376">
    <w:p w14:paraId="025CCE1E" w14:textId="0DB0CA16" w:rsidR="00A00236" w:rsidRPr="003F3D6D" w:rsidRDefault="00A00236" w:rsidP="00B757A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{"citationID":"jEgvB48c","properties":{"formattedCitation":"Ibid 9[18].","plainCitation":"Ibid 9[18].","noteIndex":376},"citationItems":[{"id":5934,"uris":["http://zotero.org/groups/2733877/items/DDSJCITE"],"uri":["http://zotero.org/groups/2733877/items/DDSJCITE"],"itemData":{"id":5934,"type":"report","collection-title":"UN Doc","genre":"A/74/186","publisher":"United Nations","title":"Report of the Special Rapporteur on the Rights of Persons with Disabilities","URL":"https://undocs.org/en/A/74/186","author":[{"family":"UN General Assembly","given":""}],"issued":{"date-parts":[["2019",7,17]]}},"locator":"9[18]"}],"schema":"https://github.com/citation-style-language/schema/raw/master/csl-citation.json"} </w:instrText>
      </w:r>
      <w:r w:rsidRPr="003F3D6D">
        <w:rPr>
          <w:rFonts w:cstheme="minorHAnsi"/>
        </w:rPr>
        <w:fldChar w:fldCharType="separate"/>
      </w:r>
      <w:r w:rsidRPr="003F3D6D">
        <w:rPr>
          <w:rFonts w:cstheme="minorHAnsi"/>
          <w:noProof/>
        </w:rPr>
        <w:t>Ibid 9[18].</w:t>
      </w:r>
      <w:r w:rsidRPr="003F3D6D">
        <w:rPr>
          <w:rFonts w:cstheme="minorHAnsi"/>
        </w:rPr>
        <w:fldChar w:fldCharType="end"/>
      </w:r>
    </w:p>
  </w:endnote>
  <w:endnote w:id="377">
    <w:p w14:paraId="3D5BF92A" w14:textId="0067F0C1" w:rsidR="00A00236" w:rsidRPr="003F3D6D" w:rsidRDefault="00A00236" w:rsidP="00B757A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{"citationID":"1zQERpMN","properties":{"formattedCitation":"Ibid 12[30].","plainCitation":"Ibid 12[30].","noteIndex":377},"citationItems":[{"id":5934,"uris":["http://zotero.org/groups/2733877/items/DDSJCITE"],"uri":["http://zotero.org/groups/2733877/items/DDSJCITE"],"itemData":{"id":5934,"type":"report","collection-title":"UN Doc","genre":"A/74/186","publisher":"United Nations","title":"Report of the Special Rapporteur on the Rights of Persons with Disabilities","URL":"https://undocs.org/en/A/74/186","author":[{"family":"UN General Assembly","given":""}],"issued":{"date-parts":[["2019",7,17]]}},"locator":"12[30]"}],"schema":"https://github.com/citation-style-language/schema/raw/master/csl-citation.json"} </w:instrText>
      </w:r>
      <w:r w:rsidRPr="003F3D6D">
        <w:rPr>
          <w:rFonts w:cstheme="minorHAnsi"/>
        </w:rPr>
        <w:fldChar w:fldCharType="separate"/>
      </w:r>
      <w:r w:rsidRPr="003F3D6D">
        <w:rPr>
          <w:rFonts w:cstheme="minorHAnsi"/>
          <w:noProof/>
        </w:rPr>
        <w:t>Ibid 12[30].</w:t>
      </w:r>
      <w:r w:rsidRPr="003F3D6D">
        <w:rPr>
          <w:rFonts w:cstheme="minorHAnsi"/>
        </w:rPr>
        <w:fldChar w:fldCharType="end"/>
      </w:r>
    </w:p>
  </w:endnote>
  <w:endnote w:id="378">
    <w:p w14:paraId="0C7296CE" w14:textId="12DD671E" w:rsidR="00A00236" w:rsidRPr="003F3D6D" w:rsidRDefault="00A00236" w:rsidP="00B757A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{"citationID":"VzgSLo3o","properties":{"formattedCitation":"Ibid 13[36].","plainCitation":"Ibid 13[36].","noteIndex":378},"citationItems":[{"id":5934,"uris":["http://zotero.org/groups/2733877/items/DDSJCITE"],"uri":["http://zotero.org/groups/2733877/items/DDSJCITE"],"itemData":{"id":5934,"type":"report","collection-title":"UN Doc","genre":"A/74/186","publisher":"United Nations","title":"Report of the Special Rapporteur on the Rights of Persons with Disabilities","URL":"https://undocs.org/en/A/74/186","author":[{"family":"UN General Assembly","given":""}],"issued":{"date-parts":[["2019",7,17]]}},"locator":"13[36]"}],"schema":"https://github.com/citation-style-language/schema/raw/master/csl-citation.json"} </w:instrText>
      </w:r>
      <w:r w:rsidRPr="003F3D6D">
        <w:rPr>
          <w:rFonts w:cstheme="minorHAnsi"/>
        </w:rPr>
        <w:fldChar w:fldCharType="separate"/>
      </w:r>
      <w:r w:rsidRPr="003F3D6D">
        <w:rPr>
          <w:rFonts w:cstheme="minorHAnsi"/>
          <w:noProof/>
        </w:rPr>
        <w:t>Ibid 13[36].</w:t>
      </w:r>
      <w:r w:rsidRPr="003F3D6D">
        <w:rPr>
          <w:rFonts w:cstheme="minorHAnsi"/>
        </w:rPr>
        <w:fldChar w:fldCharType="end"/>
      </w:r>
    </w:p>
  </w:endnote>
  <w:endnote w:id="379">
    <w:p w14:paraId="23101F73" w14:textId="6902F15E" w:rsidR="00A00236" w:rsidRPr="003F3D6D" w:rsidRDefault="00A00236" w:rsidP="00B757AE">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{"citationID":"7MHVLb2n","properties":{"formattedCitation":"Ibid 14[37].","plainCitation":"Ibid 14[37].","noteIndex":379},"citationItems":[{"id":5934,"uris":["http://zotero.org/groups/2733877/items/DDSJCITE"],"uri":["http://zotero.org/groups/2733877/items/DDSJCITE"],"itemData":{"id":5934,"type":"report","collection-title":"UN Doc","genre":"A/74/186","publisher":"United Nations","title":"Report of the Special Rapporteur on the Rights of Persons with Disabilities","URL":"https://undocs.org/en/A/74/186","author":[{"family":"UN General Assembly","given":""}],"issued":{"date-parts":[["2019",7,17]]}},"locator":"14[37]"}],"schema":"https://github.com/citation-style-language/schema/raw/master/csl-citation.json"} </w:instrText>
      </w:r>
      <w:r w:rsidRPr="003F3D6D">
        <w:rPr>
          <w:rFonts w:cstheme="minorHAnsi"/>
        </w:rPr>
        <w:fldChar w:fldCharType="separate"/>
      </w:r>
      <w:r w:rsidRPr="003F3D6D">
        <w:rPr>
          <w:rFonts w:cstheme="minorHAnsi"/>
          <w:noProof/>
        </w:rPr>
        <w:t>Ibid 14[37].</w:t>
      </w:r>
      <w:r w:rsidRPr="003F3D6D">
        <w:rPr>
          <w:rFonts w:cstheme="minorHAnsi"/>
        </w:rPr>
        <w:fldChar w:fldCharType="end"/>
      </w:r>
    </w:p>
  </w:endnote>
  <w:endnote w:id="380">
    <w:p w14:paraId="28CAA703" w14:textId="23A2B361"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{"citationID":"ifT8Op7J","properties":{"formattedCitation":"Committee on the Rights of Persons with Disabilities, \\uc0\\u8216{}General Comment No. 3 on Article 6: Women and Girls with Disabilities\\uc0\\u8217{} (n 96) 8[29].","plainCitation":"Committee on the Rights of Persons with Disabilities, ‘General Comment No. 3 on Article 6: Women and Girls with Disabilities’ (n 96) 8[29].","noteIndex":380},"citationItems":[{"id":6048,"uris":["http://zotero.org/groups/2733877/items/EJBHWJ76"],"uri":["http://zotero.org/groups/2733877/items/EJBHWJ76"],"itemData":{"id":6048,"type":"report","abstract":"Advance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Disabilities","given":""}],"accessed":{"date-parts":[["2021",2,1]]},"issued":{"date-parts":[["2016",9,2]]}},"locator":"8[29]"}],"schema":"https://github.com/citation-style-language/schema/raw/master/csl-citation.json"} </w:instrText>
      </w:r>
      <w:r w:rsidRPr="003F3D6D">
        <w:rPr>
          <w:rFonts w:cstheme="minorHAnsi"/>
        </w:rPr>
        <w:fldChar w:fldCharType="separate"/>
      </w:r>
      <w:r w:rsidRPr="00562342">
        <w:rPr>
          <w:rFonts w:ascii="Calibri" w:hAnsi="Calibri" w:cs="Calibri"/>
          <w:szCs w:val="24"/>
        </w:rPr>
        <w:t>Committee on the Rights of Persons with Disabilities, ‘General Comment No. 3 on Article 6: Women and Girls with Disabilities’ (n 96) 8[29].</w:t>
      </w:r>
      <w:r w:rsidRPr="003F3D6D">
        <w:rPr>
          <w:rFonts w:cstheme="minorHAnsi"/>
        </w:rPr>
        <w:fldChar w:fldCharType="end"/>
      </w:r>
    </w:p>
  </w:endnote>
  <w:endnote w:id="381">
    <w:p w14:paraId="0175E19B" w14:textId="1A980BBB"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{"citationID":"q6NJr043","properties":{"formattedCitation":"Ibid 8[31].","plainCitation":"Ibid 8[31].","noteIndex":381},"citationItems":[{"id":6048,"uris":["http://zotero.org/groups/2733877/items/EJBHWJ76"],"uri":["http://zotero.org/groups/2733877/items/EJBHWJ76"],"itemData":{"id":6048,"type":"report","abstract":"Advance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Disabilities","given":""}],"accessed":{"date-parts":[["2021",2,1]]},"issued":{"date-parts":[["2016",9,2]]}},"locator":"8[31]"}],"schema":"https://github.com/citation-style-language/schema/raw/master/csl-citation.json"} </w:instrText>
      </w:r>
      <w:r w:rsidRPr="003F3D6D">
        <w:rPr>
          <w:rFonts w:cstheme="minorHAnsi"/>
        </w:rPr>
        <w:fldChar w:fldCharType="separate"/>
      </w:r>
      <w:r w:rsidRPr="003F3D6D">
        <w:rPr>
          <w:rFonts w:cstheme="minorHAnsi"/>
          <w:noProof/>
        </w:rPr>
        <w:t>Ibid 8[31].</w:t>
      </w:r>
      <w:r w:rsidRPr="003F3D6D">
        <w:rPr>
          <w:rFonts w:cstheme="minorHAnsi"/>
        </w:rPr>
        <w:fldChar w:fldCharType="end"/>
      </w:r>
    </w:p>
  </w:endnote>
  <w:endnote w:id="382">
    <w:p w14:paraId="225C9DAD" w14:textId="707C587D"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{"citationID":"hD3TVtuB","properties":{"formattedCitation":"Ibid 8-9[31]-[32].","plainCitation":"Ibid 8-9[31]-[32].","noteIndex":382},"citationItems":[{"id":6048,"uris":["http://zotero.org/groups/2733877/items/EJBHWJ76"],"uri":["http://zotero.org/groups/2733877/items/EJBHWJ76"],"itemData":{"id":6048,"type":"report","abstract":"Advance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Disabilities","given":""}],"accessed":{"date-parts":[["2021",2,1]]},"issued":{"date-parts":[["2016",9,2]]}},"locator":"8-9[31]-[32]"}],"schema":"https://github.com/citation-style-language/schema/raw/master/csl-citation.json"} </w:instrText>
      </w:r>
      <w:r w:rsidRPr="003F3D6D">
        <w:rPr>
          <w:rFonts w:cstheme="minorHAnsi"/>
        </w:rPr>
        <w:fldChar w:fldCharType="separate"/>
      </w:r>
      <w:r w:rsidRPr="003F3D6D">
        <w:rPr>
          <w:rFonts w:cstheme="minorHAnsi"/>
          <w:noProof/>
        </w:rPr>
        <w:t>Ibid 8-9[31]-[32].</w:t>
      </w:r>
      <w:r w:rsidRPr="003F3D6D">
        <w:rPr>
          <w:rFonts w:cstheme="minorHAnsi"/>
        </w:rPr>
        <w:fldChar w:fldCharType="end"/>
      </w:r>
    </w:p>
  </w:endnote>
  <w:endnote w:id="383">
    <w:p w14:paraId="5619A953" w14:textId="6B32F7F7"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{"citationID":"chXOex3w","properties":{"formattedCitation":"Simonovic (n 86) 13[60]-[61].","plainCitation":"Simonovic (n 86) 13[60]-[61].","noteIndex":383},"citationItems":[{"id":6223,"uris":["http://zotero.org/groups/2733877/items/XWTAT747"],"uri":["http://zotero.org/groups/2733877/items/XWTAT747"],"itemData":{"id":6223,"type":"report","abstract":"Simonovic, Dubravka","genre":"A/HRC/38/47/Add.1","language":"en","note":"publisher: UN,","source":"digitallibrary.un.org","title":"Report of the Special Rapporteur on Violence against Women, its Causes and Consequences on her mission to Australia","URL":"http://digitallibrary.un.org/record/1627464","author":[{"family":"Simonovic","given":"Dubravka"}],"accessed":{"date-parts":[["2021",1,28]]},"issued":{"date-parts":[["2018",4,17]]}},"locator":"13[60]-[61]"}],"schema":"https://github.com/citation-style-language/schema/raw/master/csl-citation.json"} </w:instrText>
      </w:r>
      <w:r w:rsidRPr="003F3D6D">
        <w:rPr>
          <w:rFonts w:cstheme="minorHAnsi"/>
        </w:rPr>
        <w:fldChar w:fldCharType="separate"/>
      </w:r>
      <w:r w:rsidRPr="00794E5D">
        <w:rPr>
          <w:rFonts w:ascii="Calibri" w:hAnsi="Calibri" w:cs="Calibri"/>
        </w:rPr>
        <w:t>Simonovic (n 86) 13[60]-[61].</w:t>
      </w:r>
      <w:r w:rsidRPr="003F3D6D">
        <w:rPr>
          <w:rFonts w:cstheme="minorHAnsi"/>
        </w:rPr>
        <w:fldChar w:fldCharType="end"/>
      </w:r>
    </w:p>
  </w:endnote>
  <w:endnote w:id="384">
    <w:p w14:paraId="3181B254" w14:textId="304EA520"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{"citationID":"4KcNlzzc","properties":{"formattedCitation":"Committee on the Rights of Persons with Disabilities, \\uc0\\u8216{}Concluding Observations on the Initial Report of Australia, Adopted by the Committee at Its Tenth Session (2-13 September 2013)\\uc0\\u8217{} (n 12) 5[36].","plainCitation":"Committee on the Rights of Persons with Disabilities, ‘Concluding Observations on the Initial Report of Australia, Adopted by the Committee at Its Tenth Session (2-13 September 2013)’ (n 12) 5[36].","noteIndex":384},"citationItems":[{"id":6044,"uris":["http://zotero.org/groups/2733877/items/GW86GCS8"],"uri":["http://zotero.org/groups/2733877/items/GW86GCS8"],"itemData":{"id":6044,"type":"report","collection-title":"UN Doc","genre":"CRPD/C/AUS/CO/1","language":"en","publisher":"United Nations","title":"Concluding observations on the initial report of Australia, adopted by the Committee at its tenth session (2-13 September 2013)","URL":"https://www.refworld.org/docid/5280b5cb4.html","author":[{"family":"Committee on the Rights of Persons with Disabilities","given":""}],"accessed":{"date-parts":[["2021",1,27]]},"issued":{"date-parts":[["2013",10,21]]}},"locator":"5[36]"}],"schema":"https://github.com/citation-style-language/schema/raw/master/csl-citation.json"} </w:instrText>
      </w:r>
      <w:r w:rsidRPr="003F3D6D">
        <w:rPr>
          <w:rFonts w:cstheme="minorHAnsi"/>
        </w:rPr>
        <w:fldChar w:fldCharType="separate"/>
      </w:r>
      <w:r w:rsidRPr="003509C3">
        <w:rPr>
          <w:rFonts w:ascii="Calibri" w:hAnsi="Calibri" w:cs="Calibri"/>
          <w:szCs w:val="24"/>
        </w:rPr>
        <w:t>Committee on the Rights of Persons with Disabilities, ‘Concluding Observations on the Initial Report of Australia, Adopted by the Committee at Its Tenth Session (2-13 September 2013)’ (n 12) 5[36].</w:t>
      </w:r>
      <w:r w:rsidRPr="003F3D6D">
        <w:rPr>
          <w:rFonts w:cstheme="minorHAnsi"/>
        </w:rPr>
        <w:fldChar w:fldCharType="end"/>
      </w:r>
    </w:p>
  </w:endnote>
  <w:endnote w:id="385">
    <w:p w14:paraId="57A30227" w14:textId="4B0474FD"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{"citationID":"5yFHJLGO","properties":{"formattedCitation":"Committee on the Rights of Persons with Disabilities, \\uc0\\u8216{}Concluding Observations on the Combined Second and Third Periodic Reports of Australia, Adopted by the Committee at Its 511th Meeting (20 September 2019) of the 22nd Session\\uc0\\u8217{} (n 14) 9[31].","plainCitation":"Committee on the Rights of Persons with Disabilities, ‘Concluding Observations on the Combined Second and Third Periodic Reports of Australia, Adopted by the Committee at Its 511th Meeting (20 September 2019) of the 22nd Session’ (n 14) 9[31].","noteIndex":385},"citationItems":[{"id":5930,"uris":["http://zotero.org/groups/2733877/items/22NEYWVV"],"uri":["http://zotero.org/groups/2733877/items/22NEYWVV"],"itemData":{"id":5930,"type":"report","collection-title":"UN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Disabilities","given":""}],"issued":{"date-parts":[["2019",10,15]]}},"locator":"9[31]"}],"schema":"https://github.com/citation-style-language/schema/raw/master/csl-citation.json"} </w:instrText>
      </w:r>
      <w:r w:rsidRPr="003F3D6D">
        <w:rPr>
          <w:rFonts w:cstheme="minorHAnsi"/>
        </w:rPr>
        <w:fldChar w:fldCharType="separate"/>
      </w:r>
      <w:r w:rsidRPr="00C27B33">
        <w:rPr>
          <w:rFonts w:ascii="Calibri" w:hAnsi="Calibri" w:cs="Calibri"/>
          <w:szCs w:val="24"/>
        </w:rPr>
        <w:t>Committee on the Rights of Persons with Disabilities, ‘Concluding Observations on the Combined Second and Third Periodic Reports of Australia, Adopted by the Committee at Its 511th Meeting (20 September 2019) of the 22nd Session’ (n 14) 9[31].</w:t>
      </w:r>
      <w:r w:rsidRPr="003F3D6D">
        <w:rPr>
          <w:rFonts w:cstheme="minorHAnsi"/>
        </w:rPr>
        <w:fldChar w:fldCharType="end"/>
      </w:r>
    </w:p>
  </w:endnote>
  <w:endnote w:id="386">
    <w:p w14:paraId="23967081" w14:textId="3427D665"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{"citationID":"aTM2BLpu","properties":{"formattedCitation":"Ibid 9[32].","plainCitation":"Ibid 9[32].","noteIndex":386},"citationItems":[{"id":5930,"uris":["http://zotero.org/groups/2733877/items/22NEYWVV"],"uri":["http://zotero.org/groups/2733877/items/22NEYWVV"],"itemData":{"id":5930,"type":"report","collection-title":"UN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Disabilities","given":""}],"issued":{"date-parts":[["2019",10,15]]}},"locator":"9[32]"}],"schema":"https://github.com/citation-style-language/schema/raw/master/csl-citation.json"} </w:instrText>
      </w:r>
      <w:r w:rsidRPr="003F3D6D">
        <w:rPr>
          <w:rFonts w:cstheme="minorHAnsi"/>
        </w:rPr>
        <w:fldChar w:fldCharType="separate"/>
      </w:r>
      <w:r w:rsidRPr="003F3D6D">
        <w:rPr>
          <w:rFonts w:cstheme="minorHAnsi"/>
          <w:noProof/>
        </w:rPr>
        <w:t>Ibid 9[32].</w:t>
      </w:r>
      <w:r w:rsidRPr="003F3D6D">
        <w:rPr>
          <w:rFonts w:cstheme="minorHAnsi"/>
        </w:rPr>
        <w:fldChar w:fldCharType="end"/>
      </w:r>
    </w:p>
  </w:endnote>
  <w:endnote w:id="387">
    <w:p w14:paraId="5D66D2A3" w14:textId="7D40B95E"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{"citationID":"OYBUwYsO","properties":{"formattedCitation":"Committee on the Rights of Persons with Disabilities, {\\i{}General Comment No. 1 on Equal Recognition before the Law} (CRPD/C/GC/1, United Nations, 19 May 2014) 4[15] &lt;https://documents-dds-ny.un.org/doc/UNDOC/GEN/G14/031/20/PDF/G1403120.pdf?OpenElement&gt;.","plainCitation":"Committee on the Rights of Persons with Disabilities, General Comment No. 1 on Equal Recognition before the Law (CRPD/C/GC/1, United Nations, 19 May 2014) 4[15] &lt;https://documents-dds-ny.un.org/doc/UNDOC/GEN/G14/031/20/PDF/G1403120.pdf?OpenElement&gt;.","noteIndex":387},"citationItems":[{"id":5932,"uris":["http://zotero.org/groups/2733877/items/YHVB4SRY"],"uri":["http://zotero.org/groups/2733877/items/YHVB4SRY"],"itemData":{"id":5932,"type":"report","collection-title":"UN Doc","genre":"CRPD/C/GC/1","publisher":"United Nations","title":"General Comment No. 1 on equal recognition before the law","URL":"https://documents-dds-ny.un.org/doc/UNDOC/GEN/G14/031/20/PDF/G1403120.pdf?OpenElement","author":[{"family":"Committee on the Rights of Persons with Disabilities","given":""}],"issued":{"date-parts":[["2014",5,19]]}},"locator":"4[15]"}],"schema":"https://github.com/citation-style-language/schema/raw/master/csl-citation.json"} </w:instrText>
      </w:r>
      <w:r w:rsidRPr="003F3D6D">
        <w:rPr>
          <w:rFonts w:cstheme="minorHAnsi"/>
        </w:rPr>
        <w:fldChar w:fldCharType="separate"/>
      </w:r>
      <w:r w:rsidRPr="003F3D6D">
        <w:rPr>
          <w:rFonts w:cstheme="minorHAnsi"/>
        </w:rPr>
        <w:t xml:space="preserve">Committee on the Rights of Persons with Disabilities, </w:t>
      </w:r>
      <w:r w:rsidRPr="003F3D6D">
        <w:rPr>
          <w:rFonts w:cstheme="minorHAnsi"/>
          <w:i/>
          <w:iCs/>
        </w:rPr>
        <w:t>General Comment No. 1 on Equal Recognition before the Law</w:t>
      </w:r>
      <w:r w:rsidRPr="003F3D6D">
        <w:rPr>
          <w:rFonts w:cstheme="minorHAnsi"/>
        </w:rPr>
        <w:t xml:space="preserve"> (CRPD/C/GC/1, United Nations, 19 May 2014) 4[15] &lt;https://documents-dds-ny.un.org/doc/UNDOC/GEN/G14/031/20/PDF/G1403120.pdf?OpenElement&gt;.</w:t>
      </w:r>
      <w:r w:rsidRPr="003F3D6D">
        <w:rPr>
          <w:rFonts w:cstheme="minorHAnsi"/>
        </w:rPr>
        <w:fldChar w:fldCharType="end"/>
      </w:r>
    </w:p>
  </w:endnote>
  <w:endnote w:id="388">
    <w:p w14:paraId="4CABA5E2" w14:textId="41A238CC"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{"citationID":"2lai5V6M","properties":{"formattedCitation":"Ibid 3[14].","plainCitation":"Ibid 3[14].","noteIndex":388},"citationItems":[{"id":5932,"uris":["http://zotero.org/groups/2733877/items/YHVB4SRY"],"uri":["http://zotero.org/groups/2733877/items/YHVB4SRY"],"itemData":{"id":5932,"type":"report","collection-title":"UN Doc","genre":"CRPD/C/GC/1","publisher":"United Nations","title":"General Comment No. 1 on equal recognition before the law","URL":"https://documents-dds-ny.un.org/doc/UNDOC/GEN/G14/031/20/PDF/G1403120.pdf?OpenElement","author":[{"family":"Committee on the Rights of Persons with Disabilities","given":""}],"issued":{"date-parts":[["2014",5,19]]}},"locator":"3[14]"}],"schema":"https://github.com/citation-style-language/schema/raw/master/csl-citation.json"} </w:instrText>
      </w:r>
      <w:r w:rsidRPr="003F3D6D">
        <w:rPr>
          <w:rFonts w:cstheme="minorHAnsi"/>
        </w:rPr>
        <w:fldChar w:fldCharType="separate"/>
      </w:r>
      <w:r w:rsidRPr="003F3D6D">
        <w:rPr>
          <w:rFonts w:cstheme="minorHAnsi"/>
          <w:noProof/>
        </w:rPr>
        <w:t>Ibid 3[14].</w:t>
      </w:r>
      <w:r w:rsidRPr="003F3D6D">
        <w:rPr>
          <w:rFonts w:cstheme="minorHAnsi"/>
        </w:rPr>
        <w:fldChar w:fldCharType="end"/>
      </w:r>
    </w:p>
  </w:endnote>
  <w:endnote w:id="389">
    <w:p w14:paraId="7007B3CD" w14:textId="0F0453B4"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{"citationID":"PpAK6cAG","properties":{"formattedCitation":"Gerard Quinn, \\uc0\\u8216{}Personhood &amp; Legal Capacity: Perspectives on the Paradigm Shift of Article 12 CRPD Concept Paper\\uc0\\u8217{} (2010) 5 &lt;http://www.fedvol.ie/_fileupload/Research/NDE%20Reading%20Lists/Harvard%20Legal%20Capacity%20gq%20draft%202%20Gerard%20Quinn%20Feb%202010.pdf&gt;.","plainCitation":"Gerard Quinn, ‘Personhood &amp; Legal Capacity: Perspectives on the Paradigm Shift of Article 12 CRPD Concept Paper’ (2010) 5 &lt;http://www.fedvol.ie/_fileupload/Research/NDE%20Reading%20Lists/Harvard%20Legal%20Capacity%20gq%20draft%202%20Gerard%20Quinn%20Feb%202010.pdf&gt;.","noteIndex":389},"citationItems":[{"id":5936,"uris":["http://zotero.org/groups/2733877/items/QKFD3CK3"],"uri":["http://zotero.org/groups/2733877/items/QKFD3CK3"],"itemData":{"id":5936,"type":"paper-conference","event":"Harvard Law School Project on Disability Conference","event-place":"Harvard Law School","publisher-place":"Harvard Law School","title":"Personhood &amp; Legal Capacity: Perspectives on the Paradigm Shift of Article 12 CRPD Concept Paper","URL":"http://www.fedvol.ie/_fileupload/Research/NDE%20Reading%20Lists/Harvard%20Legal%20Capacity%20gq%20draft%202%20Gerard%20Quinn%20Feb%202010.pdf","author":[{"family":"Quinn","given":"Gerard"}],"issued":{"date-parts":[["2010",2,20]]}},"locator":"5"}],"schema":"https://github.com/citation-style-language/schema/raw/master/csl-citation.json"} </w:instrText>
      </w:r>
      <w:r w:rsidRPr="003F3D6D">
        <w:rPr>
          <w:rFonts w:cstheme="minorHAnsi"/>
        </w:rPr>
        <w:fldChar w:fldCharType="separate"/>
      </w:r>
      <w:r w:rsidRPr="003F3D6D">
        <w:rPr>
          <w:rFonts w:cstheme="minorHAnsi"/>
        </w:rPr>
        <w:t>Gerard Quinn, ‘Personhood &amp; Legal Capacity: Perspectives on the Paradigm Shift of Article 12 CRPD Concept Paper’ (2010) 5 &lt;http://www.fedvol.ie/_fileupload/Research/NDE%20Reading%20Lists/Harvard%20Legal%20Capacity%20gq%20draft%202%20Gerard%20Quinn%20Feb%202010.pdf&gt;.</w:t>
      </w:r>
      <w:r w:rsidRPr="003F3D6D">
        <w:rPr>
          <w:rFonts w:cstheme="minorHAnsi"/>
        </w:rPr>
        <w:fldChar w:fldCharType="end"/>
      </w:r>
    </w:p>
  </w:endnote>
  <w:endnote w:id="390">
    <w:p w14:paraId="7289C478" w14:textId="0958094F"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{"citationID":"bGgPQdui","properties":{"formattedCitation":"Committee on the Rights of Persons with Disabilities, \\uc0\\u8216{}General Comment No. 6 on Equality and Non-Discrimination\\uc0\\u8217{} (n 340) 12[47].","plainCitation":"Committee on the Rights of Persons with Disabilities, ‘General Comment No. 6 on Equality and Non-Discrimination’ (n 340) 12[47].","noteIndex":390},"citationItems":[{"id":5942,"uris":["http://zotero.org/groups/2733877/items/RCJUU6ZB"],"uri":["http://zotero.org/groups/2733877/items/RCJUU6ZB"],"itemData":{"id":5942,"type":"report","genre":"CRPD/C/GC/6","publisher":"United Nations","title":"General Comment No. 6 on equality and non-discrimination","URL":"https://tbinternet.ohchr.org/_layouts/15/treatybodyexternal/Download.aspx?symbolno=CRPD/C/GC/6&amp;Lang=en","author":[{"family":"Committee on the Rights of Persons with Disabilities","given":""}],"issued":{"date-parts":[["2018",4,26]]}},"locator":"12[47]"}],"schema":"https://github.com/citation-style-language/schema/raw/master/csl-citation.json"} </w:instrText>
      </w:r>
      <w:r w:rsidRPr="003F3D6D">
        <w:rPr>
          <w:rFonts w:cstheme="minorHAnsi"/>
        </w:rPr>
        <w:fldChar w:fldCharType="separate"/>
      </w:r>
      <w:r w:rsidR="004849F5" w:rsidRPr="004849F5">
        <w:rPr>
          <w:rFonts w:ascii="Calibri" w:hAnsi="Calibri" w:cs="Calibri"/>
          <w:szCs w:val="24"/>
        </w:rPr>
        <w:t>Committee on the Rights of Persons with Disabilities, ‘General Comment No. 6 on Equality and Non-Discrimination’ (n 340) 12[47].</w:t>
      </w:r>
      <w:r w:rsidRPr="003F3D6D">
        <w:rPr>
          <w:rFonts w:cstheme="minorHAnsi"/>
        </w:rPr>
        <w:fldChar w:fldCharType="end"/>
      </w:r>
    </w:p>
  </w:endnote>
  <w:endnote w:id="391">
    <w:p w14:paraId="2A431952" w14:textId="730EFBA5"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{"citationID":"xs6sYvvH","properties":{"formattedCitation":"Committee on the Rights of Persons with Disabilities, \\uc0\\u8216{}General Comment No. 1 on Equal Recognition before the Law\\uc0\\u8217{} (n 387) 2[7].","plainCitation":"Committee on the Rights of Persons with Disabilities, ‘General Comment No. 1 on Equal Recognition before the Law’ (n 387) 2[7].","noteIndex":391},"citationItems":[{"id":5932,"uris":["http://zotero.org/groups/2733877/items/YHVB4SRY"],"uri":["http://zotero.org/groups/2733877/items/YHVB4SRY"],"itemData":{"id":5932,"type":"report","collection-title":"UN Doc","genre":"CRPD/C/GC/1","publisher":"United Nations","title":"General Comment No. 1 on equal recognition before the law","URL":"https://documents-dds-ny.un.org/doc/UNDOC/GEN/G14/031/20/PDF/G1403120.pdf?OpenElement","author":[{"family":"Committee on the Rights of Persons with Disabilities","given":""}],"issued":{"date-parts":[["2014",5,19]]}},"locator":"2[7]"}],"schema":"https://github.com/citation-style-language/schema/raw/master/csl-citation.json"} </w:instrText>
      </w:r>
      <w:r w:rsidRPr="003F3D6D">
        <w:rPr>
          <w:rFonts w:cstheme="minorHAnsi"/>
        </w:rPr>
        <w:fldChar w:fldCharType="separate"/>
      </w:r>
      <w:r w:rsidR="004849F5" w:rsidRPr="004849F5">
        <w:rPr>
          <w:rFonts w:ascii="Calibri" w:hAnsi="Calibri" w:cs="Calibri"/>
          <w:szCs w:val="24"/>
        </w:rPr>
        <w:t>Committee on the Rights of Persons with Disabilities, ‘General Comment No. 1 on Equal Recognition before the Law’ (n 387) 2[7].</w:t>
      </w:r>
      <w:r w:rsidRPr="003F3D6D">
        <w:rPr>
          <w:rFonts w:cstheme="minorHAnsi"/>
        </w:rPr>
        <w:fldChar w:fldCharType="end"/>
      </w:r>
    </w:p>
  </w:endnote>
  <w:endnote w:id="392">
    <w:p w14:paraId="6B2F1DA7" w14:textId="45A51F76"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{"citationID":"uKIEuPFL","properties":{"formattedCitation":"Ibid 6[25].","plainCitation":"Ibid 6[25].","noteIndex":392},"citationItems":[{"id":5932,"uris":["http://zotero.org/groups/2733877/items/YHVB4SRY"],"uri":["http://zotero.org/groups/2733877/items/YHVB4SRY"],"itemData":{"id":5932,"type":"report","collection-title":"UN Doc","genre":"CRPD/C/GC/1","publisher":"United Nations","title":"General Comment No. 1 on equal recognition before the law","URL":"https://documents-dds-ny.un.org/doc/UNDOC/GEN/G14/031/20/PDF/G1403120.pdf?OpenElement","author":[{"family":"Committee on the Rights of Persons with Disabilities","given":""}],"issued":{"date-parts":[["2014",5,19]]}},"locator":"6[25]"}],"schema":"https://github.com/citation-style-language/schema/raw/master/csl-citation.json"} </w:instrText>
      </w:r>
      <w:r w:rsidRPr="003F3D6D">
        <w:rPr>
          <w:rFonts w:cstheme="minorHAnsi"/>
        </w:rPr>
        <w:fldChar w:fldCharType="separate"/>
      </w:r>
      <w:r w:rsidRPr="003F3D6D">
        <w:rPr>
          <w:rFonts w:cstheme="minorHAnsi"/>
          <w:noProof/>
        </w:rPr>
        <w:t>Ibid 6[25].</w:t>
      </w:r>
      <w:r w:rsidRPr="003F3D6D">
        <w:rPr>
          <w:rFonts w:cstheme="minorHAnsi"/>
        </w:rPr>
        <w:fldChar w:fldCharType="end"/>
      </w:r>
    </w:p>
  </w:endnote>
  <w:endnote w:id="393">
    <w:p w14:paraId="099178B9" w14:textId="594F2B9F"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{"citationID":"t2ZcKO86","properties":{"formattedCitation":"Ibid 12[50]; See also Committee on the Rights of Persons with Disabilities, \\uc0\\u8216{}General Comment No. 6 on Equality and Non-Discrimination\\uc0\\u8217{} (n 340) 12[49].","plainCitation":"Ibid 12[50]; See also Committee on the Rights of Persons with Disabilities, ‘General Comment No. 6 on Equality and Non-Discrimination’ (n 340) 12[49].","noteIndex":393},"citationItems":[{"id":5932,"uris":["http://zotero.org/groups/2733877/items/YHVB4SRY"],"uri":["http://zotero.org/groups/2733877/items/YHVB4SRY"],"itemData":{"id":5932,"type":"report","collection-title":"UN Doc","genre":"CRPD/C/GC/1","publisher":"United Nations","title":"General Comment No. 1 on equal recognition before the law","URL":"https://documents-dds-ny.un.org/doc/UNDOC/GEN/G14/031/20/PDF/G1403120.pdf?OpenElement","author":[{"family":"Committee on the Rights of Persons with Disabilities","given":""}],"issued":{"date-parts":[["2014",5,19]]}},"locator":"12[50]"},{"id":5942,"uris":["http://zotero.org/groups/2733877/items/RCJUU6ZB"],"uri":["http://zotero.org/groups/2733877/items/RCJUU6ZB"],"itemData":{"id":5942,"type":"report","genre":"CRPD/C/GC/6","publisher":"United Nations","title":"General Comment No. 6 on equality and non-discrimination","URL":"https://tbinternet.ohchr.org/_layouts/15/treatybodyexternal/Download.aspx?symbolno=CRPD/C/GC/6&amp;Lang=en","author":[{"family":"Committee on the Rights of Persons with Disabilities","given":""}],"issued":{"date-parts":[["2018",4,26]]}},"locator":"12[49]","prefix":"See also"}],"schema":"https://github.com/citation-style-language/schema/raw/master/csl-citation.json"} </w:instrText>
      </w:r>
      <w:r w:rsidRPr="003F3D6D">
        <w:rPr>
          <w:rFonts w:cstheme="minorHAnsi"/>
        </w:rPr>
        <w:fldChar w:fldCharType="separate"/>
      </w:r>
      <w:r w:rsidR="004849F5" w:rsidRPr="004849F5">
        <w:rPr>
          <w:rFonts w:ascii="Calibri" w:hAnsi="Calibri" w:cs="Calibri"/>
          <w:szCs w:val="24"/>
        </w:rPr>
        <w:t>Ibid 12[50]; See also Committee on the Rights of Persons with Disabilities, ‘General Comment No. 6 on Equality and Non-Discrimination’ (n 340) 12[49].</w:t>
      </w:r>
      <w:r w:rsidRPr="003F3D6D">
        <w:rPr>
          <w:rFonts w:cstheme="minorHAnsi"/>
        </w:rPr>
        <w:fldChar w:fldCharType="end"/>
      </w:r>
    </w:p>
  </w:endnote>
  <w:endnote w:id="394">
    <w:p w14:paraId="2CD0F7CC" w14:textId="2EA9592E"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{"citationID":"4NqsZHUU","properties":{"formattedCitation":"Committee on the Rights of Persons with Disabilities, \\uc0\\u8216{}General Comment No. 1 on Equal Recognition before the Law\\uc0\\u8217{} (n 387).","plainCitation":"Committee on the Rights of Persons with Disabilities, ‘General Comment No. 1 on Equal Recognition before the Law’ (n 387).","noteIndex":394},"citationItems":[{"id":5932,"uris":["http://zotero.org/groups/2733877/items/YHVB4SRY"],"uri":["http://zotero.org/groups/2733877/items/YHVB4SRY"],"itemData":{"id":5932,"type":"report","collection-title":"UN Doc","genre":"CRPD/C/GC/1","publisher":"United Nations","title":"General Comment No. 1 on equal recognition before the law","URL":"https://documents-dds-ny.un.org/doc/UNDOC/GEN/G14/031/20/PDF/G1403120.pdf?OpenElement","author":[{"family":"Committee on the Rights of Persons with Disabilities","given":""}],"issued":{"date-parts":[["2014",5,19]]}}}],"schema":"https://github.com/citation-style-language/schema/raw/master/csl-citation.json"} </w:instrText>
      </w:r>
      <w:r w:rsidRPr="003F3D6D">
        <w:rPr>
          <w:rFonts w:cstheme="minorHAnsi"/>
        </w:rPr>
        <w:fldChar w:fldCharType="separate"/>
      </w:r>
      <w:r w:rsidR="004849F5" w:rsidRPr="004849F5">
        <w:rPr>
          <w:rFonts w:ascii="Calibri" w:hAnsi="Calibri" w:cs="Calibri"/>
          <w:szCs w:val="24"/>
        </w:rPr>
        <w:t>Committee on the Rights of Persons with Disabilities, ‘General Comment No. 1 on Equal Recognition before the Law’ (n 387).</w:t>
      </w:r>
      <w:r w:rsidRPr="003F3D6D">
        <w:rPr>
          <w:rFonts w:cstheme="minorHAnsi"/>
        </w:rPr>
        <w:fldChar w:fldCharType="end"/>
      </w:r>
    </w:p>
  </w:endnote>
  <w:endnote w:id="395">
    <w:p w14:paraId="67BF157D" w14:textId="086F6506"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{"citationID":"sVcA0YSL","properties":{"formattedCitation":"Ibid 6[28].","plainCitation":"Ibid 6[28].","noteIndex":395},"citationItems":[{"id":5932,"uris":["http://zotero.org/groups/2733877/items/YHVB4SRY"],"uri":["http://zotero.org/groups/2733877/items/YHVB4SRY"],"itemData":{"id":5932,"type":"report","collection-title":"UN Doc","genre":"CRPD/C/GC/1","publisher":"United Nations","title":"General Comment No. 1 on equal recognition before the law","URL":"https://documents-dds-ny.un.org/doc/UNDOC/GEN/G14/031/20/PDF/G1403120.pdf?OpenElement","author":[{"family":"Committee on the Rights of Persons with Disabilities","given":""}],"issued":{"date-parts":[["2014",5,19]]}},"locator":"6[28]"}],"schema":"https://github.com/citation-style-language/schema/raw/master/csl-citation.json"} </w:instrText>
      </w:r>
      <w:r w:rsidRPr="003F3D6D">
        <w:rPr>
          <w:rFonts w:cstheme="minorHAnsi"/>
        </w:rPr>
        <w:fldChar w:fldCharType="separate"/>
      </w:r>
      <w:r w:rsidRPr="003F3D6D">
        <w:rPr>
          <w:rFonts w:cstheme="minorHAnsi"/>
          <w:noProof/>
        </w:rPr>
        <w:t>Ibid 6[28].</w:t>
      </w:r>
      <w:r w:rsidRPr="003F3D6D">
        <w:rPr>
          <w:rFonts w:cstheme="minorHAnsi"/>
        </w:rPr>
        <w:fldChar w:fldCharType="end"/>
      </w:r>
    </w:p>
  </w:endnote>
  <w:endnote w:id="396">
    <w:p w14:paraId="28A84815" w14:textId="45F2EF2E"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5F31C4">
        <w:rPr>
          <w:rFonts w:cstheme="minorHAnsi"/>
        </w:rPr>
        <w:instrText xml:space="preserve"> ADDIN ZOTERO_ITEM CSL_CITATION {"citationID":"6QHKIc8A","properties":{"formattedCitation":"New South Wales Law Reform Commission (n 36).","plainCitation":"New South Wales Law Reform Commission (n 36).","noteIndex":396},"citationItems":[{"id":"mOkcIPU4/HvCf0yT3","uris":["http://zotero.org/users/5640764/items/2MIXG6FA"],"uri":["http://zotero.org/users/5640764/items/2MIXG6FA"],"itemData":{"id":125,"type":"report","event-place":"Sydney","number":"145","publisher":"New South Wales Law Reform Commission","publisher-place":"Sydney","title":"Review of the Guardianship Act 1987","author":[{"family":"New South Wales Law Reform Commission","given":""}],"issued":{"date-parts":[["2018"]]}}}],"schema":"https://github.com/citation-style-language/schema/raw/master/csl-citation.json"} </w:instrText>
      </w:r>
      <w:r w:rsidRPr="003F3D6D">
        <w:rPr>
          <w:rFonts w:cstheme="minorHAnsi"/>
        </w:rPr>
        <w:fldChar w:fldCharType="separate"/>
      </w:r>
      <w:r w:rsidRPr="003509C3">
        <w:rPr>
          <w:rFonts w:ascii="Calibri" w:hAnsi="Calibri" w:cs="Calibri"/>
        </w:rPr>
        <w:t>New South Wales Law Reform Commission (n 36).</w:t>
      </w:r>
      <w:r w:rsidRPr="003F3D6D">
        <w:rPr>
          <w:rFonts w:cstheme="minorHAnsi"/>
        </w:rPr>
        <w:fldChar w:fldCharType="end"/>
      </w:r>
    </w:p>
  </w:endnote>
  <w:endnote w:id="397">
    <w:p w14:paraId="5AE22824" w14:textId="4A447BE2"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{"citationID":"thzux2MK","properties":{"formattedCitation":"Committee on the Rights of Persons with Disabilities, \\uc0\\u8216{}General Comment No. 1 on Equal Recognition before the Law\\uc0\\u8217{} (n 387) 11[42].","plainCitation":"Committee on the Rights of Persons with Disabilities, ‘General Comment No. 1 on Equal Recognition before the Law’ (n 387) 11[42].","noteIndex":397},"citationItems":[{"id":5932,"uris":["http://zotero.org/groups/2733877/items/YHVB4SRY"],"uri":["http://zotero.org/groups/2733877/items/YHVB4SRY"],"itemData":{"id":5932,"type":"report","collection-title":"UN Doc","genre":"CRPD/C/GC/1","publisher":"United Nations","title":"General Comment No. 1 on equal recognition before the law","URL":"https://documents-dds-ny.un.org/doc/UNDOC/GEN/G14/031/20/PDF/G1403120.pdf?OpenElement","author":[{"family":"Committee on the Rights of Persons with Disabilities","given":""}],"issued":{"date-parts":[["2014",5,19]]}},"locator":"11[42]"}],"schema":"https://github.com/citation-style-language/schema/raw/master/csl-citation.json"} </w:instrText>
      </w:r>
      <w:r w:rsidRPr="003F3D6D">
        <w:rPr>
          <w:rFonts w:cstheme="minorHAnsi"/>
        </w:rPr>
        <w:fldChar w:fldCharType="separate"/>
      </w:r>
      <w:r w:rsidR="004849F5" w:rsidRPr="004849F5">
        <w:rPr>
          <w:rFonts w:ascii="Calibri" w:hAnsi="Calibri" w:cs="Calibri"/>
          <w:szCs w:val="24"/>
        </w:rPr>
        <w:t>Committee on the Rights of Persons with Disabilities, ‘General Comment No. 1 on Equal Recognition before the Law’ (n 387) 11[42].</w:t>
      </w:r>
      <w:r w:rsidRPr="003F3D6D">
        <w:rPr>
          <w:rFonts w:cstheme="minorHAnsi"/>
        </w:rPr>
        <w:fldChar w:fldCharType="end"/>
      </w:r>
    </w:p>
  </w:endnote>
  <w:endnote w:id="398">
    <w:p w14:paraId="312AD71A" w14:textId="62C53BEA"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4LIYq2ze","properties":{"formattedCitation":"Ibid.","plainCitation":"Ibid.","noteIndex":398},"citationItems":[{"id":5932,"uris":["http://zotero.org/groups/2733877/items/YHVB4SRY"],"uri":["http://zotero.org/groups/2733877/items/YHVB4SRY"],"itemData":{"id":5932,"type":"report","collection-title":"UN Doc","genre":"CRPD/C/GC/1","publisher":"United Nations","title":"General Comment No. 1 on equal recognition before the law","URL":"https://documents-dds-ny.un.org/doc/UNDOC/GEN/G14/031/20/PDF/G1403120.pdf?OpenElement","author":[{"family":"Committee on the Rights of Persons with Disabilities","given":""}],"issued":{"date-parts":[["2014",5,19]]}},"locator":"11[42]"}],"schema":"https://github.com/citation-style-language/schema/raw/master/csl-citation.json"}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399">
    <w:p w14:paraId="538ADB1C" w14:textId="40F38639"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{"citationID":"E7AeFHjl","properties":{"formattedCitation":"UN General Assembly, \\uc0\\u8216{}Report of the Special Rapporteur on the Rights of Persons with Disabilities\\uc0\\u8217{} (n 233) 12[31].","plainCitation":"UN General Assembly, ‘Report of the Special Rapporteur on the Rights of Persons with Disabilities’ (n 233) 12[31].","noteIndex":399},"citationItems":[{"id":5934,"uris":["http://zotero.org/groups/2733877/items/DDSJCITE"],"uri":["http://zotero.org/groups/2733877/items/DDSJCITE"],"itemData":{"id":5934,"type":"report","collection-title":"UN Doc","genre":"A/74/186","publisher":"United Nations","title":"Report of the Special Rapporteur on the Rights of Persons with Disabilities","URL":"https://undocs.org/en/A/74/186","author":[{"family":"UN General Assembly","given":""}],"issued":{"date-parts":[["2019",7,17]]}},"locator":"12[31]"}],"schema":"https://github.com/citation-style-language/schema/raw/master/csl-citation.json"} </w:instrText>
      </w:r>
      <w:r w:rsidRPr="003F3D6D">
        <w:rPr>
          <w:rFonts w:cstheme="minorHAnsi"/>
        </w:rPr>
        <w:fldChar w:fldCharType="separate"/>
      </w:r>
      <w:r w:rsidRPr="00BF579D">
        <w:rPr>
          <w:rFonts w:ascii="Calibri" w:hAnsi="Calibri" w:cs="Calibri"/>
          <w:szCs w:val="24"/>
        </w:rPr>
        <w:t>UN General Assembly, ‘Report of the Special Rapporteur on the Rights of Persons with Disabilities’ (n 233) 12[31].</w:t>
      </w:r>
      <w:r w:rsidRPr="003F3D6D">
        <w:rPr>
          <w:rFonts w:cstheme="minorHAnsi"/>
        </w:rPr>
        <w:fldChar w:fldCharType="end"/>
      </w:r>
    </w:p>
  </w:endnote>
  <w:endnote w:id="400">
    <w:p w14:paraId="110492C6" w14:textId="6DADB8CB"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{"citationID":"4fcAKdYL","properties":{"formattedCitation":"Committee on the Rights of Persons with Disabilities, \\uc0\\u8216{}General Comment No. 3 on Article 6: Women and Girls with Disabilities\\uc0\\u8217{} (n 96); See also Committee on the Rights of Persons with Disabilities, \\uc0\\u8216{}General Comment No. 1 on Equal Recognition before the Law\\uc0\\u8217{} (n 387).","plainCitation":"Committee on the Rights of Persons with Disabilities, ‘General Comment No. 3 on Article 6: Women and Girls with Disabilities’ (n 96); See also Committee on the Rights of Persons with Disabilities, ‘General Comment No. 1 on Equal Recognition before the Law’ (n 387).","noteIndex":400},"citationItems":[{"id":6048,"uris":["http://zotero.org/groups/2733877/items/EJBHWJ76"],"uri":["http://zotero.org/groups/2733877/items/EJBHWJ76"],"itemData":{"id":6048,"type":"report","abstract":"Advance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id":5932,"uris":["http://zotero.org/groups/2733877/items/YHVB4SRY"],"uri":["http://zotero.org/groups/2733877/items/YHVB4SRY"],"itemData":{"id":5932,"type":"report","collection-title":"UN Doc","genre":"CRPD/C/GC/1","publisher":"United Nations","title":"General Comment No. 1 on equal recognition before the law","URL":"https://documents-dds-ny.un.org/doc/UNDOC/GEN/G14/031/20/PDF/G1403120.pdf?OpenElement","author":[{"family":"Committee on the Rights of Persons with Disabilities","given":""}],"issued":{"date-parts":[["2014",5,19]]}},"prefix":"See also"}],"schema":"https://github.com/citation-style-language/schema/raw/master/csl-citation.json"} </w:instrText>
      </w:r>
      <w:r w:rsidRPr="003F3D6D">
        <w:rPr>
          <w:rFonts w:cstheme="minorHAnsi"/>
        </w:rPr>
        <w:fldChar w:fldCharType="separate"/>
      </w:r>
      <w:r w:rsidR="004849F5" w:rsidRPr="004849F5">
        <w:rPr>
          <w:rFonts w:ascii="Calibri" w:hAnsi="Calibri" w:cs="Calibri"/>
          <w:szCs w:val="24"/>
        </w:rPr>
        <w:t>Committee on the Rights of Persons with Disabilities, ‘General Comment No. 3 on Article 6: Women and Girls with Disabilities’ (n 96); See also Committee on the Rights of Persons with Disabilities, ‘General Comment No. 1 on Equal Recognition before the Law’ (n 387).</w:t>
      </w:r>
      <w:r w:rsidRPr="003F3D6D">
        <w:rPr>
          <w:rFonts w:cstheme="minorHAnsi"/>
        </w:rPr>
        <w:fldChar w:fldCharType="end"/>
      </w:r>
    </w:p>
  </w:endnote>
  <w:endnote w:id="401">
    <w:p w14:paraId="777F61FC" w14:textId="7779EDFF"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{"citationID":"RLDoOvBw","properties":{"formattedCitation":"Committee on the Rights of Persons with Disabilities, \\uc0\\u8216{}General Comment No. 3 on Article 6: Women and Girls with Disabilities\\uc0\\u8217{} (n 96) 11[45].","plainCitation":"Committee on the Rights of Persons with Disabilities, ‘General Comment No. 3 on Article 6: Women and Girls with Disabilities’ (n 96) 11[45].","noteIndex":401},"citationItems":[{"id":6048,"uris":["http://zotero.org/groups/2733877/items/EJBHWJ76"],"uri":["http://zotero.org/groups/2733877/items/EJBHWJ76"],"itemData":{"id":6048,"type":"report","abstract":"Advance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Disabilities","given":""}],"accessed":{"date-parts":[["2021",2,1]]},"issued":{"date-parts":[["2016",9,2]]}},"locator":"11[45]"}],"schema":"https://github.com/citation-style-language/schema/raw/master/csl-citation.json"} </w:instrText>
      </w:r>
      <w:r w:rsidRPr="003F3D6D">
        <w:rPr>
          <w:rFonts w:cstheme="minorHAnsi"/>
        </w:rPr>
        <w:fldChar w:fldCharType="separate"/>
      </w:r>
      <w:r w:rsidRPr="00562342">
        <w:rPr>
          <w:rFonts w:ascii="Calibri" w:hAnsi="Calibri" w:cs="Calibri"/>
          <w:szCs w:val="24"/>
        </w:rPr>
        <w:t>Committee on the Rights of Persons with Disabilities, ‘General Comment No. 3 on Article 6: Women and Girls with Disabilities’ (n 96) 11[45].</w:t>
      </w:r>
      <w:r w:rsidRPr="003F3D6D">
        <w:rPr>
          <w:rFonts w:cstheme="minorHAnsi"/>
        </w:rPr>
        <w:fldChar w:fldCharType="end"/>
      </w:r>
    </w:p>
  </w:endnote>
  <w:endnote w:id="402">
    <w:p w14:paraId="6CDEF941" w14:textId="02685A27"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nTkWtg6w","properties":{"formattedCitation":"Ibid.","plainCitation":"Ibid.","noteIndex":402},"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Disabilities","given":""}],"accessed":{"date-parts":[["2021",2,1]]},"issued":{"date-parts":[["2016",9,2]]}},"locator":"11[45]"}],"schema":"https://github.com/citation-style-language/schema/raw/master/csl-citation.json"}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403">
    <w:p w14:paraId="410D246E" w14:textId="25326BBB"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{"citationID":"tWbTZO1x","properties":{"formattedCitation":"Women With Disabilities Australia, \\uc0\\u8216{}WWDA Position Statement 2: The Right to Decision-Making\\uc0\\u8217{} (n 274) 2.","plainCitation":"Women With Disabilities Australia, ‘WWDA Position Statement 2: The Right to Decision-Making’ (n 274) 2.","noteIndex":403},"citationItems":[{"id":5966,"uris":["http://zotero.org/groups/2733877/items/8DDG9XKE"],"uri":["http://zotero.org/groups/2733877/items/8DDG9XKE"],"itemData":{"id":5966,"type":"report","event-place":"Hobart, Tasmania","publisher":"WWDA","publisher-place":"Hobart, Tasmania","title":"WWDA Position Statement 2: The Right to Decision-Making","author":[{"family":"Women With Disabilities Australia","given":""}],"issued":{"date-parts":[["2016",9]]}},"locator":"2"}],"schema":"https://github.com/citation-style-language/schema/raw/master/csl-citation.json"} </w:instrText>
      </w:r>
      <w:r w:rsidRPr="003F3D6D">
        <w:rPr>
          <w:rFonts w:cstheme="minorHAnsi"/>
        </w:rPr>
        <w:fldChar w:fldCharType="separate"/>
      </w:r>
      <w:r w:rsidRPr="003644C1">
        <w:rPr>
          <w:rFonts w:ascii="Calibri" w:hAnsi="Calibri" w:cs="Calibri"/>
          <w:szCs w:val="24"/>
        </w:rPr>
        <w:t>Women With Disabilities Australia, ‘WWDA Position Statement 2: The Right to Decision-Making’ (n 274) 2.</w:t>
      </w:r>
      <w:r w:rsidRPr="003F3D6D">
        <w:rPr>
          <w:rFonts w:cstheme="minorHAnsi"/>
        </w:rPr>
        <w:fldChar w:fldCharType="end"/>
      </w:r>
    </w:p>
  </w:endnote>
  <w:endnote w:id="404">
    <w:p w14:paraId="303B6681" w14:textId="2B0472A2"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{"citationID":"MZR3q2TZ","properties":{"formattedCitation":"Women With Disabilities Australia, \\uc0\\u8216{}WWDA Position Statement 2: The Right to Decision-Making\\uc0\\u8217{} (n 274).","plainCitation":"Women With Disabilities Australia, ‘WWDA Position Statement 2: The Right to Decision-Making’ (n 274).","noteIndex":404},"citationItems":[{"id":5966,"uris":["http://zotero.org/groups/2733877/items/8DDG9XKE"],"uri":["http://zotero.org/groups/2733877/items/8DDG9XKE"],"itemData":{"id":5966,"type":"report","event-place":"Hobart, Tasmania","publisher":"WWDA","publisher-place":"Hobart, Tasmania","title":"WWDA Position Statement 2: The Right to Decision-Making","author":[{"family":"Women With Disabilities Australia","given":""}],"issued":{"date-parts":[["2016",9]]}}}],"schema":"https://github.com/citation-style-language/schema/raw/master/csl-citation.json"} </w:instrText>
      </w:r>
      <w:r w:rsidRPr="003F3D6D">
        <w:rPr>
          <w:rFonts w:cstheme="minorHAnsi"/>
        </w:rPr>
        <w:fldChar w:fldCharType="separate"/>
      </w:r>
      <w:r w:rsidRPr="003644C1">
        <w:rPr>
          <w:rFonts w:ascii="Calibri" w:hAnsi="Calibri" w:cs="Calibri"/>
          <w:szCs w:val="24"/>
        </w:rPr>
        <w:t>Women With Disabilities Australia, ‘WWDA Position Statement 2: The Right to Decision-Making’ (n 274).</w:t>
      </w:r>
      <w:r w:rsidRPr="003F3D6D">
        <w:rPr>
          <w:rFonts w:cstheme="minorHAnsi"/>
        </w:rPr>
        <w:fldChar w:fldCharType="end"/>
      </w:r>
    </w:p>
  </w:endnote>
  <w:endnote w:id="405">
    <w:p w14:paraId="71D834D5" w14:textId="047D2CEA"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rjBy8ZR7","properties":{"formattedCitation":"Ibid.","plainCitation":"Ibid.","noteIndex":405},"citationItems":[{"id":5966,"uris":["http://zotero.org/groups/2733877/items/8DDG9XKE"],"uri":["http://zotero.org/groups/2733877/items/8DDG9XKE"],"itemData":{"id":5966,"type":"report","event-place":"Hobart, Tasmania","publisher":"WWDA","publisher-place":"Hobart, Tasmania","title":"WWDA Position Statement 2: The Right to Decision-Making","author":[{"family":"Women With Disabilities Australia","given":""}],"issued":{"date-parts":[["2016",9]]}}}],"schema":"https://github.com/citation-style-language/schema/raw/master/csl-citation.json"}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406">
    <w:p w14:paraId="0E6FC4A5" w14:textId="1EC7CBA1"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{"citationID":"64sFfH92","properties":{"formattedCitation":"Committee on the Rights of Persons with Disabilities, \\uc0\\u8216{}Concluding Observations on the Combined Second and Third Periodic Reports of Australia, Adopted by the Committee at Its 511th Meeting (20 September 2019) of the 22nd Session\\uc0\\u8217{} (n 14).","plainCitation":"Committee on the Rights of Persons with Disabilities, ‘Concluding Observations on the Combined Second and Third Periodic Reports of Australia, Adopted by the Committee at Its 511th Meeting (20 September 2019) of the 22nd Session’ (n 14).","noteIndex":406},"citationItems":[{"id":5930,"uris":["http://zotero.org/groups/2733877/items/22NEYWVV"],"uri":["http://zotero.org/groups/2733877/items/22NEYWVV"],"itemData":{"id":5930,"type":"report","collection-title":"UN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Disabilities","given":""}],"issued":{"date-parts":[["2019",10,15]]}}}],"schema":"https://github.com/citation-style-language/schema/raw/master/csl-citation.json"} </w:instrText>
      </w:r>
      <w:r w:rsidRPr="003F3D6D">
        <w:rPr>
          <w:rFonts w:cstheme="minorHAnsi"/>
        </w:rPr>
        <w:fldChar w:fldCharType="separate"/>
      </w:r>
      <w:r w:rsidRPr="00C27B33">
        <w:rPr>
          <w:rFonts w:ascii="Calibri" w:hAnsi="Calibri" w:cs="Calibri"/>
          <w:szCs w:val="24"/>
        </w:rPr>
        <w:t>Committee on the Rights of Persons with Disabilities, ‘Concluding Observations on the Combined Second and Third Periodic Reports of Australia, Adopted by the Committee at Its 511th Meeting (20 September 2019) of the 22nd Session’ (n 14).</w:t>
      </w:r>
      <w:r w:rsidRPr="003F3D6D">
        <w:rPr>
          <w:rFonts w:cstheme="minorHAnsi"/>
        </w:rPr>
        <w:fldChar w:fldCharType="end"/>
      </w:r>
    </w:p>
  </w:endnote>
  <w:endnote w:id="407">
    <w:p w14:paraId="70D7ABC1" w14:textId="77777777"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lang w:val="en-AU"/>
        </w:rPr>
        <w:t>An interpretative declaration is a unilateral statement made by a State Party to clarify how a specific article or articles is interpreted by that State Party at a given time.</w:t>
      </w:r>
    </w:p>
  </w:endnote>
  <w:endnote w:id="408">
    <w:p w14:paraId="1CE505B3" w14:textId="7ECE176E"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{"citationID":"z1g4tc2p","properties":{"formattedCitation":"See, for example, the Concluding Observations made by the CRPD Committee since 2010 following numerous periodic reviews of States Parties; Committee on the Rights of Persons with Disabilities, \\uc0\\u8216{}General Comment No. 1 on Equal Recognition before the Law\\uc0\\u8217{} (n 387); Committee on the Rights of Persons with Disabilities, \\uc0\\u8216{}General Comment No. 5 on Living Independently and Being Included in the Community\\uc0\\u8217{} (n 185).","plainCitation":"See, for example, the Concluding Observations made by the CRPD Committee since 2010 following numerous periodic reviews of States Parties; Committee on the Rights of Persons with Disabilities, ‘General Comment No. 1 on Equal Recognition before the Law’ (n 387); Committee on the Rights of Persons with Disabilities, ‘General Comment No. 5 on Living Independently and Being Included in the Community’ (n 185).","noteIndex":408},"citationItems":[{"id":5932,"uris":["http://zotero.org/groups/2733877/items/YHVB4SRY"],"uri":["http://zotero.org/groups/2733877/items/YHVB4SRY"],"itemData":{"id":5932,"type":"report","collection-title":"UN Doc","genre":"CRPD/C/GC/1","publisher":"United Nations","title":"General Comment No. 1 on equal recognition before the law","URL":"https://documents-dds-ny.un.org/doc/UNDOC/GEN/G14/031/20/PDF/G1403120.pdf?OpenElement","author":[{"family":"Committee on the Rights of Persons with Disabilities","given":""}],"issued":{"date-parts":[["2014",5,19]]}},"prefix":"See, for example, the Concluding Observations made by the CRPD Committee since 2010 following numerous periodic reviews of States Parties;"},{"id":6129,"uris":["http://zotero.org/groups/2733877/items/VEZVSBB9"],"uri":["http://zotero.org/groups/2733877/items/VEZVSBB9"],"itemData":{"id":6129,"type":"report","collection-title":"UN Doc","genre":"CRPD/C/GC/5","publisher":"United Nations","title":"General Comment No. 5 on living independently and being included in the community","URL":"https://tbinternet.ohchr.org/_layouts/15/treatybodyexternal/Download.aspx?symbolno=CRPD/C/GC/5&amp;Lang=en","author":[{"family":"Committee on the Rights of Persons with Disabilities","given":""}],"issued":{"date-parts":[["2017",10,27]]}}}],"schema":"https://github.com/citation-style-language/schema/raw/master/csl-citation.json"} </w:instrText>
      </w:r>
      <w:r w:rsidRPr="003F3D6D">
        <w:rPr>
          <w:rFonts w:cstheme="minorHAnsi"/>
        </w:rPr>
        <w:fldChar w:fldCharType="separate"/>
      </w:r>
      <w:r w:rsidR="004849F5" w:rsidRPr="004849F5">
        <w:rPr>
          <w:rFonts w:ascii="Calibri" w:hAnsi="Calibri" w:cs="Calibri"/>
          <w:szCs w:val="24"/>
        </w:rPr>
        <w:t>See, for example, the Concluding Observations made by the CRPD Committee since 2010 following numerous periodic reviews of States Parties; Committee on the Rights of Persons with Disabilities, ‘General Comment No. 1 on Equal Recognition before the Law’ (n 387); Committee on the Rights of Persons with Disabilities, ‘General Comment No. 5 on Living Independently and Being Included in the Community’ (n 185).</w:t>
      </w:r>
      <w:r w:rsidRPr="003F3D6D">
        <w:rPr>
          <w:rFonts w:cstheme="minorHAnsi"/>
        </w:rPr>
        <w:fldChar w:fldCharType="end"/>
      </w:r>
    </w:p>
  </w:endnote>
  <w:endnote w:id="409">
    <w:p w14:paraId="19185DCD" w14:textId="0FA1A481"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{"citationID":"L1ctGZhR","properties":{"formattedCitation":"Committee on the Rights of Persons with Disabilities and Committee on the Elimination of All Forms of Discrimination Against Women, {\\i{}Guaranteeing Sexual and Reproductive Health and Rights for All Women, in Particular Women with Disabilities} (Joint Statement, United Nations, 29 August 2018) &lt;https://www.ohchr.org/EN/HRBodies/CRPD/Pages/CRPDStatements.aspx&gt;.","plainCitation":"Committee on the Rights of Persons with Disabilities and Committee on the Elimination of All Forms of Discrimination Against Women, Guaranteeing Sexual and Reproductive Health and Rights for All Women, in Particular Women with Disabilities (Joint Statement, United Nations, 29 August 2018) &lt;https://www.ohchr.org/EN/HRBodies/CRPD/Pages/CRPDStatements.aspx&gt;.","noteIndex":409},"citationItems":[{"id":6128,"uris":["http://zotero.org/groups/2733877/items/JXA64C5G"],"uri":["http://zotero.org/groups/2733877/items/JXA64C5G"],"itemData":{"id":6128,"type":"report","genre":"Joint Statement","publisher":"United Nations","title":"Guaranteeing sexual and reproductive health and rights for all women, in particular women with disabilities","URL":"https://www.ohchr.org/EN/HRBodies/CRPD/Pages/CRPDStatements.aspx","author":[{"family":"Committee on the Rights of Persons with Disabilities","given":""},{"family":"Committee on the Elimination of All Forms of Discrimination Against Women","given":""}],"issued":{"date-parts":[["2018",8,29]]}}}],"schema":"https://github.com/citation-style-language/schema/raw/master/csl-citation.json"} </w:instrText>
      </w:r>
      <w:r w:rsidRPr="003F3D6D">
        <w:rPr>
          <w:rFonts w:cstheme="minorHAnsi"/>
        </w:rPr>
        <w:fldChar w:fldCharType="separate"/>
      </w:r>
      <w:r w:rsidRPr="003F3D6D">
        <w:rPr>
          <w:rFonts w:cstheme="minorHAnsi"/>
        </w:rPr>
        <w:t xml:space="preserve">Committee on the Rights of Persons with Disabilities and Committee on the Elimination of All Forms of Discrimination Against Women, </w:t>
      </w:r>
      <w:r w:rsidRPr="003F3D6D">
        <w:rPr>
          <w:rFonts w:cstheme="minorHAnsi"/>
          <w:i/>
          <w:iCs/>
        </w:rPr>
        <w:t>Guaranteeing Sexual and Reproductive Health and Rights for All Women, in Particular Women with Disabilities</w:t>
      </w:r>
      <w:r w:rsidRPr="003F3D6D">
        <w:rPr>
          <w:rFonts w:cstheme="minorHAnsi"/>
        </w:rPr>
        <w:t xml:space="preserve"> (Joint Statement, United Nations, 29 August 2018) &lt;https://www.ohchr.org/EN/HRBodies/CRPD/Pages/CRPDStatements.aspx&gt;.</w:t>
      </w:r>
      <w:r w:rsidRPr="003F3D6D">
        <w:rPr>
          <w:rFonts w:cstheme="minorHAnsi"/>
        </w:rPr>
        <w:fldChar w:fldCharType="end"/>
      </w:r>
    </w:p>
  </w:endnote>
  <w:endnote w:id="410">
    <w:p w14:paraId="56D336AC" w14:textId="5061D9B1"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{"citationID":"fZWIp2mI","properties":{"formattedCitation":"Committee on the Rights of Persons with Disabilities, \\uc0\\u8216{}Concluding Observations on the Initial Report of Australia, Adopted by the Committee at Its Tenth Session (2-13 September 2013)\\uc0\\u8217{} (n 12); Committee on the Rights of Persons with Disabilities, \\uc0\\u8216{}Concluding Observations on the Combined Second and Third Periodic Reports of Australia, Adopted by the Committee at Its 511th Meeting (20 September 2019) of the 22nd Session\\uc0\\u8217{} (n 14).","plainCitation":"Committee on the Rights of Persons with Disabilities, ‘Concluding Observations on the Initial Report of Australia, Adopted by the Committee at Its Tenth Session (2-13 September 2013)’ (n 12); Committee on the Rights of Persons with Disabilities, ‘Concluding Observations on the Combined Second and Third Periodic Reports of Australia, Adopted by the Committee at Its 511th Meeting (20 September 2019) of the 22nd Session’ (n 14).","noteIndex":410},"citationItems":[{"id":6044,"uris":["http://zotero.org/groups/2733877/items/GW86GCS8"],"uri":["http://zotero.org/groups/2733877/items/GW86GCS8"],"itemData":{"id":6044,"type":"report","collection-title":"UN Doc","genre":"CRPD/C/AUS/CO/1","language":"en","publisher":"United Nations","title":"Concluding observations on the initial report of Australia, adopted by the Committee at its tenth session (2-13 September 2013)","URL":"https://www.refworld.org/docid/5280b5cb4.html","author":[{"family":"Committee on the Rights of Persons with Disabilities","given":""}],"accessed":{"date-parts":[["2021",1,27]]},"issued":{"date-parts":[["2013",10,21]]}}},{"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Disabilities","given":""}],"issued":{"date-parts":[["2019",10,15]]}}}],"schema":"https://github.com/citation-style-language/schema/raw/master/csl-citation.json"} </w:instrText>
      </w:r>
      <w:r w:rsidRPr="003F3D6D">
        <w:rPr>
          <w:rFonts w:cstheme="minorHAnsi"/>
        </w:rPr>
        <w:fldChar w:fldCharType="separate"/>
      </w:r>
      <w:r w:rsidRPr="00C27B33">
        <w:rPr>
          <w:rFonts w:ascii="Calibri" w:hAnsi="Calibri" w:cs="Calibri"/>
          <w:szCs w:val="24"/>
        </w:rPr>
        <w:t>Committee on the Rights of Persons with Disabilities, ‘Concluding Observations on the Initial Report of Australia, Adopted by the Committee at Its Tenth Session (2-13 September 2013)’ (n 12); Committee on the Rights of Persons with Disabilities, ‘Concluding Observations on the Combined Second and Third Periodic Reports of Australia, Adopted by the Committee at Its 511th Meeting (20 September 2019) of the 22nd Session’ (n 14).</w:t>
      </w:r>
      <w:r w:rsidRPr="003F3D6D">
        <w:rPr>
          <w:rFonts w:cstheme="minorHAnsi"/>
        </w:rPr>
        <w:fldChar w:fldCharType="end"/>
      </w:r>
    </w:p>
  </w:endnote>
  <w:endnote w:id="411">
    <w:p w14:paraId="7FE53CF9" w14:textId="6B256B93"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{"citationID":"H2obIWxA","properties":{"formattedCitation":"Committee on the Rights of Persons with Disabilities, \\uc0\\u8216{}Committee Experts Express Concerns About Slow Progress in the Implementation of the Convention\\uc0\\u8217{}, {\\i{}Office of the High Commissioner of Human Rights} (13 September 2019) &lt;https://www.ohchr.org/EN/NewsEvents/Pages/DisplayNews.aspx?NewsID=24989&amp;LangID=E&gt;.","plainCitation":"Committee on the Rights of Persons with Disabilities, ‘Committee Experts Express Concerns About Slow Progress in the Implementation of the Convention’, Office of the High Commissioner of Human Rights (13 September 2019) &lt;https://www.ohchr.org/EN/NewsEvents/Pages/DisplayNews.aspx?NewsID=24989&amp;LangID=E&gt;.","noteIndex":411},"citationItems":[{"id":6127,"uris":["http://zotero.org/groups/2733877/items/UBR49JCH"],"uri":["http://zotero.org/groups/2733877/items/UBR49JCH"],"itemData":{"id":6127,"type":"webpage","container-title":"Office of the High Commissioner of Human Rights","title":"Committee Experts Express Concerns About Slow Progress in the Implementation of the Convention","URL":"https://www.ohchr.org/EN/NewsEvents/Pages/DisplayNews.aspx?NewsID=24989&amp;LangID=E","author":[{"family":"Committee on the Rights of Persons with Disabilities","given":""}],"accessed":{"date-parts":[["2021",2,2]]},"issued":{"date-parts":[["2019",9,13]]}}}],"schema":"https://github.com/citation-style-language/schema/raw/master/csl-citation.json"} </w:instrText>
      </w:r>
      <w:r w:rsidRPr="003F3D6D">
        <w:rPr>
          <w:rFonts w:cstheme="minorHAnsi"/>
        </w:rPr>
        <w:fldChar w:fldCharType="separate"/>
      </w:r>
      <w:r w:rsidRPr="003F3D6D">
        <w:rPr>
          <w:rFonts w:cstheme="minorHAnsi"/>
        </w:rPr>
        <w:t xml:space="preserve">Committee on the Rights of Persons with Disabilities, ‘Committee Experts Express Concerns About Slow Progress in the Implementation of the Convention’, </w:t>
      </w:r>
      <w:r w:rsidRPr="003F3D6D">
        <w:rPr>
          <w:rFonts w:cstheme="minorHAnsi"/>
          <w:i/>
          <w:iCs/>
        </w:rPr>
        <w:t>Office of the High Commissioner of Human Rights</w:t>
      </w:r>
      <w:r w:rsidRPr="003F3D6D">
        <w:rPr>
          <w:rFonts w:cstheme="minorHAnsi"/>
        </w:rPr>
        <w:t xml:space="preserve"> (13 September 2019) &lt;https://www.ohchr.org/EN/NewsEvents/Pages/DisplayNews.aspx?NewsID=24989&amp;LangID=E&gt;.</w:t>
      </w:r>
      <w:r w:rsidRPr="003F3D6D">
        <w:rPr>
          <w:rFonts w:cstheme="minorHAnsi"/>
        </w:rPr>
        <w:fldChar w:fldCharType="end"/>
      </w:r>
    </w:p>
  </w:endnote>
  <w:endnote w:id="412">
    <w:p w14:paraId="18610A28" w14:textId="7405B0F6"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{"citationID":"vFyV8vm6","properties":{"formattedCitation":"Australian Law Reform Commission, {\\i{}Equality, Capacity and Disability in Commonwealth Laws: Final Report.} (Australian Government, 2014) (\\uc0\\u8216{}{\\i{}Equality, Capacity and Disability in Commonwealth Laws}\\uc0\\u8217{}).","plainCitation":"Australian Law Reform Commission, Equality, Capacity and Disability in Commonwealth Laws: Final Report. (Australian Government, 2014) (‘Equality, Capacity and Disability in Commonwealth Laws’).","noteIndex":412},"citationItems":[{"id":6012,"uris":["http://zotero.org/groups/2733877/items/XPDY94WT"],"uri":["http://zotero.org/groups/2733877/items/XPDY94WT"],"itemData":{"id":6012,"type":"book","abstract":"\"This Inquiry examined laws and legal frameworks within the Commonwealth jurisdiction that deny or diminish the equal recognition of people with disability as persons before the law and their ability to exercise legal capacity.\"--Website summary.","collection-number":"124","collection-title":"ALRC Report","event-place":"Sydney","ISBN":"978-0-9924069-3-6","language":"en","note":"OCLC: 904322475","publisher":"Australian Government","publisher-place":"Sydney","source":"Open WorldCat","title":"Equality, Capacity and Disability in Commonwealth Laws: final report.","title-short":"Equality, Capacity and Disability in Commonwealth Laws","author":[{"literal":"Australian Law Reform Commission"}],"issued":{"date-parts":[["2014",8]]}}}],"schema":"https://github.com/citation-style-language/schema/raw/master/csl-citation.json"} </w:instrText>
      </w:r>
      <w:r w:rsidRPr="003F3D6D">
        <w:rPr>
          <w:rFonts w:cstheme="minorHAnsi"/>
        </w:rPr>
        <w:fldChar w:fldCharType="separate"/>
      </w:r>
      <w:r w:rsidRPr="003F3D6D">
        <w:rPr>
          <w:rFonts w:cstheme="minorHAnsi"/>
        </w:rPr>
        <w:t xml:space="preserve">Australian Law Reform Commission, </w:t>
      </w:r>
      <w:r w:rsidRPr="003F3D6D">
        <w:rPr>
          <w:rFonts w:cstheme="minorHAnsi"/>
          <w:i/>
          <w:iCs/>
        </w:rPr>
        <w:t>Equality, Capacity and Disability in Commonwealth Laws: Final Report.</w:t>
      </w:r>
      <w:r w:rsidRPr="003F3D6D">
        <w:rPr>
          <w:rFonts w:cstheme="minorHAnsi"/>
        </w:rPr>
        <w:t xml:space="preserve"> (Australian Government, 2014) (‘</w:t>
      </w:r>
      <w:r w:rsidRPr="003F3D6D">
        <w:rPr>
          <w:rFonts w:cstheme="minorHAnsi"/>
          <w:i/>
          <w:iCs/>
        </w:rPr>
        <w:t>Equality, Capacity and Disability in Commonwealth Laws</w:t>
      </w:r>
      <w:r w:rsidRPr="003F3D6D">
        <w:rPr>
          <w:rFonts w:cstheme="minorHAnsi"/>
        </w:rPr>
        <w:t>’).</w:t>
      </w:r>
      <w:r w:rsidRPr="003F3D6D">
        <w:rPr>
          <w:rFonts w:cstheme="minorHAnsi"/>
        </w:rPr>
        <w:fldChar w:fldCharType="end"/>
      </w:r>
    </w:p>
  </w:endnote>
  <w:endnote w:id="413">
    <w:p w14:paraId="5DCF5102" w14:textId="11792E9F"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{"citationID":"1WqM5jXv","properties":{"formattedCitation":"Committee on the Rights of Persons with Disabilities, \\uc0\\u8216{}Statement on Article 14 of the Convention on the Rights of Persons with Disabilities\\uc0\\u8217{}, {\\i{}Office of the High Commissioner of Human Rights} (September 2014) 14 &lt;https://www.ohchr.org/EN/NewsEvents/Pages/DisplayNews.aspx?NewsID=15183&gt;.","plainCitation":"Committee on the Rights of Persons with Disabilities, ‘Statement on Article 14 of the Convention on the Rights of Persons with Disabilities’, Office of the High Commissioner of Human Rights (September 2014) 14 &lt;https://www.ohchr.org/EN/NewsEvents/Pages/DisplayNews.aspx?NewsID=15183&gt;.","noteIndex":413},"citationItems":[{"id":6126,"uris":["http://zotero.org/groups/2733877/items/NDDPUVUY"],"uri":["http://zotero.org/groups/2733877/items/NDDPUVUY"],"itemData":{"id":6126,"type":"webpage","container-title":"Office of the High Commissioner of Human Rights","title":"Statement on article 14 of the Convention on the Rights of Persons with Disabilities","URL":"https://www.ohchr.org/EN/NewsEvents/Pages/DisplayNews.aspx?NewsID=15183","author":[{"family":"Committee on the Rights of Persons with Disabilities","given":""}],"accessed":{"date-parts":[["2021",2,2]]},"issued":{"date-parts":[["2014",9]]}},"locator":"14"}],"schema":"https://github.com/citation-style-language/schema/raw/master/csl-citation.json"} </w:instrText>
      </w:r>
      <w:r w:rsidRPr="003F3D6D">
        <w:rPr>
          <w:rFonts w:cstheme="minorHAnsi"/>
        </w:rPr>
        <w:fldChar w:fldCharType="separate"/>
      </w:r>
      <w:r w:rsidRPr="003F3D6D">
        <w:rPr>
          <w:rFonts w:cstheme="minorHAnsi"/>
        </w:rPr>
        <w:t xml:space="preserve">Committee on the Rights of Persons with Disabilities, ‘Statement on Article 14 of the Convention on the Rights of Persons with Disabilities’, </w:t>
      </w:r>
      <w:r w:rsidRPr="003F3D6D">
        <w:rPr>
          <w:rFonts w:cstheme="minorHAnsi"/>
          <w:i/>
          <w:iCs/>
        </w:rPr>
        <w:t>Office of the High Commissioner of Human Rights</w:t>
      </w:r>
      <w:r w:rsidRPr="003F3D6D">
        <w:rPr>
          <w:rFonts w:cstheme="minorHAnsi"/>
        </w:rPr>
        <w:t xml:space="preserve"> (September 2014) 14 &lt;https://www.ohchr.org/EN/NewsEvents/Pages/DisplayNews.aspx?NewsID=15183&gt;.</w:t>
      </w:r>
      <w:r w:rsidRPr="003F3D6D">
        <w:rPr>
          <w:rFonts w:cstheme="minorHAnsi"/>
        </w:rPr>
        <w:fldChar w:fldCharType="end"/>
      </w:r>
    </w:p>
  </w:endnote>
  <w:endnote w:id="414">
    <w:p w14:paraId="7563A792" w14:textId="39193453"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{"citationID":"32wiLUs7","properties":{"formattedCitation":"Committee on the Rights of Persons with Disabilities, \\uc0\\u8216{}General Comment No. 3 on Article 6: Women and Girls with Disabilities\\uc0\\u8217{} (n 96) 13-14[52]-[53].","plainCitation":"Committee on the Rights of Persons with Disabilities, ‘General Comment No. 3 on Article 6: Women and Girls with Disabilities’ (n 96) 13-14[52]-[53].","noteIndex":414},"citationItems":[{"id":6048,"uris":["http://zotero.org/groups/2733877/items/EJBHWJ76"],"uri":["http://zotero.org/groups/2733877/items/EJBHWJ76"],"itemData":{"id":6048,"type":"report","abstract":"Advance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Disabilities","given":""}],"accessed":{"date-parts":[["2021",2,1]]},"issued":{"date-parts":[["2016",9,2]]}},"locator":"13-14[52]-[53]"}],"schema":"https://github.com/citation-style-language/schema/raw/master/csl-citation.json"} </w:instrText>
      </w:r>
      <w:r w:rsidRPr="003F3D6D">
        <w:rPr>
          <w:rFonts w:cstheme="minorHAnsi"/>
        </w:rPr>
        <w:fldChar w:fldCharType="separate"/>
      </w:r>
      <w:r w:rsidRPr="00562342">
        <w:rPr>
          <w:rFonts w:ascii="Calibri" w:hAnsi="Calibri" w:cs="Calibri"/>
          <w:szCs w:val="24"/>
        </w:rPr>
        <w:t>Committee on the Rights of Persons with Disabilities, ‘General Comment No. 3 on Article 6: Women and Girls with Disabilities’ (n 96) 13-14[52]-[53].</w:t>
      </w:r>
      <w:r w:rsidRPr="003F3D6D">
        <w:rPr>
          <w:rFonts w:cstheme="minorHAnsi"/>
        </w:rPr>
        <w:fldChar w:fldCharType="end"/>
      </w:r>
    </w:p>
  </w:endnote>
  <w:endnote w:id="415">
    <w:p w14:paraId="0B2070D2" w14:textId="60391898"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{"citationID":"Jl84kh44","properties":{"formattedCitation":"Committee on the Rights of Persons with Disabilities, \\uc0\\u8216{}Concluding Observations on the Initial Report of Australia, Adopted by the Committee at Its Tenth Session (2-13 September 2013)\\uc0\\u8217{} (n 12) 4[33].","plainCitation":"Committee on the Rights of Persons with Disabilities, ‘Concluding Observations on the Initial Report of Australia, Adopted by the Committee at Its Tenth Session (2-13 September 2013)’ (n 12) 4[33].","noteIndex":415},"citationItems":[{"id":6044,"uris":["http://zotero.org/groups/2733877/items/GW86GCS8"],"uri":["http://zotero.org/groups/2733877/items/GW86GCS8"],"itemData":{"id":6044,"type":"report","collection-title":"UN Doc","genre":"CRPD/C/AUS/CO/1","language":"en","publisher":"United Nations","title":"Concluding observations on the initial report of Australia, adopted by the Committee at its tenth session (2-13 September 2013)","URL":"https://www.refworld.org/docid/5280b5cb4.html","author":[{"family":"Committee on the Rights of Persons with Disabilities","given":""}],"accessed":{"date-parts":[["2021",1,27]]},"issued":{"date-parts":[["2013",10,21]]}},"locator":"4[33]"}],"schema":"https://github.com/citation-style-language/schema/raw/master/csl-citation.json"} </w:instrText>
      </w:r>
      <w:r w:rsidRPr="003F3D6D">
        <w:rPr>
          <w:rFonts w:cstheme="minorHAnsi"/>
        </w:rPr>
        <w:fldChar w:fldCharType="separate"/>
      </w:r>
      <w:r w:rsidRPr="003509C3">
        <w:rPr>
          <w:rFonts w:ascii="Calibri" w:hAnsi="Calibri" w:cs="Calibri"/>
          <w:szCs w:val="24"/>
        </w:rPr>
        <w:t>Committee on the Rights of Persons with Disabilities, ‘Concluding Observations on the Initial Report of Australia, Adopted by the Committee at Its Tenth Session (2-13 September 2013)’ (n 12) 4[33].</w:t>
      </w:r>
      <w:r w:rsidRPr="003F3D6D">
        <w:rPr>
          <w:rFonts w:cstheme="minorHAnsi"/>
        </w:rPr>
        <w:fldChar w:fldCharType="end"/>
      </w:r>
    </w:p>
  </w:endnote>
  <w:endnote w:id="416">
    <w:p w14:paraId="7694E79A" w14:textId="52588A44"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{"citationID":"2yDS9SAF","properties":{"formattedCitation":"Ibid 4[32].","plainCitation":"Ibid 4[32].","noteIndex":416},"citationItems":[{"id":6044,"uris":["http://zotero.org/groups/2733877/items/GW86GCS8"],"uri":["http://zotero.org/groups/2733877/items/GW86GCS8"],"itemData":{"id":6044,"type":"report","collection-title":"UN Doc","genre":"CRPD/C/AUS/CO/1","language":"en","publisher":"United Nations","title":"Concluding observations on the initial report of Australia, adopted by the Committee at its tenth session (2-13 September 2013)","URL":"https://www.refworld.org/docid/5280b5cb4.html","author":[{"family":"Committee on the Rights of Persons with Disabilities","given":""}],"accessed":{"date-parts":[["2021",1,27]]},"issued":{"date-parts":[["2013",10,21]]}},"locator":"4[32]"}],"schema":"https://github.com/citation-style-language/schema/raw/master/csl-citation.json"} </w:instrText>
      </w:r>
      <w:r w:rsidRPr="003F3D6D">
        <w:rPr>
          <w:rFonts w:cstheme="minorHAnsi"/>
        </w:rPr>
        <w:fldChar w:fldCharType="separate"/>
      </w:r>
      <w:r w:rsidRPr="003F3D6D">
        <w:rPr>
          <w:rFonts w:cstheme="minorHAnsi"/>
          <w:noProof/>
        </w:rPr>
        <w:t>Ibid 4[32].</w:t>
      </w:r>
      <w:r w:rsidRPr="003F3D6D">
        <w:rPr>
          <w:rFonts w:cstheme="minorHAnsi"/>
        </w:rPr>
        <w:fldChar w:fldCharType="end"/>
      </w:r>
    </w:p>
  </w:endnote>
  <w:endnote w:id="417">
    <w:p w14:paraId="4985EB71" w14:textId="77A5AE86"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{"citationID":"3Tp8GEKQ","properties":{"formattedCitation":"Committee on the Rights of Persons with Disabilities, \\uc0\\u8216{}Concluding Observations on the Combined Second and Third Periodic Reports of Australia, Adopted by the Committee at Its 511th Meeting (20 September 2019) of the 22nd Session\\uc0\\u8217{} (n 14) 7[27].","plainCitation":"Committee on the Rights of Persons with Disabilities, ‘Concluding Observations on the Combined Second and Third Periodic Reports of Australia, Adopted by the Committee at Its 511th Meeting (20 September 2019) of the 22nd Session’ (n 14) 7[27].","noteIndex":417},"citationItems":[{"id":5930,"uris":["http://zotero.org/groups/2733877/items/22NEYWVV"],"uri":["http://zotero.org/groups/2733877/items/22NEYWVV"],"itemData":{"id":5930,"type":"report","collection-title":"UN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Disabilities","given":""}],"issued":{"date-parts":[["2019",10,15]]}},"locator":"7[27]"}],"schema":"https://github.com/citation-style-language/schema/raw/master/csl-citation.json"} </w:instrText>
      </w:r>
      <w:r w:rsidRPr="003F3D6D">
        <w:rPr>
          <w:rFonts w:cstheme="minorHAnsi"/>
        </w:rPr>
        <w:fldChar w:fldCharType="separate"/>
      </w:r>
      <w:r w:rsidRPr="00C27B33">
        <w:rPr>
          <w:rFonts w:ascii="Calibri" w:hAnsi="Calibri" w:cs="Calibri"/>
          <w:szCs w:val="24"/>
        </w:rPr>
        <w:t>Committee on the Rights of Persons with Disabilities, ‘Concluding Observations on the Combined Second and Third Periodic Reports of Australia, Adopted by the Committee at Its 511th Meeting (20 September 2019) of the 22nd Session’ (n 14) 7[27].</w:t>
      </w:r>
      <w:r w:rsidRPr="003F3D6D">
        <w:rPr>
          <w:rFonts w:cstheme="minorHAnsi"/>
        </w:rPr>
        <w:fldChar w:fldCharType="end"/>
      </w:r>
    </w:p>
  </w:endnote>
  <w:endnote w:id="418">
    <w:p w14:paraId="31A6287E" w14:textId="446BB2E4"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{"citationID":"32pM7zb4","properties":{"formattedCitation":"Ibid 8[28].","plainCitation":"Ibid 8[28].","noteIndex":418},"citationItems":[{"id":5930,"uris":["http://zotero.org/groups/2733877/items/22NEYWVV"],"uri":["http://zotero.org/groups/2733877/items/22NEYWVV"],"itemData":{"id":5930,"type":"report","collection-title":"UN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Disabilities","given":""}],"issued":{"date-parts":[["2019",10,15]]}},"locator":"8[28]"}],"schema":"https://github.com/citation-style-language/schema/raw/master/csl-citation.json"} </w:instrText>
      </w:r>
      <w:r w:rsidRPr="003F3D6D">
        <w:rPr>
          <w:rFonts w:cstheme="minorHAnsi"/>
        </w:rPr>
        <w:fldChar w:fldCharType="separate"/>
      </w:r>
      <w:r w:rsidRPr="003F3D6D">
        <w:rPr>
          <w:rFonts w:cstheme="minorHAnsi"/>
          <w:noProof/>
        </w:rPr>
        <w:t>Ibid 8[28].</w:t>
      </w:r>
      <w:r w:rsidRPr="003F3D6D">
        <w:rPr>
          <w:rFonts w:cstheme="minorHAnsi"/>
        </w:rPr>
        <w:fldChar w:fldCharType="end"/>
      </w:r>
    </w:p>
  </w:endnote>
  <w:endnote w:id="419">
    <w:p w14:paraId="4E6C2677" w14:textId="5EEB491E"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{"citationID":"xkQf3iPO","properties":{"formattedCitation":"Committee on the Rights of Persons with Disabilities, \\uc0\\u8216{}General Comment No. 3 on Article 6: Women and Girls with Disabilities\\uc0\\u8217{} (n 96) 14[54].","plainCitation":"Committee on the Rights of Persons with Disabilities, ‘General Comment No. 3 on Article 6: Women and Girls with Disabilities’ (n 96) 14[54].","noteIndex":419},"citationItems":[{"id":6048,"uris":["http://zotero.org/groups/2733877/items/EJBHWJ76"],"uri":["http://zotero.org/groups/2733877/items/EJBHWJ76"],"itemData":{"id":6048,"type":"report","abstract":"Advance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Disabilities","given":""}],"accessed":{"date-parts":[["2021",2,1]]},"issued":{"date-parts":[["2016",9,2]]}},"locator":"14[54]"}],"schema":"https://github.com/citation-style-language/schema/raw/master/csl-citation.json"} </w:instrText>
      </w:r>
      <w:r w:rsidRPr="003F3D6D">
        <w:rPr>
          <w:rFonts w:cstheme="minorHAnsi"/>
        </w:rPr>
        <w:fldChar w:fldCharType="separate"/>
      </w:r>
      <w:r w:rsidRPr="00562342">
        <w:rPr>
          <w:rFonts w:ascii="Calibri" w:hAnsi="Calibri" w:cs="Calibri"/>
          <w:szCs w:val="24"/>
        </w:rPr>
        <w:t>Committee on the Rights of Persons with Disabilities, ‘General Comment No. 3 on Article 6: Women and Girls with Disabilities’ (n 96) 14[54].</w:t>
      </w:r>
      <w:r w:rsidRPr="003F3D6D">
        <w:rPr>
          <w:rFonts w:cstheme="minorHAnsi"/>
        </w:rPr>
        <w:fldChar w:fldCharType="end"/>
      </w:r>
    </w:p>
  </w:endnote>
  <w:endnote w:id="420">
    <w:p w14:paraId="260C8204" w14:textId="61BE14DD"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{"citationID":"UGTnmP37","properties":{"formattedCitation":"Committee on the Rights of Persons with Disabilities, \\uc0\\u8216{}Concluding Observations on the Initial Report of Australia, Adopted by the Committee at Its Tenth Session (2-13 September 2013)\\uc0\\u8217{} (n 12) 6[40].","plainCitation":"Committee on the Rights of Persons with Disabilities, ‘Concluding Observations on the Initial Report of Australia, Adopted by the Committee at Its Tenth Session (2-13 September 2013)’ (n 12) 6[40].","noteIndex":420},"citationItems":[{"id":6044,"uris":["http://zotero.org/groups/2733877/items/GW86GCS8"],"uri":["http://zotero.org/groups/2733877/items/GW86GCS8"],"itemData":{"id":6044,"type":"report","collection-title":"UN Doc","genre":"CRPD/C/AUS/CO/1","language":"en","publisher":"United Nations","title":"Concluding observations on the initial report of Australia, adopted by the Committee at its tenth session (2-13 September 2013)","URL":"https://www.refworld.org/docid/5280b5cb4.html","author":[{"family":"Committee on the Rights of Persons with Disabilities","given":""}],"accessed":{"date-parts":[["2021",1,27]]},"issued":{"date-parts":[["2013",10,21]]}},"locator":"6[40]"}],"schema":"https://github.com/citation-style-language/schema/raw/master/csl-citation.json"} </w:instrText>
      </w:r>
      <w:r w:rsidRPr="003F3D6D">
        <w:rPr>
          <w:rFonts w:cstheme="minorHAnsi"/>
        </w:rPr>
        <w:fldChar w:fldCharType="separate"/>
      </w:r>
      <w:r w:rsidRPr="003509C3">
        <w:rPr>
          <w:rFonts w:ascii="Calibri" w:hAnsi="Calibri" w:cs="Calibri"/>
          <w:szCs w:val="24"/>
        </w:rPr>
        <w:t>Committee on the Rights of Persons with Disabilities, ‘Concluding Observations on the Initial Report of Australia, Adopted by the Committee at Its Tenth Session (2-13 September 2013)’ (n 12) 6[40].</w:t>
      </w:r>
      <w:r w:rsidRPr="003F3D6D">
        <w:rPr>
          <w:rFonts w:cstheme="minorHAnsi"/>
        </w:rPr>
        <w:fldChar w:fldCharType="end"/>
      </w:r>
    </w:p>
  </w:endnote>
  <w:endnote w:id="421">
    <w:p w14:paraId="48E4A4AD" w14:textId="500E197A"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{"citationID":"sUyGasSl","properties":{"formattedCitation":"Committee on the Rights of Persons with Disabilities, \\uc0\\u8216{}Concluding Observations on the Combined Second and Third Periodic Reports of Australia, Adopted by the Committee at Its 511th Meeting (20 September 2019) of the 22nd Session\\uc0\\u8217{} (n 14) 9[33].","plainCitation":"Committee on the Rights of Persons with Disabilities, ‘Concluding Observations on the Combined Second and Third Periodic Reports of Australia, Adopted by the Committee at Its 511th Meeting (20 September 2019) of the 22nd Session’ (n 14) 9[33].","noteIndex":421},"citationItems":[{"id":5930,"uris":["http://zotero.org/groups/2733877/items/22NEYWVV"],"uri":["http://zotero.org/groups/2733877/items/22NEYWVV"],"itemData":{"id":5930,"type":"report","collection-title":"UN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Disabilities","given":""}],"issued":{"date-parts":[["2019",10,15]]}},"locator":"9[33]"}],"schema":"https://github.com/citation-style-language/schema/raw/master/csl-citation.json"} </w:instrText>
      </w:r>
      <w:r w:rsidRPr="003F3D6D">
        <w:rPr>
          <w:rFonts w:cstheme="minorHAnsi"/>
        </w:rPr>
        <w:fldChar w:fldCharType="separate"/>
      </w:r>
      <w:r w:rsidRPr="00C27B33">
        <w:rPr>
          <w:rFonts w:ascii="Calibri" w:hAnsi="Calibri" w:cs="Calibri"/>
          <w:szCs w:val="24"/>
        </w:rPr>
        <w:t>Committee on the Rights of Persons with Disabilities, ‘Concluding Observations on the Combined Second and Third Periodic Reports of Australia, Adopted by the Committee at Its 511th Meeting (20 September 2019) of the 22nd Session’ (n 14) 9[33].</w:t>
      </w:r>
      <w:r w:rsidRPr="003F3D6D">
        <w:rPr>
          <w:rFonts w:cstheme="minorHAnsi"/>
        </w:rPr>
        <w:fldChar w:fldCharType="end"/>
      </w:r>
    </w:p>
  </w:endnote>
  <w:endnote w:id="422">
    <w:p w14:paraId="068E56CB" w14:textId="43635C4E"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{"citationID":"MnkJfDrS","properties":{"formattedCitation":"Ibid 9[34].","plainCitation":"Ibid 9[34].","noteIndex":422},"citationItems":[{"id":5930,"uris":["http://zotero.org/groups/2733877/items/22NEYWVV"],"uri":["http://zotero.org/groups/2733877/items/22NEYWVV"],"itemData":{"id":5930,"type":"report","collection-title":"UN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Disabilities","given":""}],"issued":{"date-parts":[["2019",10,15]]}},"locator":"9[34]"}],"schema":"https://github.com/citation-style-language/schema/raw/master/csl-citation.json"} </w:instrText>
      </w:r>
      <w:r w:rsidRPr="003F3D6D">
        <w:rPr>
          <w:rFonts w:cstheme="minorHAnsi"/>
        </w:rPr>
        <w:fldChar w:fldCharType="separate"/>
      </w:r>
      <w:r w:rsidRPr="003F3D6D">
        <w:rPr>
          <w:rFonts w:cstheme="minorHAnsi"/>
          <w:noProof/>
        </w:rPr>
        <w:t>Ibid 9[34].</w:t>
      </w:r>
      <w:r w:rsidRPr="003F3D6D">
        <w:rPr>
          <w:rFonts w:cstheme="minorHAnsi"/>
        </w:rPr>
        <w:fldChar w:fldCharType="end"/>
      </w:r>
    </w:p>
  </w:endnote>
  <w:endnote w:id="423">
    <w:p w14:paraId="1DA46A56" w14:textId="29F4C395"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{"citationID":"retIziCs","properties":{"formattedCitation":"Ibid 10[34].","plainCitation":"Ibid 10[34].","noteIndex":423},"citationItems":[{"id":5930,"uris":["http://zotero.org/groups/2733877/items/22NEYWVV"],"uri":["http://zotero.org/groups/2733877/items/22NEYWVV"],"itemData":{"id":5930,"type":"report","collection-title":"UN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Disabilities","given":""}],"issued":{"date-parts":[["2019",10,15]]}},"locator":"10[34]"}],"schema":"https://github.com/citation-style-language/schema/raw/master/csl-citation.json"} </w:instrText>
      </w:r>
      <w:r w:rsidRPr="003F3D6D">
        <w:rPr>
          <w:rFonts w:cstheme="minorHAnsi"/>
        </w:rPr>
        <w:fldChar w:fldCharType="separate"/>
      </w:r>
      <w:r w:rsidRPr="003F3D6D">
        <w:rPr>
          <w:rFonts w:cstheme="minorHAnsi"/>
          <w:noProof/>
        </w:rPr>
        <w:t>Ibid 10[34].</w:t>
      </w:r>
      <w:r w:rsidRPr="003F3D6D">
        <w:rPr>
          <w:rFonts w:cstheme="minorHAnsi"/>
        </w:rPr>
        <w:fldChar w:fldCharType="end"/>
      </w:r>
    </w:p>
  </w:endnote>
  <w:endnote w:id="424">
    <w:p w14:paraId="47902EBF" w14:textId="29FB8A9F"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{"citationID":"tmXGDpK0","properties":{"formattedCitation":"Office of the United Nations High Commissioner for Human Rights (n 195) 12[50].","plainCitation":"Office of the United Nations High Commissioner for Human Rights (n 195) 12[50].","noteIndex":424},"citationItems":[{"id":6125,"uris":["http://zotero.org/groups/2733877/items/MWBMBJXU"],"uri":["http://zotero.org/groups/2733877/items/MWBMBJXU"],"itemData":{"id":6125,"type":"report","genre":"A/HRC/43/41","publisher":"United Nations","title":"Report of the Special Rapporteur on the rights of persons with disabilities","URL":"https://www.ohchr.org/en/issues/disability/srdisabilities/pages/srdisabilitiesindex.aspx","author":[{"family":"Office of the United Nations High Commissioner for Human Rights","given":""}],"accessed":{"date-parts":[["2021",2,1]]},"issued":{"date-parts":[["2019",12,17]]}},"locator":"12[50]"}],"schema":"https://github.com/citation-style-language/schema/raw/master/csl-citation.json"} </w:instrText>
      </w:r>
      <w:r w:rsidRPr="003F3D6D">
        <w:rPr>
          <w:rFonts w:cstheme="minorHAnsi"/>
        </w:rPr>
        <w:fldChar w:fldCharType="separate"/>
      </w:r>
      <w:r w:rsidRPr="00A43287">
        <w:rPr>
          <w:rFonts w:ascii="Calibri" w:hAnsi="Calibri" w:cs="Calibri"/>
        </w:rPr>
        <w:t>Office of the United Nations High Commissioner for Human Rights (n 195) 12[50].</w:t>
      </w:r>
      <w:r w:rsidRPr="003F3D6D">
        <w:rPr>
          <w:rFonts w:cstheme="minorHAnsi"/>
        </w:rPr>
        <w:fldChar w:fldCharType="end"/>
      </w:r>
    </w:p>
  </w:endnote>
  <w:endnote w:id="425">
    <w:p w14:paraId="015E367F" w14:textId="1FFEF9E4"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{"citationID":"NxTKaw7j","properties":{"formattedCitation":"Mendez (n 321) 14[63].","plainCitation":"Mendez (n 321) 14[63].","noteIndex":425},"citationItems":[{"id":5955,"uris":["http://zotero.org/groups/2733877/items/EPK4QZJA"],"uri":["http://zotero.org/groups/2733877/items/EPK4QZJA"],"itemData":{"id":5955,"type":"report","abstract":"Refworld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bodies.","collection-title":"A/HRC/2/53","language":"en","publisher":"United Nations Human Rights Council","title":"Report of the Special Rapporteur on torture and other cruel, inhuman or degrading treatment or punishment","URL":"https://www.refworld.org/docid/51136ae62.html","author":[{"family":"Mendez","given":"Juan"}],"accessed":{"date-parts":[["2021",2,1]]},"issued":{"date-parts":[["2013",2,1]]}},"locator":"14[63]"}],"schema":"https://github.com/citation-style-language/schema/raw/master/csl-citation.json"} </w:instrText>
      </w:r>
      <w:r w:rsidRPr="003F3D6D">
        <w:rPr>
          <w:rFonts w:cstheme="minorHAnsi"/>
        </w:rPr>
        <w:fldChar w:fldCharType="separate"/>
      </w:r>
      <w:r w:rsidR="004849F5" w:rsidRPr="004849F5">
        <w:rPr>
          <w:rFonts w:ascii="Calibri" w:hAnsi="Calibri" w:cs="Calibri"/>
        </w:rPr>
        <w:t>Mendez (n 321) 14[63].</w:t>
      </w:r>
      <w:r w:rsidRPr="003F3D6D">
        <w:rPr>
          <w:rFonts w:cstheme="minorHAnsi"/>
        </w:rPr>
        <w:fldChar w:fldCharType="end"/>
      </w:r>
    </w:p>
  </w:endnote>
  <w:endnote w:id="426">
    <w:p w14:paraId="165D6933" w14:textId="5D4D8ADC"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SYli6qGt","properties":{"formattedCitation":"Ibid.","plainCitation":"Ibid.","noteIndex":426},"citationItems":[{"id":5955,"uris":["http://zotero.org/groups/2733877/items/EPK4QZJA"],"uri":["http://zotero.org/groups/2733877/items/EPK4QZJA"],"itemData":{"id":5955,"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bodies.","collection-title":"A/HRC/2/53","language":"en","publisher":"United Nations Human Rights Council","title":"Report of the Special Rapporteur on torture and other cruel, inhuman or degrading treatment or punishment","URL":"https://www.refworld.org/docid/51136ae62.html","author":[{"family":"Mendez","given":"Juan"}],"accessed":{"date-parts":[["2021",2,1]]},"issued":{"date-parts":[["2013",2,1]]}},"locator":"14[63]"}],"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427">
    <w:p w14:paraId="189992D0" w14:textId="2FA3DF3B"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M0espXZD","properties":{"formattedCitation":"Ibid.","plainCitation":"Ibid.","noteIndex":427},"citationItems":[{"id":5955,"uris":["http://zotero.org/groups/2733877/items/EPK4QZJA"],"uri":["http://zotero.org/groups/2733877/items/EPK4QZJA"],"itemData":{"id":5955,"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bodies.","collection-title":"A/HRC/2/53","language":"en","publisher":"United Nations Human Rights Council","title":"Report of the Special Rapporteur on torture and other cruel, inhuman or degrading treatment or punishment","URL":"https://www.refworld.org/docid/51136ae62.html","author":[{"family":"Mendez","given":"Juan"}],"accessed":{"date-parts":[["2021",2,1]]},"issued":{"date-parts":[["2013",2,1]]}},"locator":"14[63]"}],"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428">
    <w:p w14:paraId="56A1E6E7" w14:textId="4586BF84"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{"citationID":"P5d16WQc","properties":{"formattedCitation":"Ibid 15[64].","plainCitation":"Ibid 15[64].","noteIndex":428},"citationItems":[{"id":5955,"uris":["http://zotero.org/groups/2733877/items/EPK4QZJA"],"uri":["http://zotero.org/groups/2733877/items/EPK4QZJA"],"itemData":{"id":5955,"type":"report","abstract":"Refworld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bodies.","collection-title":"A/HRC/2/53","language":"en","publisher":"United Nations Human Rights Council","title":"Report of the Special Rapporteur on torture and other cruel, inhuman or degrading treatment or punishment","URL":"https://www.refworld.org/docid/51136ae62.html","author":[{"family":"Mendez","given":"Juan"}],"accessed":{"date-parts":[["2021",2,1]]},"issued":{"date-parts":[["2013",2,1]]}},"locator":"15[64]"}],"schema":"https://github.com/citation-style-language/schema/raw/master/csl-citation.json"} </w:instrText>
      </w:r>
      <w:r w:rsidRPr="003F3D6D">
        <w:rPr>
          <w:rFonts w:cstheme="minorHAnsi"/>
        </w:rPr>
        <w:fldChar w:fldCharType="separate"/>
      </w:r>
      <w:r w:rsidRPr="003F3D6D">
        <w:rPr>
          <w:rFonts w:cstheme="minorHAnsi"/>
          <w:noProof/>
        </w:rPr>
        <w:t>Ibid 15[64].</w:t>
      </w:r>
      <w:r w:rsidRPr="003F3D6D">
        <w:rPr>
          <w:rFonts w:cstheme="minorHAnsi"/>
        </w:rPr>
        <w:fldChar w:fldCharType="end"/>
      </w:r>
    </w:p>
  </w:endnote>
  <w:endnote w:id="429">
    <w:p w14:paraId="1C2409FE" w14:textId="07899DDC"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{"citationID":"aLFdi5IR","properties":{"formattedCitation":"Ibid 7[32].","plainCitation":"Ibid 7[32].","noteIndex":429},"citationItems":[{"id":5955,"uris":["http://zotero.org/groups/2733877/items/EPK4QZJA"],"uri":["http://zotero.org/groups/2733877/items/EPK4QZJA"],"itemData":{"id":5955,"type":"report","abstract":"Refworld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bodies.","collection-title":"A/HRC/2/53","language":"en","publisher":"United Nations Human Rights Council","title":"Report of the Special Rapporteur on torture and other cruel, inhuman or degrading treatment or punishment","URL":"https://www.refworld.org/docid/51136ae62.html","author":[{"family":"Mendez","given":"Juan"}],"accessed":{"date-parts":[["2021",2,1]]},"issued":{"date-parts":[["2013",2,1]]}},"locator":"7[32]"}],"schema":"https://github.com/citation-style-language/schema/raw/master/csl-citation.json"} </w:instrText>
      </w:r>
      <w:r w:rsidRPr="003F3D6D">
        <w:rPr>
          <w:rFonts w:cstheme="minorHAnsi"/>
        </w:rPr>
        <w:fldChar w:fldCharType="separate"/>
      </w:r>
      <w:r w:rsidRPr="003F3D6D">
        <w:rPr>
          <w:rFonts w:cstheme="minorHAnsi"/>
          <w:noProof/>
        </w:rPr>
        <w:t>Ibid 7[32].</w:t>
      </w:r>
      <w:r w:rsidRPr="003F3D6D">
        <w:rPr>
          <w:rFonts w:cstheme="minorHAnsi"/>
        </w:rPr>
        <w:fldChar w:fldCharType="end"/>
      </w:r>
    </w:p>
  </w:endnote>
  <w:endnote w:id="430">
    <w:p w14:paraId="2DA01DCE" w14:textId="669A35AD"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{"citationID":"XRYnrfoT","properties":{"formattedCitation":"Ibid 23[89].","plainCitation":"Ibid 23[89].","noteIndex":430},"citationItems":[{"id":5955,"uris":["http://zotero.org/groups/2733877/items/EPK4QZJA"],"uri":["http://zotero.org/groups/2733877/items/EPK4QZJA"],"itemData":{"id":5955,"type":"report","abstract":"Refworld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bodies.","collection-title":"A/HRC/2/53","language":"en","publisher":"United Nations Human Rights Council","title":"Report of the Special Rapporteur on torture and other cruel, inhuman or degrading treatment or punishment","URL":"https://www.refworld.org/docid/51136ae62.html","author":[{"family":"Mendez","given":"Juan"}],"accessed":{"date-parts":[["2021",2,1]]},"issued":{"date-parts":[["2013",2,1]]}},"locator":"23[89]"}],"schema":"https://github.com/citation-style-language/schema/raw/master/csl-citation.json"} </w:instrText>
      </w:r>
      <w:r w:rsidRPr="003F3D6D">
        <w:rPr>
          <w:rFonts w:cstheme="minorHAnsi"/>
        </w:rPr>
        <w:fldChar w:fldCharType="separate"/>
      </w:r>
      <w:r w:rsidRPr="003F3D6D">
        <w:rPr>
          <w:rFonts w:cstheme="minorHAnsi"/>
          <w:noProof/>
        </w:rPr>
        <w:t>Ibid 23[89].</w:t>
      </w:r>
      <w:r w:rsidRPr="003F3D6D">
        <w:rPr>
          <w:rFonts w:cstheme="minorHAnsi"/>
        </w:rPr>
        <w:fldChar w:fldCharType="end"/>
      </w:r>
    </w:p>
  </w:endnote>
  <w:endnote w:id="431">
    <w:p w14:paraId="72A43B14" w14:textId="3CDA955A"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{"citationID":"mkzkXJMw","properties":{"formattedCitation":"Ibid 15[63].","plainCitation":"Ibid 15[63].","noteIndex":431},"citationItems":[{"id":5955,"uris":["http://zotero.org/groups/2733877/items/EPK4QZJA"],"uri":["http://zotero.org/groups/2733877/items/EPK4QZJA"],"itemData":{"id":5955,"type":"report","abstract":"Refworld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bodies.","collection-title":"A/HRC/2/53","language":"en","publisher":"United Nations Human Rights Council","title":"Report of the Special Rapporteur on torture and other cruel, inhuman or degrading treatment or punishment","URL":"https://www.refworld.org/docid/51136ae62.html","author":[{"family":"Mendez","given":"Juan"}],"accessed":{"date-parts":[["2021",2,1]]},"issued":{"date-parts":[["2013",2,1]]}},"locator":"15[63]"}],"schema":"https://github.com/citation-style-language/schema/raw/master/csl-citation.json"} </w:instrText>
      </w:r>
      <w:r w:rsidRPr="003F3D6D">
        <w:rPr>
          <w:rFonts w:cstheme="minorHAnsi"/>
        </w:rPr>
        <w:fldChar w:fldCharType="separate"/>
      </w:r>
      <w:r w:rsidRPr="003F3D6D">
        <w:rPr>
          <w:rFonts w:cstheme="minorHAnsi"/>
          <w:noProof/>
        </w:rPr>
        <w:t>Ibid 15[63].</w:t>
      </w:r>
      <w:r w:rsidRPr="003F3D6D">
        <w:rPr>
          <w:rFonts w:cstheme="minorHAnsi"/>
        </w:rPr>
        <w:fldChar w:fldCharType="end"/>
      </w:r>
    </w:p>
  </w:endnote>
  <w:endnote w:id="432">
    <w:p w14:paraId="217B66E7" w14:textId="77B55B54"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{"citationID":"ncnH4WiF","properties":{"formattedCitation":"Ibid 23[89].","plainCitation":"Ibid 23[89].","noteIndex":432},"citationItems":[{"id":5955,"uris":["http://zotero.org/groups/2733877/items/EPK4QZJA"],"uri":["http://zotero.org/groups/2733877/items/EPK4QZJA"],"itemData":{"id":5955,"type":"report","abstract":"Refworld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bodies.","collection-title":"A/HRC/2/53","language":"en","publisher":"United Nations Human Rights Council","title":"Report of the Special Rapporteur on torture and other cruel, inhuman or degrading treatment or punishment","URL":"https://www.refworld.org/docid/51136ae62.html","author":[{"family":"Mendez","given":"Juan"}],"accessed":{"date-parts":[["2021",2,1]]},"issued":{"date-parts":[["2013",2,1]]}},"locator":"23[89]"}],"schema":"https://github.com/citation-style-language/schema/raw/master/csl-citation.json"} </w:instrText>
      </w:r>
      <w:r w:rsidRPr="003F3D6D">
        <w:rPr>
          <w:rFonts w:cstheme="minorHAnsi"/>
        </w:rPr>
        <w:fldChar w:fldCharType="separate"/>
      </w:r>
      <w:r w:rsidRPr="003F3D6D">
        <w:rPr>
          <w:rFonts w:cstheme="minorHAnsi"/>
          <w:noProof/>
        </w:rPr>
        <w:t>Ibid 23[89].</w:t>
      </w:r>
      <w:r w:rsidRPr="003F3D6D">
        <w:rPr>
          <w:rFonts w:cstheme="minorHAnsi"/>
        </w:rPr>
        <w:fldChar w:fldCharType="end"/>
      </w:r>
    </w:p>
  </w:endnote>
  <w:endnote w:id="433">
    <w:p w14:paraId="1627707B" w14:textId="57E2C65D"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04QMnEHc","properties":{"formattedCitation":"Ibid.","plainCitation":"Ibid.","noteIndex":433},"citationItems":[{"id":5955,"uris":["http://zotero.org/groups/2733877/items/EPK4QZJA"],"uri":["http://zotero.org/groups/2733877/items/EPK4QZJA"],"itemData":{"id":5955,"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bodies.","collection-title":"A/HRC/2/53","language":"en","publisher":"United Nations Human Rights Council","title":"Report of the Special Rapporteur on torture and other cruel, inhuman or degrading treatment or punishment","URL":"https://www.refworld.org/docid/51136ae62.html","author":[{"family":"Mendez","given":"Juan"}],"accessed":{"date-parts":[["2021",2,1]]},"issued":{"date-parts":[["2013",2,1]]}},"locator":"23[89]"}],"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434">
    <w:p w14:paraId="0212D9E2" w14:textId="6DB5BFAC"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{"citationID":"zCUMfijD","properties":{"formattedCitation":"Ibid 20[83].","plainCitation":"Ibid 20[83].","noteIndex":434},"citationItems":[{"id":5955,"uris":["http://zotero.org/groups/2733877/items/EPK4QZJA"],"uri":["http://zotero.org/groups/2733877/items/EPK4QZJA"],"itemData":{"id":5955,"type":"report","abstract":"Refworld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bodies.","collection-title":"A/HRC/2/53","language":"en","publisher":"United Nations Human Rights Council","title":"Report of the Special Rapporteur on torture and other cruel, inhuman or degrading treatment or punishment","URL":"https://www.refworld.org/docid/51136ae62.html","author":[{"family":"Mendez","given":"Juan"}],"accessed":{"date-parts":[["2021",2,1]]},"issued":{"date-parts":[["2013",2,1]]}},"locator":"20[83]"}],"schema":"https://github.com/citation-style-language/schema/raw/master/csl-citation.json"} </w:instrText>
      </w:r>
      <w:r w:rsidRPr="003F3D6D">
        <w:rPr>
          <w:rFonts w:cstheme="minorHAnsi"/>
        </w:rPr>
        <w:fldChar w:fldCharType="separate"/>
      </w:r>
      <w:r w:rsidRPr="003F3D6D">
        <w:rPr>
          <w:rFonts w:cstheme="minorHAnsi"/>
          <w:noProof/>
        </w:rPr>
        <w:t>Ibid 20[83].</w:t>
      </w:r>
      <w:r w:rsidRPr="003F3D6D">
        <w:rPr>
          <w:rFonts w:cstheme="minorHAnsi"/>
        </w:rPr>
        <w:fldChar w:fldCharType="end"/>
      </w:r>
    </w:p>
  </w:endnote>
  <w:endnote w:id="435">
    <w:p w14:paraId="283D533F" w14:textId="2BE64CC1"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{"citationID":"go2aQjNz","properties":{"formattedCitation":"Committee Against Torture, {\\i{}General Comment No. 3: Convention Against Torture and Other Cruel, Inhuman or Degrading Treatment or Punishment: Implementation of Article 14 by States Parties} (CAT/C/GC/3, United Nations, 13 December 2012) &lt;https://www.refworld.org/docid/5437cc274.html&gt;.","plainCitation":"Committee Against Torture, General Comment No. 3: Convention Against Torture and Other Cruel, Inhuman or Degrading Treatment or Punishment: Implementation of Article 14 by States Parties (CAT/C/GC/3, United Nations, 13 December 2012) &lt;https://www.refworld.org/docid/5437cc274.html&gt;.","noteIndex":435},"citationItems":[{"id":6047,"uris":["http://zotero.org/groups/2733877/items/B8M9UK9S"],"uri":["http://zotero.org/groups/2733877/items/B8M9UK9S"],"itemData":{"id":6047,"type":"report","abstract":"Refworld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bodies.","collection-title":"UN Doc","genre":"CAT/C/GC/3","language":"en","publisher":"United Nations","title":"General Comment No. 3: Convention Against Torture and Other Cruel, Inhuman or Degrading Treatment or Punishment: implementation of article 14 by States parties","URL":"https://www.refworld.org/docid/5437cc274.html","author":[{"family":"Committee Against Torture","given":""}],"accessed":{"date-parts":[["2021",2,2]]},"issued":{"date-parts":[["2012",12,13]]}}}],"schema":"https://github.com/citation-style-language/schema/raw/master/csl-citation.json"} </w:instrText>
      </w:r>
      <w:r w:rsidRPr="003F3D6D">
        <w:rPr>
          <w:rFonts w:cstheme="minorHAnsi"/>
        </w:rPr>
        <w:fldChar w:fldCharType="separate"/>
      </w:r>
      <w:r w:rsidRPr="003F3D6D">
        <w:rPr>
          <w:rFonts w:cstheme="minorHAnsi"/>
        </w:rPr>
        <w:t xml:space="preserve">Committee Against Torture, </w:t>
      </w:r>
      <w:r w:rsidRPr="003F3D6D">
        <w:rPr>
          <w:rFonts w:cstheme="minorHAnsi"/>
          <w:i/>
          <w:iCs/>
        </w:rPr>
        <w:t>General Comment No. 3: Convention Against Torture and Other Cruel, Inhuman or Degrading Treatment or Punishment: Implementation of Article 14 by States Parties</w:t>
      </w:r>
      <w:r w:rsidRPr="003F3D6D">
        <w:rPr>
          <w:rFonts w:cstheme="minorHAnsi"/>
        </w:rPr>
        <w:t xml:space="preserve"> (CAT/C/GC/3, United Nations, 13 December 2012) &lt;https://www.refworld.org/docid/5437cc274.html&gt;.</w:t>
      </w:r>
      <w:r w:rsidRPr="003F3D6D">
        <w:rPr>
          <w:rFonts w:cstheme="minorHAnsi"/>
        </w:rPr>
        <w:fldChar w:fldCharType="end"/>
      </w:r>
    </w:p>
  </w:endnote>
  <w:endnote w:id="436">
    <w:p w14:paraId="53AF6ECE" w14:textId="0E6CB227"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JTeUNGDJ","properties":{"formattedCitation":"Ibid.","plainCitation":"Ibid.","noteIndex":436},"citationItems":[{"id":6047,"uris":["http://zotero.org/groups/2733877/items/B8M9UK9S"],"uri":["http://zotero.org/groups/2733877/items/B8M9UK9S"],"itemData":{"id":6047,"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bodies.","collection-title":"UN Doc","genre":"CAT/C/GC/3","language":"en","publisher":"United Nations","title":"General Comment No. 3: Convention Against Torture and Other Cruel, Inhuman or Degrading Treatment or Punishment: implementation of article 14 by States parties","URL":"https://www.refworld.org/docid/5437cc274.html","author":[{"family":"Committee Against Torture","given":""}],"accessed":{"date-parts":[["2021",2,2]]},"issued":{"date-parts":[["2012",12,13]]}}}],"schema":"https://github.com/citation-style-language/schema/raw/master/csl-citation.json"}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437">
    <w:p w14:paraId="0C3ABA4B" w14:textId="5B28737B"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{"citationID":"5slyk2Ou","properties":{"formattedCitation":"Mendez (n 321) 11[48].","plainCitation":"Mendez (n 321) 11[48].","noteIndex":437},"citationItems":[{"id":5955,"uris":["http://zotero.org/groups/2733877/items/EPK4QZJA"],"uri":["http://zotero.org/groups/2733877/items/EPK4QZJA"],"itemData":{"id":5955,"type":"report","abstract":"Refworld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bodies.","collection-title":"A/HRC/2/53","language":"en","publisher":"United Nations Human Rights Council","title":"Report of the Special Rapporteur on torture and other cruel, inhuman or degrading treatment or punishment","URL":"https://www.refworld.org/docid/51136ae62.html","author":[{"family":"Mendez","given":"Juan"}],"accessed":{"date-parts":[["2021",2,1]]},"issued":{"date-parts":[["2013",2,1]]}},"locator":"11[48]"}],"schema":"https://github.com/citation-style-language/schema/raw/master/csl-citation.json"} </w:instrText>
      </w:r>
      <w:r w:rsidRPr="003F3D6D">
        <w:rPr>
          <w:rFonts w:cstheme="minorHAnsi"/>
        </w:rPr>
        <w:fldChar w:fldCharType="separate"/>
      </w:r>
      <w:r w:rsidR="004849F5" w:rsidRPr="004849F5">
        <w:rPr>
          <w:rFonts w:ascii="Calibri" w:hAnsi="Calibri" w:cs="Calibri"/>
        </w:rPr>
        <w:t>Mendez (n 321) 11[48].</w:t>
      </w:r>
      <w:r w:rsidRPr="003F3D6D">
        <w:rPr>
          <w:rFonts w:cstheme="minorHAnsi"/>
        </w:rPr>
        <w:fldChar w:fldCharType="end"/>
      </w:r>
    </w:p>
  </w:endnote>
  <w:endnote w:id="438">
    <w:p w14:paraId="44098079" w14:textId="060747F7"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{"citationID":"QUrqzAfx","properties":{"formattedCitation":"Australian OPCAT Network, {\\i{}The Implementation of OPCAT in Australia: Submission by the Australia OPCAT Network to the Subcommittee on Prevention of Torture and Other Cruel, Inhuman or Degrading Treatment or Punishment (SPT) and the United Nations Working Group on Arbitrary Detention (WGAD)} (January 2020) &lt;https://reliefweb.int/sites/reliefweb.int/files/resources/Implementation_of_OPCAT_in_Australia.pdf&gt;.","plainCitation":"Australian OPCAT Network, The Implementation of OPCAT in Australia: Submission by the Australia OPCAT Network to the Subcommittee on Prevention of Torture and Other Cruel, Inhuman or Degrading Treatment or Punishment (SPT) and the United Nations Working Group on Arbitrary Detention (WGAD) (January 2020) &lt;https://reliefweb.int/sites/reliefweb.int/files/resources/Implementation_of_OPCAT_in_Australia.pdf&gt;.","noteIndex":438},"citationItems":[{"id":6124,"uris":["http://zotero.org/groups/2733877/items/T62CJJNR"],"uri":["http://zotero.org/groups/2733877/items/T62CJJNR"],"itemData":{"id":6124,"type":"report","title":"The Implementation of OPCAT in Australia: Submission by the Australia OPCAT Network to the Subcommittee on Prevention of Torture and Other Cruel, Inhuman or Degrading Treatment or Punishment (SPT) and the United Nations Working Group on Arbitrary Detention (WGAD)","URL":"https://reliefweb.int/sites/reliefweb.int/files/resources/Implementation_of_OPCAT_in_Australia.pdf","author":[{"family":"Australian OPCAT Network","given":""}],"issued":{"date-parts":[["2020",1]]}}}],"schema":"https://github.com/citation-style-language/schema/raw/master/csl-citation.json"} </w:instrText>
      </w:r>
      <w:r w:rsidRPr="003F3D6D">
        <w:rPr>
          <w:rFonts w:cstheme="minorHAnsi"/>
        </w:rPr>
        <w:fldChar w:fldCharType="separate"/>
      </w:r>
      <w:r w:rsidRPr="003F3D6D">
        <w:rPr>
          <w:rFonts w:cstheme="minorHAnsi"/>
        </w:rPr>
        <w:t xml:space="preserve">Australian OPCAT Network, </w:t>
      </w:r>
      <w:r w:rsidRPr="003F3D6D">
        <w:rPr>
          <w:rFonts w:cstheme="minorHAnsi"/>
          <w:i/>
          <w:iCs/>
        </w:rPr>
        <w:t>The Implementation of OPCAT in Australia: Submission by the Australia OPCAT Network to the Subcommittee on Prevention of Torture and Other Cruel, Inhuman or Degrading Treatment or Punishment (SPT) and the United Nations Working Group on Arbitrary Detention (WGAD)</w:t>
      </w:r>
      <w:r w:rsidRPr="003F3D6D">
        <w:rPr>
          <w:rFonts w:cstheme="minorHAnsi"/>
        </w:rPr>
        <w:t xml:space="preserve"> (January 2020) &lt;https://reliefweb.int/sites/reliefweb.int/files/resources/Implementation_of_OPCAT_in_Australia.pdf&gt;.</w:t>
      </w:r>
      <w:r w:rsidRPr="003F3D6D">
        <w:rPr>
          <w:rFonts w:cstheme="minorHAnsi"/>
        </w:rPr>
        <w:fldChar w:fldCharType="end"/>
      </w:r>
    </w:p>
  </w:endnote>
  <w:endnote w:id="439">
    <w:p w14:paraId="3B9288C2" w14:textId="0DC0100B"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{"citationID":"6KvAxDjy","properties":{"formattedCitation":"Meredith Lea et al, \\uc0\\u8216{}A Disability Aware Approach to Torture Prevention? Australian OPCAT Ratification and Improved Protections for People with Disability\\uc0\\u8217{} (2018) 24(1) {\\i{}Australian Journal of Human Rights} 70.","plainCitation":"Meredith Lea et al, ‘A Disability Aware Approach to Torture Prevention? Australian OPCAT Ratification and Improved Protections for People with Disability’ (2018) 24(1) Australian Journal of Human Rights 70.","noteIndex":439},"citationItems":[{"id":6229,"uris":["http://zotero.org/groups/2733877/items/USRVP933"],"uri":["http://zotero.org/groups/2733877/items/USRVP933"],"itemData":{"id":6229,"type":"article-journal","container-title":"Australian Journal of Human Rights","DOI":"10.1080/1323238X.2018.1441611","ISSN":"1323-238X","issue":"1","language":"English","page":"70-96","source":"research.monash.edu","title":"A disability aware approach to torture prevention? Australian OPCAT ratification and improved protections for people with disability","volume":"24","author":[{"family":"Lea","given":"Meredith"},{"family":"Beaupert","given":"Fleur"},{"family":"Bevan","given":"Ngila"},{"family":"Celermajer","given":"Danielle"},{"family":"Gooding","given":"Piers"},{"family":"Minty","given":"Rebecca"},{"family":"Phillips","given":"Emma"},{"family":"Spivakovsky","given":"Claire"},{"family":"Steele","given":"Linda"},{"family":"Wadiwel","given":"Dinesh Joseph"},{"family":"Weller","given":"Penelope June"}],"issued":{"date-parts":[["2018",1,2]]}}}],"schema":"https://github.com/citation-style-language/schema/raw/master/csl-citation.json"} </w:instrText>
      </w:r>
      <w:r w:rsidRPr="003F3D6D">
        <w:rPr>
          <w:rFonts w:cstheme="minorHAnsi"/>
        </w:rPr>
        <w:fldChar w:fldCharType="separate"/>
      </w:r>
      <w:r w:rsidRPr="003F3D6D">
        <w:rPr>
          <w:rFonts w:cstheme="minorHAnsi"/>
        </w:rPr>
        <w:t xml:space="preserve">Meredith Lea et al, ‘A Disability Aware Approach to Torture Prevention? Australian OPCAT Ratification and Improved Protections for People with Disability’ (2018) 24(1) </w:t>
      </w:r>
      <w:r w:rsidRPr="003F3D6D">
        <w:rPr>
          <w:rFonts w:cstheme="minorHAnsi"/>
          <w:i/>
          <w:iCs/>
        </w:rPr>
        <w:t>Australian Journal of Human Rights</w:t>
      </w:r>
      <w:r w:rsidRPr="003F3D6D">
        <w:rPr>
          <w:rFonts w:cstheme="minorHAnsi"/>
        </w:rPr>
        <w:t xml:space="preserve"> 70.</w:t>
      </w:r>
      <w:r w:rsidRPr="003F3D6D">
        <w:rPr>
          <w:rFonts w:cstheme="minorHAnsi"/>
        </w:rPr>
        <w:fldChar w:fldCharType="end"/>
      </w:r>
    </w:p>
  </w:endnote>
  <w:endnote w:id="440">
    <w:p w14:paraId="7F955C67" w14:textId="4BEF38FD"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{"citationID":"i3NwmKR2","properties":{"formattedCitation":"Committee on the Rights of Persons with Disabilities, \\uc0\\u8216{}Concluding Observations on the Initial Report of Australia, Adopted by the Committee at Its Tenth Session (2-13 September 2013)\\uc0\\u8217{} (n 12) 8[29].","plainCitation":"Committee on the Rights of Persons with Disabilities, ‘Concluding Observations on the Initial Report of Australia, Adopted by the Committee at Its Tenth Session (2-13 September 2013)’ (n 12) 8[29].","noteIndex":440},"citationItems":[{"id":6044,"uris":["http://zotero.org/groups/2733877/items/GW86GCS8"],"uri":["http://zotero.org/groups/2733877/items/GW86GCS8"],"itemData":{"id":6044,"type":"report","collection-title":"UN Doc","genre":"CRPD/C/AUS/CO/1","language":"en","publisher":"United Nations","title":"Concluding observations on the initial report of Australia, adopted by the Committee at its tenth session (2-13 September 2013)","URL":"https://www.refworld.org/docid/5280b5cb4.html","author":[{"family":"Committee on the Rights of Persons with Disabilities","given":""}],"accessed":{"date-parts":[["2021",1,27]]},"issued":{"date-parts":[["2013",10,21]]}},"locator":"8[29]"}],"schema":"https://github.com/citation-style-language/schema/raw/master/csl-citation.json"} </w:instrText>
      </w:r>
      <w:r w:rsidRPr="003F3D6D">
        <w:rPr>
          <w:rFonts w:cstheme="minorHAnsi"/>
        </w:rPr>
        <w:fldChar w:fldCharType="separate"/>
      </w:r>
      <w:r w:rsidRPr="003509C3">
        <w:rPr>
          <w:rFonts w:ascii="Calibri" w:hAnsi="Calibri" w:cs="Calibri"/>
          <w:szCs w:val="24"/>
        </w:rPr>
        <w:t>Committee on the Rights of Persons with Disabilities, ‘Concluding Observations on the Initial Report of Australia, Adopted by the Committee at Its Tenth Session (2-13 September 2013)’ (n 12) 8[29].</w:t>
      </w:r>
      <w:r w:rsidRPr="003F3D6D">
        <w:rPr>
          <w:rFonts w:cstheme="minorHAnsi"/>
        </w:rPr>
        <w:fldChar w:fldCharType="end"/>
      </w:r>
    </w:p>
  </w:endnote>
  <w:endnote w:id="441">
    <w:p w14:paraId="2006EB22" w14:textId="3E0E2281"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{"citationID":"VVKyZ5ly","properties":{"formattedCitation":"Committee on the Rights of Persons with Disabilities, \\uc0\\u8216{}Concluding Observations on the Combined Second and Third Periodic Reports of Australia, Adopted by the Committee at Its 511th Meeting (20 September 2019) of the 22nd Session\\uc0\\u8217{} (n 14) 5[36].","plainCitation":"Committee on the Rights of Persons with Disabilities, ‘Concluding Observations on the Combined Second and Third Periodic Reports of Australia, Adopted by the Committee at Its 511th Meeting (20 September 2019) of the 22nd Session’ (n 14) 5[36].","noteIndex":441},"citationItems":[{"id":5930,"uris":["http://zotero.org/groups/2733877/items/22NEYWVV"],"uri":["http://zotero.org/groups/2733877/items/22NEYWVV"],"itemData":{"id":5930,"type":"report","collection-title":"UN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Disabilities","given":""}],"issued":{"date-parts":[["2019",10,15]]}},"locator":"5[36]"}],"schema":"https://github.com/citation-style-language/schema/raw/master/csl-citation.json"} </w:instrText>
      </w:r>
      <w:r w:rsidRPr="003F3D6D">
        <w:rPr>
          <w:rFonts w:cstheme="minorHAnsi"/>
        </w:rPr>
        <w:fldChar w:fldCharType="separate"/>
      </w:r>
      <w:r w:rsidRPr="00C27B33">
        <w:rPr>
          <w:rFonts w:ascii="Calibri" w:hAnsi="Calibri" w:cs="Calibri"/>
          <w:szCs w:val="24"/>
        </w:rPr>
        <w:t>Committee on the Rights of Persons with Disabilities, ‘Concluding Observations on the Combined Second and Third Periodic Reports of Australia, Adopted by the Committee at Its 511th Meeting (20 September 2019) of the 22nd Session’ (n 14) 5[36].</w:t>
      </w:r>
      <w:r w:rsidRPr="003F3D6D">
        <w:rPr>
          <w:rFonts w:cstheme="minorHAnsi"/>
        </w:rPr>
        <w:fldChar w:fldCharType="end"/>
      </w:r>
    </w:p>
  </w:endnote>
  <w:endnote w:id="442">
    <w:p w14:paraId="447739D0" w14:textId="65950BA0"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{"citationID":"NZpObjRV","properties":{"formattedCitation":"Ibid 8[30].","plainCitation":"Ibid 8[30].","noteIndex":442},"citationItems":[{"id":5930,"uris":["http://zotero.org/groups/2733877/items/22NEYWVV"],"uri":["http://zotero.org/groups/2733877/items/22NEYWVV"],"itemData":{"id":5930,"type":"report","collection-title":"UN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Disabilities","given":""}],"issued":{"date-parts":[["2019",10,15]]}},"locator":"8[30]"}],"schema":"https://github.com/citation-style-language/schema/raw/master/csl-citation.json"} </w:instrText>
      </w:r>
      <w:r w:rsidRPr="003F3D6D">
        <w:rPr>
          <w:rFonts w:cstheme="minorHAnsi"/>
        </w:rPr>
        <w:fldChar w:fldCharType="separate"/>
      </w:r>
      <w:r w:rsidRPr="003F3D6D">
        <w:rPr>
          <w:rFonts w:cstheme="minorHAnsi"/>
          <w:noProof/>
        </w:rPr>
        <w:t>Ibid 8[30].</w:t>
      </w:r>
      <w:r w:rsidRPr="003F3D6D">
        <w:rPr>
          <w:rFonts w:cstheme="minorHAnsi"/>
        </w:rPr>
        <w:fldChar w:fldCharType="end"/>
      </w:r>
    </w:p>
  </w:endnote>
  <w:endnote w:id="443">
    <w:p w14:paraId="2CF1BED3" w14:textId="30A4480C"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{"citationID":"T34HG5aK","properties":{"formattedCitation":"Committee on the Rights of Persons with Disabilities, \\uc0\\u8216{}General Comment No. 5 on Living Independently and Being Included in the Community\\uc0\\u8217{} (n 185).","plainCitation":"Committee on the Rights of Persons with Disabilities, ‘General Comment No. 5 on Living Independently and Being Included in the Community’ (n 185).","noteIndex":443},"citationItems":[{"id":6129,"uris":["http://zotero.org/groups/2733877/items/VEZVSBB9"],"uri":["http://zotero.org/groups/2733877/items/VEZVSBB9"],"itemData":{"id":6129,"type":"report","collection-title":"UN Doc","genre":"CRPD/C/GC/5","publisher":"United Nations","title":"General Comment No. 5 on living independently and being included in the community","URL":"https://tbinternet.ohchr.org/_layouts/15/treatybodyexternal/Download.aspx?symbolno=CRPD/C/GC/5&amp;Lang=en","author":[{"family":"Committee on the Rights of Persons with Disabilities","given":""}],"issued":{"date-parts":[["2017",10,27]]}}}],"schema":"https://github.com/citation-style-language/schema/raw/master/csl-citation.json"} </w:instrText>
      </w:r>
      <w:r w:rsidRPr="003F3D6D">
        <w:rPr>
          <w:rFonts w:cstheme="minorHAnsi"/>
        </w:rPr>
        <w:fldChar w:fldCharType="separate"/>
      </w:r>
      <w:r w:rsidRPr="008F06C3">
        <w:rPr>
          <w:rFonts w:ascii="Calibri" w:hAnsi="Calibri" w:cs="Calibri"/>
          <w:szCs w:val="24"/>
        </w:rPr>
        <w:t>Committee on the Rights of Persons with Disabilities, ‘General Comment No. 5 on Living Independently and Being Included in the Community’ (n 185).</w:t>
      </w:r>
      <w:r w:rsidRPr="003F3D6D">
        <w:rPr>
          <w:rFonts w:cstheme="minorHAnsi"/>
        </w:rPr>
        <w:fldChar w:fldCharType="end"/>
      </w:r>
    </w:p>
  </w:endnote>
  <w:endnote w:id="444">
    <w:p w14:paraId="51326B75" w14:textId="27B375B4"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{"citationID":"C1GteZtf","properties":{"formattedCitation":"Committee on the Rights of Persons with Disabilities, \\uc0\\u8216{}General Comment No. 6 on Equality and Non-Discrimination\\uc0\\u8217{} (n 340) 14[58].","plainCitation":"Committee on the Rights of Persons with Disabilities, ‘General Comment No. 6 on Equality and Non-Discrimination’ (n 340) 14[58].","noteIndex":444},"citationItems":[{"id":5942,"uris":["http://zotero.org/groups/2733877/items/RCJUU6ZB"],"uri":["http://zotero.org/groups/2733877/items/RCJUU6ZB"],"itemData":{"id":5942,"type":"report","genre":"CRPD/C/GC/6","publisher":"United Nations","title":"General Comment No. 6 on equality and non-discrimination","URL":"https://tbinternet.ohchr.org/_layouts/15/treatybodyexternal/Download.aspx?symbolno=CRPD/C/GC/6&amp;Lang=en","author":[{"family":"Committee on the Rights of Persons with Disabilities","given":""}],"issued":{"date-parts":[["2018",4,26]]}},"locator":"14[58]"}],"schema":"https://github.com/citation-style-language/schema/raw/master/csl-citation.json"} </w:instrText>
      </w:r>
      <w:r w:rsidRPr="003F3D6D">
        <w:rPr>
          <w:rFonts w:cstheme="minorHAnsi"/>
        </w:rPr>
        <w:fldChar w:fldCharType="separate"/>
      </w:r>
      <w:r w:rsidR="004849F5" w:rsidRPr="004849F5">
        <w:rPr>
          <w:rFonts w:ascii="Calibri" w:hAnsi="Calibri" w:cs="Calibri"/>
          <w:szCs w:val="24"/>
        </w:rPr>
        <w:t>Committee on the Rights of Persons with Disabilities, ‘General Comment No. 6 on Equality and Non-Discrimination’ (n 340) 14[58].</w:t>
      </w:r>
      <w:r w:rsidRPr="003F3D6D">
        <w:rPr>
          <w:rFonts w:cstheme="minorHAnsi"/>
        </w:rPr>
        <w:fldChar w:fldCharType="end"/>
      </w:r>
    </w:p>
  </w:endnote>
  <w:endnote w:id="445">
    <w:p w14:paraId="16515A4C" w14:textId="018E9FC3"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{"citationID":"sBOrzuJU","properties":{"formattedCitation":"UN General Assembly, \\uc0\\u8216{}Report of the Special Rapporteur on the Rights of Persons with Disabilities\\uc0\\u8217{} (n 233) 12[32].","plainCitation":"UN General Assembly, ‘Report of the Special Rapporteur on the Rights of Persons with Disabilities’ (n 233) 12[32].","noteIndex":445},"citationItems":[{"id":5934,"uris":["http://zotero.org/groups/2733877/items/DDSJCITE"],"uri":["http://zotero.org/groups/2733877/items/DDSJCITE"],"itemData":{"id":5934,"type":"report","collection-title":"UN Doc","genre":"A/74/186","publisher":"United Nations","title":"Report of the Special Rapporteur on the Rights of Persons with Disabilities","URL":"https://undocs.org/en/A/74/186","author":[{"family":"UN General Assembly","given":""}],"issued":{"date-parts":[["2019",7,17]]}},"locator":"12[32]"}],"schema":"https://github.com/citation-style-language/schema/raw/master/csl-citation.json"} </w:instrText>
      </w:r>
      <w:r w:rsidRPr="003F3D6D">
        <w:rPr>
          <w:rFonts w:cstheme="minorHAnsi"/>
        </w:rPr>
        <w:fldChar w:fldCharType="separate"/>
      </w:r>
      <w:r w:rsidRPr="00BF579D">
        <w:rPr>
          <w:rFonts w:ascii="Calibri" w:hAnsi="Calibri" w:cs="Calibri"/>
          <w:szCs w:val="24"/>
        </w:rPr>
        <w:t>UN General Assembly, ‘Report of the Special Rapporteur on the Rights of Persons with Disabilities’ (n 233) 12[32].</w:t>
      </w:r>
      <w:r w:rsidRPr="003F3D6D">
        <w:rPr>
          <w:rFonts w:cstheme="minorHAnsi"/>
        </w:rPr>
        <w:fldChar w:fldCharType="end"/>
      </w:r>
    </w:p>
  </w:endnote>
  <w:endnote w:id="446">
    <w:p w14:paraId="4A01D393" w14:textId="348953E6"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{"citationID":"t0Ksw5UD","properties":{"formattedCitation":"Ibid 13[33].","plainCitation":"Ibid 13[33].","noteIndex":446},"citationItems":[{"id":5934,"uris":["http://zotero.org/groups/2733877/items/DDSJCITE"],"uri":["http://zotero.org/groups/2733877/items/DDSJCITE"],"itemData":{"id":5934,"type":"report","collection-title":"UN Doc","genre":"A/74/186","publisher":"United Nations","title":"Report of the Special Rapporteur on the Rights of Persons with Disabilities","URL":"https://undocs.org/en/A/74/186","author":[{"family":"UN General Assembly","given":""}],"issued":{"date-parts":[["2019",7,17]]}},"locator":"13[33]"}],"schema":"https://github.com/citation-style-language/schema/raw/master/csl-citation.json"} </w:instrText>
      </w:r>
      <w:r w:rsidRPr="003F3D6D">
        <w:rPr>
          <w:rFonts w:cstheme="minorHAnsi"/>
        </w:rPr>
        <w:fldChar w:fldCharType="separate"/>
      </w:r>
      <w:r w:rsidRPr="003F3D6D">
        <w:rPr>
          <w:rFonts w:cstheme="minorHAnsi"/>
          <w:noProof/>
        </w:rPr>
        <w:t>Ibid 13[33].</w:t>
      </w:r>
      <w:r w:rsidRPr="003F3D6D">
        <w:rPr>
          <w:rFonts w:cstheme="minorHAnsi"/>
        </w:rPr>
        <w:fldChar w:fldCharType="end"/>
      </w:r>
    </w:p>
  </w:endnote>
  <w:endnote w:id="447">
    <w:p w14:paraId="431E908F" w14:textId="62A2294B"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{"citationID":"BQiI8zqM","properties":{"formattedCitation":"Ibid 18[54].","plainCitation":"Ibid 18[54].","noteIndex":447},"citationItems":[{"id":5934,"uris":["http://zotero.org/groups/2733877/items/DDSJCITE"],"uri":["http://zotero.org/groups/2733877/items/DDSJCITE"],"itemData":{"id":5934,"type":"report","collection-title":"UN Doc","genre":"A/74/186","publisher":"United Nations","title":"Report of the Special Rapporteur on the Rights of Persons with Disabilities","URL":"https://undocs.org/en/A/74/186","author":[{"family":"UN General Assembly","given":""}],"issued":{"date-parts":[["2019",7,17]]}},"locator":"18[54]"}],"schema":"https://github.com/citation-style-language/schema/raw/master/csl-citation.json"} </w:instrText>
      </w:r>
      <w:r w:rsidRPr="003F3D6D">
        <w:rPr>
          <w:rFonts w:cstheme="minorHAnsi"/>
        </w:rPr>
        <w:fldChar w:fldCharType="separate"/>
      </w:r>
      <w:r w:rsidRPr="003F3D6D">
        <w:rPr>
          <w:rFonts w:cstheme="minorHAnsi"/>
          <w:noProof/>
        </w:rPr>
        <w:t>Ibid 18[54].</w:t>
      </w:r>
      <w:r w:rsidRPr="003F3D6D">
        <w:rPr>
          <w:rFonts w:cstheme="minorHAnsi"/>
        </w:rPr>
        <w:fldChar w:fldCharType="end"/>
      </w:r>
    </w:p>
  </w:endnote>
  <w:endnote w:id="448">
    <w:p w14:paraId="069C95D8" w14:textId="7F553308"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{"citationID":"YQLs5LpX","properties":{"formattedCitation":"Committee on the Rights of Persons with Disabilities, \\uc0\\u8216{}General Comment No. 5 on Living Independently and Being Included in the Community\\uc0\\u8217{} (n 185) 4[16(c)].","plainCitation":"Committee on the Rights of Persons with Disabilities, ‘General Comment No. 5 on Living Independently and Being Included in the Community’ (n 185) 4[16(c)].","noteIndex":448},"citationItems":[{"id":6129,"uris":["http://zotero.org/groups/2733877/items/VEZVSBB9"],"uri":["http://zotero.org/groups/2733877/items/VEZVSBB9"],"itemData":{"id":6129,"type":"report","collection-title":"UN Doc","genre":"CRPD/C/GC/5","publisher":"United Nations","title":"General Comment No. 5 on living independently and being included in the community","URL":"https://tbinternet.ohchr.org/_layouts/15/treatybodyexternal/Download.aspx?symbolno=CRPD/C/GC/5&amp;Lang=en","author":[{"family":"Committee on the Rights of Persons with Disabilities","given":""}],"issued":{"date-parts":[["2017",10,27]]}},"locator":"4[16(c)]"}],"schema":"https://github.com/citation-style-language/schema/raw/master/csl-citation.json"} </w:instrText>
      </w:r>
      <w:r w:rsidRPr="003F3D6D">
        <w:rPr>
          <w:rFonts w:cstheme="minorHAnsi"/>
        </w:rPr>
        <w:fldChar w:fldCharType="separate"/>
      </w:r>
      <w:r w:rsidRPr="008F06C3">
        <w:rPr>
          <w:rFonts w:ascii="Calibri" w:hAnsi="Calibri" w:cs="Calibri"/>
          <w:szCs w:val="24"/>
        </w:rPr>
        <w:t>Committee on the Rights of Persons with Disabilities, ‘General Comment No. 5 on Living Independently and Being Included in the Community’ (n 185) 4[16(c)].</w:t>
      </w:r>
      <w:r w:rsidRPr="003F3D6D">
        <w:rPr>
          <w:rFonts w:cstheme="minorHAnsi"/>
        </w:rPr>
        <w:fldChar w:fldCharType="end"/>
      </w:r>
    </w:p>
  </w:endnote>
  <w:endnote w:id="449">
    <w:p w14:paraId="402D356B" w14:textId="45D5995C"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{"citationID":"7VIBF69j","properties":{"formattedCitation":"Ibid 10[49].","plainCitation":"Ibid 10[49].","noteIndex":449},"citationItems":[{"id":6129,"uris":["http://zotero.org/groups/2733877/items/VEZVSBB9"],"uri":["http://zotero.org/groups/2733877/items/VEZVSBB9"],"itemData":{"id":6129,"type":"report","collection-title":"UN Doc","genre":"CRPD/C/GC/5","publisher":"United Nations","title":"General Comment No. 5 on living independently and being included in the community","URL":"https://tbinternet.ohchr.org/_layouts/15/treatybodyexternal/Download.aspx?symbolno=CRPD/C/GC/5&amp;Lang=en","author":[{"family":"Committee on the Rights of Persons with Disabilities","given":""}],"issued":{"date-parts":[["2017",10,27]]}},"locator":"10[49]"}],"schema":"https://github.com/citation-style-language/schema/raw/master/csl-citation.json"} </w:instrText>
      </w:r>
      <w:r w:rsidRPr="003F3D6D">
        <w:rPr>
          <w:rFonts w:cstheme="minorHAnsi"/>
        </w:rPr>
        <w:fldChar w:fldCharType="separate"/>
      </w:r>
      <w:r w:rsidRPr="003F3D6D">
        <w:rPr>
          <w:rFonts w:cstheme="minorHAnsi"/>
          <w:noProof/>
        </w:rPr>
        <w:t>Ibid 10[49].</w:t>
      </w:r>
      <w:r w:rsidRPr="003F3D6D">
        <w:rPr>
          <w:rFonts w:cstheme="minorHAnsi"/>
        </w:rPr>
        <w:fldChar w:fldCharType="end"/>
      </w:r>
    </w:p>
  </w:endnote>
  <w:endnote w:id="450">
    <w:p w14:paraId="21671B52" w14:textId="02FB95BE"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{"citationID":"2HAEUUPa","properties":{"formattedCitation":"Ibid 18[97(g)].","plainCitation":"Ibid 18[97(g)].","noteIndex":450},"citationItems":[{"id":6129,"uris":["http://zotero.org/groups/2733877/items/VEZVSBB9"],"uri":["http://zotero.org/groups/2733877/items/VEZVSBB9"],"itemData":{"id":6129,"type":"report","collection-title":"UN Doc","genre":"CRPD/C/GC/5","publisher":"United Nations","title":"General Comment No. 5 on living independently and being included in the community","URL":"https://tbinternet.ohchr.org/_layouts/15/treatybodyexternal/Download.aspx?symbolno=CRPD/C/GC/5&amp;Lang=en","author":[{"family":"Committee on the Rights of Persons with Disabilities","given":""}],"issued":{"date-parts":[["2017",10,27]]}},"locator":"18[97(g)]"}],"schema":"https://github.com/citation-style-language/schema/raw/master/csl-citation.json"} </w:instrText>
      </w:r>
      <w:r w:rsidRPr="003F3D6D">
        <w:rPr>
          <w:rFonts w:cstheme="minorHAnsi"/>
        </w:rPr>
        <w:fldChar w:fldCharType="separate"/>
      </w:r>
      <w:r w:rsidRPr="003F3D6D">
        <w:rPr>
          <w:rFonts w:cstheme="minorHAnsi"/>
          <w:noProof/>
        </w:rPr>
        <w:t>Ibid 18[97(g)].</w:t>
      </w:r>
      <w:r w:rsidRPr="003F3D6D">
        <w:rPr>
          <w:rFonts w:cstheme="minorHAnsi"/>
        </w:rPr>
        <w:fldChar w:fldCharType="end"/>
      </w:r>
    </w:p>
  </w:endnote>
  <w:endnote w:id="451">
    <w:p w14:paraId="0B8FDD47" w14:textId="477894E6"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{"citationID":"8ql0ZEGo","properties":{"formattedCitation":"Ibid 15[82].","plainCitation":"Ibid 15[82].","noteIndex":451},"citationItems":[{"id":6129,"uris":["http://zotero.org/groups/2733877/items/VEZVSBB9"],"uri":["http://zotero.org/groups/2733877/items/VEZVSBB9"],"itemData":{"id":6129,"type":"report","collection-title":"UN Doc","genre":"CRPD/C/GC/5","publisher":"United Nations","title":"General Comment No. 5 on living independently and being included in the community","URL":"https://tbinternet.ohchr.org/_layouts/15/treatybodyexternal/Download.aspx?symbolno=CRPD/C/GC/5&amp;Lang=en","author":[{"family":"Committee on the Rights of Persons with Disabilities","given":""}],"issued":{"date-parts":[["2017",10,27]]}},"locator":"15[82]"}],"schema":"https://github.com/citation-style-language/schema/raw/master/csl-citation.json"} </w:instrText>
      </w:r>
      <w:r w:rsidRPr="003F3D6D">
        <w:rPr>
          <w:rFonts w:cstheme="minorHAnsi"/>
        </w:rPr>
        <w:fldChar w:fldCharType="separate"/>
      </w:r>
      <w:r w:rsidRPr="003F3D6D">
        <w:rPr>
          <w:rFonts w:cstheme="minorHAnsi"/>
          <w:noProof/>
        </w:rPr>
        <w:t>Ibid 15[82].</w:t>
      </w:r>
      <w:r w:rsidRPr="003F3D6D">
        <w:rPr>
          <w:rFonts w:cstheme="minorHAnsi"/>
        </w:rPr>
        <w:fldChar w:fldCharType="end"/>
      </w:r>
    </w:p>
  </w:endnote>
  <w:endnote w:id="452">
    <w:p w14:paraId="2928A105" w14:textId="62627983"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{"citationID":"QxoigX7X","properties":{"formattedCitation":"Ibid 13-14[72].","plainCitation":"Ibid 13-14[72].","noteIndex":452},"citationItems":[{"id":6129,"uris":["http://zotero.org/groups/2733877/items/VEZVSBB9"],"uri":["http://zotero.org/groups/2733877/items/VEZVSBB9"],"itemData":{"id":6129,"type":"report","collection-title":"UN Doc","genre":"CRPD/C/GC/5","publisher":"United Nations","title":"General Comment No. 5 on living independently and being included in the community","URL":"https://tbinternet.ohchr.org/_layouts/15/treatybodyexternal/Download.aspx?symbolno=CRPD/C/GC/5&amp;Lang=en","author":[{"family":"Committee on the Rights of Persons with Disabilities","given":""}],"issued":{"date-parts":[["2017",10,27]]}},"locator":"13-14[72]"}],"schema":"https://github.com/citation-style-language/schema/raw/master/csl-citation.json"} </w:instrText>
      </w:r>
      <w:r w:rsidRPr="003F3D6D">
        <w:rPr>
          <w:rFonts w:cstheme="minorHAnsi"/>
        </w:rPr>
        <w:fldChar w:fldCharType="separate"/>
      </w:r>
      <w:r w:rsidRPr="003F3D6D">
        <w:rPr>
          <w:rFonts w:cstheme="minorHAnsi"/>
          <w:noProof/>
        </w:rPr>
        <w:t>Ibid 13-14[72].</w:t>
      </w:r>
      <w:r w:rsidRPr="003F3D6D">
        <w:rPr>
          <w:rFonts w:cstheme="minorHAnsi"/>
        </w:rPr>
        <w:fldChar w:fldCharType="end"/>
      </w:r>
    </w:p>
  </w:endnote>
  <w:endnote w:id="453">
    <w:p w14:paraId="16B60773" w14:textId="4B8DEC18"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{"citationID":"amMtX6Pb","properties":{"formattedCitation":"Ibid 15[83].","plainCitation":"Ibid 15[83].","noteIndex":453},"citationItems":[{"id":6129,"uris":["http://zotero.org/groups/2733877/items/VEZVSBB9"],"uri":["http://zotero.org/groups/2733877/items/VEZVSBB9"],"itemData":{"id":6129,"type":"report","collection-title":"UN Doc","genre":"CRPD/C/GC/5","publisher":"United Nations","title":"General Comment No. 5 on living independently and being included in the community","URL":"https://tbinternet.ohchr.org/_layouts/15/treatybodyexternal/Download.aspx?symbolno=CRPD/C/GC/5&amp;Lang=en","author":[{"family":"Committee on the Rights of Persons with Disabilities","given":""}],"issued":{"date-parts":[["2017",10,27]]}},"locator":"15[83]"}],"schema":"https://github.com/citation-style-language/schema/raw/master/csl-citation.json"} </w:instrText>
      </w:r>
      <w:r w:rsidRPr="003F3D6D">
        <w:rPr>
          <w:rFonts w:cstheme="minorHAnsi"/>
        </w:rPr>
        <w:fldChar w:fldCharType="separate"/>
      </w:r>
      <w:r w:rsidRPr="003F3D6D">
        <w:rPr>
          <w:rFonts w:cstheme="minorHAnsi"/>
          <w:noProof/>
        </w:rPr>
        <w:t>Ibid 15[83].</w:t>
      </w:r>
      <w:r w:rsidRPr="003F3D6D">
        <w:rPr>
          <w:rFonts w:cstheme="minorHAnsi"/>
        </w:rPr>
        <w:fldChar w:fldCharType="end"/>
      </w:r>
    </w:p>
  </w:endnote>
  <w:endnote w:id="454">
    <w:p w14:paraId="604876F4" w14:textId="6899ADF7"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{"citationID":"ce1Vau1e","properties":{"formattedCitation":"Committee on the Rights of Persons with Disabilities, \\uc0\\u8216{}Concluding Observations on the Initial Report of Australia, Adopted by the Committee at Its Tenth Session (2-13 September 2013)\\uc0\\u8217{} (n 12) 6[41]-[42].","plainCitation":"Committee on the Rights of Persons with Disabilities, ‘Concluding Observations on the Initial Report of Australia, Adopted by the Committee at Its Tenth Session (2-13 September 2013)’ (n 12) 6[41]-[42].","noteIndex":454},"citationItems":[{"id":6044,"uris":["http://zotero.org/groups/2733877/items/GW86GCS8"],"uri":["http://zotero.org/groups/2733877/items/GW86GCS8"],"itemData":{"id":6044,"type":"report","collection-title":"UN Doc","genre":"CRPD/C/AUS/CO/1","language":"en","publisher":"United Nations","title":"Concluding observations on the initial report of Australia, adopted by the Committee at its tenth session (2-13 September 2013)","URL":"https://www.refworld.org/docid/5280b5cb4.html","author":[{"family":"Committee on the Rights of Persons with Disabilities","given":""}],"accessed":{"date-parts":[["2021",1,27]]},"issued":{"date-parts":[["2013",10,21]]}},"locator":"6[41]-[42]"}],"schema":"https://github.com/citation-style-language/schema/raw/master/csl-citation.json"} </w:instrText>
      </w:r>
      <w:r w:rsidRPr="003F3D6D">
        <w:rPr>
          <w:rFonts w:cstheme="minorHAnsi"/>
        </w:rPr>
        <w:fldChar w:fldCharType="separate"/>
      </w:r>
      <w:r w:rsidRPr="003509C3">
        <w:rPr>
          <w:rFonts w:ascii="Calibri" w:hAnsi="Calibri" w:cs="Calibri"/>
          <w:szCs w:val="24"/>
        </w:rPr>
        <w:t>Committee on the Rights of Persons with Disabilities, ‘Concluding Observations on the Initial Report of Australia, Adopted by the Committee at Its Tenth Session (2-13 September 2013)’ (n 12) 6[41]-[42].</w:t>
      </w:r>
      <w:r w:rsidRPr="003F3D6D">
        <w:rPr>
          <w:rFonts w:cstheme="minorHAnsi"/>
        </w:rPr>
        <w:fldChar w:fldCharType="end"/>
      </w:r>
    </w:p>
  </w:endnote>
  <w:endnote w:id="455">
    <w:p w14:paraId="570866F9" w14:textId="6A5B6F46" w:rsidR="00A00236" w:rsidRPr="003F3D6D" w:rsidRDefault="00A00236" w:rsidP="00C17576">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{"citationID":"pAGBvUE0","properties":{"formattedCitation":"Committee on the Rights of Persons with Disabilities, \\uc0\\u8216{}Concluding Observations on the Combined Second and Third Periodic Reports of Australia, Adopted by the Committee at Its 511th Meeting (20 September 2019) of the 22nd Session\\uc0\\u8217{} (n 14) 10[38].","plainCitation":"Committee on the Rights of Persons with Disabilities, ‘Concluding Observations on the Combined Second and Third Periodic Reports of Australia, Adopted by the Committee at Its 511th Meeting (20 September 2019) of the 22nd Session’ (n 14) 10[38].","noteIndex":455},"citationItems":[{"id":5930,"uris":["http://zotero.org/groups/2733877/items/22NEYWVV"],"uri":["http://zotero.org/groups/2733877/items/22NEYWVV"],"itemData":{"id":5930,"type":"report","collection-title":"UN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Disabilities","given":""}],"issued":{"date-parts":[["2019",10,15]]}},"locator":"10[38]"}],"schema":"https://github.com/citation-style-language/schema/raw/master/csl-citation.json"} </w:instrText>
      </w:r>
      <w:r w:rsidRPr="003F3D6D">
        <w:rPr>
          <w:rFonts w:cstheme="minorHAnsi"/>
        </w:rPr>
        <w:fldChar w:fldCharType="separate"/>
      </w:r>
      <w:r w:rsidRPr="00C27B33">
        <w:rPr>
          <w:rFonts w:ascii="Calibri" w:hAnsi="Calibri" w:cs="Calibri"/>
          <w:szCs w:val="24"/>
        </w:rPr>
        <w:t>Committee on the Rights of Persons with Disabilities, ‘Concluding Observations on the Combined Second and Third Periodic Reports of Australia, Adopted by the Committee at Its 511th Meeting (20 September 2019) of the 22nd Session’ (n 14) 10[38].</w:t>
      </w:r>
      <w:r w:rsidRPr="003F3D6D">
        <w:rPr>
          <w:rFonts w:cstheme="minorHAnsi"/>
        </w:rPr>
        <w:fldChar w:fldCharType="end"/>
      </w:r>
    </w:p>
  </w:endnote>
  <w:endnote w:id="456">
    <w:p w14:paraId="382AFB17" w14:textId="7A6993DC"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{"citationID":"gslaDJM0","properties":{"formattedCitation":"Frohmader and Sands (n 87) 9. For example, Frohmader and Sands note in the context of the use of the terms \\uc0\\u8216{}abuse\\uc0\\u8217{} and \\uc0\\u8216{}neglect\\uc0\\u8217{} rather than \\uc0\\u8216{}violence\\uc0\\u8217{}: \\uc0\\u8216{}regardless of setting or context, violence against people with disability in Australia continues to be conceptualised, downplayed and \\uc0\\u8220{}detoxified\\uc0\\u8221{} as \\uc0\\u8220{}abuse\\uc0\\u8221{} or \\uc0\\u8220{}neglect\\uc0\\u8221{} or \\uc0\\u8220{}service incidents,\\uc0\\u8221{} or \\uc0\\u8220{}administrative infringements\\uc0\\u8221{} or a \\uc0\\u8220{}workplace issue to be addressed\\uc0\\u8221{} - rather than viewed as \\uc0\\u8220{}violence\\uc0\\u8221{} or crimes. This widespread tendency to downplay and re-frame violence as \\uc0\\u8220{}abuse\\uc0\\u8221{} or as a \\uc0\\u8220{}service incident\\uc0\\u8221{} results in denying people with disability the legal protections and justice extended to other people.\\uc0\\u8217{}","plainCitation":"Frohmader and Sands (n 87) 9. For example, Frohmader and Sands note in the context of the use of the terms ‘abuse’ and ‘neglect’ rather than ‘violence’: ‘regardless of setting or context, violence against people with disability in Australia continues to be conceptualised, downplayed and “detoxified” as “abuse” or “neglect” or “service incidents,” or “administrative infringements” or a “workplace issue to be addressed” - rather than viewed as “violence” or crimes. This widespread tendency to downplay and re-frame violence as “abuse” or as a “service incident” results in denying people with disability the legal protections and justice extended to other people.’","noteIndex":456},"citationItems":[{"id":6130,"uris":["http://zotero.org/groups/2733877/items/C292ZK32"],"uri":["http://zotero.org/groups/2733877/items/C292ZK32"],"itemData":{"id":6130,"type":"report","event-place":"Sydney, Australia","language":"en","publisher":"Australian Cross Disability Alliance (ACDA)","publisher-place":"Sydney, Australia","source":"Zotero","title":"Submission to the Senate Inquiry into Violence, abuse and neglect against people with disability in institutional and residential settings","URL":"https://wwda.org.au/wp-content/uploads/2013/12/ACDA_Sub_Sen_Inquiry_Violence_Institutions.pdf","author":[{"family":"Frohmader","given":"Carolyn"},{"family":"Sands","given":"Therese"}],"issued":{"date-parts":[["2015"]]}},"locator":"9","suffix":". For example, Frohmader and Sands note in the context of the use of the terms ‘abuse’ and ‘neglect’ rather than ‘violence’: ‘regardless of setting or context, violence against people with disability in Australia continues to be conceptualised, downplayed and ‘detoxified’ as ‘abuse’ or ‘neglect’ or ‘service incidents,’ or ‘administrative infringements’ or a ‘workplace issue to be addressed’ - rather than viewed as ‘violence’ or crimes. This widespread tendency to downplay and re-frame violence as ‘abuse’ or as a ‘service incident’ results in denying people with disability the legal protections and justice extended to other people.’"}],"schema":"https://github.com/citation-style-language/schema/raw/master/csl-citation.json"} </w:instrText>
      </w:r>
      <w:r w:rsidRPr="003F3D6D">
        <w:rPr>
          <w:rFonts w:cstheme="minorHAnsi"/>
        </w:rPr>
        <w:fldChar w:fldCharType="separate"/>
      </w:r>
      <w:r w:rsidRPr="00794E5D">
        <w:rPr>
          <w:rFonts w:ascii="Calibri" w:hAnsi="Calibri" w:cs="Calibri"/>
          <w:szCs w:val="24"/>
        </w:rPr>
        <w:t>Frohmader and Sands (n 87) 9. For example, Frohmader and Sands note in the context of the use of the terms ‘abuse’ and ‘neglect’ rather than ‘violence’: ‘regardless of setting or context, violence against people with disability in Australia continues to be conceptualised, downplayed and “detoxified” as “abuse” or “neglect” or “service incidents,” or “administrative infringements” or a “workplace issue to be addressed” - rather than viewed as “violence” or crimes. This widespread tendency to downplay and re-frame violence as “abuse” or as a “service incident” results in denying people with disability the legal protections and justice extended to other people.’</w:t>
      </w:r>
      <w:r w:rsidRPr="003F3D6D">
        <w:rPr>
          <w:rFonts w:cstheme="minorHAnsi"/>
        </w:rPr>
        <w:fldChar w:fldCharType="end"/>
      </w:r>
    </w:p>
  </w:endnote>
  <w:endnote w:id="457">
    <w:p w14:paraId="412D0546" w14:textId="4507F229"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{"citationID":"sZdVzpRQ","properties":{"formattedCitation":"Royal Commission into Violence, Abuse, Neglect and Exploitation of People with Disability, \\uc0\\u8216{}Interim Report\\uc0\\u8217{} (n 69) 52.","plainCitation":"Royal Commission into Violence, Abuse, Neglect and Exploitation of People with Disability, ‘Interim Report’ (n 69) 52.","noteIndex":457},"citationItems":[{"id":5967,"uris":["http://zotero.org/groups/2733877/items/NSCKRVDK"],"uri":["http://zotero.org/groups/2733877/items/NSCKRVDK"],"itemData":{"id":5967,"type":"report","abstract":"Annotation.","event-place":"Brisbane","language":"en","note":"OCLC: 1230218362","publisher":"Commonwealth of Australia","publisher-place":"Brisbane","source":"Open WorldCat","title":"Interim Report","URL":"https://disability.royalcommission.gov.au/publications/interim-report","author":[{"family":"Royal Commission into Violence, Abuse, Neglect and Exploitation of People with Disability","given":""}],"issued":{"date-parts":[["2020",10]]}},"locator":"52"}],"schema":"https://github.com/citation-style-language/schema/raw/master/csl-citation.json"} </w:instrText>
      </w:r>
      <w:r w:rsidRPr="003F3D6D">
        <w:rPr>
          <w:rFonts w:cstheme="minorHAnsi"/>
        </w:rPr>
        <w:fldChar w:fldCharType="separate"/>
      </w:r>
      <w:r w:rsidRPr="00794E5D">
        <w:rPr>
          <w:rFonts w:ascii="Calibri" w:hAnsi="Calibri" w:cs="Calibri"/>
          <w:szCs w:val="24"/>
        </w:rPr>
        <w:t>Royal Commission into Violence, Abuse, Neglect and Exploitation of People with Disability, ‘Interim Report’ (n 69) 52.</w:t>
      </w:r>
      <w:r w:rsidRPr="003F3D6D">
        <w:rPr>
          <w:rFonts w:cstheme="minorHAnsi"/>
        </w:rPr>
        <w:fldChar w:fldCharType="end"/>
      </w:r>
    </w:p>
  </w:endnote>
  <w:endnote w:id="458">
    <w:p w14:paraId="77302B6A" w14:textId="58B4D00B"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{"citationID":"yLha70ua","properties":{"formattedCitation":"Royal Commission into Violence, Abuse, Neglect and Exploitation of People with Disability, {\\i{}Our Terms of Reference} (n 65).","plainCitation":"Royal Commission into Violence, Abuse, Neglect and Exploitation of People with Disability, Our Terms of Reference (n 65).","noteIndex":458},"citationItems":[{"id":5924,"uris":["http://zotero.org/groups/2733877/items/PCBU8CVV"],"uri":["http://zotero.org/groups/2733877/items/PCBU8CVV"],"itemData":{"id":5924,"type":"webpage","abstract":"The Terms of Reference set out the Letters Patent – this is the name of the official document that establishes the Royal Commission, appoints its Commissioners and gives us rules for how can operate.","container-title":"Royal Commission into Violence, Abuse, Neglect and Exploitation of People with Disability","language":"en","title":"Our Terms of Reference","URL":"https://disability.royalcommission.gov.au/about-royal-commission/our-terms-reference","author":[{"family":"Royal Commission into Violence, Abuse, Neglect and Exploitation of People with Disability","given":""}],"accessed":{"date-parts":[["2021",1,27]]}}}],"schema":"https://github.com/citation-style-language/schema/raw/master/csl-citation.json"} </w:instrText>
      </w:r>
      <w:r w:rsidRPr="003F3D6D">
        <w:rPr>
          <w:rFonts w:cstheme="minorHAnsi"/>
        </w:rPr>
        <w:fldChar w:fldCharType="separate"/>
      </w:r>
      <w:r w:rsidRPr="003509C3">
        <w:rPr>
          <w:rFonts w:ascii="Calibri" w:hAnsi="Calibri" w:cs="Calibri"/>
          <w:szCs w:val="24"/>
        </w:rPr>
        <w:t xml:space="preserve">Royal Commission into Violence, Abuse, Neglect and Exploitation of People with Disability, </w:t>
      </w:r>
      <w:r w:rsidRPr="003509C3">
        <w:rPr>
          <w:rFonts w:ascii="Calibri" w:hAnsi="Calibri" w:cs="Calibri"/>
          <w:i/>
          <w:iCs/>
          <w:szCs w:val="24"/>
        </w:rPr>
        <w:t>Our Terms of Reference</w:t>
      </w:r>
      <w:r w:rsidRPr="003509C3">
        <w:rPr>
          <w:rFonts w:ascii="Calibri" w:hAnsi="Calibri" w:cs="Calibri"/>
          <w:szCs w:val="24"/>
        </w:rPr>
        <w:t xml:space="preserve"> (n 65).</w:t>
      </w:r>
      <w:r w:rsidRPr="003F3D6D">
        <w:rPr>
          <w:rFonts w:cstheme="minorHAnsi"/>
        </w:rPr>
        <w:fldChar w:fldCharType="end"/>
      </w:r>
    </w:p>
  </w:endnote>
  <w:endnote w:id="459">
    <w:p w14:paraId="0DFE6B4F" w14:textId="5BE00D20"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{"citationID":"7qSsX4QB","properties":{"formattedCitation":"Roper et al (n 234) 30.","plainCitation":"Roper et al (n 234) 30.","noteIndex":459},"citationItems":[{"id":5958,"uris":["http://zotero.org/groups/2733877/items/E4BTY93W"],"uri":["http://zotero.org/groups/2733877/items/E4BTY93W"],"itemData":{"id":5958,"type":"chapter","container-title":"Restrictive Practices in Health Care and Disability Settings: Legal, Policy and Practical Responses","event-place":"London","page":"16","publisher":"Taylor &amp; Francis Group","publisher-place":"London","title":"Ending Restraint: An Insider View","author":[{"family":"Roper","given":"Cath"},{"family":"O'Hagan","given":"Mary"},{"family":"Kennedy","given":"Hamilton"},{"family":"Roennfeldt","given":"Helena"}],"editor":[{"family":"McSherry","given":"Bernadette"},{"family":"Maker","given":"Yvette"}],"issued":{"date-parts":[["2020"]]}},"locator":"30"}],"schema":"https://github.com/citation-style-language/schema/raw/master/csl-citation.json"} </w:instrText>
      </w:r>
      <w:r w:rsidRPr="003F3D6D">
        <w:rPr>
          <w:rFonts w:cstheme="minorHAnsi"/>
        </w:rPr>
        <w:fldChar w:fldCharType="separate"/>
      </w:r>
      <w:r w:rsidRPr="00BF579D">
        <w:rPr>
          <w:rFonts w:ascii="Calibri" w:hAnsi="Calibri" w:cs="Calibri"/>
        </w:rPr>
        <w:t>Roper et al (n 234) 30.</w:t>
      </w:r>
      <w:r w:rsidRPr="003F3D6D">
        <w:rPr>
          <w:rFonts w:cstheme="minorHAnsi"/>
        </w:rPr>
        <w:fldChar w:fldCharType="end"/>
      </w:r>
    </w:p>
  </w:endnote>
  <w:endnote w:id="460">
    <w:p w14:paraId="74677B74" w14:textId="5709BE09"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{"citationID":"XCUaS1Du","properties":{"formattedCitation":"Bernadette McSherry and Yvette Maker, \\uc0\\u8216{}Regulating Restrictive Practices: Challenges and Possibilities\\uc0\\u8217{} in Bernadette McSherry and Yvette Maker (eds), {\\i{}Restrictive Practices in Health Care and Disability Settings: Legal, Policy and Practical Responses} (Taylor &amp; Francis Group, 2020) 295, 296.","plainCitation":"Bernadette McSherry and Yvette Maker, ‘Regulating Restrictive Practices: Challenges and Possibilities’ in Bernadette McSherry and Yvette Maker (eds), Restrictive Practices in Health Care and Disability Settings: Legal, Policy and Practical Responses (Taylor &amp; Francis Group, 2020) 295, 296.","noteIndex":460},"citationItems":[{"id":5957,"uris":["http://zotero.org/groups/2733877/items/K2QFXY2Z"],"uri":["http://zotero.org/groups/2733877/items/K2QFXY2Z"],"itemData":{"id":5957,"type":"chapter","container-title":"Restrictive Practices in Health Care and Disability Settings: Legal, Policy and Practical Responses","event-place":"London","page":"295","publisher":"Taylor &amp; Francis Group","publisher-place":"London","title":"Regulating Restrictive Practices: Challenges and Possibilities","author":[{"family":"McSherry","given":"Bernadette"},{"family":"Maker","given":"Yvette"}],"editor":[{"family":"McSherry","given":"Bernadette"},{"family":"Maker","given":"Yvette"}],"issued":{"date-parts":[["2020"]]}},"locator":"296"}],"schema":"https://github.com/citation-style-language/schema/raw/master/csl-citation.json"} </w:instrText>
      </w:r>
      <w:r w:rsidRPr="003F3D6D">
        <w:rPr>
          <w:rFonts w:cstheme="minorHAnsi"/>
        </w:rPr>
        <w:fldChar w:fldCharType="separate"/>
      </w:r>
      <w:r w:rsidRPr="003F3D6D">
        <w:rPr>
          <w:rFonts w:cstheme="minorHAnsi"/>
        </w:rPr>
        <w:t xml:space="preserve">Bernadette McSherry and Yvette Maker, ‘Regulating Restrictive Practices: Challenges and Possibilities’ in Bernadette McSherry and Yvette Maker (eds), </w:t>
      </w:r>
      <w:r w:rsidRPr="003F3D6D">
        <w:rPr>
          <w:rFonts w:cstheme="minorHAnsi"/>
          <w:i/>
          <w:iCs/>
        </w:rPr>
        <w:t>Restrictive Practices in Health Care and Disability Settings: Legal, Policy and Practical Responses</w:t>
      </w:r>
      <w:r w:rsidRPr="003F3D6D">
        <w:rPr>
          <w:rFonts w:cstheme="minorHAnsi"/>
        </w:rPr>
        <w:t xml:space="preserve"> (Taylor &amp; Francis Group, 2020) 295, 296.</w:t>
      </w:r>
      <w:r w:rsidRPr="003F3D6D">
        <w:rPr>
          <w:rFonts w:cstheme="minorHAnsi"/>
        </w:rPr>
        <w:fldChar w:fldCharType="end"/>
      </w:r>
    </w:p>
  </w:endnote>
  <w:endnote w:id="461">
    <w:p w14:paraId="40F81577" w14:textId="7E9A7A14"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{"citationID":"10xacJnC","properties":{"formattedCitation":"Royal Commission into Violence, Abuse, Neglect and Exploitation of People with Disability, \\uc0\\u8216{}Interim Report\\uc0\\u8217{} (n 69) 257.","plainCitation":"Royal Commission into Violence, Abuse, Neglect and Exploitation of People with Disability, ‘Interim Report’ (n 69) 257.","noteIndex":461},"citationItems":[{"id":5967,"uris":["http://zotero.org/groups/2733877/items/NSCKRVDK"],"uri":["http://zotero.org/groups/2733877/items/NSCKRVDK"],"itemData":{"id":5967,"type":"report","abstract":"Annotation.","event-place":"Brisbane","language":"en","note":"OCLC: 1230218362","publisher":"Commonwealth of Australia","publisher-place":"Brisbane","source":"Open WorldCat","title":"Interim Report","URL":"https://disability.royalcommission.gov.au/publications/interim-report","author":[{"family":"Royal Commission into Violence, Abuse, Neglect and Exploitation of People with Disability","given":""}],"issued":{"date-parts":[["2020",10]]}},"locator":"257"}],"schema":"https://github.com/citation-style-language/schema/raw/master/csl-citation.json"} </w:instrText>
      </w:r>
      <w:r w:rsidRPr="003F3D6D">
        <w:rPr>
          <w:rFonts w:cstheme="minorHAnsi"/>
        </w:rPr>
        <w:fldChar w:fldCharType="separate"/>
      </w:r>
      <w:r w:rsidRPr="00794E5D">
        <w:rPr>
          <w:rFonts w:ascii="Calibri" w:hAnsi="Calibri" w:cs="Calibri"/>
          <w:szCs w:val="24"/>
        </w:rPr>
        <w:t>Royal Commission into Violence, Abuse, Neglect and Exploitation of People with Disability, ‘Interim Report’ (n 69) 257.</w:t>
      </w:r>
      <w:r w:rsidRPr="003F3D6D">
        <w:rPr>
          <w:rFonts w:cstheme="minorHAnsi"/>
        </w:rPr>
        <w:fldChar w:fldCharType="end"/>
      </w:r>
    </w:p>
  </w:endnote>
  <w:endnote w:id="462">
    <w:p w14:paraId="085C47AE" w14:textId="02C852DF"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{"citationID":"3pwInQvO","properties":{"formattedCitation":"Royal Commission into Violence, Abuse, Neglect and Exploitation of People with Disability, {\\i{}Report on Public Hearing 3: The Experiences of Living in a Group Home for People with Disability} (Public Hearing Report, Royal Commission into Violence, Abuse, Neglect and Exploitation of People with Disability, 2019) 1, 51\\uc0\\u8211{}57 &lt;https://disability.royalcommission.gov.au/system/files/2020-09/Public%20hearing%20report%20-%20Public%20hearing%203%20-%20The%20experience%20of%20living%20in%20a%20group%20home%20for%20people%20with%20disability.pdf&gt;.","plainCitation":"Royal Commission into Violence, Abuse, Neglect and Exploitation of People with Disability, Report on Public Hearing 3: The Experiences of Living in a Group Home for People with Disability (Public Hearing Report, Royal Commission into Violence, Abuse, Neglect and Exploitation of People with Disability, 2019) 1, 51–57 &lt;https://disability.royalcommission.gov.au/system/files/2020-09/Public%20hearing%20report%20-%20Public%20hearing%203%20-%20The%20experience%20of%20living%20in%20a%20group%20home%20for%20people%20with%20disability.pdf&gt;.","noteIndex":462},"citationItems":[{"id":6211,"uris":["http://zotero.org/groups/2733877/items/BUXJVURC"],"uri":["http://zotero.org/groups/2733877/items/BUXJVURC"],"itemData":{"id":6211,"type":"report","event-place":"Melbourne","genre":"Public Hearing Report","page":"1-95","publisher":"Royal Commission into Violence, Abuse, Neglect and Exploitation of People with Disability","publisher-place":"Melbourne","title":"Report on Public Hearing 3: The Experiences of Living in a Group Home for People with Disability","URL":"https://disability.royalcommission.gov.au/system/files/2020-09/Public%20hearing%20report%20-%20Public%20hearing%203%20-%20The%20experience%20of%20living%20in%20a%20group%20home%20for%20people%20with%20disability.pdf","author":[{"family":"Royal Commission into Violence, Abuse, Neglect and Exploitation of People with Disability","given":""}],"issued":{"date-parts":[["2019"]]}},"locator":"51-57"}],"schema":"https://github.com/citation-style-language/schema/raw/master/csl-citation.json"} </w:instrText>
      </w:r>
      <w:r w:rsidRPr="003F3D6D">
        <w:rPr>
          <w:rFonts w:cstheme="minorHAnsi"/>
        </w:rPr>
        <w:fldChar w:fldCharType="separate"/>
      </w:r>
      <w:r w:rsidRPr="003F3D6D">
        <w:rPr>
          <w:rFonts w:cstheme="minorHAnsi"/>
        </w:rPr>
        <w:t xml:space="preserve">Royal Commission into Violence, Abuse, Neglect and Exploitation of People with Disability, </w:t>
      </w:r>
      <w:r w:rsidRPr="003F3D6D">
        <w:rPr>
          <w:rFonts w:cstheme="minorHAnsi"/>
          <w:i/>
          <w:iCs/>
        </w:rPr>
        <w:t>Report on Public Hearing 3: The Experiences of Living in a Group Home for People with Disability</w:t>
      </w:r>
      <w:r w:rsidRPr="003F3D6D">
        <w:rPr>
          <w:rFonts w:cstheme="minorHAnsi"/>
        </w:rPr>
        <w:t xml:space="preserve"> (Public Hearing Report, Royal Commission into Violence, Abuse, Neglect and Exploitation of People with Disability, 2019) 1, 51–57 &lt;https://disability.royalcommission.gov.au/system/files/2020-09/Public%20hearing%20report%20-%20Public%20hearing%203%20-%20The%20experience%20of%20living%20in%20a%20group%20home%20for%20people%20with%20disability.pdf&gt;.</w:t>
      </w:r>
      <w:r w:rsidRPr="003F3D6D">
        <w:rPr>
          <w:rFonts w:cstheme="minorHAnsi"/>
        </w:rPr>
        <w:fldChar w:fldCharType="end"/>
      </w:r>
    </w:p>
  </w:endnote>
  <w:endnote w:id="463">
    <w:p w14:paraId="5736A2B2" w14:textId="72CDACE4" w:rsidR="00A00236" w:rsidRPr="003F3D6D" w:rsidRDefault="00A00236" w:rsidP="003F3D6D">
      <w:pPr>
        <w:pStyle w:val="EndnoteText"/>
        <w:rPr>
          <w:rFonts w:cstheme="minorHAnsi"/>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{"citationID":"z92ojaen","properties":{"formattedCitation":"Royal Commission into Violence, Abuse, Neglect and Exploitation of People with Disability, {\\i{}Our Terms of Reference} (n 65).","plainCitation":"Royal Commission into Violence, Abuse, Neglect and Exploitation of People with Disability, Our Terms of Reference (n 65).","noteIndex":463},"citationItems":[{"id":5924,"uris":["http://zotero.org/groups/2733877/items/PCBU8CVV"],"uri":["http://zotero.org/groups/2733877/items/PCBU8CVV"],"itemData":{"id":5924,"type":"webpage","abstract":"The Terms of Reference set out the Letters Patent – this is the name of the official document that establishes the Royal Commission, appoints its Commissioners and gives us rules for how can operate.","container-title":"Royal Commission into Violence, Abuse, Neglect and Exploitation of People with Disability","language":"en","title":"Our Terms of Reference","URL":"https://disability.royalcommission.gov.au/about-royal-commission/our-terms-reference","author":[{"family":"Royal Commission into Violence, Abuse, Neglect and Exploitation of People with Disability","given":""}],"accessed":{"date-parts":[["2021",1,27]]}}}],"schema":"https://github.com/citation-style-language/schema/raw/master/csl-citation.json"} </w:instrText>
      </w:r>
      <w:r w:rsidRPr="003F3D6D">
        <w:rPr>
          <w:rFonts w:cstheme="minorHAnsi"/>
        </w:rPr>
        <w:fldChar w:fldCharType="separate"/>
      </w:r>
      <w:r w:rsidRPr="003509C3">
        <w:rPr>
          <w:rFonts w:ascii="Calibri" w:hAnsi="Calibri" w:cs="Calibri"/>
          <w:szCs w:val="24"/>
        </w:rPr>
        <w:t xml:space="preserve">Royal Commission into Violence, Abuse, Neglect and Exploitation of People with Disability, </w:t>
      </w:r>
      <w:r w:rsidRPr="003509C3">
        <w:rPr>
          <w:rFonts w:ascii="Calibri" w:hAnsi="Calibri" w:cs="Calibri"/>
          <w:i/>
          <w:iCs/>
          <w:szCs w:val="24"/>
        </w:rPr>
        <w:t>Our Terms of Reference</w:t>
      </w:r>
      <w:r w:rsidRPr="003509C3">
        <w:rPr>
          <w:rFonts w:ascii="Calibri" w:hAnsi="Calibri" w:cs="Calibri"/>
          <w:szCs w:val="24"/>
        </w:rPr>
        <w:t xml:space="preserve"> (n 65).</w:t>
      </w:r>
      <w:r w:rsidRPr="003F3D6D">
        <w:rPr>
          <w:rFonts w:cstheme="minorHAnsi"/>
        </w:rPr>
        <w:fldChar w:fldCharType="end"/>
      </w:r>
    </w:p>
  </w:endnote>
  <w:endnote w:id="464">
    <w:p w14:paraId="10FA70ED" w14:textId="114FF9CA"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{"citationID":"oV0d3Nxl","properties":{"formattedCitation":"Committee on the Elimination of Discrimination Against Women, {\\i{}Consideration of Reports Submitted by States Parties under Article 18 of the Convention, Eighth Periodic Report of States Parties Due in 2014 Australia} (CEDAW/C/AUS/8, United Nations, 20 December 2016) &lt;https://undocs.org/CEDAW/C/AUS/8&gt;.","plainCitation":"Committee on the Elimination of Discrimination Against Women, Consideration of Reports Submitted by States Parties under Article 18 of the Convention, Eighth Periodic Report of States Parties Due in 2014 Australia (CEDAW/C/AUS/8, United Nations, 20 December 2016) &lt;https://undocs.org/CEDAW/C/AUS/8&gt;.","noteIndex":464},"citationItems":[{"id":6057,"uris":["http://zotero.org/groups/2733877/items/FYMSSMRF"],"uri":["http://zotero.org/groups/2733877/items/FYMSSMRF"],"itemData":{"id":6057,"type":"report","collection-title":"UN Doc","genre":"CEDAW/C/AUS/8","publisher":"United Nations","title":"Consideration of reports submitted by States parties under article 18 of the Convention, Eighth periodic report of States Parties due in 2014 Australia","URL":"https://undocs.org/CEDAW/C/AUS/8","author":[{"family":"Committee on the Elimination of Discrimination Against Women","given":""}],"issued":{"date-parts":[["2016",12,20]]}}}],"schema":"https://github.com/citation-style-language/schema/raw/master/csl-citation.json"} </w:instrText>
      </w:r>
      <w:r w:rsidRPr="003F3D6D">
        <w:rPr>
          <w:rFonts w:cstheme="minorHAnsi"/>
        </w:rPr>
        <w:fldChar w:fldCharType="separate"/>
      </w:r>
      <w:r w:rsidRPr="003F3D6D">
        <w:rPr>
          <w:rFonts w:cstheme="minorHAnsi"/>
        </w:rPr>
        <w:t xml:space="preserve">Committee on the Elimination of Discrimination Against Women, </w:t>
      </w:r>
      <w:r w:rsidRPr="003F3D6D">
        <w:rPr>
          <w:rFonts w:cstheme="minorHAnsi"/>
          <w:i/>
          <w:iCs/>
        </w:rPr>
        <w:t>Consideration of Reports Submitted by States Parties under Article 18 of the Convention, Eighth Periodic Report of States Parties Due in 2014 Australia</w:t>
      </w:r>
      <w:r w:rsidRPr="003F3D6D">
        <w:rPr>
          <w:rFonts w:cstheme="minorHAnsi"/>
        </w:rPr>
        <w:t xml:space="preserve"> (CEDAW/C/AUS/8, United Nations, 20 December 2016) &lt;https://undocs.org/CEDAW/C/AUS/8&gt;.</w:t>
      </w:r>
      <w:r w:rsidRPr="003F3D6D">
        <w:rPr>
          <w:rFonts w:cstheme="minorHAnsi"/>
        </w:rPr>
        <w:fldChar w:fldCharType="end"/>
      </w:r>
    </w:p>
  </w:endnote>
  <w:endnote w:id="465">
    <w:p w14:paraId="7F8A024D" w14:textId="2F8486F0"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{"citationID":"5y89jBZj","properties":{"formattedCitation":"Committee on the Elimination of Discrimination Against Women, \\uc0\\u8216{}Concluding Observations on the Eighth Periodic Report of Australia\\uc0\\u8217{} (n 85).","plainCitation":"Committee on the Elimination of Discrimination Against Women, ‘Concluding Observations on the Eighth Periodic Report of Australia’ (n 85).","noteIndex":465},"citationItems":[{"id":5978,"uris":["http://zotero.org/groups/2733877/items/EJ9IDSHP"],"uri":["http://zotero.org/groups/2733877/items/EJ9IDSHP"],"itemData":{"id":5978,"type":"report","genre":"CEDAW/C/AUS/CO/8","publisher":"United Nations","title":"Concluding observations on the eighth periodic report of Australia","URL":"https://tbinternet.ohchr.org/_layouts/15/treatybodyexternal/Download.aspx?symbolno=CEDAW/C/AUS/CO/8&amp;Lang=En","author":[{"family":"Committee on the Elimination of Discrimination Against Women","given":""}],"issued":{"date-parts":[["2018",7,25]]}}}],"schema":"https://github.com/citation-style-language/schema/raw/master/csl-citation.json"} </w:instrText>
      </w:r>
      <w:r w:rsidRPr="003F3D6D">
        <w:rPr>
          <w:rFonts w:cstheme="minorHAnsi"/>
        </w:rPr>
        <w:fldChar w:fldCharType="separate"/>
      </w:r>
      <w:r w:rsidRPr="00794E5D">
        <w:rPr>
          <w:rFonts w:ascii="Calibri" w:hAnsi="Calibri" w:cs="Calibri"/>
          <w:szCs w:val="24"/>
        </w:rPr>
        <w:t>Committee on the Elimination of Discrimination Against Women, ‘Concluding Observations on the Eighth Periodic Report of Australia’ (n 85).</w:t>
      </w:r>
      <w:r w:rsidRPr="003F3D6D">
        <w:rPr>
          <w:rFonts w:cstheme="minorHAnsi"/>
        </w:rPr>
        <w:fldChar w:fldCharType="end"/>
      </w:r>
    </w:p>
  </w:endnote>
  <w:endnote w:id="466">
    <w:p w14:paraId="160218B5" w14:textId="0934503B"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{"citationID":"vSTGkrRO","properties":{"formattedCitation":"Committee on the Rights of the Child, {\\i{}Concluding Observations on the Combined Fifth and Sixth Periodic Reports of Australia} (CRC/C/AUS/CO/5-6, United Nations, 1 November 2019) &lt;https://undocs.org/CRC/C/AUS/CO/5-6&gt;.","plainCitation":"Committee on the Rights of the Child, Concluding Observations on the Combined Fifth and Sixth Periodic Reports of Australia (CRC/C/AUS/CO/5-6, United Nations, 1 November 2019) &lt;https://undocs.org/CRC/C/AUS/CO/5-6&gt;.","noteIndex":466},"citationItems":[{"id":6056,"uris":["http://zotero.org/groups/2733877/items/9I6RXJVF"],"uri":["http://zotero.org/groups/2733877/items/9I6RXJVF"],"itemData":{"id":6056,"type":"report","collection-title":"UN Doc","genre":"CRC/C/AUS/CO/5-6","publisher":"United Nations","title":"Concluding observations on the combined fifth and sixth periodic reports of Australia","URL":"https://undocs.org/CRC/C/AUS/CO/5-6","author":[{"family":"Committee on the Rights of the Child","given":""}],"issued":{"date-parts":[["2019",11,1]]}}}],"schema":"https://github.com/citation-style-language/schema/raw/master/csl-citation.json"} </w:instrText>
      </w:r>
      <w:r w:rsidRPr="003F3D6D">
        <w:rPr>
          <w:rFonts w:cstheme="minorHAnsi"/>
        </w:rPr>
        <w:fldChar w:fldCharType="separate"/>
      </w:r>
      <w:r w:rsidRPr="003F3D6D">
        <w:rPr>
          <w:rFonts w:cstheme="minorHAnsi"/>
        </w:rPr>
        <w:t xml:space="preserve">Committee on the Rights of the Child, </w:t>
      </w:r>
      <w:r w:rsidRPr="003F3D6D">
        <w:rPr>
          <w:rFonts w:cstheme="minorHAnsi"/>
          <w:i/>
          <w:iCs/>
        </w:rPr>
        <w:t>Concluding Observations on the Combined Fifth and Sixth Periodic Reports of Australia</w:t>
      </w:r>
      <w:r w:rsidRPr="003F3D6D">
        <w:rPr>
          <w:rFonts w:cstheme="minorHAnsi"/>
        </w:rPr>
        <w:t xml:space="preserve"> (CRC/C/AUS/CO/5-6, United Nations, 1 November 2019) &lt;https://undocs.org/CRC/C/AUS/CO/5-6&gt;.</w:t>
      </w:r>
      <w:r w:rsidRPr="003F3D6D">
        <w:rPr>
          <w:rFonts w:cstheme="minorHAnsi"/>
        </w:rPr>
        <w:fldChar w:fldCharType="end"/>
      </w:r>
    </w:p>
  </w:endnote>
  <w:endnote w:id="467">
    <w:p w14:paraId="283C0834" w14:textId="1BDCAE72"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{"citationID":"51Yzzdv2","properties":{"formattedCitation":"Committee on Economic, Social and Cultural Rights, {\\i{}Concluding Observations on the Fifth Periodic Report of Australia} (E/C.12/AUS/CO/5, United Nations, 11 July 2017) &lt;https://undocs.org/en/E/C.12/AUS/CO/5&gt;.","plainCitation":"Committee on Economic, Social and Cultural Rights, Concluding Observations on the Fifth Periodic Report of Australia (E/C.12/AUS/CO/5, United Nations, 11 July 2017) &lt;https://undocs.org/en/E/C.12/AUS/CO/5&gt;.","noteIndex":467},"citationItems":[{"id":6055,"uris":["http://zotero.org/groups/2733877/items/3ABR6N68"],"uri":["http://zotero.org/groups/2733877/items/3ABR6N68"],"itemData":{"id":6055,"type":"report","collection-title":"UN Doc","genre":"E/C.12/AUS/CO/5","publisher":"United Nations","title":"Concluding observations on the fifth periodic report of Australia","URL":"https://undocs.org/en/E/C.12/AUS/CO/5","author":[{"family":"Committee on Economic, Social and Cultural Rights","given":""}],"issued":{"date-parts":[["2017",7,11]]}}}],"schema":"https://github.com/citation-style-language/schema/raw/master/csl-citation.json"} </w:instrText>
      </w:r>
      <w:r w:rsidRPr="003F3D6D">
        <w:rPr>
          <w:rFonts w:cstheme="minorHAnsi"/>
        </w:rPr>
        <w:fldChar w:fldCharType="separate"/>
      </w:r>
      <w:r w:rsidRPr="003F3D6D">
        <w:rPr>
          <w:rFonts w:cstheme="minorHAnsi"/>
        </w:rPr>
        <w:t xml:space="preserve">Committee on Economic, Social and Cultural Rights, </w:t>
      </w:r>
      <w:r w:rsidRPr="003F3D6D">
        <w:rPr>
          <w:rFonts w:cstheme="minorHAnsi"/>
          <w:i/>
          <w:iCs/>
        </w:rPr>
        <w:t>Concluding Observations on the Fifth Periodic Report of Australia</w:t>
      </w:r>
      <w:r w:rsidRPr="003F3D6D">
        <w:rPr>
          <w:rFonts w:cstheme="minorHAnsi"/>
        </w:rPr>
        <w:t xml:space="preserve"> (E/C.12/AUS/CO/5, United Nations, 11 July 2017) &lt;https://undocs.org/en/E/C.12/AUS/CO/5&gt;.</w:t>
      </w:r>
      <w:r w:rsidRPr="003F3D6D">
        <w:rPr>
          <w:rFonts w:cstheme="minorHAnsi"/>
        </w:rPr>
        <w:fldChar w:fldCharType="end"/>
      </w:r>
    </w:p>
  </w:endnote>
  <w:endnote w:id="468">
    <w:p w14:paraId="79DC3297" w14:textId="18DEFAC2"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{"citationID":"yWOUxzRe","properties":{"formattedCitation":"Commonwealth of Australia, {\\i{}Australia\\uc0\\u8217{}s Fifth Report Under the International Covenant On Economic, Social and Cultural Rights (ICESCR) 2010-2014} (E/C.12/AUS/5, United Nations, 1 February 2016) &lt;https://www.dfat.gov.au/sites/default/files/final-icescr-report.pdf&gt;.","plainCitation":"Commonwealth of Australia, Australia’s Fifth Report Under the International Covenant On Economic, Social and Cultural Rights (ICESCR) 2010-2014 (E/C.12/AUS/5, United Nations, 1 February 2016) &lt;https://www.dfat.gov.au/sites/default/files/final-icescr-report.pdf&gt;.","noteIndex":468},"citationItems":[{"id":6051,"uris":["http://zotero.org/groups/2733877/items/A5JZZT52"],"uri":["http://zotero.org/groups/2733877/items/A5JZZT52"],"itemData":{"id":6051,"type":"report","collection-title":"UN Doc","genre":"E/C.12/AUS/5","publisher":"United Nations","title":"Australia’s Fifth Report Under the International Covenant On Economic, Social and Cultural Rights (ICESCR) 2010-2014","URL":"https://www.dfat.gov.au/sites/default/files/final-icescr-report.pdf","author":[{"family":"Commonwealth of Australia","given":""}],"issued":{"date-parts":[["2016",2,1]]}}}],"schema":"https://github.com/citation-style-language/schema/raw/master/csl-citation.json"} </w:instrText>
      </w:r>
      <w:r w:rsidRPr="003F3D6D">
        <w:rPr>
          <w:rFonts w:cstheme="minorHAnsi"/>
        </w:rPr>
        <w:fldChar w:fldCharType="separate"/>
      </w:r>
      <w:r w:rsidRPr="003F3D6D">
        <w:rPr>
          <w:rFonts w:cstheme="minorHAnsi"/>
        </w:rPr>
        <w:t xml:space="preserve">Commonwealth of Australia, </w:t>
      </w:r>
      <w:r w:rsidRPr="003F3D6D">
        <w:rPr>
          <w:rFonts w:cstheme="minorHAnsi"/>
          <w:i/>
          <w:iCs/>
        </w:rPr>
        <w:t>Australia’s Fifth Report Under the International Covenant On Economic, Social and Cultural Rights (ICESCR) 2010-2014</w:t>
      </w:r>
      <w:r w:rsidRPr="003F3D6D">
        <w:rPr>
          <w:rFonts w:cstheme="minorHAnsi"/>
        </w:rPr>
        <w:t xml:space="preserve"> (E/C.12/AUS/5, United Nations, 1 February 2016) &lt;https://www.dfat.gov.au/sites/default/files/final-icescr-report.pdf&gt;.</w:t>
      </w:r>
      <w:r w:rsidRPr="003F3D6D">
        <w:rPr>
          <w:rFonts w:cstheme="minorHAnsi"/>
        </w:rPr>
        <w:fldChar w:fldCharType="end"/>
      </w:r>
    </w:p>
  </w:endnote>
  <w:endnote w:id="469">
    <w:p w14:paraId="5FF15A9A" w14:textId="34F04CCB"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{"citationID":"D7IKLUNG","properties":{"formattedCitation":"Human Rights Committee, International Covenant on Civil and Political Rights, {\\i{}Concluding Observations on the Sixth Periodic Report of Australia} (CCPR/C/AUS/CO/6, United Nations, 1 December 2017) &lt;https://undocs.org/en/CCPR/C/AUS/CO/6&gt;.","plainCitation":"Human Rights Committee, International Covenant on Civil and Political Rights, Concluding Observations on the Sixth Periodic Report of Australia (CCPR/C/AUS/CO/6, United Nations, 1 December 2017) &lt;https://undocs.org/en/CCPR/C/AUS/CO/6&gt;.","noteIndex":469},"citationItems":[{"id":6031,"uris":["http://zotero.org/groups/2733877/items/CXX7YGYC"],"uri":["http://zotero.org/groups/2733877/items/CXX7YGYC"],"itemData":{"id":6031,"type":"report","collection-title":"UN Doc","genre":"CCPR/C/AUS/CO/6","language":"en","publisher":"United Nations","source":"DOI.org (Crossref)","title":"Concluding observations on the sixth periodic report of Australia","URL":"https://undocs.org/en/CCPR/C/AUS/CO/6","author":[{"family":"Human Rights Committee, International Covenant on Civil and Political Rights","given":""}],"accessed":{"date-parts":[["2021",2,3]]},"issued":{"date-parts":[["2017",12,1]]}}}],"schema":"https://github.com/citation-style-language/schema/raw/master/csl-citation.json"} </w:instrText>
      </w:r>
      <w:r w:rsidRPr="003F3D6D">
        <w:rPr>
          <w:rFonts w:cstheme="minorHAnsi"/>
        </w:rPr>
        <w:fldChar w:fldCharType="separate"/>
      </w:r>
      <w:r w:rsidRPr="003F3D6D">
        <w:rPr>
          <w:rFonts w:cstheme="minorHAnsi"/>
        </w:rPr>
        <w:t xml:space="preserve">Human Rights Committee, International Covenant on Civil and Political Rights, </w:t>
      </w:r>
      <w:r w:rsidRPr="003F3D6D">
        <w:rPr>
          <w:rFonts w:cstheme="minorHAnsi"/>
          <w:i/>
          <w:iCs/>
        </w:rPr>
        <w:t>Concluding Observations on the Sixth Periodic Report of Australia</w:t>
      </w:r>
      <w:r w:rsidRPr="003F3D6D">
        <w:rPr>
          <w:rFonts w:cstheme="minorHAnsi"/>
        </w:rPr>
        <w:t xml:space="preserve"> (CCPR/C/AUS/CO/6, United Nations, 1 December 2017) &lt;https://undocs.org/en/CCPR/C/AUS/CO/6&gt;.</w:t>
      </w:r>
      <w:r w:rsidRPr="003F3D6D">
        <w:rPr>
          <w:rFonts w:cstheme="minorHAnsi"/>
        </w:rPr>
        <w:fldChar w:fldCharType="end"/>
      </w:r>
    </w:p>
  </w:endnote>
  <w:endnote w:id="470">
    <w:p w14:paraId="52EDE013" w14:textId="6DE0EE62"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{"citationID":"xMcsbl54","properties":{"formattedCitation":"Human Rights Committee, International Covenant on Civil and Political Rights, {\\i{}Consideration of Reports Submitted by States Parties under Article 40 of the Covenant, Sixth Periodic Reports of States Parties Due in 2013: Australia} (CCPR/C/AUS/6, United Nations, 2016) &lt;https://www.refworld.org/docid/588f3b824.html&gt;.","plainCitation":"Human Rights Committee, International Covenant on Civil and Political Rights, Consideration of Reports Submitted by States Parties under Article 40 of the Covenant, Sixth Periodic Reports of States Parties Due in 2013: Australia (CCPR/C/AUS/6, United Nations, 2016) &lt;https://www.refworld.org/docid/588f3b824.html&gt;.","noteIndex":470},"citationItems":[{"id":6206,"uris":["http://zotero.org/groups/2733877/items/45PNJGMB"],"uri":["http://zotero.org/groups/2733877/items/45PNJGMB"],"itemData":{"id":6206,"type":"report","abstract":"Refworld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bodies.","collection-title":"UN Doc","genre":"CCPR/C/AUS/6","language":"en","publisher":"United Nations","title":"Consideration of reports submitted by States parties under article 40 of the Covenant, Sixth periodic reports of States parties due in 2013: Australia","URL":"https://www.refworld.org/docid/588f3b824.html","author":[{"family":"Human Rights Committee, International Covenant on Civil and Political Rights","given":""}],"accessed":{"date-parts":[["2021",2,3]]},"issued":{"date-parts":[["2016"]]}}}],"schema":"https://github.com/citation-style-language/schema/raw/master/csl-citation.json"} </w:instrText>
      </w:r>
      <w:r w:rsidRPr="003F3D6D">
        <w:rPr>
          <w:rFonts w:cstheme="minorHAnsi"/>
        </w:rPr>
        <w:fldChar w:fldCharType="separate"/>
      </w:r>
      <w:r w:rsidRPr="003F3D6D">
        <w:rPr>
          <w:rFonts w:cstheme="minorHAnsi"/>
        </w:rPr>
        <w:t xml:space="preserve">Human Rights Committee, International Covenant on Civil and Political Rights, </w:t>
      </w:r>
      <w:r w:rsidRPr="003F3D6D">
        <w:rPr>
          <w:rFonts w:cstheme="minorHAnsi"/>
          <w:i/>
          <w:iCs/>
        </w:rPr>
        <w:t>Consideration of Reports Submitted by States Parties under Article 40 of the Covenant, Sixth Periodic Reports of States Parties Due in 2013: Australia</w:t>
      </w:r>
      <w:r w:rsidRPr="003F3D6D">
        <w:rPr>
          <w:rFonts w:cstheme="minorHAnsi"/>
        </w:rPr>
        <w:t xml:space="preserve"> (CCPR/C/AUS/6, United Nations, 2016) &lt;https://www.refworld.org/docid/588f3b824.html&gt;.</w:t>
      </w:r>
      <w:r w:rsidRPr="003F3D6D">
        <w:rPr>
          <w:rFonts w:cstheme="minorHAnsi"/>
        </w:rPr>
        <w:fldChar w:fldCharType="end"/>
      </w:r>
    </w:p>
  </w:endnote>
  <w:endnote w:id="471">
    <w:p w14:paraId="58987CF0" w14:textId="24A07D2A"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{"citationID":"OlxC8C1f","properties":{"formattedCitation":"Committee on the Rights of Persons with Disabilities, \\uc0\\u8216{}Concluding Observations on the Combined Second and Third Periodic Reports of Australia, Adopted by the Committee at Its 511th Meeting (20 September 2019) of the 22nd Session\\uc0\\u8217{} (n 14).","plainCitation":"Committee on the Rights of Persons with Disabilities, ‘Concluding Observations on the Combined Second and Third Periodic Reports of Australia, Adopted by the Committee at Its 511th Meeting (20 September 2019) of the 22nd Session’ (n 14).","noteIndex":471},"citationItems":[{"id":5930,"uris":["http://zotero.org/groups/2733877/items/22NEYWVV"],"uri":["http://zotero.org/groups/2733877/items/22NEYWVV"],"itemData":{"id":5930,"type":"report","collection-title":"UN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Disabilities","given":""}],"issued":{"date-parts":[["2019",10,15]]}}}],"schema":"https://github.com/citation-style-language/schema/raw/master/csl-citation.json"} </w:instrText>
      </w:r>
      <w:r w:rsidRPr="003F3D6D">
        <w:rPr>
          <w:rFonts w:cstheme="minorHAnsi"/>
        </w:rPr>
        <w:fldChar w:fldCharType="separate"/>
      </w:r>
      <w:r w:rsidRPr="00C27B33">
        <w:rPr>
          <w:rFonts w:ascii="Calibri" w:hAnsi="Calibri" w:cs="Calibri"/>
          <w:szCs w:val="24"/>
        </w:rPr>
        <w:t>Committee on the Rights of Persons with Disabilities, ‘Concluding Observations on the Combined Second and Third Periodic Reports of Australia, Adopted by the Committee at Its 511th Meeting (20 September 2019) of the 22nd Session’ (n 14).</w:t>
      </w:r>
      <w:r w:rsidRPr="003F3D6D">
        <w:rPr>
          <w:rFonts w:cstheme="minorHAnsi"/>
        </w:rPr>
        <w:fldChar w:fldCharType="end"/>
      </w:r>
    </w:p>
  </w:endnote>
  <w:endnote w:id="472">
    <w:p w14:paraId="6832B986" w14:textId="39006DE8"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{"citationID":"Ja1KFOyB","properties":{"formattedCitation":"Committee on the Elimination of Discrimination Against Women, \\uc0\\u8216{}Concluding Observations on the Eighth Periodic Report of Australia\\uc0\\u8217{} (n 85).","plainCitation":"Committee on the Elimination of Discrimination Against Women, ‘Concluding Observations on the Eighth Periodic Report of Australia’ (n 85).","noteIndex":472},"citationItems":[{"id":5978,"uris":["http://zotero.org/groups/2733877/items/EJ9IDSHP"],"uri":["http://zotero.org/groups/2733877/items/EJ9IDSHP"],"itemData":{"id":5978,"type":"report","genre":"CEDAW/C/AUS/CO/8","publisher":"United Nations","title":"Concluding observations on the eighth periodic report of Australia","URL":"https://tbinternet.ohchr.org/_layouts/15/treatybodyexternal/Download.aspx?symbolno=CEDAW/C/AUS/CO/8&amp;Lang=En","author":[{"family":"Committee on the Elimination of Discrimination Against Women","given":""}],"issued":{"date-parts":[["2018",7,25]]}}}],"schema":"https://github.com/citation-style-language/schema/raw/master/csl-citation.json"} </w:instrText>
      </w:r>
      <w:r w:rsidRPr="003F3D6D">
        <w:rPr>
          <w:rFonts w:cstheme="minorHAnsi"/>
        </w:rPr>
        <w:fldChar w:fldCharType="separate"/>
      </w:r>
      <w:r w:rsidRPr="00794E5D">
        <w:rPr>
          <w:rFonts w:ascii="Calibri" w:hAnsi="Calibri" w:cs="Calibri"/>
          <w:szCs w:val="24"/>
        </w:rPr>
        <w:t>Committee on the Elimination of Discrimination Against Women, ‘Concluding Observations on the Eighth Periodic Report of Australia’ (n 85).</w:t>
      </w:r>
      <w:r w:rsidRPr="003F3D6D">
        <w:rPr>
          <w:rFonts w:cstheme="minorHAnsi"/>
        </w:rPr>
        <w:fldChar w:fldCharType="end"/>
      </w:r>
    </w:p>
  </w:endnote>
  <w:endnote w:id="473">
    <w:p w14:paraId="2C574E60" w14:textId="0EDD98CB"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{"citationID":"TJWWpMUl","properties":{"formattedCitation":"Committee on the Elimination of Discrimination Against Women, \\uc0\\u8216{}Consideration of Reports Submitted by States Parties under Article 18 of the Convention, Eighth Periodic Report of States Parties Due in 2014 Australia\\uc0\\u8217{} (n 464).","plainCitation":"Committee on the Elimination of Discrimination Against Women, ‘Consideration of Reports Submitted by States Parties under Article 18 of the Convention, Eighth Periodic Report of States Parties Due in 2014 Australia’ (n 464).","noteIndex":473},"citationItems":[{"id":6057,"uris":["http://zotero.org/groups/2733877/items/FYMSSMRF"],"uri":["http://zotero.org/groups/2733877/items/FYMSSMRF"],"itemData":{"id":6057,"type":"report","collection-title":"UN Doc","genre":"CEDAW/C/AUS/8","publisher":"United Nations","title":"Consideration of reports submitted by States parties under article 18 of the Convention, Eighth periodic report of States Parties due in 2014 Australia","URL":"https://undocs.org/CEDAW/C/AUS/8","author":[{"family":"Committee on the Elimination of Discrimination Against Women","given":""}],"issued":{"date-parts":[["2016",12,20]]}}}],"schema":"https://github.com/citation-style-language/schema/raw/master/csl-citation.json"} </w:instrText>
      </w:r>
      <w:r w:rsidRPr="003F3D6D">
        <w:rPr>
          <w:rFonts w:cstheme="minorHAnsi"/>
        </w:rPr>
        <w:fldChar w:fldCharType="separate"/>
      </w:r>
      <w:r w:rsidR="004849F5" w:rsidRPr="004849F5">
        <w:rPr>
          <w:rFonts w:ascii="Calibri" w:hAnsi="Calibri" w:cs="Calibri"/>
          <w:szCs w:val="24"/>
        </w:rPr>
        <w:t>Committee on the Elimination of Discrimination Against Women, ‘Consideration of Reports Submitted by States Parties under Article 18 of the Convention, Eighth Periodic Report of States Parties Due in 2014 Australia’ (n 464).</w:t>
      </w:r>
      <w:r w:rsidRPr="003F3D6D">
        <w:rPr>
          <w:rFonts w:cstheme="minorHAnsi"/>
        </w:rPr>
        <w:fldChar w:fldCharType="end"/>
      </w:r>
    </w:p>
  </w:endnote>
  <w:endnote w:id="474">
    <w:p w14:paraId="24B239C1" w14:textId="5B7FEA9C"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{"citationID":"gedAEnKP","properties":{"formattedCitation":"Committee on the Rights of the Child (n 466).","plainCitation":"Committee on the Rights of the Child (n 466).","noteIndex":474},"citationItems":[{"id":6056,"uris":["http://zotero.org/groups/2733877/items/9I6RXJVF"],"uri":["http://zotero.org/groups/2733877/items/9I6RXJVF"],"itemData":{"id":6056,"type":"report","collection-title":"UN Doc","genre":"CRC/C/AUS/CO/5-6","publisher":"United Nations","title":"Concluding observations on the combined fifth and sixth periodic reports of Australia","URL":"https://undocs.org/CRC/C/AUS/CO/5-6","author":[{"family":"Committee on the Rights of the Child","given":""}],"issued":{"date-parts":[["2019",11,1]]}}}],"schema":"https://github.com/citation-style-language/schema/raw/master/csl-citation.json"} </w:instrText>
      </w:r>
      <w:r w:rsidRPr="003F3D6D">
        <w:rPr>
          <w:rFonts w:cstheme="minorHAnsi"/>
        </w:rPr>
        <w:fldChar w:fldCharType="separate"/>
      </w:r>
      <w:r w:rsidR="004849F5" w:rsidRPr="004849F5">
        <w:rPr>
          <w:rFonts w:ascii="Calibri" w:hAnsi="Calibri" w:cs="Calibri"/>
        </w:rPr>
        <w:t>Committee on the Rights of the Child (n 466).</w:t>
      </w:r>
      <w:r w:rsidRPr="003F3D6D">
        <w:rPr>
          <w:rFonts w:cstheme="minorHAnsi"/>
        </w:rPr>
        <w:fldChar w:fldCharType="end"/>
      </w:r>
    </w:p>
  </w:endnote>
  <w:endnote w:id="475">
    <w:p w14:paraId="726B3D52" w14:textId="1430AB3F"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{"citationID":"Hh4QXbJd","properties":{"formattedCitation":"Committee on Economic, Social and Cultural Rights (n 467).","plainCitation":"Committee on Economic, Social and Cultural Rights (n 467).","noteIndex":475},"citationItems":[{"id":6055,"uris":["http://zotero.org/groups/2733877/items/3ABR6N68"],"uri":["http://zotero.org/groups/2733877/items/3ABR6N68"],"itemData":{"id":6055,"type":"report","collection-title":"UN Doc","genre":"E/C.12/AUS/CO/5","publisher":"United Nations","title":"Concluding observations on the fifth periodic report of Australia","URL":"https://undocs.org/en/E/C.12/AUS/CO/5","author":[{"family":"Committee on Economic, Social and Cultural Rights","given":""}],"issued":{"date-parts":[["2017",7,11]]}}}],"schema":"https://github.com/citation-style-language/schema/raw/master/csl-citation.json"} </w:instrText>
      </w:r>
      <w:r w:rsidRPr="003F3D6D">
        <w:rPr>
          <w:rFonts w:cstheme="minorHAnsi"/>
        </w:rPr>
        <w:fldChar w:fldCharType="separate"/>
      </w:r>
      <w:r w:rsidR="004849F5" w:rsidRPr="004849F5">
        <w:rPr>
          <w:rFonts w:ascii="Calibri" w:hAnsi="Calibri" w:cs="Calibri"/>
        </w:rPr>
        <w:t>Committee on Economic, Social and Cultural Rights (n 467).</w:t>
      </w:r>
      <w:r w:rsidRPr="003F3D6D">
        <w:rPr>
          <w:rFonts w:cstheme="minorHAnsi"/>
        </w:rPr>
        <w:fldChar w:fldCharType="end"/>
      </w:r>
    </w:p>
  </w:endnote>
  <w:endnote w:id="476">
    <w:p w14:paraId="390AF253" w14:textId="28A2070D"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{"citationID":"M6R0qx2a","properties":{"formattedCitation":"Commonwealth of Australia (n 468).","plainCitation":"Commonwealth of Australia (n 468).","noteIndex":476},"citationItems":[{"id":6051,"uris":["http://zotero.org/groups/2733877/items/A5JZZT52"],"uri":["http://zotero.org/groups/2733877/items/A5JZZT52"],"itemData":{"id":6051,"type":"report","collection-title":"UN Doc","genre":"E/C.12/AUS/5","publisher":"United Nations","title":"Australia’s Fifth Report Under the International Covenant On Economic, Social and Cultural Rights (ICESCR) 2010-2014","URL":"https://www.dfat.gov.au/sites/default/files/final-icescr-report.pdf","author":[{"family":"Commonwealth of Australia","given":""}],"issued":{"date-parts":[["2016",2,1]]}}}],"schema":"https://github.com/citation-style-language/schema/raw/master/csl-citation.json"} </w:instrText>
      </w:r>
      <w:r w:rsidRPr="003F3D6D">
        <w:rPr>
          <w:rFonts w:cstheme="minorHAnsi"/>
        </w:rPr>
        <w:fldChar w:fldCharType="separate"/>
      </w:r>
      <w:r w:rsidR="004849F5" w:rsidRPr="004849F5">
        <w:rPr>
          <w:rFonts w:ascii="Calibri" w:hAnsi="Calibri" w:cs="Calibri"/>
        </w:rPr>
        <w:t>Commonwealth of Australia (n 468).</w:t>
      </w:r>
      <w:r w:rsidRPr="003F3D6D">
        <w:rPr>
          <w:rFonts w:cstheme="minorHAnsi"/>
        </w:rPr>
        <w:fldChar w:fldCharType="end"/>
      </w:r>
    </w:p>
  </w:endnote>
  <w:endnote w:id="477">
    <w:p w14:paraId="4105AD34" w14:textId="19566D7D"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{"citationID":"LWaN9Hsb","properties":{"formattedCitation":"Human Rights Committee, International Covenant on Civil and Political Rights (n 469).","plainCitation":"Human Rights Committee, International Covenant on Civil and Political Rights (n 469).","noteIndex":477},"citationItems":[{"id":6031,"uris":["http://zotero.org/groups/2733877/items/CXX7YGYC"],"uri":["http://zotero.org/groups/2733877/items/CXX7YGYC"],"itemData":{"id":6031,"type":"report","collection-title":"UN Doc","genre":"CCPR/C/AUS/CO/6","language":"en","publisher":"United Nations","source":"DOI.org (Crossref)","title":"Concluding observations on the sixth periodic report of Australia","URL":"https://undocs.org/en/CCPR/C/AUS/CO/6","author":[{"family":"Human Rights Committee, International Covenant on Civil and Political Rights","given":""}],"accessed":{"date-parts":[["2021",2,3]]},"issued":{"date-parts":[["2017",12,1]]}}}],"schema":"https://github.com/citation-style-language/schema/raw/master/csl-citation.json"} </w:instrText>
      </w:r>
      <w:r w:rsidRPr="003F3D6D">
        <w:rPr>
          <w:rFonts w:cstheme="minorHAnsi"/>
        </w:rPr>
        <w:fldChar w:fldCharType="separate"/>
      </w:r>
      <w:r w:rsidR="004849F5" w:rsidRPr="004849F5">
        <w:rPr>
          <w:rFonts w:ascii="Calibri" w:hAnsi="Calibri" w:cs="Calibri"/>
        </w:rPr>
        <w:t>Human Rights Committee, International Covenant on Civil and Political Rights (n 469).</w:t>
      </w:r>
      <w:r w:rsidRPr="003F3D6D">
        <w:rPr>
          <w:rFonts w:cstheme="minorHAnsi"/>
        </w:rPr>
        <w:fldChar w:fldCharType="end"/>
      </w:r>
    </w:p>
  </w:endnote>
  <w:endnote w:id="478">
    <w:p w14:paraId="4D687AE6" w14:textId="4E4B3FF1"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{"citationID":"KzKPfncv","properties":{"formattedCitation":"Human Rights Committee, International Covenant on Civil and Political Rights (n 470).","plainCitation":"Human Rights Committee, International Covenant on Civil and Political Rights (n 470).","noteIndex":478},"citationItems":[{"id":6206,"uris":["http://zotero.org/groups/2733877/items/45PNJGMB"],"uri":["http://zotero.org/groups/2733877/items/45PNJGMB"],"itemData":{"id":6206,"type":"report","abstract":"Refworld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bodies.","collection-title":"UN Doc","genre":"CCPR/C/AUS/6","language":"en","publisher":"United Nations","title":"Consideration of reports submitted by States parties under article 40 of the Covenant, Sixth periodic reports of States parties due in 2013: Australia","URL":"https://www.refworld.org/docid/588f3b824.html","author":[{"family":"Human Rights Committee, International Covenant on Civil and Political Rights","given":""}],"accessed":{"date-parts":[["2021",2,3]]},"issued":{"date-parts":[["2016"]]}}}],"schema":"https://github.com/citation-style-language/schema/raw/master/csl-citation.json"} </w:instrText>
      </w:r>
      <w:r w:rsidRPr="003F3D6D">
        <w:rPr>
          <w:rFonts w:cstheme="minorHAnsi"/>
        </w:rPr>
        <w:fldChar w:fldCharType="separate"/>
      </w:r>
      <w:r w:rsidR="004849F5" w:rsidRPr="004849F5">
        <w:rPr>
          <w:rFonts w:ascii="Calibri" w:hAnsi="Calibri" w:cs="Calibri"/>
        </w:rPr>
        <w:t>Human Rights Committee, International Covenant on Civil and Political Rights (n 470).</w:t>
      </w:r>
      <w:r w:rsidRPr="003F3D6D">
        <w:rPr>
          <w:rFonts w:cstheme="minorHAnsi"/>
        </w:rPr>
        <w:fldChar w:fldCharType="end"/>
      </w:r>
    </w:p>
  </w:endnote>
  <w:endnote w:id="479">
    <w:p w14:paraId="754D4887" w14:textId="2397F85B"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{"citationID":"68rx9mTl","properties":{"formattedCitation":"Dowse et al (n 73); See also Women With Disabilities Australia, \\uc0\\u8216{}Stop the Violence: Report of the Proceedings and Outcomes - National Symposium on Violence Against Women and Girls with Disabilities\\uc0\\u8217{} (n 73).","plainCitation":"Dowse et al (n 73); See also Women With Disabilities Australia, ‘Stop the Violence: Report of the Proceedings and Outcomes - National Symposium on Violence Against Women and Girls with Disabilities’ (n 73).","noteIndex":479},"citationItems":[{"id":5983,"uris":["http://zotero.org/groups/2733877/items/E5HUUZIP"],"uri":["http://zotero.org/groups/2733877/items/E5HUUZIP"],"itemData":{"id":5983,"type":"report","event-place":"Hobart","genre":"Background Paper","language":"en","page":"98","publisher":"Women With Disabilities Australia","publisher-place":"Hobart","source":"Zotero","title":"Stop the Violence: Addressing Violence Against Women and Girls with DIsabilities in Australia","author":[{"family":"Dowse","given":"L"},{"family":"Soldatic","given":"K"},{"family":"Didi","given":"A"},{"family":"Frohmader","given":"C"},{"family":"Toorn","given":"G","non-dropping-particle":"van"}],"issued":{"date-parts":[["2013",10,25]]}}},{"id":6205,"uris":["http://zotero.org/groups/2733877/items/RXKNI336"],"uri":["http://zotero.org/groups/2733877/items/RXKNI336"],"itemData":{"id":6205,"type":"report","event-place":"Sydney","genre":"Outcomes Paper","language":"en","page":"38","publisher":"Women With Disabilities Australia","publisher-place":"Sydney","source":"Zotero","title":"Stop the Violence: Report of the Proceedings and Outcomes - National Symposium on Violence Against Women and Girls with Disabilities","author":[{"family":"Women With Disabilities Australia","given":""}],"issued":{"date-parts":[["2013",10,25]]}},"prefix":"See also"}],"schema":"https://github.com/citation-style-language/schema/raw/master/csl-citation.json"} </w:instrText>
      </w:r>
      <w:r w:rsidRPr="003F3D6D">
        <w:rPr>
          <w:rFonts w:cstheme="minorHAnsi"/>
        </w:rPr>
        <w:fldChar w:fldCharType="separate"/>
      </w:r>
      <w:r w:rsidRPr="00794E5D">
        <w:rPr>
          <w:rFonts w:ascii="Calibri" w:hAnsi="Calibri" w:cs="Calibri"/>
          <w:szCs w:val="24"/>
        </w:rPr>
        <w:t>Dowse et al (n 73); See also Women With Disabilities Australia, ‘Stop the Violence: Report of the Proceedings and Outcomes - National Symposium on Violence Against Women and Girls with Disabilities’ (n 73).</w:t>
      </w:r>
      <w:r w:rsidRPr="003F3D6D">
        <w:rPr>
          <w:rFonts w:cstheme="minorHAnsi"/>
        </w:rPr>
        <w:fldChar w:fldCharType="end"/>
      </w:r>
    </w:p>
  </w:endnote>
  <w:endnote w:id="480">
    <w:p w14:paraId="2B30F414" w14:textId="4C08FAA8"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{"citationID":"VEBqxilg","properties":{"formattedCitation":"Committee against Torture, {\\i{}Concluding Observations on the Combined Fourth and Fifth Periodic Reportsof Australia} (CAT/C/AUS/CO/4-5, United Nations, 23 December 2014) &lt;http://docstore.ohchr.org/SelfServices/FilesHandler.ashx?enc=6QkG1d%2FPPRiCAqhKb7yhsoQ6oVJgGLf6YX4ROs1VbzHbjPhQXE%2B0WWmIrYFRkrdSVDi646tTx7wQu2ScGTgf%2BJVP%2Bu4P9Ry9gI0FCCIcBVuKEcWc%2Fk%2FXTL4sM%2BWHda%2Fd&gt;.","plainCitation":"Committee against Torture, Concluding Observations on the Combined Fourth and Fifth Periodic Reportsof Australia (CAT/C/AUS/CO/4-5, United Nations, 23 December 2014) &lt;http://docstore.ohchr.org/SelfServices/FilesHandler.ashx?enc=6QkG1d%2FPPRiCAqhKb7yhsoQ6oVJgGLf6YX4ROs1VbzHbjPhQXE%2B0WWmIrYFRkrdSVDi646tTx7wQu2ScGTgf%2BJVP%2Bu4P9Ry9gI0FCCIcBVuKEcWc%2Fk%2FXTL4sM%2BWHda%2Fd&gt;.","noteIndex":480},"citationItems":[{"id":6054,"uris":["http://zotero.org/groups/2733877/items/JZ6WLNFX"],"uri":["http://zotero.org/groups/2733877/items/JZ6WLNFX"],"itemData":{"id":6054,"type":"report","collection-title":"UN Doc","genre":"CAT/C/AUS/CO/4-5","publisher":"United Nations","title":"Concluding observations on the combined fourth and fifth periodic reportsof Australia","URL":"http://docstore.ohchr.org/SelfServices/FilesHandler.ashx?enc=6QkG1d%2FPPRiCAqhKb7yhsoQ6oVJgGLf6YX4ROs1VbzHbjPhQXE%2B0WWmIrYFRkrdSVDi646tTx7wQu2ScGTgf%2BJVP%2Bu4P9Ry9gI0FCCIcBVuKEcWc%2Fk%2FXTL4sM%2BWHda%2Fd","author":[{"family":"Committee against Torture","given":""}],"issued":{"date-parts":[["2014",12,23]]}}}],"schema":"https://github.com/citation-style-language/schema/raw/master/csl-citation.json"} </w:instrText>
      </w:r>
      <w:r w:rsidRPr="003F3D6D">
        <w:rPr>
          <w:rFonts w:cstheme="minorHAnsi"/>
        </w:rPr>
        <w:fldChar w:fldCharType="separate"/>
      </w:r>
      <w:r w:rsidRPr="003F3D6D">
        <w:rPr>
          <w:rFonts w:cstheme="minorHAnsi"/>
        </w:rPr>
        <w:t xml:space="preserve">Committee against Torture, </w:t>
      </w:r>
      <w:r w:rsidRPr="003F3D6D">
        <w:rPr>
          <w:rFonts w:cstheme="minorHAnsi"/>
          <w:i/>
          <w:iCs/>
        </w:rPr>
        <w:t>Concluding Observations on the Combined Fourth and Fifth Periodic Reportsof Australia</w:t>
      </w:r>
      <w:r w:rsidRPr="003F3D6D">
        <w:rPr>
          <w:rFonts w:cstheme="minorHAnsi"/>
        </w:rPr>
        <w:t xml:space="preserve"> (CAT/C/AUS/CO/4-5, United Nations, 23 December 2014) &lt;http://docstore.ohchr.org/SelfServices/FilesHandler.ashx?enc=6QkG1d%2FPPRiCAqhKb7yhsoQ6oVJgGLf6YX4ROs1VbzHbjPhQXE%2B0WWmIrYFRkrdSVDi646tTx7wQu2ScGTgf%2BJVP%2Bu4P9Ry9gI0FCCIcBVuKEcWc%2Fk%2FXTL4sM%2BWHda%2Fd&gt;.</w:t>
      </w:r>
      <w:r w:rsidRPr="003F3D6D">
        <w:rPr>
          <w:rFonts w:cstheme="minorHAnsi"/>
        </w:rPr>
        <w:fldChar w:fldCharType="end"/>
      </w:r>
    </w:p>
  </w:endnote>
  <w:endnote w:id="481">
    <w:p w14:paraId="59938C91" w14:textId="2D8D6BFF"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wOaaQYfE","properties":{"formattedCitation":"Ibid.","plainCitation":"Ibid.","noteIndex":481},"citationItems":[{"id":6054,"uris":["http://zotero.org/groups/2733877/items/JZ6WLNFX"],"uri":["http://zotero.org/groups/2733877/items/JZ6WLNFX"],"itemData":{"id":6054,"type":"report","collection-title":"UN Doc","genre":"CAT/C/AUS/CO/4-5","publisher":"United Nations","title":"Concluding observations on the combined fourth and fifth periodic reportsof Australia","URL":"http://docstore.ohchr.org/SelfServices/FilesHandler.ashx?enc=6QkG1d%2FPPRiCAqhKb7yhsoQ6oVJgGLf6YX4ROs1VbzHbjPhQXE%2B0WWmIrYFRkrdSVDi646tTx7wQu2ScGTgf%2BJVP%2Bu4P9Ry9gI0FCCIcBVuKEcWc%2Fk%2FXTL4sM%2BWHda%2Fd","author":[{"family":"Committee against Torture","given":""}],"issued":{"date-parts":[["2014",12,23]]}}}],"schema":"https://github.com/citation-style-language/schema/raw/master/csl-citation.json"} </w:instrText>
      </w:r>
      <w:r w:rsidRPr="003F3D6D">
        <w:rPr>
          <w:rFonts w:cstheme="minorHAnsi"/>
        </w:rPr>
        <w:fldChar w:fldCharType="separate"/>
      </w:r>
      <w:r w:rsidRPr="003F3D6D">
        <w:rPr>
          <w:rFonts w:cstheme="minorHAnsi"/>
          <w:noProof/>
        </w:rPr>
        <w:t>Ibid.</w:t>
      </w:r>
      <w:r w:rsidRPr="003F3D6D">
        <w:rPr>
          <w:rFonts w:cstheme="minorHAnsi"/>
        </w:rPr>
        <w:fldChar w:fldCharType="end"/>
      </w:r>
    </w:p>
  </w:endnote>
  <w:endnote w:id="482">
    <w:p w14:paraId="31EA562A" w14:textId="61314DD7"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{"citationID":"Xca8Jtim","properties":{"formattedCitation":"Committee on the Rights of Persons with Disabilities, \\uc0\\u8216{}Concluding Observations on the Combined Second and Third Periodic Reports of Australia, Adopted by the Committee at Its 511th Meeting (20 September 2019) of the 22nd Session\\uc0\\u8217{} (n 14).","plainCitation":"Committee on the Rights of Persons with Disabilities, ‘Concluding Observations on the Combined Second and Third Periodic Reports of Australia, Adopted by the Committee at Its 511th Meeting (20 September 2019) of the 22nd Session’ (n 14).","noteIndex":482},"citationItems":[{"id":5930,"uris":["http://zotero.org/groups/2733877/items/22NEYWVV"],"uri":["http://zotero.org/groups/2733877/items/22NEYWVV"],"itemData":{"id":5930,"type":"report","collection-title":"UN Doc","genre":"CRPD/C/AUS/CO/2-3","publisher":"United Nations","title":"Concluding observations on the combined second and third periodic reports of Australia, adopted by the Committee at its 511th meeting (20 September 2019) of the 22nd session","author":[{"family":"Committee on the Rights of Persons with Disabilities","given":""}],"issued":{"date-parts":[["2019",10,15]]}}}],"schema":"https://github.com/citation-style-language/schema/raw/master/csl-citation.json"} </w:instrText>
      </w:r>
      <w:r w:rsidRPr="003F3D6D">
        <w:rPr>
          <w:rFonts w:cstheme="minorHAnsi"/>
        </w:rPr>
        <w:fldChar w:fldCharType="separate"/>
      </w:r>
      <w:r w:rsidRPr="00C27B33">
        <w:rPr>
          <w:rFonts w:ascii="Calibri" w:hAnsi="Calibri" w:cs="Calibri"/>
          <w:szCs w:val="24"/>
        </w:rPr>
        <w:t>Committee on the Rights of Persons with Disabilities, ‘Concluding Observations on the Combined Second and Third Periodic Reports of Australia, Adopted by the Committee at Its 511th Meeting (20 September 2019) of the 22nd Session’ (n 14).</w:t>
      </w:r>
      <w:r w:rsidRPr="003F3D6D">
        <w:rPr>
          <w:rFonts w:cstheme="minorHAnsi"/>
        </w:rPr>
        <w:fldChar w:fldCharType="end"/>
      </w:r>
    </w:p>
  </w:endnote>
  <w:endnote w:id="483">
    <w:p w14:paraId="43AD9E32" w14:textId="122BDBDD"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{"citationID":"fZfvjMwQ","properties":{"formattedCitation":"Commonwealth of Australia, {\\i{}Combined Second and Third Periodic Reports Submitted by Australia under Article 35 of the Convention (CRPD)} (UN Doc, United Nations, 1 September 2018) &lt;https://www.ag.gov.au/sites/default/files/2020-03/Australias-draft-combined-second-and-third-periodic-report.pdf&gt;.","plainCitation":"Commonwealth of Australia, Combined Second and Third Periodic Reports Submitted by Australia under Article 35 of the Convention (CRPD) (UN Doc, United Nations, 1 September 2018) &lt;https://www.ag.gov.au/sites/default/files/2020-03/Australias-draft-combined-second-and-third-periodic-report.pdf&gt;.","noteIndex":483},"citationItems":[{"id":6052,"uris":["http://zotero.org/groups/2733877/items/XRVU2PKZ"],"uri":["http://zotero.org/groups/2733877/items/XRVU2PKZ"],"itemData":{"id":6052,"type":"report","collection-title":"CRPD/C/AUS/2-3","genre":"UN Doc","publisher":"United Nations","title":"Combined second and third periodic reports submitted by Australia under article 35 of the Convention (CRPD)","URL":"https://www.ag.gov.au/sites/default/files/2020-03/Australias-draft-combined-second-and-third-periodic-report.pdf","author":[{"family":"Commonwealth of Australia","given":""}],"issued":{"date-parts":[["2018",9,1]]}}}],"schema":"https://github.com/citation-style-language/schema/raw/master/csl-citation.json"} </w:instrText>
      </w:r>
      <w:r w:rsidRPr="003F3D6D">
        <w:rPr>
          <w:rFonts w:cstheme="minorHAnsi"/>
        </w:rPr>
        <w:fldChar w:fldCharType="separate"/>
      </w:r>
      <w:r w:rsidRPr="003F3D6D">
        <w:rPr>
          <w:rFonts w:cstheme="minorHAnsi"/>
        </w:rPr>
        <w:t xml:space="preserve">Commonwealth of Australia, </w:t>
      </w:r>
      <w:r w:rsidRPr="003F3D6D">
        <w:rPr>
          <w:rFonts w:cstheme="minorHAnsi"/>
          <w:i/>
          <w:iCs/>
        </w:rPr>
        <w:t>Combined Second and Third Periodic Reports Submitted by Australia under Article 35 of the Convention (CRPD)</w:t>
      </w:r>
      <w:r w:rsidRPr="003F3D6D">
        <w:rPr>
          <w:rFonts w:cstheme="minorHAnsi"/>
        </w:rPr>
        <w:t xml:space="preserve"> (UN Doc, United Nations, 1 September 2018) &lt;https://www.ag.gov.au/sites/default/files/2020-03/Australias-draft-combined-second-and-third-periodic-report.pdf&gt;.</w:t>
      </w:r>
      <w:r w:rsidRPr="003F3D6D">
        <w:rPr>
          <w:rFonts w:cstheme="minorHAnsi"/>
        </w:rPr>
        <w:fldChar w:fldCharType="end"/>
      </w:r>
    </w:p>
  </w:endnote>
  <w:endnote w:id="484">
    <w:p w14:paraId="2DDB6623" w14:textId="4203520D"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{"citationID":"HraEsBBx","properties":{"formattedCitation":"Committee on the Elimination of Discrimination Against Women, \\uc0\\u8216{}Concluding Observations on the Eighth Periodic Report of Australia\\uc0\\u8217{} (n 85).","plainCitation":"Committee on the Elimination of Discrimination Against Women, ‘Concluding Observations on the Eighth Periodic Report of Australia’ (n 85).","noteIndex":484},"citationItems":[{"id":5978,"uris":["http://zotero.org/groups/2733877/items/EJ9IDSHP"],"uri":["http://zotero.org/groups/2733877/items/EJ9IDSHP"],"itemData":{"id":5978,"type":"report","genre":"CEDAW/C/AUS/CO/8","publisher":"United Nations","title":"Concluding observations on the eighth periodic report of Australia","URL":"https://tbinternet.ohchr.org/_layouts/15/treatybodyexternal/Download.aspx?symbolno=CEDAW/C/AUS/CO/8&amp;Lang=En","author":[{"family":"Committee on the Elimination of Discrimination Against Women","given":""}],"issued":{"date-parts":[["2018",7,25]]}}}],"schema":"https://github.com/citation-style-language/schema/raw/master/csl-citation.json"} </w:instrText>
      </w:r>
      <w:r w:rsidRPr="003F3D6D">
        <w:rPr>
          <w:rFonts w:cstheme="minorHAnsi"/>
        </w:rPr>
        <w:fldChar w:fldCharType="separate"/>
      </w:r>
      <w:r w:rsidRPr="00794E5D">
        <w:rPr>
          <w:rFonts w:ascii="Calibri" w:hAnsi="Calibri" w:cs="Calibri"/>
          <w:szCs w:val="24"/>
        </w:rPr>
        <w:t>Committee on the Elimination of Discrimination Against Women, ‘Concluding Observations on the Eighth Periodic Report of Australia’ (n 85).</w:t>
      </w:r>
      <w:r w:rsidRPr="003F3D6D">
        <w:rPr>
          <w:rFonts w:cstheme="minorHAnsi"/>
        </w:rPr>
        <w:fldChar w:fldCharType="end"/>
      </w:r>
    </w:p>
  </w:endnote>
  <w:endnote w:id="485">
    <w:p w14:paraId="3B039B22" w14:textId="17BFC0F7"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{"citationID":"lHzmoY4R","properties":{"formattedCitation":"Committee on the Elimination of Discrimination Against Women, \\uc0\\u8216{}Consideration of Reports Submitted by States Parties under Article 18 of the Convention, Eighth Periodic Report of States Parties Due in 2014 Australia\\uc0\\u8217{} (n 464).","plainCitation":"Committee on the Elimination of Discrimination Against Women, ‘Consideration of Reports Submitted by States Parties under Article 18 of the Convention, Eighth Periodic Report of States Parties Due in 2014 Australia’ (n 464).","noteIndex":485},"citationItems":[{"id":6057,"uris":["http://zotero.org/groups/2733877/items/FYMSSMRF"],"uri":["http://zotero.org/groups/2733877/items/FYMSSMRF"],"itemData":{"id":6057,"type":"report","collection-title":"UN Doc","genre":"CEDAW/C/AUS/8","publisher":"United Nations","title":"Consideration of reports submitted by States parties under article 18 of the Convention, Eighth periodic report of States Parties due in 2014 Australia","URL":"https://undocs.org/CEDAW/C/AUS/8","author":[{"family":"Committee on the Elimination of Discrimination Against Women","given":""}],"issued":{"date-parts":[["2016",12,20]]}}}],"schema":"https://github.com/citation-style-language/schema/raw/master/csl-citation.json"} </w:instrText>
      </w:r>
      <w:r w:rsidRPr="003F3D6D">
        <w:rPr>
          <w:rFonts w:cstheme="minorHAnsi"/>
        </w:rPr>
        <w:fldChar w:fldCharType="separate"/>
      </w:r>
      <w:r w:rsidR="004849F5" w:rsidRPr="004849F5">
        <w:rPr>
          <w:rFonts w:ascii="Calibri" w:hAnsi="Calibri" w:cs="Calibri"/>
          <w:szCs w:val="24"/>
        </w:rPr>
        <w:t>Committee on the Elimination of Discrimination Against Women, ‘Consideration of Reports Submitted by States Parties under Article 18 of the Convention, Eighth Periodic Report of States Parties Due in 2014 Australia’ (n 464).</w:t>
      </w:r>
      <w:r w:rsidRPr="003F3D6D">
        <w:rPr>
          <w:rFonts w:cstheme="minorHAnsi"/>
        </w:rPr>
        <w:fldChar w:fldCharType="end"/>
      </w:r>
    </w:p>
  </w:endnote>
  <w:endnote w:id="486">
    <w:p w14:paraId="4E581E9A" w14:textId="733D3AE0"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{"citationID":"Vsa6DMue","properties":{"formattedCitation":"Committee on the Rights of the Child (n 466).","plainCitation":"Committee on the Rights of the Child (n 466).","noteIndex":486},"citationItems":[{"id":6056,"uris":["http://zotero.org/groups/2733877/items/9I6RXJVF"],"uri":["http://zotero.org/groups/2733877/items/9I6RXJVF"],"itemData":{"id":6056,"type":"report","collection-title":"UN Doc","genre":"CRC/C/AUS/CO/5-6","publisher":"United Nations","title":"Concluding observations on the combined fifth and sixth periodic reports of Australia","URL":"https://undocs.org/CRC/C/AUS/CO/5-6","author":[{"family":"Committee on the Rights of the Child","given":""}],"issued":{"date-parts":[["2019",11,1]]}}}],"schema":"https://github.com/citation-style-language/schema/raw/master/csl-citation.json"} </w:instrText>
      </w:r>
      <w:r w:rsidRPr="003F3D6D">
        <w:rPr>
          <w:rFonts w:cstheme="minorHAnsi"/>
        </w:rPr>
        <w:fldChar w:fldCharType="separate"/>
      </w:r>
      <w:r w:rsidR="004849F5" w:rsidRPr="004849F5">
        <w:rPr>
          <w:rFonts w:ascii="Calibri" w:hAnsi="Calibri" w:cs="Calibri"/>
        </w:rPr>
        <w:t>Committee on the Rights of the Child (n 466).</w:t>
      </w:r>
      <w:r w:rsidRPr="003F3D6D">
        <w:rPr>
          <w:rFonts w:cstheme="minorHAnsi"/>
        </w:rPr>
        <w:fldChar w:fldCharType="end"/>
      </w:r>
    </w:p>
  </w:endnote>
  <w:endnote w:id="487">
    <w:p w14:paraId="0EFE7EF1" w14:textId="0B7CDC1D"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{"citationID":"g1jOx0H1","properties":{"formattedCitation":"Committee on Economic, Social and Cultural Rights (n 467).","plainCitation":"Committee on Economic, Social and Cultural Rights (n 467).","noteIndex":487},"citationItems":[{"id":6055,"uris":["http://zotero.org/groups/2733877/items/3ABR6N68"],"uri":["http://zotero.org/groups/2733877/items/3ABR6N68"],"itemData":{"id":6055,"type":"report","collection-title":"UN Doc","genre":"E/C.12/AUS/CO/5","publisher":"United Nations","title":"Concluding observations on the fifth periodic report of Australia","URL":"https://undocs.org/en/E/C.12/AUS/CO/5","author":[{"family":"Committee on Economic, Social and Cultural Rights","given":""}],"issued":{"date-parts":[["2017",7,11]]}}}],"schema":"https://github.com/citation-style-language/schema/raw/master/csl-citation.json"} </w:instrText>
      </w:r>
      <w:r w:rsidRPr="003F3D6D">
        <w:rPr>
          <w:rFonts w:cstheme="minorHAnsi"/>
        </w:rPr>
        <w:fldChar w:fldCharType="separate"/>
      </w:r>
      <w:r w:rsidR="004849F5" w:rsidRPr="004849F5">
        <w:rPr>
          <w:rFonts w:ascii="Calibri" w:hAnsi="Calibri" w:cs="Calibri"/>
        </w:rPr>
        <w:t>Committee on Economic, Social and Cultural Rights (n 467).</w:t>
      </w:r>
      <w:r w:rsidRPr="003F3D6D">
        <w:rPr>
          <w:rFonts w:cstheme="minorHAnsi"/>
        </w:rPr>
        <w:fldChar w:fldCharType="end"/>
      </w:r>
    </w:p>
  </w:endnote>
  <w:endnote w:id="488">
    <w:p w14:paraId="28A30DFE" w14:textId="65CB23E4"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{"citationID":"GZw61h9h","properties":{"formattedCitation":"Commonwealth of Australia (n 468).","plainCitation":"Commonwealth of Australia (n 468).","noteIndex":488},"citationItems":[{"id":6051,"uris":["http://zotero.org/groups/2733877/items/A5JZZT52"],"uri":["http://zotero.org/groups/2733877/items/A5JZZT52"],"itemData":{"id":6051,"type":"report","collection-title":"UN Doc","genre":"E/C.12/AUS/5","publisher":"United Nations","title":"Australia’s Fifth Report Under the International Covenant On Economic, Social and Cultural Rights (ICESCR) 2010-2014","URL":"https://www.dfat.gov.au/sites/default/files/final-icescr-report.pdf","author":[{"family":"Commonwealth of Australia","given":""}],"issued":{"date-parts":[["2016",2,1]]}}}],"schema":"https://github.com/citation-style-language/schema/raw/master/csl-citation.json"} </w:instrText>
      </w:r>
      <w:r w:rsidRPr="003F3D6D">
        <w:rPr>
          <w:rFonts w:cstheme="minorHAnsi"/>
        </w:rPr>
        <w:fldChar w:fldCharType="separate"/>
      </w:r>
      <w:r w:rsidR="004849F5" w:rsidRPr="004849F5">
        <w:rPr>
          <w:rFonts w:ascii="Calibri" w:hAnsi="Calibri" w:cs="Calibri"/>
        </w:rPr>
        <w:t>Commonwealth of Australia (n 468).</w:t>
      </w:r>
      <w:r w:rsidRPr="003F3D6D">
        <w:rPr>
          <w:rFonts w:cstheme="minorHAnsi"/>
        </w:rPr>
        <w:fldChar w:fldCharType="end"/>
      </w:r>
    </w:p>
  </w:endnote>
  <w:endnote w:id="489">
    <w:p w14:paraId="12C8F82E" w14:textId="098A4C39"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{"citationID":"Y5zWkZ7J","properties":{"formattedCitation":"Human Rights Committee, International Covenant on Civil and Political Rights (n 469).","plainCitation":"Human Rights Committee, International Covenant on Civil and Political Rights (n 469).","noteIndex":489},"citationItems":[{"id":6031,"uris":["http://zotero.org/groups/2733877/items/CXX7YGYC"],"uri":["http://zotero.org/groups/2733877/items/CXX7YGYC"],"itemData":{"id":6031,"type":"report","collection-title":"UN Doc","genre":"CCPR/C/AUS/CO/6","language":"en","publisher":"United Nations","source":"DOI.org (Crossref)","title":"Concluding observations on the sixth periodic report of Australia","URL":"https://undocs.org/en/CCPR/C/AUS/CO/6","author":[{"family":"Human Rights Committee, International Covenant on Civil and Political Rights","given":""}],"accessed":{"date-parts":[["2021",2,3]]},"issued":{"date-parts":[["2017",12,1]]}}}],"schema":"https://github.com/citation-style-language/schema/raw/master/csl-citation.json"} </w:instrText>
      </w:r>
      <w:r w:rsidRPr="003F3D6D">
        <w:rPr>
          <w:rFonts w:cstheme="minorHAnsi"/>
        </w:rPr>
        <w:fldChar w:fldCharType="separate"/>
      </w:r>
      <w:r w:rsidR="004849F5" w:rsidRPr="004849F5">
        <w:rPr>
          <w:rFonts w:ascii="Calibri" w:hAnsi="Calibri" w:cs="Calibri"/>
        </w:rPr>
        <w:t>Human Rights Committee, International Covenant on Civil and Political Rights (n 469).</w:t>
      </w:r>
      <w:r w:rsidRPr="003F3D6D">
        <w:rPr>
          <w:rFonts w:cstheme="minorHAnsi"/>
        </w:rPr>
        <w:fldChar w:fldCharType="end"/>
      </w:r>
    </w:p>
  </w:endnote>
  <w:endnote w:id="490">
    <w:p w14:paraId="472F15CE" w14:textId="5DBCEDCA"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{"citationID":"6YjjLiVl","properties":{"formattedCitation":"Human Rights Committee, International Covenant on Civil and Political Rights (n 470).","plainCitation":"Human Rights Committee, International Covenant on Civil and Political Rights (n 470).","noteIndex":490},"citationItems":[{"id":6206,"uris":["http://zotero.org/groups/2733877/items/45PNJGMB"],"uri":["http://zotero.org/groups/2733877/items/45PNJGMB"],"itemData":{"id":6206,"type":"report","abstract":"Refworld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bodies.","collection-title":"UN Doc","genre":"CCPR/C/AUS/6","language":"en","publisher":"United Nations","title":"Consideration of reports submitted by States parties under article 40 of the Covenant, Sixth periodic reports of States parties due in 2013: Australia","URL":"https://www.refworld.org/docid/588f3b824.html","author":[{"family":"Human Rights Committee, International Covenant on Civil and Political Rights","given":""}],"accessed":{"date-parts":[["2021",2,3]]},"issued":{"date-parts":[["2016"]]}}}],"schema":"https://github.com/citation-style-language/schema/raw/master/csl-citation.json"} </w:instrText>
      </w:r>
      <w:r w:rsidRPr="003F3D6D">
        <w:rPr>
          <w:rFonts w:cstheme="minorHAnsi"/>
        </w:rPr>
        <w:fldChar w:fldCharType="separate"/>
      </w:r>
      <w:r w:rsidR="004849F5" w:rsidRPr="004849F5">
        <w:rPr>
          <w:rFonts w:ascii="Calibri" w:hAnsi="Calibri" w:cs="Calibri"/>
        </w:rPr>
        <w:t>Human Rights Committee, International Covenant on Civil and Political Rights (n 470).</w:t>
      </w:r>
      <w:r w:rsidRPr="003F3D6D">
        <w:rPr>
          <w:rFonts w:cstheme="minorHAnsi"/>
        </w:rPr>
        <w:fldChar w:fldCharType="end"/>
      </w:r>
    </w:p>
  </w:endnote>
  <w:endnote w:id="491">
    <w:p w14:paraId="5975A3F2" w14:textId="631CF8DB" w:rsidR="00A00236" w:rsidRPr="003F3D6D" w:rsidRDefault="00A00236" w:rsidP="003F3D6D">
      <w:pPr>
        <w:pStyle w:val="EndnoteText"/>
        <w:rPr>
          <w:rFonts w:cstheme="minorHAnsi"/>
          <w:lang w:val="en-AU"/>
        </w:rPr>
      </w:pPr>
      <w:r w:rsidRPr="003F3D6D">
        <w:rPr>
          <w:rStyle w:val="EndnoteReference"/>
          <w:rFonts w:cstheme="minorHAnsi"/>
        </w:rPr>
        <w:endnoteRef/>
      </w:r>
      <w:r w:rsidRPr="003F3D6D">
        <w:rPr>
          <w:rFonts w:cstheme="minorHAnsi"/>
        </w:rPr>
        <w:t xml:space="preserve"> </w:t>
      </w:r>
      <w:r w:rsidRPr="003F3D6D">
        <w:rPr>
          <w:rFonts w:cstheme="minorHAnsi"/>
        </w:rPr>
        <w:fldChar w:fldCharType="begin"/>
      </w:r>
      <w:r w:rsidR="004849F5">
        <w:rPr>
          <w:rFonts w:cstheme="minorHAnsi"/>
        </w:rPr>
        <w:instrText xml:space="preserve"> ADDIN ZOTERO_ITEM CSL_CITATION {"citationID":"mJEzU1VW","properties":{"formattedCitation":"Committee on the Elimination of Racial Discrimination, {\\i{}Concluding Observations on the Eighteenth to Twentieth Periodic Reports of Australia} (CERD/C/AUS/CO/18-20, United Nations, 26 December 2017) &lt;https://www.google.com/url?sa=t&amp;rct=j&amp;q=&amp;esrc=s&amp;source=web&amp;cd=&amp;ved=2ahUKEwiT1qDPwMzuAhXBxzgGHVZqCuAQFjABegQIARAC&amp;url=http%3A%2F%2Fdocstore.ohchr.org%2FSelfServices%2FFilesHandler.ashx%3Fenc%3D6QkG1d%252FPPRiCAqhKb7yhsoFZxvnsZjtq1Xnb4bcEJCnFr38KNAbQS4Wbo8ymPQlFChRxcy5ofJz1G8JFjK1bdyDX25yS7L3siqW9qXwhJKK2e6NXMOIaNKaRk0mmvj4PzXniD5QYVhizM9W%252BQhRmmA%253D%253D&amp;usg=AOvVaw0G-ellQGzm3pRAllnJayyG&gt;.","plainCitation":"Committee on the Elimination of Racial Discrimination, Concluding Observations on the Eighteenth to Twentieth Periodic Reports of Australia (CERD/C/AUS/CO/18-20, United Nations, 26 December 2017) &lt;https://www.google.com/url?sa=t&amp;rct=j&amp;q=&amp;esrc=s&amp;source=web&amp;cd=&amp;ved=2ahUKEwiT1qDPwMzuAhXBxzgGHVZqCuAQFjABegQIARAC&amp;url=http%3A%2F%2Fdocstore.ohchr.org%2FSelfServices%2FFilesHandler.ashx%3Fenc%3D6QkG1d%252FPPRiCAqhKb7yhsoFZxvnsZjtq1Xnb4bcEJCnFr38KNAbQS4Wbo8ymPQlFChRxcy5ofJz1G8JFjK1bdyDX25yS7L3siqW9qXwhJKK2e6NXMOIaNKaRk0mmvj4PzXniD5QYVhizM9W%252BQhRmmA%253D%253D&amp;usg=AOvVaw0G-ellQGzm3pRAllnJayyG&gt;.","noteIndex":491},"citationItems":[{"id":6050,"uris":["http://zotero.org/groups/2733877/items/JEAPEZUZ"],"uri":["http://zotero.org/groups/2733877/items/JEAPEZUZ"],"itemData":{"id":6050,"type":"report","collection-title":"UN Doc","genre":"CERD/C/AUS/CO/18-20","publisher":"United Nations","title":"Concluding observations on the eighteenth to twentieth periodic reports of Australia","URL":"https://www.google.com/url?sa=t&amp;rct=j&amp;q=&amp;esrc=s&amp;source=web&amp;cd=&amp;ved=2ahUKEwiT1qDPwMzuAhXBxzgGHVZqCuAQFjABegQIARAC&amp;url=http%3A%2F%2Fdocstore.ohchr.org%2FSelfServices%2FFilesHandler.ashx%3Fenc%3D6QkG1d%252FPPRiCAqhKb7yhsoFZxvnsZjtq1Xnb4bcEJCnFr38KNAbQS4Wbo8ymPQlFChRxcy5ofJz1G8JFjK1bdyDX25yS7L3siqW9qXwhJKK2e6NXMOIaNKaRk0mmvj4PzXniD5QYVhizM9W%252BQhRmmA%253D%253D&amp;usg=AOvVaw0G-ellQGzm3pRAllnJayyG","author":[{"family":"Committee on the Elimination of Racial Discrimination","given":""}],"issued":{"date-parts":[["2017",12,26]]}}}],"schema":"https://github.com/citation-style-language/schema/raw/master/csl-citation.json"} </w:instrText>
      </w:r>
      <w:r w:rsidRPr="003F3D6D">
        <w:rPr>
          <w:rFonts w:cstheme="minorHAnsi"/>
        </w:rPr>
        <w:fldChar w:fldCharType="separate"/>
      </w:r>
      <w:r w:rsidRPr="003F3D6D">
        <w:rPr>
          <w:rFonts w:cstheme="minorHAnsi"/>
        </w:rPr>
        <w:t xml:space="preserve">Committee on the Elimination of Racial Discrimination, </w:t>
      </w:r>
      <w:r w:rsidRPr="003F3D6D">
        <w:rPr>
          <w:rFonts w:cstheme="minorHAnsi"/>
          <w:i/>
          <w:iCs/>
        </w:rPr>
        <w:t>Concluding Observations on the Eighteenth to Twentieth Periodic Reports of Australia</w:t>
      </w:r>
      <w:r w:rsidRPr="003F3D6D">
        <w:rPr>
          <w:rFonts w:cstheme="minorHAnsi"/>
        </w:rPr>
        <w:t xml:space="preserve"> (CERD/C/AUS/CO/18-20, United Nations, 26 December 2017) &lt;https://www.google.com/url?sa=t&amp;rct=j&amp;q=&amp;esrc=s&amp;source=web&amp;cd=&amp;ved=2ahUKEwiT1qDPwMzuAhXBxzgGHVZqCuAQFjABegQIARAC&amp;url=http%3A%2F%2Fdocstore.ohchr.org%2FSelfServices%2FFilesHandler.ashx%3Fenc%3D6QkG1d%252FPPRiCAqhKb7yhsoFZxvnsZjtq1Xnb4bcEJCnFr38KNAbQS4Wbo8ymPQlFChRxcy5ofJz1G8JFjK1bdyDX25yS7L3siqW9qXwhJKK2e6NXMOIaNKaRk0mmvj4PzXniD5QYVhizM9W%252BQhRmmA%253D%253D&amp;usg=AOvVaw0G-ellQGzm3pRAllnJayyG&gt;.</w:t>
      </w:r>
      <w:r w:rsidRPr="003F3D6D">
        <w:rPr>
          <w:rFonts w:cstheme="minorHAnsi"/>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DINOT-Regular">
    <w:altName w:val="Calibri"/>
    <w:panose1 w:val="020B0604020202020204"/>
    <w:charset w:val="4D"/>
    <w:family w:val="swiss"/>
    <w:notTrueType/>
    <w:pitch w:val="default"/>
    <w:sig w:usb0="00000003" w:usb1="00000000" w:usb2="00000000" w:usb3="00000000" w:csb0="00000001" w:csb1="00000000"/>
  </w:font>
  <w:font w:name="Caecilia LT Pro 55 Roman">
    <w:altName w:val="Times New Roman"/>
    <w:panose1 w:val="020B0604020202020204"/>
    <w:charset w:val="00"/>
    <w:family w:val="roman"/>
    <w:notTrueType/>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roxima Nova">
    <w:altName w:val="﷽﷽﷽﷽﷽﷽﷽䉅耋ĝ"/>
    <w:panose1 w:val="020B0604020202020204"/>
    <w:charset w:val="00"/>
    <w:family w:val="auto"/>
    <w:pitch w:val="variable"/>
    <w:sig w:usb0="20000287" w:usb1="00000001" w:usb2="00000000" w:usb3="00000000" w:csb0="0000019F" w:csb1="00000000"/>
  </w:font>
  <w:font w:name="League Spartan">
    <w:altName w:val="﷽﷽﷽﷽﷽﷽﷽﷽partan"/>
    <w:panose1 w:val="00000800000000000000"/>
    <w:charset w:val="4D"/>
    <w:family w:val="auto"/>
    <w:notTrueType/>
    <w:pitch w:val="variable"/>
    <w:sig w:usb0="00000007" w:usb1="00000000" w:usb2="00000000" w:usb3="00000000" w:csb0="00000083" w:csb1="00000000"/>
  </w:font>
  <w:font w:name="Segoe UI">
    <w:panose1 w:val="020B0502040204020203"/>
    <w:charset w:val="00"/>
    <w:family w:val="swiss"/>
    <w:pitch w:val="variable"/>
    <w:sig w:usb0="E10022FF" w:usb1="C000E47F" w:usb2="00000029" w:usb3="00000000" w:csb0="000001DF" w:csb1="00000000"/>
  </w:font>
  <w:font w:name="MrEavesXLModOT-Reg">
    <w:altName w:val="Calibri"/>
    <w:panose1 w:val="020B0604020202020204"/>
    <w:charset w:val="00"/>
    <w:family w:val="swiss"/>
    <w:notTrueType/>
    <w:pitch w:val="default"/>
    <w:sig w:usb0="00000003" w:usb1="00000000" w:usb2="00000000" w:usb3="00000000" w:csb0="00000001" w:csb1="00000000"/>
  </w:font>
  <w:font w:name="GalliardStd-Roman">
    <w:altName w:val="MS Gothic"/>
    <w:panose1 w:val="020B0604020202020204"/>
    <w:charset w:val="80"/>
    <w:family w:val="roman"/>
    <w:notTrueType/>
    <w:pitch w:val="default"/>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alibri" w:hAnsi="Calibri" w:cs="Calibri"/>
        <w:b/>
        <w:color w:val="17365D"/>
        <w:sz w:val="18"/>
        <w:szCs w:val="18"/>
      </w:rPr>
      <w:id w:val="-104576745"/>
      <w:docPartObj>
        <w:docPartGallery w:val="Page Numbers (Bottom of Page)"/>
        <w:docPartUnique/>
      </w:docPartObj>
    </w:sdtPr>
    <w:sdtEndPr>
      <w:rPr>
        <w:rStyle w:val="PageNumber"/>
      </w:rPr>
    </w:sdtEndPr>
    <w:sdtContent>
      <w:p w14:paraId="0FAA34AE" w14:textId="19B7499D" w:rsidR="00A00236" w:rsidRPr="00A16838" w:rsidRDefault="00A00236" w:rsidP="003F6CBF">
        <w:pPr>
          <w:pStyle w:val="Footer"/>
          <w:framePr w:wrap="none" w:vAnchor="text" w:hAnchor="margin" w:xAlign="right" w:y="1"/>
          <w:rPr>
            <w:rStyle w:val="PageNumber"/>
            <w:rFonts w:ascii="Calibri" w:hAnsi="Calibri" w:cs="Calibri"/>
            <w:b/>
            <w:color w:val="17365D"/>
            <w:sz w:val="18"/>
            <w:szCs w:val="18"/>
          </w:rPr>
        </w:pPr>
        <w:r w:rsidRPr="00A16838">
          <w:rPr>
            <w:rStyle w:val="PageNumber"/>
            <w:rFonts w:ascii="Calibri" w:hAnsi="Calibri" w:cs="Calibri"/>
            <w:b/>
            <w:color w:val="17365D"/>
            <w:sz w:val="18"/>
            <w:szCs w:val="18"/>
          </w:rPr>
          <w:fldChar w:fldCharType="begin"/>
        </w:r>
        <w:r w:rsidRPr="00A16838">
          <w:rPr>
            <w:rStyle w:val="PageNumber"/>
            <w:rFonts w:ascii="Calibri" w:hAnsi="Calibri" w:cs="Calibri"/>
            <w:b/>
            <w:color w:val="17365D"/>
            <w:sz w:val="18"/>
            <w:szCs w:val="18"/>
          </w:rPr>
          <w:instrText xml:space="preserve"> PAGE </w:instrText>
        </w:r>
        <w:r w:rsidRPr="00A16838">
          <w:rPr>
            <w:rStyle w:val="PageNumber"/>
            <w:rFonts w:ascii="Calibri" w:hAnsi="Calibri" w:cs="Calibri"/>
            <w:b/>
            <w:color w:val="17365D"/>
            <w:sz w:val="18"/>
            <w:szCs w:val="18"/>
          </w:rPr>
          <w:fldChar w:fldCharType="separate"/>
        </w:r>
        <w:r>
          <w:rPr>
            <w:rStyle w:val="PageNumber"/>
            <w:rFonts w:ascii="Calibri" w:hAnsi="Calibri" w:cs="Calibri"/>
            <w:b/>
            <w:noProof/>
            <w:color w:val="17365D"/>
            <w:sz w:val="18"/>
            <w:szCs w:val="18"/>
          </w:rPr>
          <w:t>2</w:t>
        </w:r>
        <w:r w:rsidRPr="00A16838">
          <w:rPr>
            <w:rStyle w:val="PageNumber"/>
            <w:rFonts w:ascii="Calibri" w:hAnsi="Calibri" w:cs="Calibri"/>
            <w:b/>
            <w:color w:val="17365D"/>
            <w:sz w:val="18"/>
            <w:szCs w:val="18"/>
          </w:rPr>
          <w:fldChar w:fldCharType="end"/>
        </w:r>
      </w:p>
    </w:sdtContent>
  </w:sdt>
  <w:p w14:paraId="3F7CDC1D" w14:textId="77777777" w:rsidR="00A00236" w:rsidRPr="009D6A9C" w:rsidRDefault="00A00236">
    <w:pPr>
      <w:rPr>
        <w:rFonts w:ascii="Proxima Nova" w:hAnsi="Proxima Nova"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alibri" w:hAnsi="Calibri" w:cs="Calibri"/>
        <w:b/>
        <w:color w:val="17365D"/>
        <w:sz w:val="18"/>
        <w:szCs w:val="18"/>
      </w:rPr>
      <w:id w:val="1371108195"/>
      <w:docPartObj>
        <w:docPartGallery w:val="Page Numbers (Bottom of Page)"/>
        <w:docPartUnique/>
      </w:docPartObj>
    </w:sdtPr>
    <w:sdtEndPr>
      <w:rPr>
        <w:rStyle w:val="PageNumber"/>
      </w:rPr>
    </w:sdtEndPr>
    <w:sdtContent>
      <w:p w14:paraId="70F88CB6" w14:textId="18233E2F" w:rsidR="00A00236" w:rsidRPr="00A16838" w:rsidRDefault="00A00236" w:rsidP="0076777E">
        <w:pPr>
          <w:pStyle w:val="Footer"/>
          <w:framePr w:wrap="none" w:vAnchor="text" w:hAnchor="margin" w:xAlign="right" w:y="1"/>
          <w:rPr>
            <w:rStyle w:val="PageNumber"/>
            <w:rFonts w:ascii="Calibri" w:hAnsi="Calibri" w:cs="Calibri"/>
            <w:b/>
            <w:color w:val="17365D"/>
            <w:sz w:val="18"/>
            <w:szCs w:val="18"/>
          </w:rPr>
        </w:pPr>
        <w:r w:rsidRPr="00A16838">
          <w:rPr>
            <w:rStyle w:val="PageNumber"/>
            <w:rFonts w:ascii="Calibri" w:hAnsi="Calibri" w:cs="Calibri"/>
            <w:b/>
            <w:color w:val="17365D"/>
            <w:sz w:val="18"/>
            <w:szCs w:val="18"/>
          </w:rPr>
          <w:fldChar w:fldCharType="begin"/>
        </w:r>
        <w:r w:rsidRPr="00A16838">
          <w:rPr>
            <w:rStyle w:val="PageNumber"/>
            <w:rFonts w:ascii="Calibri" w:hAnsi="Calibri" w:cs="Calibri"/>
            <w:b/>
            <w:color w:val="17365D"/>
            <w:sz w:val="18"/>
            <w:szCs w:val="18"/>
          </w:rPr>
          <w:instrText xml:space="preserve"> PAGE </w:instrText>
        </w:r>
        <w:r w:rsidRPr="00A16838">
          <w:rPr>
            <w:rStyle w:val="PageNumber"/>
            <w:rFonts w:ascii="Calibri" w:hAnsi="Calibri" w:cs="Calibri"/>
            <w:b/>
            <w:color w:val="17365D"/>
            <w:sz w:val="18"/>
            <w:szCs w:val="18"/>
          </w:rPr>
          <w:fldChar w:fldCharType="separate"/>
        </w:r>
        <w:r>
          <w:rPr>
            <w:rStyle w:val="PageNumber"/>
            <w:rFonts w:ascii="Calibri" w:hAnsi="Calibri" w:cs="Calibri"/>
            <w:b/>
            <w:noProof/>
            <w:color w:val="17365D"/>
            <w:sz w:val="18"/>
            <w:szCs w:val="18"/>
          </w:rPr>
          <w:t>3</w:t>
        </w:r>
        <w:r w:rsidRPr="00A16838">
          <w:rPr>
            <w:rStyle w:val="PageNumber"/>
            <w:rFonts w:ascii="Calibri" w:hAnsi="Calibri" w:cs="Calibri"/>
            <w:b/>
            <w:color w:val="17365D"/>
            <w:sz w:val="18"/>
            <w:szCs w:val="18"/>
          </w:rPr>
          <w:fldChar w:fldCharType="end"/>
        </w:r>
      </w:p>
    </w:sdtContent>
  </w:sdt>
  <w:p w14:paraId="4F7943DC" w14:textId="77777777" w:rsidR="00A00236" w:rsidRPr="00F7053A" w:rsidRDefault="00A00236" w:rsidP="007B304F">
    <w:pPr>
      <w:rPr>
        <w:rFonts w:ascii="Proxima Nova" w:hAnsi="Proxima Nova"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1E76C" w14:textId="77777777" w:rsidR="00234BEE" w:rsidRDefault="00234BEE" w:rsidP="006811B8">
      <w:r>
        <w:separator/>
      </w:r>
    </w:p>
    <w:p w14:paraId="2CB7E936" w14:textId="77777777" w:rsidR="00234BEE" w:rsidRDefault="00234BEE"/>
  </w:footnote>
  <w:footnote w:type="continuationSeparator" w:id="0">
    <w:p w14:paraId="44C03CA5" w14:textId="77777777" w:rsidR="00234BEE" w:rsidRDefault="00234BEE" w:rsidP="006811B8">
      <w:r>
        <w:continuationSeparator/>
      </w:r>
    </w:p>
    <w:p w14:paraId="1DE36A93" w14:textId="77777777" w:rsidR="00234BEE" w:rsidRDefault="00234B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253C"/>
    <w:multiLevelType w:val="multilevel"/>
    <w:tmpl w:val="9C003800"/>
    <w:lvl w:ilvl="0">
      <w:start w:val="1"/>
      <w:numFmt w:val="decimal"/>
      <w:lvlText w:val="%1."/>
      <w:lvlJc w:val="left"/>
      <w:pPr>
        <w:ind w:left="720" w:hanging="360"/>
      </w:pPr>
      <w:rPr>
        <w:rFonts w:hint="default"/>
      </w:rPr>
    </w:lvl>
    <w:lvl w:ilvl="1">
      <w:start w:val="1"/>
      <w:numFmt w:val="decimal"/>
      <w:isLgl/>
      <w:lvlText w:val="%1.%2"/>
      <w:lvlJc w:val="left"/>
      <w:pPr>
        <w:ind w:left="2957" w:hanging="405"/>
      </w:pPr>
      <w:rPr>
        <w:rFonts w:asciiTheme="minorHAnsi" w:hAnsiTheme="minorHAnsi" w:cstheme="minorHAnsi"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BD7AB5"/>
    <w:multiLevelType w:val="multilevel"/>
    <w:tmpl w:val="3216F54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152A64"/>
    <w:multiLevelType w:val="hybridMultilevel"/>
    <w:tmpl w:val="D7A0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221446"/>
    <w:multiLevelType w:val="hybridMultilevel"/>
    <w:tmpl w:val="D4C401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650685"/>
    <w:multiLevelType w:val="hybridMultilevel"/>
    <w:tmpl w:val="BBE8699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A55C5E"/>
    <w:multiLevelType w:val="hybridMultilevel"/>
    <w:tmpl w:val="833AB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F923C3"/>
    <w:multiLevelType w:val="hybridMultilevel"/>
    <w:tmpl w:val="2F4E2E42"/>
    <w:lvl w:ilvl="0" w:tplc="0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32166"/>
    <w:multiLevelType w:val="multilevel"/>
    <w:tmpl w:val="EFDC8A06"/>
    <w:styleLink w:val="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EC6FDB"/>
    <w:multiLevelType w:val="hybridMultilevel"/>
    <w:tmpl w:val="08FACF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FC402E"/>
    <w:multiLevelType w:val="multilevel"/>
    <w:tmpl w:val="89225A5E"/>
    <w:lvl w:ilvl="0">
      <w:start w:val="1"/>
      <w:numFmt w:val="decimal"/>
      <w:pStyle w:val="HRLCHeading1"/>
      <w:lvlText w:val="%1."/>
      <w:lvlJc w:val="left"/>
      <w:pPr>
        <w:tabs>
          <w:tab w:val="num" w:pos="2269"/>
        </w:tabs>
        <w:ind w:left="226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rPr>
        <w:b/>
      </w:r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10" w15:restartNumberingAfterBreak="0">
    <w:nsid w:val="1B314B37"/>
    <w:multiLevelType w:val="hybridMultilevel"/>
    <w:tmpl w:val="920C685A"/>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7E4608"/>
    <w:multiLevelType w:val="hybridMultilevel"/>
    <w:tmpl w:val="2B64F7E4"/>
    <w:lvl w:ilvl="0" w:tplc="6DDCEC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D8E1656"/>
    <w:multiLevelType w:val="hybridMultilevel"/>
    <w:tmpl w:val="4844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924BC"/>
    <w:multiLevelType w:val="hybridMultilevel"/>
    <w:tmpl w:val="6E2AA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6B6C26"/>
    <w:multiLevelType w:val="multilevel"/>
    <w:tmpl w:val="81562C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190BB1"/>
    <w:multiLevelType w:val="multilevel"/>
    <w:tmpl w:val="8A3C8D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3B2ADE"/>
    <w:multiLevelType w:val="hybridMultilevel"/>
    <w:tmpl w:val="9D322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C926AE"/>
    <w:multiLevelType w:val="hybridMultilevel"/>
    <w:tmpl w:val="40AEACBE"/>
    <w:lvl w:ilvl="0" w:tplc="6E66D208">
      <w:start w:val="1"/>
      <w:numFmt w:val="bullet"/>
      <w:pStyle w:val="Bull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E40760"/>
    <w:multiLevelType w:val="hybridMultilevel"/>
    <w:tmpl w:val="192C2C4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371E2AAD"/>
    <w:multiLevelType w:val="multilevel"/>
    <w:tmpl w:val="D258FA78"/>
    <w:lvl w:ilvl="0">
      <w:start w:val="4"/>
      <w:numFmt w:val="decimal"/>
      <w:lvlText w:val="%1"/>
      <w:lvlJc w:val="left"/>
      <w:pPr>
        <w:ind w:left="420" w:hanging="420"/>
      </w:pPr>
      <w:rPr>
        <w:rFonts w:hint="default"/>
      </w:rPr>
    </w:lvl>
    <w:lvl w:ilvl="1">
      <w:start w:val="26"/>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4C006D"/>
    <w:multiLevelType w:val="hybridMultilevel"/>
    <w:tmpl w:val="F4805B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C572490"/>
    <w:multiLevelType w:val="multilevel"/>
    <w:tmpl w:val="C04233A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E461E7"/>
    <w:multiLevelType w:val="hybridMultilevel"/>
    <w:tmpl w:val="B63482E4"/>
    <w:lvl w:ilvl="0" w:tplc="5556465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7422E3"/>
    <w:multiLevelType w:val="hybridMultilevel"/>
    <w:tmpl w:val="196452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01205"/>
    <w:multiLevelType w:val="hybridMultilevel"/>
    <w:tmpl w:val="185AB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D1C1D"/>
    <w:multiLevelType w:val="hybridMultilevel"/>
    <w:tmpl w:val="02B64FF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B01AAF"/>
    <w:multiLevelType w:val="hybridMultilevel"/>
    <w:tmpl w:val="8F52A538"/>
    <w:lvl w:ilvl="0" w:tplc="0C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B4645A"/>
    <w:multiLevelType w:val="hybridMultilevel"/>
    <w:tmpl w:val="1F0C92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4DA03E6F"/>
    <w:multiLevelType w:val="hybridMultilevel"/>
    <w:tmpl w:val="CFD0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9A26BE"/>
    <w:multiLevelType w:val="multilevel"/>
    <w:tmpl w:val="E99A5A3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CC715A"/>
    <w:multiLevelType w:val="multilevel"/>
    <w:tmpl w:val="FB0234E0"/>
    <w:lvl w:ilvl="0">
      <w:start w:val="2"/>
      <w:numFmt w:val="decimal"/>
      <w:lvlText w:val="%1"/>
      <w:lvlJc w:val="left"/>
      <w:pPr>
        <w:ind w:left="380" w:hanging="380"/>
      </w:pPr>
      <w:rPr>
        <w:rFonts w:hint="default"/>
      </w:rPr>
    </w:lvl>
    <w:lvl w:ilvl="1">
      <w:start w:val="12"/>
      <w:numFmt w:val="decimal"/>
      <w:lvlText w:val="%1.%2"/>
      <w:lvlJc w:val="left"/>
      <w:pPr>
        <w:ind w:left="2932" w:hanging="380"/>
      </w:pPr>
      <w:rPr>
        <w:rFonts w:hint="default"/>
        <w:sz w:val="20"/>
        <w:szCs w:val="20"/>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31" w15:restartNumberingAfterBreak="0">
    <w:nsid w:val="5AFC344B"/>
    <w:multiLevelType w:val="multilevel"/>
    <w:tmpl w:val="C03C711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6E3BB9"/>
    <w:multiLevelType w:val="multilevel"/>
    <w:tmpl w:val="D952D18E"/>
    <w:lvl w:ilvl="0">
      <w:start w:val="3"/>
      <w:numFmt w:val="decimal"/>
      <w:lvlText w:val="%1."/>
      <w:lvlJc w:val="left"/>
      <w:pPr>
        <w:ind w:left="360" w:hanging="360"/>
      </w:pPr>
      <w:rPr>
        <w:rFonts w:hint="default"/>
        <w:color w:val="000000" w:themeColor="text1"/>
      </w:rPr>
    </w:lvl>
    <w:lvl w:ilvl="1">
      <w:start w:val="3"/>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3" w15:restartNumberingAfterBreak="0">
    <w:nsid w:val="5F90628E"/>
    <w:multiLevelType w:val="multilevel"/>
    <w:tmpl w:val="5DE0F00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1E465E"/>
    <w:multiLevelType w:val="hybridMultilevel"/>
    <w:tmpl w:val="9E86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964FE8"/>
    <w:multiLevelType w:val="hybridMultilevel"/>
    <w:tmpl w:val="5B600568"/>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6E6EC1"/>
    <w:multiLevelType w:val="hybridMultilevel"/>
    <w:tmpl w:val="489C0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9A0F1C"/>
    <w:multiLevelType w:val="hybridMultilevel"/>
    <w:tmpl w:val="9F144C8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8" w15:restartNumberingAfterBreak="0">
    <w:nsid w:val="6F2D5FDE"/>
    <w:multiLevelType w:val="multilevel"/>
    <w:tmpl w:val="4B0C692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7A7269"/>
    <w:multiLevelType w:val="hybridMultilevel"/>
    <w:tmpl w:val="B56EC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505263"/>
    <w:multiLevelType w:val="multilevel"/>
    <w:tmpl w:val="F23230B6"/>
    <w:lvl w:ilvl="0">
      <w:start w:val="2"/>
      <w:numFmt w:val="decimal"/>
      <w:lvlText w:val="%1."/>
      <w:lvlJc w:val="left"/>
      <w:pPr>
        <w:ind w:left="420" w:hanging="420"/>
      </w:pPr>
      <w:rPr>
        <w:rFonts w:hint="default"/>
      </w:rPr>
    </w:lvl>
    <w:lvl w:ilvl="1">
      <w:start w:val="13"/>
      <w:numFmt w:val="decimal"/>
      <w:lvlText w:val="%1.%2."/>
      <w:lvlJc w:val="left"/>
      <w:pPr>
        <w:ind w:left="845"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AD51F3"/>
    <w:multiLevelType w:val="hybridMultilevel"/>
    <w:tmpl w:val="581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CF2473"/>
    <w:multiLevelType w:val="hybridMultilevel"/>
    <w:tmpl w:val="FB882D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4CC174D"/>
    <w:multiLevelType w:val="hybridMultilevel"/>
    <w:tmpl w:val="1C0A2F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6B0029"/>
    <w:multiLevelType w:val="multilevel"/>
    <w:tmpl w:val="CC30C79C"/>
    <w:lvl w:ilvl="0">
      <w:start w:val="1"/>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7"/>
  </w:num>
  <w:num w:numId="3">
    <w:abstractNumId w:val="4"/>
  </w:num>
  <w:num w:numId="4">
    <w:abstractNumId w:val="44"/>
  </w:num>
  <w:num w:numId="5">
    <w:abstractNumId w:val="25"/>
  </w:num>
  <w:num w:numId="6">
    <w:abstractNumId w:val="17"/>
  </w:num>
  <w:num w:numId="7">
    <w:abstractNumId w:val="35"/>
  </w:num>
  <w:num w:numId="8">
    <w:abstractNumId w:val="8"/>
  </w:num>
  <w:num w:numId="9">
    <w:abstractNumId w:val="43"/>
  </w:num>
  <w:num w:numId="10">
    <w:abstractNumId w:val="19"/>
  </w:num>
  <w:num w:numId="11">
    <w:abstractNumId w:val="6"/>
  </w:num>
  <w:num w:numId="12">
    <w:abstractNumId w:val="39"/>
  </w:num>
  <w:num w:numId="13">
    <w:abstractNumId w:val="24"/>
  </w:num>
  <w:num w:numId="14">
    <w:abstractNumId w:val="5"/>
  </w:num>
  <w:num w:numId="15">
    <w:abstractNumId w:val="16"/>
  </w:num>
  <w:num w:numId="16">
    <w:abstractNumId w:val="15"/>
  </w:num>
  <w:num w:numId="17">
    <w:abstractNumId w:val="30"/>
  </w:num>
  <w:num w:numId="18">
    <w:abstractNumId w:val="40"/>
  </w:num>
  <w:num w:numId="19">
    <w:abstractNumId w:val="18"/>
  </w:num>
  <w:num w:numId="20">
    <w:abstractNumId w:val="42"/>
  </w:num>
  <w:num w:numId="21">
    <w:abstractNumId w:val="21"/>
  </w:num>
  <w:num w:numId="22">
    <w:abstractNumId w:val="3"/>
  </w:num>
  <w:num w:numId="23">
    <w:abstractNumId w:val="27"/>
  </w:num>
  <w:num w:numId="24">
    <w:abstractNumId w:val="36"/>
  </w:num>
  <w:num w:numId="25">
    <w:abstractNumId w:val="37"/>
  </w:num>
  <w:num w:numId="26">
    <w:abstractNumId w:val="20"/>
  </w:num>
  <w:num w:numId="27">
    <w:abstractNumId w:val="29"/>
  </w:num>
  <w:num w:numId="28">
    <w:abstractNumId w:val="14"/>
  </w:num>
  <w:num w:numId="29">
    <w:abstractNumId w:val="28"/>
  </w:num>
  <w:num w:numId="30">
    <w:abstractNumId w:val="12"/>
  </w:num>
  <w:num w:numId="31">
    <w:abstractNumId w:val="41"/>
  </w:num>
  <w:num w:numId="32">
    <w:abstractNumId w:val="33"/>
  </w:num>
  <w:num w:numId="33">
    <w:abstractNumId w:val="26"/>
  </w:num>
  <w:num w:numId="34">
    <w:abstractNumId w:val="23"/>
  </w:num>
  <w:num w:numId="35">
    <w:abstractNumId w:val="10"/>
  </w:num>
  <w:num w:numId="36">
    <w:abstractNumId w:val="38"/>
  </w:num>
  <w:num w:numId="37">
    <w:abstractNumId w:val="34"/>
  </w:num>
  <w:num w:numId="38">
    <w:abstractNumId w:val="1"/>
  </w:num>
  <w:num w:numId="39">
    <w:abstractNumId w:val="2"/>
  </w:num>
  <w:num w:numId="40">
    <w:abstractNumId w:val="22"/>
  </w:num>
  <w:num w:numId="41">
    <w:abstractNumId w:val="31"/>
  </w:num>
  <w:num w:numId="42">
    <w:abstractNumId w:val="0"/>
  </w:num>
  <w:num w:numId="43">
    <w:abstractNumId w:val="32"/>
  </w:num>
  <w:num w:numId="44">
    <w:abstractNumId w:val="13"/>
  </w:num>
  <w:num w:numId="45">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397"/>
    <w:rsid w:val="00000948"/>
    <w:rsid w:val="00000997"/>
    <w:rsid w:val="00000C84"/>
    <w:rsid w:val="0000121B"/>
    <w:rsid w:val="0000131D"/>
    <w:rsid w:val="0000168C"/>
    <w:rsid w:val="0000176E"/>
    <w:rsid w:val="00002259"/>
    <w:rsid w:val="00002751"/>
    <w:rsid w:val="000034E3"/>
    <w:rsid w:val="000039A0"/>
    <w:rsid w:val="00003BD0"/>
    <w:rsid w:val="00003C52"/>
    <w:rsid w:val="000042D2"/>
    <w:rsid w:val="000048C5"/>
    <w:rsid w:val="00004BD8"/>
    <w:rsid w:val="000057CE"/>
    <w:rsid w:val="00005D84"/>
    <w:rsid w:val="00005EB3"/>
    <w:rsid w:val="0000681E"/>
    <w:rsid w:val="00006C4E"/>
    <w:rsid w:val="00007320"/>
    <w:rsid w:val="000075E3"/>
    <w:rsid w:val="000077E6"/>
    <w:rsid w:val="0000781D"/>
    <w:rsid w:val="000079A0"/>
    <w:rsid w:val="00007A77"/>
    <w:rsid w:val="00007D2E"/>
    <w:rsid w:val="00010162"/>
    <w:rsid w:val="000101D5"/>
    <w:rsid w:val="00010605"/>
    <w:rsid w:val="00010DDF"/>
    <w:rsid w:val="00011A83"/>
    <w:rsid w:val="000121C3"/>
    <w:rsid w:val="00012998"/>
    <w:rsid w:val="00013B39"/>
    <w:rsid w:val="00013E01"/>
    <w:rsid w:val="00013EDA"/>
    <w:rsid w:val="0001459E"/>
    <w:rsid w:val="00014DC4"/>
    <w:rsid w:val="0001508F"/>
    <w:rsid w:val="000150A1"/>
    <w:rsid w:val="000150F1"/>
    <w:rsid w:val="000157D3"/>
    <w:rsid w:val="00015AC7"/>
    <w:rsid w:val="00015BFC"/>
    <w:rsid w:val="000165BA"/>
    <w:rsid w:val="00016844"/>
    <w:rsid w:val="00016A3C"/>
    <w:rsid w:val="00017027"/>
    <w:rsid w:val="0001745E"/>
    <w:rsid w:val="000177E4"/>
    <w:rsid w:val="00020146"/>
    <w:rsid w:val="00020846"/>
    <w:rsid w:val="00020961"/>
    <w:rsid w:val="00020AD4"/>
    <w:rsid w:val="00020C84"/>
    <w:rsid w:val="00021A07"/>
    <w:rsid w:val="00022276"/>
    <w:rsid w:val="000222B1"/>
    <w:rsid w:val="000227DF"/>
    <w:rsid w:val="00022B6C"/>
    <w:rsid w:val="00022D81"/>
    <w:rsid w:val="000233A0"/>
    <w:rsid w:val="00023850"/>
    <w:rsid w:val="00023E21"/>
    <w:rsid w:val="00023F30"/>
    <w:rsid w:val="00024540"/>
    <w:rsid w:val="000246F7"/>
    <w:rsid w:val="000247BF"/>
    <w:rsid w:val="000252CC"/>
    <w:rsid w:val="000252F1"/>
    <w:rsid w:val="00025730"/>
    <w:rsid w:val="00025BFC"/>
    <w:rsid w:val="00025F6C"/>
    <w:rsid w:val="000262D1"/>
    <w:rsid w:val="00026328"/>
    <w:rsid w:val="00026478"/>
    <w:rsid w:val="00026695"/>
    <w:rsid w:val="000268C9"/>
    <w:rsid w:val="0002698C"/>
    <w:rsid w:val="00026CEB"/>
    <w:rsid w:val="000275CB"/>
    <w:rsid w:val="00027B57"/>
    <w:rsid w:val="00027C8F"/>
    <w:rsid w:val="00030FB3"/>
    <w:rsid w:val="00031724"/>
    <w:rsid w:val="00031747"/>
    <w:rsid w:val="00031767"/>
    <w:rsid w:val="000319BA"/>
    <w:rsid w:val="00031B12"/>
    <w:rsid w:val="00031BD1"/>
    <w:rsid w:val="000321FC"/>
    <w:rsid w:val="000324CB"/>
    <w:rsid w:val="00032E7A"/>
    <w:rsid w:val="00033B2D"/>
    <w:rsid w:val="00033B3A"/>
    <w:rsid w:val="00033C50"/>
    <w:rsid w:val="00033EC3"/>
    <w:rsid w:val="00033F1C"/>
    <w:rsid w:val="00035342"/>
    <w:rsid w:val="000358C1"/>
    <w:rsid w:val="00035BC2"/>
    <w:rsid w:val="00035C13"/>
    <w:rsid w:val="00035DE0"/>
    <w:rsid w:val="00035EC0"/>
    <w:rsid w:val="000367C6"/>
    <w:rsid w:val="00036A5B"/>
    <w:rsid w:val="00036CC7"/>
    <w:rsid w:val="00036E7D"/>
    <w:rsid w:val="00036F88"/>
    <w:rsid w:val="000370D3"/>
    <w:rsid w:val="000373F5"/>
    <w:rsid w:val="000375CE"/>
    <w:rsid w:val="000377CD"/>
    <w:rsid w:val="00037BC8"/>
    <w:rsid w:val="00037C62"/>
    <w:rsid w:val="00037F7F"/>
    <w:rsid w:val="00040193"/>
    <w:rsid w:val="000401FC"/>
    <w:rsid w:val="000407BA"/>
    <w:rsid w:val="00040903"/>
    <w:rsid w:val="00040ADB"/>
    <w:rsid w:val="00040BFB"/>
    <w:rsid w:val="00040E44"/>
    <w:rsid w:val="00040EEA"/>
    <w:rsid w:val="000413C7"/>
    <w:rsid w:val="000422E8"/>
    <w:rsid w:val="000429E8"/>
    <w:rsid w:val="00042AC0"/>
    <w:rsid w:val="00042F08"/>
    <w:rsid w:val="00042F2E"/>
    <w:rsid w:val="0004307F"/>
    <w:rsid w:val="000436FE"/>
    <w:rsid w:val="000437BC"/>
    <w:rsid w:val="000437DC"/>
    <w:rsid w:val="00043A02"/>
    <w:rsid w:val="00043D2A"/>
    <w:rsid w:val="00044122"/>
    <w:rsid w:val="0004420D"/>
    <w:rsid w:val="00044C2A"/>
    <w:rsid w:val="0004501B"/>
    <w:rsid w:val="0004558C"/>
    <w:rsid w:val="000455EC"/>
    <w:rsid w:val="00045B2D"/>
    <w:rsid w:val="000466DF"/>
    <w:rsid w:val="00046A85"/>
    <w:rsid w:val="00046EB0"/>
    <w:rsid w:val="00047159"/>
    <w:rsid w:val="000473DC"/>
    <w:rsid w:val="00047658"/>
    <w:rsid w:val="00050592"/>
    <w:rsid w:val="0005095D"/>
    <w:rsid w:val="00050A4C"/>
    <w:rsid w:val="000510B7"/>
    <w:rsid w:val="00051134"/>
    <w:rsid w:val="00051308"/>
    <w:rsid w:val="0005244C"/>
    <w:rsid w:val="0005254A"/>
    <w:rsid w:val="000528FA"/>
    <w:rsid w:val="00053163"/>
    <w:rsid w:val="00053C9D"/>
    <w:rsid w:val="00053FC0"/>
    <w:rsid w:val="00054BAF"/>
    <w:rsid w:val="00054BE2"/>
    <w:rsid w:val="00055CE3"/>
    <w:rsid w:val="00055F45"/>
    <w:rsid w:val="000565E2"/>
    <w:rsid w:val="00056ACF"/>
    <w:rsid w:val="00057000"/>
    <w:rsid w:val="000574CC"/>
    <w:rsid w:val="00057A9B"/>
    <w:rsid w:val="00060F59"/>
    <w:rsid w:val="00061045"/>
    <w:rsid w:val="00061083"/>
    <w:rsid w:val="00061494"/>
    <w:rsid w:val="000616ED"/>
    <w:rsid w:val="000621DC"/>
    <w:rsid w:val="000626F7"/>
    <w:rsid w:val="00062B74"/>
    <w:rsid w:val="00062DA5"/>
    <w:rsid w:val="00063AD4"/>
    <w:rsid w:val="00064281"/>
    <w:rsid w:val="000642B0"/>
    <w:rsid w:val="00064D97"/>
    <w:rsid w:val="0006554F"/>
    <w:rsid w:val="000658BE"/>
    <w:rsid w:val="00065C0E"/>
    <w:rsid w:val="0006602D"/>
    <w:rsid w:val="00066420"/>
    <w:rsid w:val="00066509"/>
    <w:rsid w:val="00067004"/>
    <w:rsid w:val="000676C3"/>
    <w:rsid w:val="0006784D"/>
    <w:rsid w:val="00070D59"/>
    <w:rsid w:val="00070EAE"/>
    <w:rsid w:val="0007168E"/>
    <w:rsid w:val="00071960"/>
    <w:rsid w:val="00071AFC"/>
    <w:rsid w:val="00072768"/>
    <w:rsid w:val="00072C47"/>
    <w:rsid w:val="00072D24"/>
    <w:rsid w:val="00073377"/>
    <w:rsid w:val="000738AE"/>
    <w:rsid w:val="000738C4"/>
    <w:rsid w:val="00073F5A"/>
    <w:rsid w:val="000741C8"/>
    <w:rsid w:val="00074750"/>
    <w:rsid w:val="00074A34"/>
    <w:rsid w:val="00074B4E"/>
    <w:rsid w:val="000751A1"/>
    <w:rsid w:val="00075595"/>
    <w:rsid w:val="000758E8"/>
    <w:rsid w:val="00076046"/>
    <w:rsid w:val="00076111"/>
    <w:rsid w:val="000764BA"/>
    <w:rsid w:val="000768BD"/>
    <w:rsid w:val="00076A8B"/>
    <w:rsid w:val="00076F64"/>
    <w:rsid w:val="000770B6"/>
    <w:rsid w:val="00077541"/>
    <w:rsid w:val="0008087C"/>
    <w:rsid w:val="000815F8"/>
    <w:rsid w:val="000817BF"/>
    <w:rsid w:val="00081BA5"/>
    <w:rsid w:val="000820A2"/>
    <w:rsid w:val="00082153"/>
    <w:rsid w:val="000822EB"/>
    <w:rsid w:val="00082715"/>
    <w:rsid w:val="000829FD"/>
    <w:rsid w:val="00082A2D"/>
    <w:rsid w:val="00082BFB"/>
    <w:rsid w:val="00082DC8"/>
    <w:rsid w:val="00082E92"/>
    <w:rsid w:val="000834D0"/>
    <w:rsid w:val="00083AE1"/>
    <w:rsid w:val="000840B9"/>
    <w:rsid w:val="00084420"/>
    <w:rsid w:val="000847F9"/>
    <w:rsid w:val="00084A2C"/>
    <w:rsid w:val="00085086"/>
    <w:rsid w:val="000851BA"/>
    <w:rsid w:val="0008531A"/>
    <w:rsid w:val="000853EC"/>
    <w:rsid w:val="00085923"/>
    <w:rsid w:val="00085943"/>
    <w:rsid w:val="00085CD8"/>
    <w:rsid w:val="00085FB0"/>
    <w:rsid w:val="0008619B"/>
    <w:rsid w:val="0008681E"/>
    <w:rsid w:val="00090922"/>
    <w:rsid w:val="00090D27"/>
    <w:rsid w:val="00091259"/>
    <w:rsid w:val="00091C87"/>
    <w:rsid w:val="00091E78"/>
    <w:rsid w:val="00092194"/>
    <w:rsid w:val="00093B49"/>
    <w:rsid w:val="00093D04"/>
    <w:rsid w:val="00093E61"/>
    <w:rsid w:val="00094057"/>
    <w:rsid w:val="0009448E"/>
    <w:rsid w:val="000945BA"/>
    <w:rsid w:val="00094725"/>
    <w:rsid w:val="0009515A"/>
    <w:rsid w:val="0009518F"/>
    <w:rsid w:val="000951C3"/>
    <w:rsid w:val="00095225"/>
    <w:rsid w:val="0009560E"/>
    <w:rsid w:val="00095947"/>
    <w:rsid w:val="000964DF"/>
    <w:rsid w:val="0009653A"/>
    <w:rsid w:val="000966CC"/>
    <w:rsid w:val="00096BD7"/>
    <w:rsid w:val="00096DF1"/>
    <w:rsid w:val="00097068"/>
    <w:rsid w:val="000972A4"/>
    <w:rsid w:val="00097600"/>
    <w:rsid w:val="000977F5"/>
    <w:rsid w:val="000979D4"/>
    <w:rsid w:val="00097A40"/>
    <w:rsid w:val="000A02AF"/>
    <w:rsid w:val="000A0645"/>
    <w:rsid w:val="000A09A0"/>
    <w:rsid w:val="000A0FF6"/>
    <w:rsid w:val="000A126A"/>
    <w:rsid w:val="000A1B37"/>
    <w:rsid w:val="000A27A2"/>
    <w:rsid w:val="000A311A"/>
    <w:rsid w:val="000A33C3"/>
    <w:rsid w:val="000A3433"/>
    <w:rsid w:val="000A3593"/>
    <w:rsid w:val="000A3621"/>
    <w:rsid w:val="000A3E25"/>
    <w:rsid w:val="000A41F9"/>
    <w:rsid w:val="000A43E6"/>
    <w:rsid w:val="000A447F"/>
    <w:rsid w:val="000A4AA2"/>
    <w:rsid w:val="000A50AC"/>
    <w:rsid w:val="000A5AE9"/>
    <w:rsid w:val="000A666C"/>
    <w:rsid w:val="000A69CE"/>
    <w:rsid w:val="000A72FA"/>
    <w:rsid w:val="000A7709"/>
    <w:rsid w:val="000A77F2"/>
    <w:rsid w:val="000A7946"/>
    <w:rsid w:val="000A7F4D"/>
    <w:rsid w:val="000B0202"/>
    <w:rsid w:val="000B0936"/>
    <w:rsid w:val="000B0E4A"/>
    <w:rsid w:val="000B1160"/>
    <w:rsid w:val="000B1AD4"/>
    <w:rsid w:val="000B22EF"/>
    <w:rsid w:val="000B2A36"/>
    <w:rsid w:val="000B2D33"/>
    <w:rsid w:val="000B2FCE"/>
    <w:rsid w:val="000B33F6"/>
    <w:rsid w:val="000B367E"/>
    <w:rsid w:val="000B42F5"/>
    <w:rsid w:val="000B491B"/>
    <w:rsid w:val="000B4C41"/>
    <w:rsid w:val="000B5BD0"/>
    <w:rsid w:val="000B5CF8"/>
    <w:rsid w:val="000B66F8"/>
    <w:rsid w:val="000C04C8"/>
    <w:rsid w:val="000C0B79"/>
    <w:rsid w:val="000C1372"/>
    <w:rsid w:val="000C1682"/>
    <w:rsid w:val="000C1F0D"/>
    <w:rsid w:val="000C21CA"/>
    <w:rsid w:val="000C2256"/>
    <w:rsid w:val="000C2B27"/>
    <w:rsid w:val="000C2E24"/>
    <w:rsid w:val="000C2F35"/>
    <w:rsid w:val="000C3CDD"/>
    <w:rsid w:val="000C3E78"/>
    <w:rsid w:val="000C4035"/>
    <w:rsid w:val="000C464E"/>
    <w:rsid w:val="000C4B3E"/>
    <w:rsid w:val="000C52A6"/>
    <w:rsid w:val="000C56BC"/>
    <w:rsid w:val="000C56F9"/>
    <w:rsid w:val="000C572D"/>
    <w:rsid w:val="000C5754"/>
    <w:rsid w:val="000C6228"/>
    <w:rsid w:val="000C663A"/>
    <w:rsid w:val="000C693D"/>
    <w:rsid w:val="000C69CA"/>
    <w:rsid w:val="000C6CCC"/>
    <w:rsid w:val="000C7299"/>
    <w:rsid w:val="000C7518"/>
    <w:rsid w:val="000D0680"/>
    <w:rsid w:val="000D0791"/>
    <w:rsid w:val="000D12F4"/>
    <w:rsid w:val="000D19B1"/>
    <w:rsid w:val="000D1AAC"/>
    <w:rsid w:val="000D1DBE"/>
    <w:rsid w:val="000D1E2F"/>
    <w:rsid w:val="000D233F"/>
    <w:rsid w:val="000D23E8"/>
    <w:rsid w:val="000D252B"/>
    <w:rsid w:val="000D2738"/>
    <w:rsid w:val="000D2A9B"/>
    <w:rsid w:val="000D2D46"/>
    <w:rsid w:val="000D3547"/>
    <w:rsid w:val="000D3991"/>
    <w:rsid w:val="000D3E55"/>
    <w:rsid w:val="000D424B"/>
    <w:rsid w:val="000D4529"/>
    <w:rsid w:val="000D48D6"/>
    <w:rsid w:val="000D4B82"/>
    <w:rsid w:val="000D4E49"/>
    <w:rsid w:val="000D5372"/>
    <w:rsid w:val="000D56F1"/>
    <w:rsid w:val="000D610A"/>
    <w:rsid w:val="000D61F9"/>
    <w:rsid w:val="000D62A1"/>
    <w:rsid w:val="000D63D4"/>
    <w:rsid w:val="000D65F7"/>
    <w:rsid w:val="000D6794"/>
    <w:rsid w:val="000D693E"/>
    <w:rsid w:val="000D73DB"/>
    <w:rsid w:val="000D7C8B"/>
    <w:rsid w:val="000D7D1F"/>
    <w:rsid w:val="000D7DA3"/>
    <w:rsid w:val="000E08E9"/>
    <w:rsid w:val="000E20B2"/>
    <w:rsid w:val="000E2276"/>
    <w:rsid w:val="000E24AC"/>
    <w:rsid w:val="000E2EED"/>
    <w:rsid w:val="000E2EFE"/>
    <w:rsid w:val="000E3188"/>
    <w:rsid w:val="000E3254"/>
    <w:rsid w:val="000E3493"/>
    <w:rsid w:val="000E3B57"/>
    <w:rsid w:val="000E3ED7"/>
    <w:rsid w:val="000E3F2F"/>
    <w:rsid w:val="000E4092"/>
    <w:rsid w:val="000E4334"/>
    <w:rsid w:val="000E4448"/>
    <w:rsid w:val="000E47BC"/>
    <w:rsid w:val="000E47E3"/>
    <w:rsid w:val="000E48E3"/>
    <w:rsid w:val="000E51CB"/>
    <w:rsid w:val="000E52BE"/>
    <w:rsid w:val="000E5CD4"/>
    <w:rsid w:val="000E628F"/>
    <w:rsid w:val="000E631C"/>
    <w:rsid w:val="000E657D"/>
    <w:rsid w:val="000E7139"/>
    <w:rsid w:val="000E71C2"/>
    <w:rsid w:val="000E7449"/>
    <w:rsid w:val="000E78A5"/>
    <w:rsid w:val="000F0124"/>
    <w:rsid w:val="000F01E7"/>
    <w:rsid w:val="000F01F8"/>
    <w:rsid w:val="000F035D"/>
    <w:rsid w:val="000F0464"/>
    <w:rsid w:val="000F09FD"/>
    <w:rsid w:val="000F0CE0"/>
    <w:rsid w:val="000F0D5D"/>
    <w:rsid w:val="000F10FA"/>
    <w:rsid w:val="000F15CC"/>
    <w:rsid w:val="000F167A"/>
    <w:rsid w:val="000F1C20"/>
    <w:rsid w:val="000F1CBC"/>
    <w:rsid w:val="000F1CFA"/>
    <w:rsid w:val="000F21DE"/>
    <w:rsid w:val="000F3A4A"/>
    <w:rsid w:val="000F3D01"/>
    <w:rsid w:val="000F3E6C"/>
    <w:rsid w:val="000F4812"/>
    <w:rsid w:val="000F4836"/>
    <w:rsid w:val="000F488D"/>
    <w:rsid w:val="000F4A79"/>
    <w:rsid w:val="000F51E6"/>
    <w:rsid w:val="000F54E3"/>
    <w:rsid w:val="000F5874"/>
    <w:rsid w:val="000F5B64"/>
    <w:rsid w:val="000F697F"/>
    <w:rsid w:val="000F6F11"/>
    <w:rsid w:val="000F7069"/>
    <w:rsid w:val="000F7799"/>
    <w:rsid w:val="000F7834"/>
    <w:rsid w:val="000F7A99"/>
    <w:rsid w:val="001000AC"/>
    <w:rsid w:val="00100954"/>
    <w:rsid w:val="00100DCB"/>
    <w:rsid w:val="00101119"/>
    <w:rsid w:val="001019F5"/>
    <w:rsid w:val="00101D01"/>
    <w:rsid w:val="00101D0F"/>
    <w:rsid w:val="00102B8F"/>
    <w:rsid w:val="00102EF6"/>
    <w:rsid w:val="001035D8"/>
    <w:rsid w:val="00104172"/>
    <w:rsid w:val="001043AD"/>
    <w:rsid w:val="001044CB"/>
    <w:rsid w:val="00104730"/>
    <w:rsid w:val="00104E6A"/>
    <w:rsid w:val="00104FAD"/>
    <w:rsid w:val="001053E7"/>
    <w:rsid w:val="00105D03"/>
    <w:rsid w:val="001061D8"/>
    <w:rsid w:val="001068B4"/>
    <w:rsid w:val="001069DB"/>
    <w:rsid w:val="00106A1E"/>
    <w:rsid w:val="00106A85"/>
    <w:rsid w:val="00107208"/>
    <w:rsid w:val="001077F6"/>
    <w:rsid w:val="001078AD"/>
    <w:rsid w:val="001079DA"/>
    <w:rsid w:val="00107C26"/>
    <w:rsid w:val="00107FFA"/>
    <w:rsid w:val="00110F1D"/>
    <w:rsid w:val="00111587"/>
    <w:rsid w:val="001115E4"/>
    <w:rsid w:val="00111823"/>
    <w:rsid w:val="00112299"/>
    <w:rsid w:val="00112D2C"/>
    <w:rsid w:val="00113205"/>
    <w:rsid w:val="00113367"/>
    <w:rsid w:val="00113971"/>
    <w:rsid w:val="0011397C"/>
    <w:rsid w:val="00113C84"/>
    <w:rsid w:val="001142B5"/>
    <w:rsid w:val="001149CD"/>
    <w:rsid w:val="00114F54"/>
    <w:rsid w:val="00115499"/>
    <w:rsid w:val="001156B7"/>
    <w:rsid w:val="001156C5"/>
    <w:rsid w:val="00117151"/>
    <w:rsid w:val="00117154"/>
    <w:rsid w:val="001171A1"/>
    <w:rsid w:val="001173A5"/>
    <w:rsid w:val="001178D4"/>
    <w:rsid w:val="00117F08"/>
    <w:rsid w:val="00120436"/>
    <w:rsid w:val="001205F5"/>
    <w:rsid w:val="00120E17"/>
    <w:rsid w:val="00121094"/>
    <w:rsid w:val="001212F4"/>
    <w:rsid w:val="00121931"/>
    <w:rsid w:val="00121CD3"/>
    <w:rsid w:val="001225B5"/>
    <w:rsid w:val="001229A2"/>
    <w:rsid w:val="00122A50"/>
    <w:rsid w:val="00123295"/>
    <w:rsid w:val="00123404"/>
    <w:rsid w:val="0012343E"/>
    <w:rsid w:val="001242D1"/>
    <w:rsid w:val="0012432A"/>
    <w:rsid w:val="0012459A"/>
    <w:rsid w:val="00124FB2"/>
    <w:rsid w:val="0012504D"/>
    <w:rsid w:val="0012566C"/>
    <w:rsid w:val="00125AED"/>
    <w:rsid w:val="00125E6B"/>
    <w:rsid w:val="00126011"/>
    <w:rsid w:val="001264F8"/>
    <w:rsid w:val="0012662C"/>
    <w:rsid w:val="001267CF"/>
    <w:rsid w:val="00126902"/>
    <w:rsid w:val="0012692D"/>
    <w:rsid w:val="00126CA9"/>
    <w:rsid w:val="00126E5C"/>
    <w:rsid w:val="001277F0"/>
    <w:rsid w:val="00127D10"/>
    <w:rsid w:val="00130002"/>
    <w:rsid w:val="00130B78"/>
    <w:rsid w:val="00130C48"/>
    <w:rsid w:val="00130C69"/>
    <w:rsid w:val="00130D78"/>
    <w:rsid w:val="00130E4E"/>
    <w:rsid w:val="00130F7A"/>
    <w:rsid w:val="001310B3"/>
    <w:rsid w:val="00131C06"/>
    <w:rsid w:val="00131D4D"/>
    <w:rsid w:val="001324FB"/>
    <w:rsid w:val="0013266A"/>
    <w:rsid w:val="00132921"/>
    <w:rsid w:val="0013295C"/>
    <w:rsid w:val="00132C55"/>
    <w:rsid w:val="00132DF0"/>
    <w:rsid w:val="00132E7C"/>
    <w:rsid w:val="00133759"/>
    <w:rsid w:val="0013451B"/>
    <w:rsid w:val="00134C2A"/>
    <w:rsid w:val="00134F3E"/>
    <w:rsid w:val="00135A9C"/>
    <w:rsid w:val="00135ACC"/>
    <w:rsid w:val="00135BF8"/>
    <w:rsid w:val="001361C4"/>
    <w:rsid w:val="00136281"/>
    <w:rsid w:val="00136399"/>
    <w:rsid w:val="00137467"/>
    <w:rsid w:val="001375DB"/>
    <w:rsid w:val="001375FF"/>
    <w:rsid w:val="001379C8"/>
    <w:rsid w:val="00137C30"/>
    <w:rsid w:val="00140265"/>
    <w:rsid w:val="00140715"/>
    <w:rsid w:val="00140BB8"/>
    <w:rsid w:val="00141280"/>
    <w:rsid w:val="001413B9"/>
    <w:rsid w:val="001414A0"/>
    <w:rsid w:val="00141DBC"/>
    <w:rsid w:val="00141E29"/>
    <w:rsid w:val="00141FFB"/>
    <w:rsid w:val="0014222C"/>
    <w:rsid w:val="00142655"/>
    <w:rsid w:val="00142B0C"/>
    <w:rsid w:val="00142E52"/>
    <w:rsid w:val="0014309F"/>
    <w:rsid w:val="00143C71"/>
    <w:rsid w:val="0014412A"/>
    <w:rsid w:val="00144275"/>
    <w:rsid w:val="0014428C"/>
    <w:rsid w:val="00144B2A"/>
    <w:rsid w:val="00145193"/>
    <w:rsid w:val="00145BF8"/>
    <w:rsid w:val="00146078"/>
    <w:rsid w:val="00146493"/>
    <w:rsid w:val="00146508"/>
    <w:rsid w:val="001465C0"/>
    <w:rsid w:val="00146701"/>
    <w:rsid w:val="001467D4"/>
    <w:rsid w:val="00146969"/>
    <w:rsid w:val="00146FE7"/>
    <w:rsid w:val="00147BB6"/>
    <w:rsid w:val="00147F79"/>
    <w:rsid w:val="0015031E"/>
    <w:rsid w:val="00150AE2"/>
    <w:rsid w:val="001513E7"/>
    <w:rsid w:val="001519FD"/>
    <w:rsid w:val="00151DCA"/>
    <w:rsid w:val="0015213E"/>
    <w:rsid w:val="00152B64"/>
    <w:rsid w:val="00152CFF"/>
    <w:rsid w:val="00153365"/>
    <w:rsid w:val="00153DAA"/>
    <w:rsid w:val="00154048"/>
    <w:rsid w:val="001542FB"/>
    <w:rsid w:val="0015447D"/>
    <w:rsid w:val="0015464F"/>
    <w:rsid w:val="00154809"/>
    <w:rsid w:val="00154DE7"/>
    <w:rsid w:val="00154EB9"/>
    <w:rsid w:val="001557E8"/>
    <w:rsid w:val="00155831"/>
    <w:rsid w:val="001564E6"/>
    <w:rsid w:val="001566E5"/>
    <w:rsid w:val="00156F25"/>
    <w:rsid w:val="00160ABE"/>
    <w:rsid w:val="00160C85"/>
    <w:rsid w:val="00160CED"/>
    <w:rsid w:val="00160E7D"/>
    <w:rsid w:val="001610E9"/>
    <w:rsid w:val="00161679"/>
    <w:rsid w:val="00161BF4"/>
    <w:rsid w:val="00161F8C"/>
    <w:rsid w:val="00162323"/>
    <w:rsid w:val="0016288C"/>
    <w:rsid w:val="00162A24"/>
    <w:rsid w:val="00162F10"/>
    <w:rsid w:val="00163126"/>
    <w:rsid w:val="00163138"/>
    <w:rsid w:val="00163229"/>
    <w:rsid w:val="001635D3"/>
    <w:rsid w:val="001639B1"/>
    <w:rsid w:val="00163B8E"/>
    <w:rsid w:val="001644E3"/>
    <w:rsid w:val="0016457E"/>
    <w:rsid w:val="001647EA"/>
    <w:rsid w:val="001650AB"/>
    <w:rsid w:val="001651FE"/>
    <w:rsid w:val="00165589"/>
    <w:rsid w:val="0016584E"/>
    <w:rsid w:val="00165CDB"/>
    <w:rsid w:val="00165F80"/>
    <w:rsid w:val="00166232"/>
    <w:rsid w:val="0016670E"/>
    <w:rsid w:val="00166B1C"/>
    <w:rsid w:val="00166D2E"/>
    <w:rsid w:val="00166DB8"/>
    <w:rsid w:val="00167E5D"/>
    <w:rsid w:val="00167FFC"/>
    <w:rsid w:val="00170177"/>
    <w:rsid w:val="0017085C"/>
    <w:rsid w:val="00170AAA"/>
    <w:rsid w:val="00170C16"/>
    <w:rsid w:val="00171113"/>
    <w:rsid w:val="00171121"/>
    <w:rsid w:val="001713D3"/>
    <w:rsid w:val="0017178D"/>
    <w:rsid w:val="00171DD3"/>
    <w:rsid w:val="00171FA3"/>
    <w:rsid w:val="001721C3"/>
    <w:rsid w:val="00172676"/>
    <w:rsid w:val="00172C86"/>
    <w:rsid w:val="00172DF1"/>
    <w:rsid w:val="00173176"/>
    <w:rsid w:val="001732C4"/>
    <w:rsid w:val="0017331A"/>
    <w:rsid w:val="001733B3"/>
    <w:rsid w:val="001739BF"/>
    <w:rsid w:val="001741A2"/>
    <w:rsid w:val="00174364"/>
    <w:rsid w:val="00174604"/>
    <w:rsid w:val="0017516C"/>
    <w:rsid w:val="00175579"/>
    <w:rsid w:val="0017608F"/>
    <w:rsid w:val="001762EB"/>
    <w:rsid w:val="001765F5"/>
    <w:rsid w:val="001769AE"/>
    <w:rsid w:val="00176D4E"/>
    <w:rsid w:val="00177005"/>
    <w:rsid w:val="00177376"/>
    <w:rsid w:val="001776EF"/>
    <w:rsid w:val="00177A12"/>
    <w:rsid w:val="00177EE8"/>
    <w:rsid w:val="00177F97"/>
    <w:rsid w:val="001802FB"/>
    <w:rsid w:val="0018031C"/>
    <w:rsid w:val="00180981"/>
    <w:rsid w:val="0018098C"/>
    <w:rsid w:val="00180A0D"/>
    <w:rsid w:val="00181302"/>
    <w:rsid w:val="00181B44"/>
    <w:rsid w:val="001825E1"/>
    <w:rsid w:val="00182AB0"/>
    <w:rsid w:val="00183775"/>
    <w:rsid w:val="00183CE4"/>
    <w:rsid w:val="00184234"/>
    <w:rsid w:val="0018458E"/>
    <w:rsid w:val="00185424"/>
    <w:rsid w:val="00185678"/>
    <w:rsid w:val="00185896"/>
    <w:rsid w:val="00185AEF"/>
    <w:rsid w:val="00185B82"/>
    <w:rsid w:val="00186500"/>
    <w:rsid w:val="001866D9"/>
    <w:rsid w:val="001867D6"/>
    <w:rsid w:val="00186B71"/>
    <w:rsid w:val="00186E80"/>
    <w:rsid w:val="001873DB"/>
    <w:rsid w:val="00187D81"/>
    <w:rsid w:val="001902B5"/>
    <w:rsid w:val="00190301"/>
    <w:rsid w:val="001907ED"/>
    <w:rsid w:val="00190A07"/>
    <w:rsid w:val="001911F7"/>
    <w:rsid w:val="0019296F"/>
    <w:rsid w:val="0019346E"/>
    <w:rsid w:val="001939C2"/>
    <w:rsid w:val="00193B12"/>
    <w:rsid w:val="001941BF"/>
    <w:rsid w:val="00194E95"/>
    <w:rsid w:val="00194E9F"/>
    <w:rsid w:val="00194EF4"/>
    <w:rsid w:val="00194EF9"/>
    <w:rsid w:val="00194FB2"/>
    <w:rsid w:val="00195209"/>
    <w:rsid w:val="00195261"/>
    <w:rsid w:val="00195476"/>
    <w:rsid w:val="00195994"/>
    <w:rsid w:val="00195EE5"/>
    <w:rsid w:val="0019624B"/>
    <w:rsid w:val="001963EF"/>
    <w:rsid w:val="0019646C"/>
    <w:rsid w:val="001968AA"/>
    <w:rsid w:val="00196C9C"/>
    <w:rsid w:val="00196D9E"/>
    <w:rsid w:val="001973D2"/>
    <w:rsid w:val="001976E8"/>
    <w:rsid w:val="00197731"/>
    <w:rsid w:val="001979F1"/>
    <w:rsid w:val="001A0001"/>
    <w:rsid w:val="001A0F3C"/>
    <w:rsid w:val="001A120D"/>
    <w:rsid w:val="001A12B0"/>
    <w:rsid w:val="001A135B"/>
    <w:rsid w:val="001A1494"/>
    <w:rsid w:val="001A1C0B"/>
    <w:rsid w:val="001A1E0A"/>
    <w:rsid w:val="001A2585"/>
    <w:rsid w:val="001A2AA4"/>
    <w:rsid w:val="001A3181"/>
    <w:rsid w:val="001A33C2"/>
    <w:rsid w:val="001A33EA"/>
    <w:rsid w:val="001A38E6"/>
    <w:rsid w:val="001A3FA2"/>
    <w:rsid w:val="001A3FE8"/>
    <w:rsid w:val="001A4016"/>
    <w:rsid w:val="001A4268"/>
    <w:rsid w:val="001A45E1"/>
    <w:rsid w:val="001A4D06"/>
    <w:rsid w:val="001A5866"/>
    <w:rsid w:val="001A63E3"/>
    <w:rsid w:val="001A647B"/>
    <w:rsid w:val="001A72F9"/>
    <w:rsid w:val="001B04B4"/>
    <w:rsid w:val="001B09C3"/>
    <w:rsid w:val="001B0A60"/>
    <w:rsid w:val="001B0E3E"/>
    <w:rsid w:val="001B0F35"/>
    <w:rsid w:val="001B13CE"/>
    <w:rsid w:val="001B16EF"/>
    <w:rsid w:val="001B19E6"/>
    <w:rsid w:val="001B1F6E"/>
    <w:rsid w:val="001B2519"/>
    <w:rsid w:val="001B2853"/>
    <w:rsid w:val="001B291B"/>
    <w:rsid w:val="001B2A0F"/>
    <w:rsid w:val="001B2A54"/>
    <w:rsid w:val="001B2E31"/>
    <w:rsid w:val="001B3057"/>
    <w:rsid w:val="001B32DF"/>
    <w:rsid w:val="001B3690"/>
    <w:rsid w:val="001B374B"/>
    <w:rsid w:val="001B399D"/>
    <w:rsid w:val="001B4332"/>
    <w:rsid w:val="001B48F7"/>
    <w:rsid w:val="001B582C"/>
    <w:rsid w:val="001B5BE3"/>
    <w:rsid w:val="001B5DB1"/>
    <w:rsid w:val="001B64B2"/>
    <w:rsid w:val="001B65E9"/>
    <w:rsid w:val="001B694B"/>
    <w:rsid w:val="001B6DE4"/>
    <w:rsid w:val="001B7180"/>
    <w:rsid w:val="001B72E9"/>
    <w:rsid w:val="001B7308"/>
    <w:rsid w:val="001B7338"/>
    <w:rsid w:val="001B749B"/>
    <w:rsid w:val="001B7723"/>
    <w:rsid w:val="001B780E"/>
    <w:rsid w:val="001B7EB2"/>
    <w:rsid w:val="001C0737"/>
    <w:rsid w:val="001C1148"/>
    <w:rsid w:val="001C114C"/>
    <w:rsid w:val="001C1155"/>
    <w:rsid w:val="001C14E9"/>
    <w:rsid w:val="001C169D"/>
    <w:rsid w:val="001C1A8B"/>
    <w:rsid w:val="001C1AB8"/>
    <w:rsid w:val="001C1CAC"/>
    <w:rsid w:val="001C1DAA"/>
    <w:rsid w:val="001C234B"/>
    <w:rsid w:val="001C29FA"/>
    <w:rsid w:val="001C2EEB"/>
    <w:rsid w:val="001C3715"/>
    <w:rsid w:val="001C3C54"/>
    <w:rsid w:val="001C3ED7"/>
    <w:rsid w:val="001C42A2"/>
    <w:rsid w:val="001C491C"/>
    <w:rsid w:val="001C5057"/>
    <w:rsid w:val="001C50B9"/>
    <w:rsid w:val="001C5617"/>
    <w:rsid w:val="001C5655"/>
    <w:rsid w:val="001C575E"/>
    <w:rsid w:val="001C59CD"/>
    <w:rsid w:val="001C5E14"/>
    <w:rsid w:val="001C5FFE"/>
    <w:rsid w:val="001C667B"/>
    <w:rsid w:val="001C6A13"/>
    <w:rsid w:val="001C76C4"/>
    <w:rsid w:val="001C777A"/>
    <w:rsid w:val="001C7B96"/>
    <w:rsid w:val="001D044B"/>
    <w:rsid w:val="001D064C"/>
    <w:rsid w:val="001D08A3"/>
    <w:rsid w:val="001D0B63"/>
    <w:rsid w:val="001D0B85"/>
    <w:rsid w:val="001D0ED4"/>
    <w:rsid w:val="001D10ED"/>
    <w:rsid w:val="001D110C"/>
    <w:rsid w:val="001D1858"/>
    <w:rsid w:val="001D23E9"/>
    <w:rsid w:val="001D2512"/>
    <w:rsid w:val="001D2537"/>
    <w:rsid w:val="001D2A21"/>
    <w:rsid w:val="001D2EC2"/>
    <w:rsid w:val="001D3B2E"/>
    <w:rsid w:val="001D3B4A"/>
    <w:rsid w:val="001D40DC"/>
    <w:rsid w:val="001D4620"/>
    <w:rsid w:val="001D48AE"/>
    <w:rsid w:val="001D57A1"/>
    <w:rsid w:val="001D5973"/>
    <w:rsid w:val="001D5DCF"/>
    <w:rsid w:val="001D62BE"/>
    <w:rsid w:val="001D676A"/>
    <w:rsid w:val="001D6B70"/>
    <w:rsid w:val="001D6BA8"/>
    <w:rsid w:val="001D6C6B"/>
    <w:rsid w:val="001D6E93"/>
    <w:rsid w:val="001D6F29"/>
    <w:rsid w:val="001E03A8"/>
    <w:rsid w:val="001E03B4"/>
    <w:rsid w:val="001E0651"/>
    <w:rsid w:val="001E0946"/>
    <w:rsid w:val="001E0CFC"/>
    <w:rsid w:val="001E1051"/>
    <w:rsid w:val="001E1502"/>
    <w:rsid w:val="001E1573"/>
    <w:rsid w:val="001E15F7"/>
    <w:rsid w:val="001E18C2"/>
    <w:rsid w:val="001E1DFF"/>
    <w:rsid w:val="001E20E3"/>
    <w:rsid w:val="001E232A"/>
    <w:rsid w:val="001E2544"/>
    <w:rsid w:val="001E25BE"/>
    <w:rsid w:val="001E29E9"/>
    <w:rsid w:val="001E2C8B"/>
    <w:rsid w:val="001E2FD6"/>
    <w:rsid w:val="001E30DF"/>
    <w:rsid w:val="001E3382"/>
    <w:rsid w:val="001E3B11"/>
    <w:rsid w:val="001E3B98"/>
    <w:rsid w:val="001E3EDC"/>
    <w:rsid w:val="001E4193"/>
    <w:rsid w:val="001E4682"/>
    <w:rsid w:val="001E4D19"/>
    <w:rsid w:val="001E5588"/>
    <w:rsid w:val="001E57B1"/>
    <w:rsid w:val="001E5C8F"/>
    <w:rsid w:val="001E5D00"/>
    <w:rsid w:val="001E5E63"/>
    <w:rsid w:val="001E6583"/>
    <w:rsid w:val="001E666B"/>
    <w:rsid w:val="001E6731"/>
    <w:rsid w:val="001E6CD2"/>
    <w:rsid w:val="001E6DCB"/>
    <w:rsid w:val="001E6E4C"/>
    <w:rsid w:val="001E6F0D"/>
    <w:rsid w:val="001E7FF0"/>
    <w:rsid w:val="001F0632"/>
    <w:rsid w:val="001F16BF"/>
    <w:rsid w:val="001F18E0"/>
    <w:rsid w:val="001F2983"/>
    <w:rsid w:val="001F2ADB"/>
    <w:rsid w:val="001F2D6D"/>
    <w:rsid w:val="001F2F98"/>
    <w:rsid w:val="001F3279"/>
    <w:rsid w:val="001F3282"/>
    <w:rsid w:val="001F3C50"/>
    <w:rsid w:val="001F3DBB"/>
    <w:rsid w:val="001F4042"/>
    <w:rsid w:val="001F42B6"/>
    <w:rsid w:val="001F43F8"/>
    <w:rsid w:val="001F4751"/>
    <w:rsid w:val="001F4792"/>
    <w:rsid w:val="001F5010"/>
    <w:rsid w:val="001F518D"/>
    <w:rsid w:val="001F57C2"/>
    <w:rsid w:val="001F5D64"/>
    <w:rsid w:val="001F5F95"/>
    <w:rsid w:val="001F675F"/>
    <w:rsid w:val="001F69F5"/>
    <w:rsid w:val="001F7171"/>
    <w:rsid w:val="001F730B"/>
    <w:rsid w:val="001F7F31"/>
    <w:rsid w:val="002008A8"/>
    <w:rsid w:val="00200CCC"/>
    <w:rsid w:val="002010BB"/>
    <w:rsid w:val="0020114C"/>
    <w:rsid w:val="00201351"/>
    <w:rsid w:val="00201DD3"/>
    <w:rsid w:val="00201DD7"/>
    <w:rsid w:val="002039A1"/>
    <w:rsid w:val="00204315"/>
    <w:rsid w:val="00204A0B"/>
    <w:rsid w:val="002057A0"/>
    <w:rsid w:val="00205AD2"/>
    <w:rsid w:val="00205C44"/>
    <w:rsid w:val="002065F4"/>
    <w:rsid w:val="00206E62"/>
    <w:rsid w:val="00207D3C"/>
    <w:rsid w:val="00207F08"/>
    <w:rsid w:val="002104F6"/>
    <w:rsid w:val="00210B95"/>
    <w:rsid w:val="00210F24"/>
    <w:rsid w:val="00211C94"/>
    <w:rsid w:val="002120C0"/>
    <w:rsid w:val="002121ED"/>
    <w:rsid w:val="002125AD"/>
    <w:rsid w:val="0021271B"/>
    <w:rsid w:val="00213460"/>
    <w:rsid w:val="00213908"/>
    <w:rsid w:val="002147AF"/>
    <w:rsid w:val="00215174"/>
    <w:rsid w:val="0021563F"/>
    <w:rsid w:val="00215809"/>
    <w:rsid w:val="00215955"/>
    <w:rsid w:val="00215BF0"/>
    <w:rsid w:val="002161FB"/>
    <w:rsid w:val="00216C4A"/>
    <w:rsid w:val="00216CEF"/>
    <w:rsid w:val="0021784E"/>
    <w:rsid w:val="00217BC2"/>
    <w:rsid w:val="00217F05"/>
    <w:rsid w:val="00220013"/>
    <w:rsid w:val="0022009A"/>
    <w:rsid w:val="0022047A"/>
    <w:rsid w:val="00220573"/>
    <w:rsid w:val="00220BAB"/>
    <w:rsid w:val="00221007"/>
    <w:rsid w:val="00221442"/>
    <w:rsid w:val="00221488"/>
    <w:rsid w:val="002216BD"/>
    <w:rsid w:val="00221B56"/>
    <w:rsid w:val="002220DA"/>
    <w:rsid w:val="002222FD"/>
    <w:rsid w:val="00222C1E"/>
    <w:rsid w:val="00222E1C"/>
    <w:rsid w:val="002237D8"/>
    <w:rsid w:val="00223C48"/>
    <w:rsid w:val="002245C0"/>
    <w:rsid w:val="00225923"/>
    <w:rsid w:val="00225CBD"/>
    <w:rsid w:val="002262A9"/>
    <w:rsid w:val="002264BE"/>
    <w:rsid w:val="00226B7B"/>
    <w:rsid w:val="00226D77"/>
    <w:rsid w:val="00227B65"/>
    <w:rsid w:val="00230166"/>
    <w:rsid w:val="002303A1"/>
    <w:rsid w:val="00230513"/>
    <w:rsid w:val="0023082A"/>
    <w:rsid w:val="00230E51"/>
    <w:rsid w:val="00231169"/>
    <w:rsid w:val="002312BB"/>
    <w:rsid w:val="002317D5"/>
    <w:rsid w:val="002326E1"/>
    <w:rsid w:val="0023290E"/>
    <w:rsid w:val="00232B42"/>
    <w:rsid w:val="002330B1"/>
    <w:rsid w:val="00233685"/>
    <w:rsid w:val="00233A44"/>
    <w:rsid w:val="00233A8C"/>
    <w:rsid w:val="00233A98"/>
    <w:rsid w:val="00233EF8"/>
    <w:rsid w:val="00234364"/>
    <w:rsid w:val="002349DA"/>
    <w:rsid w:val="00234BEE"/>
    <w:rsid w:val="00234FAE"/>
    <w:rsid w:val="00235D8B"/>
    <w:rsid w:val="002367F3"/>
    <w:rsid w:val="002368E2"/>
    <w:rsid w:val="00236A5B"/>
    <w:rsid w:val="002370A6"/>
    <w:rsid w:val="00237261"/>
    <w:rsid w:val="00237B03"/>
    <w:rsid w:val="00237D1D"/>
    <w:rsid w:val="00237E42"/>
    <w:rsid w:val="00240815"/>
    <w:rsid w:val="0024165F"/>
    <w:rsid w:val="00241E13"/>
    <w:rsid w:val="002429C9"/>
    <w:rsid w:val="0024347D"/>
    <w:rsid w:val="00243545"/>
    <w:rsid w:val="0024379E"/>
    <w:rsid w:val="002439BE"/>
    <w:rsid w:val="002439F7"/>
    <w:rsid w:val="002441FA"/>
    <w:rsid w:val="002445BF"/>
    <w:rsid w:val="00244734"/>
    <w:rsid w:val="00244A2F"/>
    <w:rsid w:val="00244E70"/>
    <w:rsid w:val="002453C7"/>
    <w:rsid w:val="00245437"/>
    <w:rsid w:val="00245B44"/>
    <w:rsid w:val="00245F37"/>
    <w:rsid w:val="00246514"/>
    <w:rsid w:val="002465E2"/>
    <w:rsid w:val="0024680A"/>
    <w:rsid w:val="00246FFE"/>
    <w:rsid w:val="0024787F"/>
    <w:rsid w:val="00247941"/>
    <w:rsid w:val="00247D0B"/>
    <w:rsid w:val="00250B6A"/>
    <w:rsid w:val="00251369"/>
    <w:rsid w:val="00251583"/>
    <w:rsid w:val="00251903"/>
    <w:rsid w:val="00251B78"/>
    <w:rsid w:val="00252215"/>
    <w:rsid w:val="00252456"/>
    <w:rsid w:val="0025246B"/>
    <w:rsid w:val="002528BD"/>
    <w:rsid w:val="002532E8"/>
    <w:rsid w:val="00253676"/>
    <w:rsid w:val="0025539F"/>
    <w:rsid w:val="0025550C"/>
    <w:rsid w:val="0025560C"/>
    <w:rsid w:val="0025570B"/>
    <w:rsid w:val="0025621F"/>
    <w:rsid w:val="00256D6D"/>
    <w:rsid w:val="00257003"/>
    <w:rsid w:val="0026048E"/>
    <w:rsid w:val="002604F8"/>
    <w:rsid w:val="0026051B"/>
    <w:rsid w:val="002610B6"/>
    <w:rsid w:val="00262930"/>
    <w:rsid w:val="00262C41"/>
    <w:rsid w:val="00262DDB"/>
    <w:rsid w:val="00263100"/>
    <w:rsid w:val="00263664"/>
    <w:rsid w:val="002639EE"/>
    <w:rsid w:val="00263A49"/>
    <w:rsid w:val="00263C7A"/>
    <w:rsid w:val="00264148"/>
    <w:rsid w:val="00264271"/>
    <w:rsid w:val="00264303"/>
    <w:rsid w:val="002643FB"/>
    <w:rsid w:val="0026484A"/>
    <w:rsid w:val="00264DFC"/>
    <w:rsid w:val="00266227"/>
    <w:rsid w:val="0026638E"/>
    <w:rsid w:val="00266487"/>
    <w:rsid w:val="002666FC"/>
    <w:rsid w:val="002667B7"/>
    <w:rsid w:val="00266A1B"/>
    <w:rsid w:val="00266A33"/>
    <w:rsid w:val="00266FDB"/>
    <w:rsid w:val="00267144"/>
    <w:rsid w:val="00267856"/>
    <w:rsid w:val="002679F8"/>
    <w:rsid w:val="00267A93"/>
    <w:rsid w:val="00267D99"/>
    <w:rsid w:val="002706E3"/>
    <w:rsid w:val="00270DBA"/>
    <w:rsid w:val="00270ED7"/>
    <w:rsid w:val="002713BF"/>
    <w:rsid w:val="0027144B"/>
    <w:rsid w:val="00271D10"/>
    <w:rsid w:val="00272375"/>
    <w:rsid w:val="00273310"/>
    <w:rsid w:val="0027388D"/>
    <w:rsid w:val="00273BA6"/>
    <w:rsid w:val="0027490E"/>
    <w:rsid w:val="00274A7E"/>
    <w:rsid w:val="00275320"/>
    <w:rsid w:val="0027532B"/>
    <w:rsid w:val="00275A3E"/>
    <w:rsid w:val="00275B91"/>
    <w:rsid w:val="00275D70"/>
    <w:rsid w:val="00275EE0"/>
    <w:rsid w:val="002768A6"/>
    <w:rsid w:val="002769F3"/>
    <w:rsid w:val="00277002"/>
    <w:rsid w:val="0027735C"/>
    <w:rsid w:val="00280568"/>
    <w:rsid w:val="00281314"/>
    <w:rsid w:val="00281AE2"/>
    <w:rsid w:val="00281EBF"/>
    <w:rsid w:val="0028213B"/>
    <w:rsid w:val="002821AE"/>
    <w:rsid w:val="0028238E"/>
    <w:rsid w:val="00282766"/>
    <w:rsid w:val="002827B6"/>
    <w:rsid w:val="002828DF"/>
    <w:rsid w:val="00282C7A"/>
    <w:rsid w:val="00283A67"/>
    <w:rsid w:val="00284194"/>
    <w:rsid w:val="002841B4"/>
    <w:rsid w:val="002847E7"/>
    <w:rsid w:val="00284DCE"/>
    <w:rsid w:val="002853AC"/>
    <w:rsid w:val="00285722"/>
    <w:rsid w:val="00285FF2"/>
    <w:rsid w:val="002870DB"/>
    <w:rsid w:val="002876DC"/>
    <w:rsid w:val="00287D61"/>
    <w:rsid w:val="00287DF4"/>
    <w:rsid w:val="00287FA5"/>
    <w:rsid w:val="0029060B"/>
    <w:rsid w:val="00290BE3"/>
    <w:rsid w:val="0029181E"/>
    <w:rsid w:val="00291A34"/>
    <w:rsid w:val="00291BF2"/>
    <w:rsid w:val="00292221"/>
    <w:rsid w:val="00292657"/>
    <w:rsid w:val="002927DE"/>
    <w:rsid w:val="00292FC6"/>
    <w:rsid w:val="00293861"/>
    <w:rsid w:val="00293C78"/>
    <w:rsid w:val="00293CAF"/>
    <w:rsid w:val="00293CC7"/>
    <w:rsid w:val="0029404C"/>
    <w:rsid w:val="0029475E"/>
    <w:rsid w:val="002948A5"/>
    <w:rsid w:val="00294EBF"/>
    <w:rsid w:val="0029551F"/>
    <w:rsid w:val="002955E3"/>
    <w:rsid w:val="00295DA3"/>
    <w:rsid w:val="00295ED2"/>
    <w:rsid w:val="00296DD6"/>
    <w:rsid w:val="00297061"/>
    <w:rsid w:val="002977FE"/>
    <w:rsid w:val="00297BC1"/>
    <w:rsid w:val="002A013F"/>
    <w:rsid w:val="002A0CE6"/>
    <w:rsid w:val="002A13BF"/>
    <w:rsid w:val="002A153A"/>
    <w:rsid w:val="002A1849"/>
    <w:rsid w:val="002A1957"/>
    <w:rsid w:val="002A1991"/>
    <w:rsid w:val="002A1BA9"/>
    <w:rsid w:val="002A20EE"/>
    <w:rsid w:val="002A337D"/>
    <w:rsid w:val="002A38A7"/>
    <w:rsid w:val="002A3911"/>
    <w:rsid w:val="002A3DB6"/>
    <w:rsid w:val="002A3DC2"/>
    <w:rsid w:val="002A3E6E"/>
    <w:rsid w:val="002A4F11"/>
    <w:rsid w:val="002A5042"/>
    <w:rsid w:val="002A5A08"/>
    <w:rsid w:val="002A5C24"/>
    <w:rsid w:val="002A662F"/>
    <w:rsid w:val="002A67CD"/>
    <w:rsid w:val="002A6E48"/>
    <w:rsid w:val="002A6F88"/>
    <w:rsid w:val="002A78FA"/>
    <w:rsid w:val="002A7F44"/>
    <w:rsid w:val="002B06CD"/>
    <w:rsid w:val="002B0B5F"/>
    <w:rsid w:val="002B0D76"/>
    <w:rsid w:val="002B1EF7"/>
    <w:rsid w:val="002B2347"/>
    <w:rsid w:val="002B255B"/>
    <w:rsid w:val="002B287A"/>
    <w:rsid w:val="002B29E2"/>
    <w:rsid w:val="002B2EDA"/>
    <w:rsid w:val="002B30F9"/>
    <w:rsid w:val="002B3A07"/>
    <w:rsid w:val="002B3A17"/>
    <w:rsid w:val="002B3B40"/>
    <w:rsid w:val="002B41EF"/>
    <w:rsid w:val="002B4A46"/>
    <w:rsid w:val="002B54C8"/>
    <w:rsid w:val="002B5934"/>
    <w:rsid w:val="002B6222"/>
    <w:rsid w:val="002B622A"/>
    <w:rsid w:val="002B6484"/>
    <w:rsid w:val="002B6532"/>
    <w:rsid w:val="002B663F"/>
    <w:rsid w:val="002B71B8"/>
    <w:rsid w:val="002B71CD"/>
    <w:rsid w:val="002B7295"/>
    <w:rsid w:val="002B7391"/>
    <w:rsid w:val="002C05C3"/>
    <w:rsid w:val="002C05DB"/>
    <w:rsid w:val="002C08C0"/>
    <w:rsid w:val="002C101C"/>
    <w:rsid w:val="002C1152"/>
    <w:rsid w:val="002C13DF"/>
    <w:rsid w:val="002C1485"/>
    <w:rsid w:val="002C1605"/>
    <w:rsid w:val="002C17C5"/>
    <w:rsid w:val="002C1820"/>
    <w:rsid w:val="002C1A6A"/>
    <w:rsid w:val="002C1CD3"/>
    <w:rsid w:val="002C1CEE"/>
    <w:rsid w:val="002C275E"/>
    <w:rsid w:val="002C27AC"/>
    <w:rsid w:val="002C37A4"/>
    <w:rsid w:val="002C414D"/>
    <w:rsid w:val="002C41B1"/>
    <w:rsid w:val="002C430A"/>
    <w:rsid w:val="002C4650"/>
    <w:rsid w:val="002C4B92"/>
    <w:rsid w:val="002C4DC6"/>
    <w:rsid w:val="002C4DFD"/>
    <w:rsid w:val="002C52E6"/>
    <w:rsid w:val="002C533B"/>
    <w:rsid w:val="002C542E"/>
    <w:rsid w:val="002C556F"/>
    <w:rsid w:val="002C5B3F"/>
    <w:rsid w:val="002C61C5"/>
    <w:rsid w:val="002C643C"/>
    <w:rsid w:val="002C648F"/>
    <w:rsid w:val="002C6E15"/>
    <w:rsid w:val="002C7329"/>
    <w:rsid w:val="002C734A"/>
    <w:rsid w:val="002C7E53"/>
    <w:rsid w:val="002D023B"/>
    <w:rsid w:val="002D027B"/>
    <w:rsid w:val="002D058C"/>
    <w:rsid w:val="002D064C"/>
    <w:rsid w:val="002D065F"/>
    <w:rsid w:val="002D090E"/>
    <w:rsid w:val="002D0BE5"/>
    <w:rsid w:val="002D0C34"/>
    <w:rsid w:val="002D1235"/>
    <w:rsid w:val="002D1FBC"/>
    <w:rsid w:val="002D24AD"/>
    <w:rsid w:val="002D2A4B"/>
    <w:rsid w:val="002D2DC3"/>
    <w:rsid w:val="002D33B4"/>
    <w:rsid w:val="002D36D5"/>
    <w:rsid w:val="002D3F5D"/>
    <w:rsid w:val="002D42AA"/>
    <w:rsid w:val="002D4418"/>
    <w:rsid w:val="002D45B3"/>
    <w:rsid w:val="002D4645"/>
    <w:rsid w:val="002D4B3E"/>
    <w:rsid w:val="002D5078"/>
    <w:rsid w:val="002D59FF"/>
    <w:rsid w:val="002D5DE9"/>
    <w:rsid w:val="002D6074"/>
    <w:rsid w:val="002D64E0"/>
    <w:rsid w:val="002D7499"/>
    <w:rsid w:val="002E05AE"/>
    <w:rsid w:val="002E0828"/>
    <w:rsid w:val="002E0AD2"/>
    <w:rsid w:val="002E0B41"/>
    <w:rsid w:val="002E161E"/>
    <w:rsid w:val="002E2554"/>
    <w:rsid w:val="002E25E7"/>
    <w:rsid w:val="002E2D5D"/>
    <w:rsid w:val="002E2E8B"/>
    <w:rsid w:val="002E3248"/>
    <w:rsid w:val="002E3B7D"/>
    <w:rsid w:val="002E3FB4"/>
    <w:rsid w:val="002E4209"/>
    <w:rsid w:val="002E49F4"/>
    <w:rsid w:val="002E4D5E"/>
    <w:rsid w:val="002E53F3"/>
    <w:rsid w:val="002E5D64"/>
    <w:rsid w:val="002E62B8"/>
    <w:rsid w:val="002E62E4"/>
    <w:rsid w:val="002E68DB"/>
    <w:rsid w:val="002E6D61"/>
    <w:rsid w:val="002E702C"/>
    <w:rsid w:val="002F00C4"/>
    <w:rsid w:val="002F037A"/>
    <w:rsid w:val="002F0666"/>
    <w:rsid w:val="002F0C29"/>
    <w:rsid w:val="002F0C58"/>
    <w:rsid w:val="002F0D79"/>
    <w:rsid w:val="002F1673"/>
    <w:rsid w:val="002F184E"/>
    <w:rsid w:val="002F18BB"/>
    <w:rsid w:val="002F1A16"/>
    <w:rsid w:val="002F1CD7"/>
    <w:rsid w:val="002F1FC3"/>
    <w:rsid w:val="002F1FFB"/>
    <w:rsid w:val="002F203A"/>
    <w:rsid w:val="002F2150"/>
    <w:rsid w:val="002F21C9"/>
    <w:rsid w:val="002F254A"/>
    <w:rsid w:val="002F2A02"/>
    <w:rsid w:val="002F2D4E"/>
    <w:rsid w:val="002F2ECC"/>
    <w:rsid w:val="002F2FC7"/>
    <w:rsid w:val="002F3263"/>
    <w:rsid w:val="002F34A7"/>
    <w:rsid w:val="002F440E"/>
    <w:rsid w:val="002F4769"/>
    <w:rsid w:val="002F477B"/>
    <w:rsid w:val="002F4B79"/>
    <w:rsid w:val="002F4CF1"/>
    <w:rsid w:val="002F5171"/>
    <w:rsid w:val="002F52B3"/>
    <w:rsid w:val="002F5401"/>
    <w:rsid w:val="002F5F8E"/>
    <w:rsid w:val="002F61D4"/>
    <w:rsid w:val="002F62E6"/>
    <w:rsid w:val="002F63DD"/>
    <w:rsid w:val="002F67F3"/>
    <w:rsid w:val="002F75BB"/>
    <w:rsid w:val="002F7695"/>
    <w:rsid w:val="002F7FBC"/>
    <w:rsid w:val="00300B9D"/>
    <w:rsid w:val="00300C30"/>
    <w:rsid w:val="00300FF1"/>
    <w:rsid w:val="00301860"/>
    <w:rsid w:val="003018D3"/>
    <w:rsid w:val="00301AAE"/>
    <w:rsid w:val="00301AE8"/>
    <w:rsid w:val="003022CB"/>
    <w:rsid w:val="00302BF0"/>
    <w:rsid w:val="00302F0D"/>
    <w:rsid w:val="00302F6C"/>
    <w:rsid w:val="0030334B"/>
    <w:rsid w:val="003033F3"/>
    <w:rsid w:val="00303C95"/>
    <w:rsid w:val="00304793"/>
    <w:rsid w:val="00304822"/>
    <w:rsid w:val="0030483C"/>
    <w:rsid w:val="003048B2"/>
    <w:rsid w:val="00304CAB"/>
    <w:rsid w:val="00304D73"/>
    <w:rsid w:val="003050D0"/>
    <w:rsid w:val="0030524C"/>
    <w:rsid w:val="0030528B"/>
    <w:rsid w:val="00305A4A"/>
    <w:rsid w:val="00305B27"/>
    <w:rsid w:val="0030632E"/>
    <w:rsid w:val="00306469"/>
    <w:rsid w:val="00306498"/>
    <w:rsid w:val="00306513"/>
    <w:rsid w:val="00306C99"/>
    <w:rsid w:val="00306CC4"/>
    <w:rsid w:val="00306E25"/>
    <w:rsid w:val="003070A2"/>
    <w:rsid w:val="00307217"/>
    <w:rsid w:val="00307538"/>
    <w:rsid w:val="003078E7"/>
    <w:rsid w:val="003101A6"/>
    <w:rsid w:val="00310AC4"/>
    <w:rsid w:val="00311081"/>
    <w:rsid w:val="003112A4"/>
    <w:rsid w:val="0031172C"/>
    <w:rsid w:val="00311C24"/>
    <w:rsid w:val="00311D39"/>
    <w:rsid w:val="00311DC1"/>
    <w:rsid w:val="00312323"/>
    <w:rsid w:val="00312401"/>
    <w:rsid w:val="003139C3"/>
    <w:rsid w:val="00313DEA"/>
    <w:rsid w:val="00313E00"/>
    <w:rsid w:val="003140E7"/>
    <w:rsid w:val="00314945"/>
    <w:rsid w:val="003149F4"/>
    <w:rsid w:val="00314A22"/>
    <w:rsid w:val="00314DD1"/>
    <w:rsid w:val="003152C1"/>
    <w:rsid w:val="003156D5"/>
    <w:rsid w:val="0031572F"/>
    <w:rsid w:val="00315B20"/>
    <w:rsid w:val="00315CC5"/>
    <w:rsid w:val="003170B2"/>
    <w:rsid w:val="00317273"/>
    <w:rsid w:val="00317518"/>
    <w:rsid w:val="003203D4"/>
    <w:rsid w:val="00320788"/>
    <w:rsid w:val="0032088F"/>
    <w:rsid w:val="003208EB"/>
    <w:rsid w:val="00320F39"/>
    <w:rsid w:val="00321442"/>
    <w:rsid w:val="00321D59"/>
    <w:rsid w:val="00321DE8"/>
    <w:rsid w:val="00321F3A"/>
    <w:rsid w:val="0032225C"/>
    <w:rsid w:val="0032273E"/>
    <w:rsid w:val="0032344D"/>
    <w:rsid w:val="00323902"/>
    <w:rsid w:val="00323B5C"/>
    <w:rsid w:val="00323E05"/>
    <w:rsid w:val="00324370"/>
    <w:rsid w:val="00324DE9"/>
    <w:rsid w:val="003255FC"/>
    <w:rsid w:val="00325839"/>
    <w:rsid w:val="003258C2"/>
    <w:rsid w:val="003258D0"/>
    <w:rsid w:val="0032598F"/>
    <w:rsid w:val="00325BC1"/>
    <w:rsid w:val="00325D6F"/>
    <w:rsid w:val="00325E45"/>
    <w:rsid w:val="00325EE3"/>
    <w:rsid w:val="0032633E"/>
    <w:rsid w:val="00326644"/>
    <w:rsid w:val="003266F4"/>
    <w:rsid w:val="003268C6"/>
    <w:rsid w:val="003268D6"/>
    <w:rsid w:val="0032714A"/>
    <w:rsid w:val="00327A79"/>
    <w:rsid w:val="00330280"/>
    <w:rsid w:val="00330364"/>
    <w:rsid w:val="00330366"/>
    <w:rsid w:val="00330461"/>
    <w:rsid w:val="003305D4"/>
    <w:rsid w:val="00330891"/>
    <w:rsid w:val="00331245"/>
    <w:rsid w:val="00331252"/>
    <w:rsid w:val="00331445"/>
    <w:rsid w:val="0033162C"/>
    <w:rsid w:val="00331820"/>
    <w:rsid w:val="00332181"/>
    <w:rsid w:val="0033267F"/>
    <w:rsid w:val="003326AF"/>
    <w:rsid w:val="00332DE8"/>
    <w:rsid w:val="00332E67"/>
    <w:rsid w:val="0033334F"/>
    <w:rsid w:val="0033355E"/>
    <w:rsid w:val="00333564"/>
    <w:rsid w:val="0033372B"/>
    <w:rsid w:val="00333AA3"/>
    <w:rsid w:val="00333EFB"/>
    <w:rsid w:val="0033434D"/>
    <w:rsid w:val="00334538"/>
    <w:rsid w:val="00335AD1"/>
    <w:rsid w:val="00335B68"/>
    <w:rsid w:val="003360A2"/>
    <w:rsid w:val="00336BEE"/>
    <w:rsid w:val="00336F3E"/>
    <w:rsid w:val="00336FB5"/>
    <w:rsid w:val="003373C4"/>
    <w:rsid w:val="00337696"/>
    <w:rsid w:val="003376C5"/>
    <w:rsid w:val="00337E1C"/>
    <w:rsid w:val="0034011D"/>
    <w:rsid w:val="00340D78"/>
    <w:rsid w:val="003413B3"/>
    <w:rsid w:val="003414F0"/>
    <w:rsid w:val="00341953"/>
    <w:rsid w:val="00342872"/>
    <w:rsid w:val="00342AFB"/>
    <w:rsid w:val="00342FD0"/>
    <w:rsid w:val="00343221"/>
    <w:rsid w:val="00344079"/>
    <w:rsid w:val="003440EA"/>
    <w:rsid w:val="00344508"/>
    <w:rsid w:val="003449E6"/>
    <w:rsid w:val="0034531B"/>
    <w:rsid w:val="003458F0"/>
    <w:rsid w:val="0034601E"/>
    <w:rsid w:val="00346647"/>
    <w:rsid w:val="00346AAA"/>
    <w:rsid w:val="00347249"/>
    <w:rsid w:val="0034769E"/>
    <w:rsid w:val="0034774F"/>
    <w:rsid w:val="003502EA"/>
    <w:rsid w:val="003509C3"/>
    <w:rsid w:val="00350D9D"/>
    <w:rsid w:val="00351A1E"/>
    <w:rsid w:val="00352908"/>
    <w:rsid w:val="00352CD6"/>
    <w:rsid w:val="00352DFF"/>
    <w:rsid w:val="0035357D"/>
    <w:rsid w:val="0035378E"/>
    <w:rsid w:val="00353CFF"/>
    <w:rsid w:val="0035409F"/>
    <w:rsid w:val="003543AB"/>
    <w:rsid w:val="00354649"/>
    <w:rsid w:val="0035490A"/>
    <w:rsid w:val="00354971"/>
    <w:rsid w:val="00354E66"/>
    <w:rsid w:val="0035507C"/>
    <w:rsid w:val="0035587C"/>
    <w:rsid w:val="00355B67"/>
    <w:rsid w:val="00355BE3"/>
    <w:rsid w:val="00355D13"/>
    <w:rsid w:val="00355FEA"/>
    <w:rsid w:val="003561F2"/>
    <w:rsid w:val="003564EC"/>
    <w:rsid w:val="00356957"/>
    <w:rsid w:val="00356A90"/>
    <w:rsid w:val="00356F3C"/>
    <w:rsid w:val="0035737C"/>
    <w:rsid w:val="0035797E"/>
    <w:rsid w:val="00357BBF"/>
    <w:rsid w:val="00357DB1"/>
    <w:rsid w:val="0036000E"/>
    <w:rsid w:val="003605A5"/>
    <w:rsid w:val="00360C9B"/>
    <w:rsid w:val="0036184D"/>
    <w:rsid w:val="0036200C"/>
    <w:rsid w:val="0036203F"/>
    <w:rsid w:val="00363830"/>
    <w:rsid w:val="0036392C"/>
    <w:rsid w:val="00363AF4"/>
    <w:rsid w:val="003644C1"/>
    <w:rsid w:val="00364792"/>
    <w:rsid w:val="003655FB"/>
    <w:rsid w:val="00366098"/>
    <w:rsid w:val="00366944"/>
    <w:rsid w:val="00366E8C"/>
    <w:rsid w:val="003675C5"/>
    <w:rsid w:val="00367A31"/>
    <w:rsid w:val="00367D03"/>
    <w:rsid w:val="00367F65"/>
    <w:rsid w:val="003700EB"/>
    <w:rsid w:val="00370126"/>
    <w:rsid w:val="003701AE"/>
    <w:rsid w:val="00370266"/>
    <w:rsid w:val="003703E8"/>
    <w:rsid w:val="00370E62"/>
    <w:rsid w:val="00370ECD"/>
    <w:rsid w:val="00370F79"/>
    <w:rsid w:val="00371178"/>
    <w:rsid w:val="00371310"/>
    <w:rsid w:val="0037139A"/>
    <w:rsid w:val="003719FA"/>
    <w:rsid w:val="00372144"/>
    <w:rsid w:val="0037220B"/>
    <w:rsid w:val="003726CB"/>
    <w:rsid w:val="003728C5"/>
    <w:rsid w:val="00372A7E"/>
    <w:rsid w:val="00373367"/>
    <w:rsid w:val="00373590"/>
    <w:rsid w:val="00373B9C"/>
    <w:rsid w:val="00373F5C"/>
    <w:rsid w:val="00374A43"/>
    <w:rsid w:val="003751D3"/>
    <w:rsid w:val="00375D6F"/>
    <w:rsid w:val="00376DF5"/>
    <w:rsid w:val="00377633"/>
    <w:rsid w:val="0037765C"/>
    <w:rsid w:val="00377668"/>
    <w:rsid w:val="0037797F"/>
    <w:rsid w:val="00377CA9"/>
    <w:rsid w:val="0038028D"/>
    <w:rsid w:val="0038087E"/>
    <w:rsid w:val="00380E09"/>
    <w:rsid w:val="003827D8"/>
    <w:rsid w:val="00382F1E"/>
    <w:rsid w:val="00382F61"/>
    <w:rsid w:val="00382F87"/>
    <w:rsid w:val="0038304E"/>
    <w:rsid w:val="00383D1B"/>
    <w:rsid w:val="0038408C"/>
    <w:rsid w:val="00384B0A"/>
    <w:rsid w:val="00384D56"/>
    <w:rsid w:val="003855AB"/>
    <w:rsid w:val="003855CA"/>
    <w:rsid w:val="00385848"/>
    <w:rsid w:val="00385A3A"/>
    <w:rsid w:val="00385C13"/>
    <w:rsid w:val="00385FA5"/>
    <w:rsid w:val="003860BB"/>
    <w:rsid w:val="00386307"/>
    <w:rsid w:val="00386756"/>
    <w:rsid w:val="00386891"/>
    <w:rsid w:val="00386B97"/>
    <w:rsid w:val="00386DFA"/>
    <w:rsid w:val="003871E4"/>
    <w:rsid w:val="0038754B"/>
    <w:rsid w:val="003875C0"/>
    <w:rsid w:val="00387713"/>
    <w:rsid w:val="00387B6D"/>
    <w:rsid w:val="00387C27"/>
    <w:rsid w:val="00387DB0"/>
    <w:rsid w:val="00387DF8"/>
    <w:rsid w:val="00387EDA"/>
    <w:rsid w:val="00390D3D"/>
    <w:rsid w:val="00390FE7"/>
    <w:rsid w:val="003910BD"/>
    <w:rsid w:val="00391A58"/>
    <w:rsid w:val="00391B5B"/>
    <w:rsid w:val="00391C00"/>
    <w:rsid w:val="00391F1A"/>
    <w:rsid w:val="00391FA6"/>
    <w:rsid w:val="00392E75"/>
    <w:rsid w:val="00392FAE"/>
    <w:rsid w:val="00392FD7"/>
    <w:rsid w:val="00393125"/>
    <w:rsid w:val="0039331A"/>
    <w:rsid w:val="00393467"/>
    <w:rsid w:val="00393F7A"/>
    <w:rsid w:val="003942DA"/>
    <w:rsid w:val="00394C15"/>
    <w:rsid w:val="00394F6C"/>
    <w:rsid w:val="00395406"/>
    <w:rsid w:val="00395607"/>
    <w:rsid w:val="00395C20"/>
    <w:rsid w:val="003962F3"/>
    <w:rsid w:val="00396341"/>
    <w:rsid w:val="003964BA"/>
    <w:rsid w:val="00396675"/>
    <w:rsid w:val="00396729"/>
    <w:rsid w:val="003969A0"/>
    <w:rsid w:val="00396AA9"/>
    <w:rsid w:val="00396BB6"/>
    <w:rsid w:val="003970F6"/>
    <w:rsid w:val="0039713F"/>
    <w:rsid w:val="00397348"/>
    <w:rsid w:val="003974E8"/>
    <w:rsid w:val="00397672"/>
    <w:rsid w:val="00397681"/>
    <w:rsid w:val="00397B44"/>
    <w:rsid w:val="003A0480"/>
    <w:rsid w:val="003A05E7"/>
    <w:rsid w:val="003A0A7F"/>
    <w:rsid w:val="003A18E9"/>
    <w:rsid w:val="003A1DFE"/>
    <w:rsid w:val="003A25F8"/>
    <w:rsid w:val="003A2800"/>
    <w:rsid w:val="003A2D19"/>
    <w:rsid w:val="003A2D5E"/>
    <w:rsid w:val="003A326B"/>
    <w:rsid w:val="003A34C6"/>
    <w:rsid w:val="003A3F5E"/>
    <w:rsid w:val="003A40D7"/>
    <w:rsid w:val="003A41B6"/>
    <w:rsid w:val="003A4410"/>
    <w:rsid w:val="003A457F"/>
    <w:rsid w:val="003A4855"/>
    <w:rsid w:val="003A48AD"/>
    <w:rsid w:val="003A509A"/>
    <w:rsid w:val="003A6639"/>
    <w:rsid w:val="003A6AA1"/>
    <w:rsid w:val="003A6AB9"/>
    <w:rsid w:val="003A7A27"/>
    <w:rsid w:val="003A7FFC"/>
    <w:rsid w:val="003B000D"/>
    <w:rsid w:val="003B0B54"/>
    <w:rsid w:val="003B0D2C"/>
    <w:rsid w:val="003B0D53"/>
    <w:rsid w:val="003B10F4"/>
    <w:rsid w:val="003B1AFE"/>
    <w:rsid w:val="003B1B38"/>
    <w:rsid w:val="003B1F11"/>
    <w:rsid w:val="003B232A"/>
    <w:rsid w:val="003B23AB"/>
    <w:rsid w:val="003B2716"/>
    <w:rsid w:val="003B28C2"/>
    <w:rsid w:val="003B2E1C"/>
    <w:rsid w:val="003B3154"/>
    <w:rsid w:val="003B34E4"/>
    <w:rsid w:val="003B388D"/>
    <w:rsid w:val="003B3E76"/>
    <w:rsid w:val="003B40BB"/>
    <w:rsid w:val="003B4AD6"/>
    <w:rsid w:val="003B5269"/>
    <w:rsid w:val="003B5B8E"/>
    <w:rsid w:val="003B6044"/>
    <w:rsid w:val="003B6522"/>
    <w:rsid w:val="003B6964"/>
    <w:rsid w:val="003B7BB1"/>
    <w:rsid w:val="003B7D1A"/>
    <w:rsid w:val="003B7E71"/>
    <w:rsid w:val="003C0470"/>
    <w:rsid w:val="003C0A8D"/>
    <w:rsid w:val="003C0AC5"/>
    <w:rsid w:val="003C0CE4"/>
    <w:rsid w:val="003C120F"/>
    <w:rsid w:val="003C12A7"/>
    <w:rsid w:val="003C1423"/>
    <w:rsid w:val="003C17AB"/>
    <w:rsid w:val="003C1FF0"/>
    <w:rsid w:val="003C1FF1"/>
    <w:rsid w:val="003C20E4"/>
    <w:rsid w:val="003C2457"/>
    <w:rsid w:val="003C248C"/>
    <w:rsid w:val="003C2C24"/>
    <w:rsid w:val="003C2E10"/>
    <w:rsid w:val="003C326D"/>
    <w:rsid w:val="003C344B"/>
    <w:rsid w:val="003C416E"/>
    <w:rsid w:val="003C46A7"/>
    <w:rsid w:val="003C49E9"/>
    <w:rsid w:val="003C51E4"/>
    <w:rsid w:val="003C6262"/>
    <w:rsid w:val="003C69CC"/>
    <w:rsid w:val="003D05FC"/>
    <w:rsid w:val="003D0905"/>
    <w:rsid w:val="003D0DF7"/>
    <w:rsid w:val="003D0E5D"/>
    <w:rsid w:val="003D17AC"/>
    <w:rsid w:val="003D1A30"/>
    <w:rsid w:val="003D1C3E"/>
    <w:rsid w:val="003D2075"/>
    <w:rsid w:val="003D2708"/>
    <w:rsid w:val="003D2B68"/>
    <w:rsid w:val="003D2F9D"/>
    <w:rsid w:val="003D304D"/>
    <w:rsid w:val="003D389B"/>
    <w:rsid w:val="003D3A32"/>
    <w:rsid w:val="003D3FAB"/>
    <w:rsid w:val="003D4361"/>
    <w:rsid w:val="003D438D"/>
    <w:rsid w:val="003D476A"/>
    <w:rsid w:val="003D4DE4"/>
    <w:rsid w:val="003D4F14"/>
    <w:rsid w:val="003D5178"/>
    <w:rsid w:val="003D521F"/>
    <w:rsid w:val="003D526F"/>
    <w:rsid w:val="003D52FC"/>
    <w:rsid w:val="003D595A"/>
    <w:rsid w:val="003D5A48"/>
    <w:rsid w:val="003D5A8D"/>
    <w:rsid w:val="003D5C6D"/>
    <w:rsid w:val="003D5EF8"/>
    <w:rsid w:val="003D61EF"/>
    <w:rsid w:val="003D6223"/>
    <w:rsid w:val="003D6605"/>
    <w:rsid w:val="003D66F0"/>
    <w:rsid w:val="003D67CA"/>
    <w:rsid w:val="003D6D01"/>
    <w:rsid w:val="003D6D05"/>
    <w:rsid w:val="003D713D"/>
    <w:rsid w:val="003D745D"/>
    <w:rsid w:val="003D7488"/>
    <w:rsid w:val="003D74DC"/>
    <w:rsid w:val="003D7940"/>
    <w:rsid w:val="003E0749"/>
    <w:rsid w:val="003E0D7D"/>
    <w:rsid w:val="003E14A6"/>
    <w:rsid w:val="003E1CB4"/>
    <w:rsid w:val="003E1DA8"/>
    <w:rsid w:val="003E1F13"/>
    <w:rsid w:val="003E2165"/>
    <w:rsid w:val="003E2458"/>
    <w:rsid w:val="003E248D"/>
    <w:rsid w:val="003E24DB"/>
    <w:rsid w:val="003E268D"/>
    <w:rsid w:val="003E2E64"/>
    <w:rsid w:val="003E326E"/>
    <w:rsid w:val="003E3793"/>
    <w:rsid w:val="003E393C"/>
    <w:rsid w:val="003E499B"/>
    <w:rsid w:val="003E49C5"/>
    <w:rsid w:val="003E5226"/>
    <w:rsid w:val="003E527D"/>
    <w:rsid w:val="003E582E"/>
    <w:rsid w:val="003E5B09"/>
    <w:rsid w:val="003E5CBF"/>
    <w:rsid w:val="003E6523"/>
    <w:rsid w:val="003E6AF9"/>
    <w:rsid w:val="003E70B3"/>
    <w:rsid w:val="003E7142"/>
    <w:rsid w:val="003E79BE"/>
    <w:rsid w:val="003F0064"/>
    <w:rsid w:val="003F0223"/>
    <w:rsid w:val="003F0479"/>
    <w:rsid w:val="003F0691"/>
    <w:rsid w:val="003F09E5"/>
    <w:rsid w:val="003F0DCC"/>
    <w:rsid w:val="003F18AE"/>
    <w:rsid w:val="003F1E1F"/>
    <w:rsid w:val="003F2045"/>
    <w:rsid w:val="003F242A"/>
    <w:rsid w:val="003F271C"/>
    <w:rsid w:val="003F2AD2"/>
    <w:rsid w:val="003F2F0D"/>
    <w:rsid w:val="003F319F"/>
    <w:rsid w:val="003F3D6D"/>
    <w:rsid w:val="003F42F4"/>
    <w:rsid w:val="003F4532"/>
    <w:rsid w:val="003F4D85"/>
    <w:rsid w:val="003F5FFC"/>
    <w:rsid w:val="003F6002"/>
    <w:rsid w:val="003F6AE9"/>
    <w:rsid w:val="003F6B00"/>
    <w:rsid w:val="003F6CBF"/>
    <w:rsid w:val="003F6CD3"/>
    <w:rsid w:val="003F72D8"/>
    <w:rsid w:val="003F73CB"/>
    <w:rsid w:val="003F74D8"/>
    <w:rsid w:val="003F7514"/>
    <w:rsid w:val="004000A3"/>
    <w:rsid w:val="004000D5"/>
    <w:rsid w:val="004002A8"/>
    <w:rsid w:val="00400EDD"/>
    <w:rsid w:val="004010A8"/>
    <w:rsid w:val="0040126E"/>
    <w:rsid w:val="00401E6C"/>
    <w:rsid w:val="0040289D"/>
    <w:rsid w:val="00402F8D"/>
    <w:rsid w:val="00403818"/>
    <w:rsid w:val="004038C2"/>
    <w:rsid w:val="0040399E"/>
    <w:rsid w:val="00403E8B"/>
    <w:rsid w:val="00403E8F"/>
    <w:rsid w:val="00404A98"/>
    <w:rsid w:val="00404EBF"/>
    <w:rsid w:val="00405073"/>
    <w:rsid w:val="004052BD"/>
    <w:rsid w:val="004054DE"/>
    <w:rsid w:val="004055C6"/>
    <w:rsid w:val="00405791"/>
    <w:rsid w:val="004057A7"/>
    <w:rsid w:val="00405B57"/>
    <w:rsid w:val="00405BA5"/>
    <w:rsid w:val="0040625F"/>
    <w:rsid w:val="004062DE"/>
    <w:rsid w:val="004071B2"/>
    <w:rsid w:val="00407986"/>
    <w:rsid w:val="00407AC8"/>
    <w:rsid w:val="00407FD6"/>
    <w:rsid w:val="00410145"/>
    <w:rsid w:val="0041085A"/>
    <w:rsid w:val="00411A04"/>
    <w:rsid w:val="00411C1D"/>
    <w:rsid w:val="00411E12"/>
    <w:rsid w:val="004123F4"/>
    <w:rsid w:val="00412A83"/>
    <w:rsid w:val="00412C21"/>
    <w:rsid w:val="00413003"/>
    <w:rsid w:val="004139E7"/>
    <w:rsid w:val="00413C41"/>
    <w:rsid w:val="00413C85"/>
    <w:rsid w:val="00413D2C"/>
    <w:rsid w:val="00414A33"/>
    <w:rsid w:val="00414D5F"/>
    <w:rsid w:val="004152D9"/>
    <w:rsid w:val="0041564F"/>
    <w:rsid w:val="00415A4D"/>
    <w:rsid w:val="00415C95"/>
    <w:rsid w:val="0041622D"/>
    <w:rsid w:val="004163BB"/>
    <w:rsid w:val="004167A1"/>
    <w:rsid w:val="0041685C"/>
    <w:rsid w:val="00416EAD"/>
    <w:rsid w:val="0041700F"/>
    <w:rsid w:val="004172CE"/>
    <w:rsid w:val="0041747E"/>
    <w:rsid w:val="0041778A"/>
    <w:rsid w:val="00417A0D"/>
    <w:rsid w:val="00417A2D"/>
    <w:rsid w:val="00417A86"/>
    <w:rsid w:val="0042021C"/>
    <w:rsid w:val="00420E27"/>
    <w:rsid w:val="00420FB2"/>
    <w:rsid w:val="0042139D"/>
    <w:rsid w:val="004213C9"/>
    <w:rsid w:val="00421F31"/>
    <w:rsid w:val="0042225B"/>
    <w:rsid w:val="004224B2"/>
    <w:rsid w:val="00423748"/>
    <w:rsid w:val="00423867"/>
    <w:rsid w:val="00423DC1"/>
    <w:rsid w:val="0042414A"/>
    <w:rsid w:val="00424570"/>
    <w:rsid w:val="0042459B"/>
    <w:rsid w:val="00424902"/>
    <w:rsid w:val="00424BD8"/>
    <w:rsid w:val="0042536E"/>
    <w:rsid w:val="0042561C"/>
    <w:rsid w:val="00425DC2"/>
    <w:rsid w:val="00425EA6"/>
    <w:rsid w:val="004261EF"/>
    <w:rsid w:val="004262FF"/>
    <w:rsid w:val="004263CC"/>
    <w:rsid w:val="0042650A"/>
    <w:rsid w:val="0042665F"/>
    <w:rsid w:val="004267AD"/>
    <w:rsid w:val="00426A45"/>
    <w:rsid w:val="00426C9F"/>
    <w:rsid w:val="0042710A"/>
    <w:rsid w:val="00427412"/>
    <w:rsid w:val="004274BE"/>
    <w:rsid w:val="00427738"/>
    <w:rsid w:val="00427FBD"/>
    <w:rsid w:val="00430042"/>
    <w:rsid w:val="004307B3"/>
    <w:rsid w:val="00430A21"/>
    <w:rsid w:val="00430D9C"/>
    <w:rsid w:val="00430FCD"/>
    <w:rsid w:val="004313C9"/>
    <w:rsid w:val="004318AE"/>
    <w:rsid w:val="004319EA"/>
    <w:rsid w:val="00431A64"/>
    <w:rsid w:val="00431C84"/>
    <w:rsid w:val="004323FD"/>
    <w:rsid w:val="0043265C"/>
    <w:rsid w:val="00432941"/>
    <w:rsid w:val="00432D89"/>
    <w:rsid w:val="00433A40"/>
    <w:rsid w:val="00433EF8"/>
    <w:rsid w:val="0043480C"/>
    <w:rsid w:val="00434C44"/>
    <w:rsid w:val="00434F92"/>
    <w:rsid w:val="00435034"/>
    <w:rsid w:val="0043524D"/>
    <w:rsid w:val="0043593A"/>
    <w:rsid w:val="00435D78"/>
    <w:rsid w:val="00436045"/>
    <w:rsid w:val="0043627D"/>
    <w:rsid w:val="0043655C"/>
    <w:rsid w:val="00436581"/>
    <w:rsid w:val="00436892"/>
    <w:rsid w:val="00436AC9"/>
    <w:rsid w:val="00436C3B"/>
    <w:rsid w:val="00436D61"/>
    <w:rsid w:val="00436F7F"/>
    <w:rsid w:val="00436FDE"/>
    <w:rsid w:val="004375CB"/>
    <w:rsid w:val="00437736"/>
    <w:rsid w:val="00437809"/>
    <w:rsid w:val="00437ADE"/>
    <w:rsid w:val="00440258"/>
    <w:rsid w:val="00440602"/>
    <w:rsid w:val="00440C72"/>
    <w:rsid w:val="00440E2B"/>
    <w:rsid w:val="00440E85"/>
    <w:rsid w:val="00440ED2"/>
    <w:rsid w:val="00441961"/>
    <w:rsid w:val="00441BE8"/>
    <w:rsid w:val="00441F5C"/>
    <w:rsid w:val="004422F2"/>
    <w:rsid w:val="004424E2"/>
    <w:rsid w:val="004427EB"/>
    <w:rsid w:val="00442937"/>
    <w:rsid w:val="00442C88"/>
    <w:rsid w:val="00442F03"/>
    <w:rsid w:val="0044393E"/>
    <w:rsid w:val="00443CE2"/>
    <w:rsid w:val="004444E2"/>
    <w:rsid w:val="004451D0"/>
    <w:rsid w:val="004457B6"/>
    <w:rsid w:val="004457BE"/>
    <w:rsid w:val="00445AF9"/>
    <w:rsid w:val="00445CCB"/>
    <w:rsid w:val="004468C4"/>
    <w:rsid w:val="00446CB6"/>
    <w:rsid w:val="00446D36"/>
    <w:rsid w:val="004472AD"/>
    <w:rsid w:val="0044750D"/>
    <w:rsid w:val="004475EB"/>
    <w:rsid w:val="00447BB2"/>
    <w:rsid w:val="00450A99"/>
    <w:rsid w:val="00450AEE"/>
    <w:rsid w:val="00450DBE"/>
    <w:rsid w:val="0045165B"/>
    <w:rsid w:val="00451A63"/>
    <w:rsid w:val="00451C9F"/>
    <w:rsid w:val="004523D5"/>
    <w:rsid w:val="00452495"/>
    <w:rsid w:val="00452837"/>
    <w:rsid w:val="00452A0C"/>
    <w:rsid w:val="00452C04"/>
    <w:rsid w:val="00452C86"/>
    <w:rsid w:val="00453090"/>
    <w:rsid w:val="004530E2"/>
    <w:rsid w:val="00453E79"/>
    <w:rsid w:val="00454009"/>
    <w:rsid w:val="00454256"/>
    <w:rsid w:val="0045461D"/>
    <w:rsid w:val="004548A3"/>
    <w:rsid w:val="00454BCB"/>
    <w:rsid w:val="00454F5F"/>
    <w:rsid w:val="00455371"/>
    <w:rsid w:val="004564E6"/>
    <w:rsid w:val="00456F8A"/>
    <w:rsid w:val="00456FBF"/>
    <w:rsid w:val="004575BF"/>
    <w:rsid w:val="00457ADB"/>
    <w:rsid w:val="004600B7"/>
    <w:rsid w:val="0046075D"/>
    <w:rsid w:val="00461524"/>
    <w:rsid w:val="00461A08"/>
    <w:rsid w:val="00461B4C"/>
    <w:rsid w:val="00461E2E"/>
    <w:rsid w:val="004620AA"/>
    <w:rsid w:val="0046223D"/>
    <w:rsid w:val="00462959"/>
    <w:rsid w:val="00462DFA"/>
    <w:rsid w:val="00463450"/>
    <w:rsid w:val="004637A2"/>
    <w:rsid w:val="004637FF"/>
    <w:rsid w:val="0046380B"/>
    <w:rsid w:val="004643E6"/>
    <w:rsid w:val="00464503"/>
    <w:rsid w:val="004645B0"/>
    <w:rsid w:val="00464A73"/>
    <w:rsid w:val="00464B8C"/>
    <w:rsid w:val="00464CE6"/>
    <w:rsid w:val="004650FD"/>
    <w:rsid w:val="00465DF5"/>
    <w:rsid w:val="00466034"/>
    <w:rsid w:val="0046610E"/>
    <w:rsid w:val="0046686D"/>
    <w:rsid w:val="00466A6B"/>
    <w:rsid w:val="00466BFE"/>
    <w:rsid w:val="00466FDC"/>
    <w:rsid w:val="0046749D"/>
    <w:rsid w:val="004675F4"/>
    <w:rsid w:val="00467887"/>
    <w:rsid w:val="004707F6"/>
    <w:rsid w:val="00470D16"/>
    <w:rsid w:val="0047169C"/>
    <w:rsid w:val="00471BDD"/>
    <w:rsid w:val="00471BE7"/>
    <w:rsid w:val="00471E94"/>
    <w:rsid w:val="0047203E"/>
    <w:rsid w:val="004729C4"/>
    <w:rsid w:val="00472A70"/>
    <w:rsid w:val="00472CED"/>
    <w:rsid w:val="00472D3B"/>
    <w:rsid w:val="0047308A"/>
    <w:rsid w:val="00473161"/>
    <w:rsid w:val="004734CE"/>
    <w:rsid w:val="004736A8"/>
    <w:rsid w:val="00473B3C"/>
    <w:rsid w:val="00473B8B"/>
    <w:rsid w:val="00473BA2"/>
    <w:rsid w:val="00473FA6"/>
    <w:rsid w:val="00474844"/>
    <w:rsid w:val="00474A86"/>
    <w:rsid w:val="00474C6A"/>
    <w:rsid w:val="004750E1"/>
    <w:rsid w:val="0047527D"/>
    <w:rsid w:val="00475477"/>
    <w:rsid w:val="004755CB"/>
    <w:rsid w:val="00475E49"/>
    <w:rsid w:val="004760CD"/>
    <w:rsid w:val="004762F5"/>
    <w:rsid w:val="004762F7"/>
    <w:rsid w:val="0047685E"/>
    <w:rsid w:val="00477638"/>
    <w:rsid w:val="004777C1"/>
    <w:rsid w:val="0047793E"/>
    <w:rsid w:val="00477AA1"/>
    <w:rsid w:val="0048021F"/>
    <w:rsid w:val="00480CB7"/>
    <w:rsid w:val="004810CC"/>
    <w:rsid w:val="004812C9"/>
    <w:rsid w:val="00481304"/>
    <w:rsid w:val="00481343"/>
    <w:rsid w:val="00481D26"/>
    <w:rsid w:val="00481EE8"/>
    <w:rsid w:val="00481F69"/>
    <w:rsid w:val="004821C8"/>
    <w:rsid w:val="00482CC5"/>
    <w:rsid w:val="00483A21"/>
    <w:rsid w:val="00483C0B"/>
    <w:rsid w:val="004844FB"/>
    <w:rsid w:val="00484849"/>
    <w:rsid w:val="004849F5"/>
    <w:rsid w:val="0048523F"/>
    <w:rsid w:val="0048565C"/>
    <w:rsid w:val="004856AD"/>
    <w:rsid w:val="00486C84"/>
    <w:rsid w:val="00487101"/>
    <w:rsid w:val="004879CE"/>
    <w:rsid w:val="00487AB8"/>
    <w:rsid w:val="00487BE4"/>
    <w:rsid w:val="00487CF1"/>
    <w:rsid w:val="004900AD"/>
    <w:rsid w:val="00490353"/>
    <w:rsid w:val="004908CD"/>
    <w:rsid w:val="00491631"/>
    <w:rsid w:val="00491AE3"/>
    <w:rsid w:val="00491D9F"/>
    <w:rsid w:val="00491F10"/>
    <w:rsid w:val="004929CA"/>
    <w:rsid w:val="004929EA"/>
    <w:rsid w:val="00492BDE"/>
    <w:rsid w:val="00492F74"/>
    <w:rsid w:val="004933D4"/>
    <w:rsid w:val="00493808"/>
    <w:rsid w:val="004938B8"/>
    <w:rsid w:val="00493BDB"/>
    <w:rsid w:val="00493D7D"/>
    <w:rsid w:val="00494119"/>
    <w:rsid w:val="004952E1"/>
    <w:rsid w:val="0049535A"/>
    <w:rsid w:val="00495505"/>
    <w:rsid w:val="00495886"/>
    <w:rsid w:val="00495B0C"/>
    <w:rsid w:val="00495B14"/>
    <w:rsid w:val="00495D4A"/>
    <w:rsid w:val="00496573"/>
    <w:rsid w:val="00496A35"/>
    <w:rsid w:val="00496EE0"/>
    <w:rsid w:val="00496F16"/>
    <w:rsid w:val="00497632"/>
    <w:rsid w:val="00497ABD"/>
    <w:rsid w:val="004A00B6"/>
    <w:rsid w:val="004A02BC"/>
    <w:rsid w:val="004A0588"/>
    <w:rsid w:val="004A0BE4"/>
    <w:rsid w:val="004A0CC2"/>
    <w:rsid w:val="004A0D2C"/>
    <w:rsid w:val="004A11AF"/>
    <w:rsid w:val="004A167D"/>
    <w:rsid w:val="004A1BDC"/>
    <w:rsid w:val="004A1C21"/>
    <w:rsid w:val="004A1E0E"/>
    <w:rsid w:val="004A1E95"/>
    <w:rsid w:val="004A1FAA"/>
    <w:rsid w:val="004A2626"/>
    <w:rsid w:val="004A2693"/>
    <w:rsid w:val="004A3164"/>
    <w:rsid w:val="004A34BA"/>
    <w:rsid w:val="004A36C0"/>
    <w:rsid w:val="004A3968"/>
    <w:rsid w:val="004A400A"/>
    <w:rsid w:val="004A46C7"/>
    <w:rsid w:val="004A49E0"/>
    <w:rsid w:val="004A4FAF"/>
    <w:rsid w:val="004A5D47"/>
    <w:rsid w:val="004A654A"/>
    <w:rsid w:val="004A6591"/>
    <w:rsid w:val="004A79C4"/>
    <w:rsid w:val="004A7AD4"/>
    <w:rsid w:val="004A7C1C"/>
    <w:rsid w:val="004B02AA"/>
    <w:rsid w:val="004B04B6"/>
    <w:rsid w:val="004B1089"/>
    <w:rsid w:val="004B30B1"/>
    <w:rsid w:val="004B371F"/>
    <w:rsid w:val="004B38F6"/>
    <w:rsid w:val="004B3A35"/>
    <w:rsid w:val="004B3D19"/>
    <w:rsid w:val="004B43A0"/>
    <w:rsid w:val="004B46EE"/>
    <w:rsid w:val="004B4948"/>
    <w:rsid w:val="004B4BF5"/>
    <w:rsid w:val="004B51C7"/>
    <w:rsid w:val="004B5627"/>
    <w:rsid w:val="004B56BC"/>
    <w:rsid w:val="004B5C78"/>
    <w:rsid w:val="004B6065"/>
    <w:rsid w:val="004B654B"/>
    <w:rsid w:val="004B710B"/>
    <w:rsid w:val="004B7383"/>
    <w:rsid w:val="004B73AC"/>
    <w:rsid w:val="004B7DBE"/>
    <w:rsid w:val="004B7EBE"/>
    <w:rsid w:val="004C066B"/>
    <w:rsid w:val="004C095C"/>
    <w:rsid w:val="004C0A83"/>
    <w:rsid w:val="004C0F44"/>
    <w:rsid w:val="004C0FD9"/>
    <w:rsid w:val="004C1F2D"/>
    <w:rsid w:val="004C221D"/>
    <w:rsid w:val="004C2286"/>
    <w:rsid w:val="004C27DB"/>
    <w:rsid w:val="004C320A"/>
    <w:rsid w:val="004C3C60"/>
    <w:rsid w:val="004C40A7"/>
    <w:rsid w:val="004C4470"/>
    <w:rsid w:val="004C5025"/>
    <w:rsid w:val="004C5158"/>
    <w:rsid w:val="004C51DF"/>
    <w:rsid w:val="004C530B"/>
    <w:rsid w:val="004C5704"/>
    <w:rsid w:val="004C5963"/>
    <w:rsid w:val="004C5F5E"/>
    <w:rsid w:val="004C5FAD"/>
    <w:rsid w:val="004C647E"/>
    <w:rsid w:val="004C69B3"/>
    <w:rsid w:val="004C6A3B"/>
    <w:rsid w:val="004C6E75"/>
    <w:rsid w:val="004C72DD"/>
    <w:rsid w:val="004C73D6"/>
    <w:rsid w:val="004C79B7"/>
    <w:rsid w:val="004C7A2A"/>
    <w:rsid w:val="004C7E38"/>
    <w:rsid w:val="004D03E6"/>
    <w:rsid w:val="004D05D0"/>
    <w:rsid w:val="004D07D8"/>
    <w:rsid w:val="004D09DC"/>
    <w:rsid w:val="004D0A4D"/>
    <w:rsid w:val="004D0E66"/>
    <w:rsid w:val="004D0E80"/>
    <w:rsid w:val="004D1656"/>
    <w:rsid w:val="004D1673"/>
    <w:rsid w:val="004D2545"/>
    <w:rsid w:val="004D2C01"/>
    <w:rsid w:val="004D3F36"/>
    <w:rsid w:val="004D41AC"/>
    <w:rsid w:val="004D4328"/>
    <w:rsid w:val="004D45D4"/>
    <w:rsid w:val="004D4F2A"/>
    <w:rsid w:val="004D51D5"/>
    <w:rsid w:val="004D5646"/>
    <w:rsid w:val="004D60DF"/>
    <w:rsid w:val="004D61B9"/>
    <w:rsid w:val="004D6868"/>
    <w:rsid w:val="004D7C67"/>
    <w:rsid w:val="004D7C7A"/>
    <w:rsid w:val="004D7DAF"/>
    <w:rsid w:val="004E0DCF"/>
    <w:rsid w:val="004E0EC9"/>
    <w:rsid w:val="004E0FD2"/>
    <w:rsid w:val="004E114E"/>
    <w:rsid w:val="004E1C57"/>
    <w:rsid w:val="004E25B1"/>
    <w:rsid w:val="004E26B9"/>
    <w:rsid w:val="004E2A5A"/>
    <w:rsid w:val="004E2C30"/>
    <w:rsid w:val="004E2CEB"/>
    <w:rsid w:val="004E2E59"/>
    <w:rsid w:val="004E31D7"/>
    <w:rsid w:val="004E4AB9"/>
    <w:rsid w:val="004E4C4C"/>
    <w:rsid w:val="004E5294"/>
    <w:rsid w:val="004E52F3"/>
    <w:rsid w:val="004E53CE"/>
    <w:rsid w:val="004E5704"/>
    <w:rsid w:val="004E59D9"/>
    <w:rsid w:val="004E5C53"/>
    <w:rsid w:val="004E5DD9"/>
    <w:rsid w:val="004E64D8"/>
    <w:rsid w:val="004E68C2"/>
    <w:rsid w:val="004E6B93"/>
    <w:rsid w:val="004E6EF7"/>
    <w:rsid w:val="004E706B"/>
    <w:rsid w:val="004E7079"/>
    <w:rsid w:val="004E70B9"/>
    <w:rsid w:val="004E7450"/>
    <w:rsid w:val="004E78B3"/>
    <w:rsid w:val="004E78DD"/>
    <w:rsid w:val="004E7AE4"/>
    <w:rsid w:val="004F01D0"/>
    <w:rsid w:val="004F0254"/>
    <w:rsid w:val="004F037D"/>
    <w:rsid w:val="004F04E9"/>
    <w:rsid w:val="004F0A4D"/>
    <w:rsid w:val="004F0E8E"/>
    <w:rsid w:val="004F1353"/>
    <w:rsid w:val="004F159D"/>
    <w:rsid w:val="004F17C7"/>
    <w:rsid w:val="004F24E3"/>
    <w:rsid w:val="004F2936"/>
    <w:rsid w:val="004F2B19"/>
    <w:rsid w:val="004F2C85"/>
    <w:rsid w:val="004F2D2A"/>
    <w:rsid w:val="004F2F38"/>
    <w:rsid w:val="004F30E4"/>
    <w:rsid w:val="004F33E4"/>
    <w:rsid w:val="004F34FD"/>
    <w:rsid w:val="004F38DD"/>
    <w:rsid w:val="004F3C12"/>
    <w:rsid w:val="004F3D7D"/>
    <w:rsid w:val="004F4500"/>
    <w:rsid w:val="004F4962"/>
    <w:rsid w:val="004F4CC4"/>
    <w:rsid w:val="004F5405"/>
    <w:rsid w:val="004F5B30"/>
    <w:rsid w:val="004F604A"/>
    <w:rsid w:val="004F6DC4"/>
    <w:rsid w:val="004F6EC7"/>
    <w:rsid w:val="004F725D"/>
    <w:rsid w:val="004F73CA"/>
    <w:rsid w:val="004F7C6D"/>
    <w:rsid w:val="00500250"/>
    <w:rsid w:val="0050047D"/>
    <w:rsid w:val="00500E70"/>
    <w:rsid w:val="00500EB3"/>
    <w:rsid w:val="00500F1A"/>
    <w:rsid w:val="00500FFF"/>
    <w:rsid w:val="00501318"/>
    <w:rsid w:val="00501882"/>
    <w:rsid w:val="00501DAA"/>
    <w:rsid w:val="0050218A"/>
    <w:rsid w:val="005028BD"/>
    <w:rsid w:val="005028C6"/>
    <w:rsid w:val="005034B7"/>
    <w:rsid w:val="005035BA"/>
    <w:rsid w:val="00504529"/>
    <w:rsid w:val="00504E9D"/>
    <w:rsid w:val="00504FC9"/>
    <w:rsid w:val="00504FE1"/>
    <w:rsid w:val="005052FC"/>
    <w:rsid w:val="00505808"/>
    <w:rsid w:val="00505CF0"/>
    <w:rsid w:val="00506086"/>
    <w:rsid w:val="0050608B"/>
    <w:rsid w:val="005060A5"/>
    <w:rsid w:val="0050789C"/>
    <w:rsid w:val="00507E8B"/>
    <w:rsid w:val="00507EBE"/>
    <w:rsid w:val="0051010E"/>
    <w:rsid w:val="00510823"/>
    <w:rsid w:val="0051101F"/>
    <w:rsid w:val="00511280"/>
    <w:rsid w:val="005114B2"/>
    <w:rsid w:val="0051155E"/>
    <w:rsid w:val="00511594"/>
    <w:rsid w:val="005116B5"/>
    <w:rsid w:val="00512637"/>
    <w:rsid w:val="00512DC6"/>
    <w:rsid w:val="0051341F"/>
    <w:rsid w:val="005136BB"/>
    <w:rsid w:val="00513BF2"/>
    <w:rsid w:val="00514826"/>
    <w:rsid w:val="00514BD9"/>
    <w:rsid w:val="005150F0"/>
    <w:rsid w:val="005157A2"/>
    <w:rsid w:val="00515F36"/>
    <w:rsid w:val="005160A6"/>
    <w:rsid w:val="00516544"/>
    <w:rsid w:val="005165DD"/>
    <w:rsid w:val="00516BCF"/>
    <w:rsid w:val="005171C9"/>
    <w:rsid w:val="005175BC"/>
    <w:rsid w:val="00517C9A"/>
    <w:rsid w:val="005202A7"/>
    <w:rsid w:val="005208B2"/>
    <w:rsid w:val="00520FA7"/>
    <w:rsid w:val="00521EA9"/>
    <w:rsid w:val="005233E9"/>
    <w:rsid w:val="0052365F"/>
    <w:rsid w:val="00523B7A"/>
    <w:rsid w:val="00523C69"/>
    <w:rsid w:val="00523CB3"/>
    <w:rsid w:val="005248CC"/>
    <w:rsid w:val="00524A50"/>
    <w:rsid w:val="00524F00"/>
    <w:rsid w:val="00525160"/>
    <w:rsid w:val="00525188"/>
    <w:rsid w:val="00525AB6"/>
    <w:rsid w:val="00525AD1"/>
    <w:rsid w:val="0052658C"/>
    <w:rsid w:val="005265CB"/>
    <w:rsid w:val="005267E9"/>
    <w:rsid w:val="00526910"/>
    <w:rsid w:val="0052729E"/>
    <w:rsid w:val="00527A01"/>
    <w:rsid w:val="00527AB9"/>
    <w:rsid w:val="00527C03"/>
    <w:rsid w:val="00527CE1"/>
    <w:rsid w:val="005304B2"/>
    <w:rsid w:val="00530C4C"/>
    <w:rsid w:val="00530D33"/>
    <w:rsid w:val="00531053"/>
    <w:rsid w:val="0053211D"/>
    <w:rsid w:val="0053227A"/>
    <w:rsid w:val="00532298"/>
    <w:rsid w:val="00532993"/>
    <w:rsid w:val="00532A1D"/>
    <w:rsid w:val="005331FD"/>
    <w:rsid w:val="005332D7"/>
    <w:rsid w:val="0053360B"/>
    <w:rsid w:val="00533698"/>
    <w:rsid w:val="00533E28"/>
    <w:rsid w:val="00534A60"/>
    <w:rsid w:val="00534E7C"/>
    <w:rsid w:val="00535962"/>
    <w:rsid w:val="00535E86"/>
    <w:rsid w:val="005366BE"/>
    <w:rsid w:val="00536D7E"/>
    <w:rsid w:val="005372A1"/>
    <w:rsid w:val="005379BB"/>
    <w:rsid w:val="00537BCA"/>
    <w:rsid w:val="00537C05"/>
    <w:rsid w:val="00537C80"/>
    <w:rsid w:val="00537D07"/>
    <w:rsid w:val="00540208"/>
    <w:rsid w:val="005403E6"/>
    <w:rsid w:val="005406CA"/>
    <w:rsid w:val="0054079F"/>
    <w:rsid w:val="00541719"/>
    <w:rsid w:val="00541A86"/>
    <w:rsid w:val="00541A8A"/>
    <w:rsid w:val="00541C28"/>
    <w:rsid w:val="005421E1"/>
    <w:rsid w:val="005424C9"/>
    <w:rsid w:val="005425EF"/>
    <w:rsid w:val="005427D4"/>
    <w:rsid w:val="00542A28"/>
    <w:rsid w:val="0054302B"/>
    <w:rsid w:val="0054343C"/>
    <w:rsid w:val="005438FC"/>
    <w:rsid w:val="0054397D"/>
    <w:rsid w:val="005440D7"/>
    <w:rsid w:val="00544A68"/>
    <w:rsid w:val="005451A9"/>
    <w:rsid w:val="0054535E"/>
    <w:rsid w:val="00545400"/>
    <w:rsid w:val="0054540C"/>
    <w:rsid w:val="0054591E"/>
    <w:rsid w:val="005463D2"/>
    <w:rsid w:val="00546409"/>
    <w:rsid w:val="00546DA1"/>
    <w:rsid w:val="005470B2"/>
    <w:rsid w:val="00547356"/>
    <w:rsid w:val="00547DDE"/>
    <w:rsid w:val="00547FBA"/>
    <w:rsid w:val="00550493"/>
    <w:rsid w:val="0055085E"/>
    <w:rsid w:val="00550897"/>
    <w:rsid w:val="005509B0"/>
    <w:rsid w:val="00550AFD"/>
    <w:rsid w:val="005511B8"/>
    <w:rsid w:val="00551234"/>
    <w:rsid w:val="005513CB"/>
    <w:rsid w:val="005514C7"/>
    <w:rsid w:val="00552401"/>
    <w:rsid w:val="0055297A"/>
    <w:rsid w:val="00552A55"/>
    <w:rsid w:val="00553360"/>
    <w:rsid w:val="00553AB1"/>
    <w:rsid w:val="005542C5"/>
    <w:rsid w:val="005549B4"/>
    <w:rsid w:val="00554E67"/>
    <w:rsid w:val="00555038"/>
    <w:rsid w:val="00555252"/>
    <w:rsid w:val="00555830"/>
    <w:rsid w:val="005560B2"/>
    <w:rsid w:val="00556B46"/>
    <w:rsid w:val="00556BF3"/>
    <w:rsid w:val="00556D95"/>
    <w:rsid w:val="005572EF"/>
    <w:rsid w:val="0055756E"/>
    <w:rsid w:val="00557D31"/>
    <w:rsid w:val="00557EB4"/>
    <w:rsid w:val="005600C8"/>
    <w:rsid w:val="0056078F"/>
    <w:rsid w:val="00561194"/>
    <w:rsid w:val="00561753"/>
    <w:rsid w:val="00561A92"/>
    <w:rsid w:val="00561B85"/>
    <w:rsid w:val="00561DC7"/>
    <w:rsid w:val="00561ED0"/>
    <w:rsid w:val="00562342"/>
    <w:rsid w:val="0056259F"/>
    <w:rsid w:val="00562774"/>
    <w:rsid w:val="005627FB"/>
    <w:rsid w:val="00562CBE"/>
    <w:rsid w:val="005631BD"/>
    <w:rsid w:val="0056377B"/>
    <w:rsid w:val="00563ACC"/>
    <w:rsid w:val="00564048"/>
    <w:rsid w:val="0056432F"/>
    <w:rsid w:val="0056457F"/>
    <w:rsid w:val="00564BE6"/>
    <w:rsid w:val="00564D49"/>
    <w:rsid w:val="00565245"/>
    <w:rsid w:val="00565A98"/>
    <w:rsid w:val="00565DF1"/>
    <w:rsid w:val="005661B6"/>
    <w:rsid w:val="00566732"/>
    <w:rsid w:val="00566986"/>
    <w:rsid w:val="00566A66"/>
    <w:rsid w:val="00566AF6"/>
    <w:rsid w:val="00566C5B"/>
    <w:rsid w:val="00566FC7"/>
    <w:rsid w:val="005674E5"/>
    <w:rsid w:val="0056750B"/>
    <w:rsid w:val="00570383"/>
    <w:rsid w:val="005706D1"/>
    <w:rsid w:val="00570B11"/>
    <w:rsid w:val="0057118A"/>
    <w:rsid w:val="005716FA"/>
    <w:rsid w:val="00571B79"/>
    <w:rsid w:val="00571D8D"/>
    <w:rsid w:val="00571DA2"/>
    <w:rsid w:val="0057244B"/>
    <w:rsid w:val="0057297A"/>
    <w:rsid w:val="0057302A"/>
    <w:rsid w:val="005735C7"/>
    <w:rsid w:val="00573F56"/>
    <w:rsid w:val="00574806"/>
    <w:rsid w:val="00574989"/>
    <w:rsid w:val="00574EC0"/>
    <w:rsid w:val="00574F98"/>
    <w:rsid w:val="00575267"/>
    <w:rsid w:val="0057533E"/>
    <w:rsid w:val="00575530"/>
    <w:rsid w:val="005757D2"/>
    <w:rsid w:val="0057600A"/>
    <w:rsid w:val="00576578"/>
    <w:rsid w:val="00576C49"/>
    <w:rsid w:val="005776CA"/>
    <w:rsid w:val="00577D51"/>
    <w:rsid w:val="00580075"/>
    <w:rsid w:val="005805A7"/>
    <w:rsid w:val="0058060C"/>
    <w:rsid w:val="00580F5E"/>
    <w:rsid w:val="00581151"/>
    <w:rsid w:val="00581449"/>
    <w:rsid w:val="005816E7"/>
    <w:rsid w:val="00581E49"/>
    <w:rsid w:val="005824EC"/>
    <w:rsid w:val="005828C2"/>
    <w:rsid w:val="00583001"/>
    <w:rsid w:val="00583314"/>
    <w:rsid w:val="00583848"/>
    <w:rsid w:val="00583CED"/>
    <w:rsid w:val="00583FA6"/>
    <w:rsid w:val="005840E8"/>
    <w:rsid w:val="005843E1"/>
    <w:rsid w:val="005846F0"/>
    <w:rsid w:val="0058487D"/>
    <w:rsid w:val="00584B4F"/>
    <w:rsid w:val="00584B56"/>
    <w:rsid w:val="00584E53"/>
    <w:rsid w:val="00584F15"/>
    <w:rsid w:val="005850E6"/>
    <w:rsid w:val="005855CF"/>
    <w:rsid w:val="00585A46"/>
    <w:rsid w:val="00585AD2"/>
    <w:rsid w:val="00585B67"/>
    <w:rsid w:val="00585DE0"/>
    <w:rsid w:val="00585E5B"/>
    <w:rsid w:val="0058655D"/>
    <w:rsid w:val="005869AA"/>
    <w:rsid w:val="00586AFE"/>
    <w:rsid w:val="00586B3B"/>
    <w:rsid w:val="00586B9A"/>
    <w:rsid w:val="00587304"/>
    <w:rsid w:val="005873ED"/>
    <w:rsid w:val="00587862"/>
    <w:rsid w:val="00587934"/>
    <w:rsid w:val="00587AEF"/>
    <w:rsid w:val="005900E4"/>
    <w:rsid w:val="00590536"/>
    <w:rsid w:val="005906E5"/>
    <w:rsid w:val="00590785"/>
    <w:rsid w:val="00590B69"/>
    <w:rsid w:val="005912FA"/>
    <w:rsid w:val="00591AE9"/>
    <w:rsid w:val="00591CC8"/>
    <w:rsid w:val="00591F36"/>
    <w:rsid w:val="00591FF2"/>
    <w:rsid w:val="005921A2"/>
    <w:rsid w:val="0059274B"/>
    <w:rsid w:val="0059277A"/>
    <w:rsid w:val="00592C29"/>
    <w:rsid w:val="0059315E"/>
    <w:rsid w:val="00593A7D"/>
    <w:rsid w:val="00594265"/>
    <w:rsid w:val="005943CB"/>
    <w:rsid w:val="0059494F"/>
    <w:rsid w:val="00594A9B"/>
    <w:rsid w:val="00595305"/>
    <w:rsid w:val="00595B2C"/>
    <w:rsid w:val="00595BC9"/>
    <w:rsid w:val="00595D9B"/>
    <w:rsid w:val="00595FB0"/>
    <w:rsid w:val="00596044"/>
    <w:rsid w:val="005960FB"/>
    <w:rsid w:val="005965E8"/>
    <w:rsid w:val="00596C14"/>
    <w:rsid w:val="005977D7"/>
    <w:rsid w:val="00597ADA"/>
    <w:rsid w:val="00597BC6"/>
    <w:rsid w:val="005A084B"/>
    <w:rsid w:val="005A18CF"/>
    <w:rsid w:val="005A199C"/>
    <w:rsid w:val="005A1B2B"/>
    <w:rsid w:val="005A1F04"/>
    <w:rsid w:val="005A25C6"/>
    <w:rsid w:val="005A2719"/>
    <w:rsid w:val="005A2737"/>
    <w:rsid w:val="005A2BFD"/>
    <w:rsid w:val="005A2D00"/>
    <w:rsid w:val="005A2F6A"/>
    <w:rsid w:val="005A33B8"/>
    <w:rsid w:val="005A3459"/>
    <w:rsid w:val="005A3EA8"/>
    <w:rsid w:val="005A46B8"/>
    <w:rsid w:val="005A55D4"/>
    <w:rsid w:val="005A59A9"/>
    <w:rsid w:val="005A6472"/>
    <w:rsid w:val="005A6625"/>
    <w:rsid w:val="005A6630"/>
    <w:rsid w:val="005A6D50"/>
    <w:rsid w:val="005A6DA2"/>
    <w:rsid w:val="005A782F"/>
    <w:rsid w:val="005A7B36"/>
    <w:rsid w:val="005B019B"/>
    <w:rsid w:val="005B02A8"/>
    <w:rsid w:val="005B0481"/>
    <w:rsid w:val="005B0668"/>
    <w:rsid w:val="005B0682"/>
    <w:rsid w:val="005B118C"/>
    <w:rsid w:val="005B11B7"/>
    <w:rsid w:val="005B124A"/>
    <w:rsid w:val="005B1E86"/>
    <w:rsid w:val="005B2626"/>
    <w:rsid w:val="005B26C7"/>
    <w:rsid w:val="005B2A05"/>
    <w:rsid w:val="005B2BEC"/>
    <w:rsid w:val="005B3485"/>
    <w:rsid w:val="005B3577"/>
    <w:rsid w:val="005B3928"/>
    <w:rsid w:val="005B406B"/>
    <w:rsid w:val="005B4461"/>
    <w:rsid w:val="005B4E20"/>
    <w:rsid w:val="005B5170"/>
    <w:rsid w:val="005B5CB0"/>
    <w:rsid w:val="005B5CE5"/>
    <w:rsid w:val="005B5F48"/>
    <w:rsid w:val="005B6292"/>
    <w:rsid w:val="005B6731"/>
    <w:rsid w:val="005B6970"/>
    <w:rsid w:val="005B6A89"/>
    <w:rsid w:val="005B6CFA"/>
    <w:rsid w:val="005B7043"/>
    <w:rsid w:val="005B710B"/>
    <w:rsid w:val="005B73BA"/>
    <w:rsid w:val="005B767D"/>
    <w:rsid w:val="005B7CC7"/>
    <w:rsid w:val="005C00D4"/>
    <w:rsid w:val="005C0393"/>
    <w:rsid w:val="005C0EC8"/>
    <w:rsid w:val="005C104A"/>
    <w:rsid w:val="005C1EE0"/>
    <w:rsid w:val="005C1F8B"/>
    <w:rsid w:val="005C23FE"/>
    <w:rsid w:val="005C2433"/>
    <w:rsid w:val="005C250B"/>
    <w:rsid w:val="005C2A39"/>
    <w:rsid w:val="005C3748"/>
    <w:rsid w:val="005C487F"/>
    <w:rsid w:val="005C4BC4"/>
    <w:rsid w:val="005C51C0"/>
    <w:rsid w:val="005C5501"/>
    <w:rsid w:val="005C559E"/>
    <w:rsid w:val="005C55A6"/>
    <w:rsid w:val="005C5EFF"/>
    <w:rsid w:val="005C6921"/>
    <w:rsid w:val="005C6E05"/>
    <w:rsid w:val="005C6EA8"/>
    <w:rsid w:val="005C6F00"/>
    <w:rsid w:val="005C75D4"/>
    <w:rsid w:val="005C76B6"/>
    <w:rsid w:val="005D02BD"/>
    <w:rsid w:val="005D1114"/>
    <w:rsid w:val="005D1A37"/>
    <w:rsid w:val="005D1EE7"/>
    <w:rsid w:val="005D2485"/>
    <w:rsid w:val="005D29EC"/>
    <w:rsid w:val="005D2AA4"/>
    <w:rsid w:val="005D2EC3"/>
    <w:rsid w:val="005D33CA"/>
    <w:rsid w:val="005D3554"/>
    <w:rsid w:val="005D3D17"/>
    <w:rsid w:val="005D591E"/>
    <w:rsid w:val="005D5940"/>
    <w:rsid w:val="005D5DC7"/>
    <w:rsid w:val="005D5E34"/>
    <w:rsid w:val="005D60E5"/>
    <w:rsid w:val="005D61F4"/>
    <w:rsid w:val="005D66FE"/>
    <w:rsid w:val="005D6732"/>
    <w:rsid w:val="005D69B8"/>
    <w:rsid w:val="005D6C54"/>
    <w:rsid w:val="005D71EE"/>
    <w:rsid w:val="005D730C"/>
    <w:rsid w:val="005D73FB"/>
    <w:rsid w:val="005D76D6"/>
    <w:rsid w:val="005D7C09"/>
    <w:rsid w:val="005E01AF"/>
    <w:rsid w:val="005E0673"/>
    <w:rsid w:val="005E0C2F"/>
    <w:rsid w:val="005E0C5D"/>
    <w:rsid w:val="005E111C"/>
    <w:rsid w:val="005E1739"/>
    <w:rsid w:val="005E2655"/>
    <w:rsid w:val="005E2695"/>
    <w:rsid w:val="005E2989"/>
    <w:rsid w:val="005E30B0"/>
    <w:rsid w:val="005E318C"/>
    <w:rsid w:val="005E349E"/>
    <w:rsid w:val="005E386C"/>
    <w:rsid w:val="005E40F1"/>
    <w:rsid w:val="005E464A"/>
    <w:rsid w:val="005E4879"/>
    <w:rsid w:val="005E49AB"/>
    <w:rsid w:val="005E4B08"/>
    <w:rsid w:val="005E50CB"/>
    <w:rsid w:val="005E58CC"/>
    <w:rsid w:val="005E5D27"/>
    <w:rsid w:val="005E6145"/>
    <w:rsid w:val="005E61C4"/>
    <w:rsid w:val="005E652D"/>
    <w:rsid w:val="005E6C26"/>
    <w:rsid w:val="005E7091"/>
    <w:rsid w:val="005E73D6"/>
    <w:rsid w:val="005E7437"/>
    <w:rsid w:val="005E75EC"/>
    <w:rsid w:val="005E7605"/>
    <w:rsid w:val="005E772F"/>
    <w:rsid w:val="005E7C19"/>
    <w:rsid w:val="005F0600"/>
    <w:rsid w:val="005F0E86"/>
    <w:rsid w:val="005F0F88"/>
    <w:rsid w:val="005F17F0"/>
    <w:rsid w:val="005F24AC"/>
    <w:rsid w:val="005F24AF"/>
    <w:rsid w:val="005F258C"/>
    <w:rsid w:val="005F2CD1"/>
    <w:rsid w:val="005F31C4"/>
    <w:rsid w:val="005F3FC4"/>
    <w:rsid w:val="005F4164"/>
    <w:rsid w:val="005F5D0A"/>
    <w:rsid w:val="005F5FD9"/>
    <w:rsid w:val="005F62B8"/>
    <w:rsid w:val="005F6994"/>
    <w:rsid w:val="005F6C97"/>
    <w:rsid w:val="005F6D89"/>
    <w:rsid w:val="005F6E01"/>
    <w:rsid w:val="005F6EEE"/>
    <w:rsid w:val="005F7AEA"/>
    <w:rsid w:val="00600359"/>
    <w:rsid w:val="00600674"/>
    <w:rsid w:val="00601015"/>
    <w:rsid w:val="00601748"/>
    <w:rsid w:val="00601AF0"/>
    <w:rsid w:val="00601C50"/>
    <w:rsid w:val="00602227"/>
    <w:rsid w:val="00602688"/>
    <w:rsid w:val="006027F0"/>
    <w:rsid w:val="00602D8C"/>
    <w:rsid w:val="006031CB"/>
    <w:rsid w:val="00604608"/>
    <w:rsid w:val="006048FA"/>
    <w:rsid w:val="0060497B"/>
    <w:rsid w:val="00604E4D"/>
    <w:rsid w:val="006051DC"/>
    <w:rsid w:val="006052C6"/>
    <w:rsid w:val="00605B8E"/>
    <w:rsid w:val="00605E80"/>
    <w:rsid w:val="00605F34"/>
    <w:rsid w:val="00606237"/>
    <w:rsid w:val="00606524"/>
    <w:rsid w:val="00606680"/>
    <w:rsid w:val="00606A00"/>
    <w:rsid w:val="00606B4A"/>
    <w:rsid w:val="00606C3B"/>
    <w:rsid w:val="00606DFC"/>
    <w:rsid w:val="00606EC1"/>
    <w:rsid w:val="00606F22"/>
    <w:rsid w:val="00606F6A"/>
    <w:rsid w:val="00607087"/>
    <w:rsid w:val="0060772A"/>
    <w:rsid w:val="00607E4D"/>
    <w:rsid w:val="0061071F"/>
    <w:rsid w:val="00610B2C"/>
    <w:rsid w:val="00610DA7"/>
    <w:rsid w:val="0061129E"/>
    <w:rsid w:val="00611F5B"/>
    <w:rsid w:val="00612D50"/>
    <w:rsid w:val="00613EED"/>
    <w:rsid w:val="0061416E"/>
    <w:rsid w:val="0061464E"/>
    <w:rsid w:val="00614CED"/>
    <w:rsid w:val="00614D05"/>
    <w:rsid w:val="00615123"/>
    <w:rsid w:val="006157C8"/>
    <w:rsid w:val="00615C99"/>
    <w:rsid w:val="00616427"/>
    <w:rsid w:val="006169F7"/>
    <w:rsid w:val="00616D93"/>
    <w:rsid w:val="00616EFB"/>
    <w:rsid w:val="00617068"/>
    <w:rsid w:val="00617120"/>
    <w:rsid w:val="00617236"/>
    <w:rsid w:val="006172B0"/>
    <w:rsid w:val="00617384"/>
    <w:rsid w:val="00617435"/>
    <w:rsid w:val="006174BA"/>
    <w:rsid w:val="006176D8"/>
    <w:rsid w:val="00617BD7"/>
    <w:rsid w:val="00617E63"/>
    <w:rsid w:val="00617F81"/>
    <w:rsid w:val="00620A6D"/>
    <w:rsid w:val="00620AF1"/>
    <w:rsid w:val="006212C7"/>
    <w:rsid w:val="006212D5"/>
    <w:rsid w:val="00621359"/>
    <w:rsid w:val="006214B2"/>
    <w:rsid w:val="00621E88"/>
    <w:rsid w:val="006222A6"/>
    <w:rsid w:val="0062275D"/>
    <w:rsid w:val="00623845"/>
    <w:rsid w:val="00623E5B"/>
    <w:rsid w:val="0062436C"/>
    <w:rsid w:val="00624A04"/>
    <w:rsid w:val="00624A19"/>
    <w:rsid w:val="00624C5C"/>
    <w:rsid w:val="006250A7"/>
    <w:rsid w:val="00625180"/>
    <w:rsid w:val="006252A9"/>
    <w:rsid w:val="00625339"/>
    <w:rsid w:val="0062540B"/>
    <w:rsid w:val="0062567A"/>
    <w:rsid w:val="00625931"/>
    <w:rsid w:val="00625996"/>
    <w:rsid w:val="00626588"/>
    <w:rsid w:val="00626B40"/>
    <w:rsid w:val="00626C01"/>
    <w:rsid w:val="00626E27"/>
    <w:rsid w:val="0062772F"/>
    <w:rsid w:val="0062792C"/>
    <w:rsid w:val="00627D73"/>
    <w:rsid w:val="00627FD3"/>
    <w:rsid w:val="00630320"/>
    <w:rsid w:val="0063037A"/>
    <w:rsid w:val="00630383"/>
    <w:rsid w:val="0063049C"/>
    <w:rsid w:val="0063051A"/>
    <w:rsid w:val="0063075E"/>
    <w:rsid w:val="00631220"/>
    <w:rsid w:val="00631A62"/>
    <w:rsid w:val="006322FA"/>
    <w:rsid w:val="00632309"/>
    <w:rsid w:val="00632805"/>
    <w:rsid w:val="00632B86"/>
    <w:rsid w:val="006333D2"/>
    <w:rsid w:val="0063359C"/>
    <w:rsid w:val="00633C83"/>
    <w:rsid w:val="00633F48"/>
    <w:rsid w:val="00634450"/>
    <w:rsid w:val="00635B69"/>
    <w:rsid w:val="00635E18"/>
    <w:rsid w:val="00636393"/>
    <w:rsid w:val="0063672A"/>
    <w:rsid w:val="0063685A"/>
    <w:rsid w:val="00636C69"/>
    <w:rsid w:val="00637507"/>
    <w:rsid w:val="00637963"/>
    <w:rsid w:val="00637964"/>
    <w:rsid w:val="00637A19"/>
    <w:rsid w:val="00637B29"/>
    <w:rsid w:val="00637D90"/>
    <w:rsid w:val="00640AA1"/>
    <w:rsid w:val="00640AA5"/>
    <w:rsid w:val="00640B37"/>
    <w:rsid w:val="00640BE6"/>
    <w:rsid w:val="00640D22"/>
    <w:rsid w:val="00641A01"/>
    <w:rsid w:val="00641B7A"/>
    <w:rsid w:val="00642CAE"/>
    <w:rsid w:val="00643014"/>
    <w:rsid w:val="0064341D"/>
    <w:rsid w:val="006437CE"/>
    <w:rsid w:val="0064398D"/>
    <w:rsid w:val="00643C41"/>
    <w:rsid w:val="00643C84"/>
    <w:rsid w:val="00644B0E"/>
    <w:rsid w:val="00644DFF"/>
    <w:rsid w:val="00645961"/>
    <w:rsid w:val="00645ACA"/>
    <w:rsid w:val="00645BFB"/>
    <w:rsid w:val="00645DD3"/>
    <w:rsid w:val="006467C2"/>
    <w:rsid w:val="00646BC6"/>
    <w:rsid w:val="00646C18"/>
    <w:rsid w:val="00646E10"/>
    <w:rsid w:val="0064746C"/>
    <w:rsid w:val="00647728"/>
    <w:rsid w:val="00647843"/>
    <w:rsid w:val="00647F77"/>
    <w:rsid w:val="0065153F"/>
    <w:rsid w:val="006518B5"/>
    <w:rsid w:val="00651E6B"/>
    <w:rsid w:val="006520F4"/>
    <w:rsid w:val="0065265F"/>
    <w:rsid w:val="00652883"/>
    <w:rsid w:val="00652ABA"/>
    <w:rsid w:val="006530CD"/>
    <w:rsid w:val="006532C9"/>
    <w:rsid w:val="00653B83"/>
    <w:rsid w:val="00654541"/>
    <w:rsid w:val="0065466E"/>
    <w:rsid w:val="006546D7"/>
    <w:rsid w:val="00654BA7"/>
    <w:rsid w:val="00654CC9"/>
    <w:rsid w:val="006551F2"/>
    <w:rsid w:val="00655395"/>
    <w:rsid w:val="006557BE"/>
    <w:rsid w:val="006558CB"/>
    <w:rsid w:val="00655D87"/>
    <w:rsid w:val="00655DD7"/>
    <w:rsid w:val="00655EF1"/>
    <w:rsid w:val="006568F2"/>
    <w:rsid w:val="006570E7"/>
    <w:rsid w:val="00657219"/>
    <w:rsid w:val="006575D7"/>
    <w:rsid w:val="00657B41"/>
    <w:rsid w:val="00657B7F"/>
    <w:rsid w:val="00657F1D"/>
    <w:rsid w:val="0066003B"/>
    <w:rsid w:val="006606DF"/>
    <w:rsid w:val="006608EC"/>
    <w:rsid w:val="00660E53"/>
    <w:rsid w:val="0066141F"/>
    <w:rsid w:val="0066209B"/>
    <w:rsid w:val="0066284C"/>
    <w:rsid w:val="006632BD"/>
    <w:rsid w:val="0066366D"/>
    <w:rsid w:val="0066380C"/>
    <w:rsid w:val="006639EB"/>
    <w:rsid w:val="00664C44"/>
    <w:rsid w:val="006650CF"/>
    <w:rsid w:val="00665984"/>
    <w:rsid w:val="0066633C"/>
    <w:rsid w:val="006667C2"/>
    <w:rsid w:val="006667E7"/>
    <w:rsid w:val="00666AAE"/>
    <w:rsid w:val="00666AE8"/>
    <w:rsid w:val="00670014"/>
    <w:rsid w:val="00670398"/>
    <w:rsid w:val="00670E4D"/>
    <w:rsid w:val="00671AED"/>
    <w:rsid w:val="00671F6F"/>
    <w:rsid w:val="00671F70"/>
    <w:rsid w:val="0067229C"/>
    <w:rsid w:val="00672ECF"/>
    <w:rsid w:val="00672F46"/>
    <w:rsid w:val="006730F8"/>
    <w:rsid w:val="0067317A"/>
    <w:rsid w:val="006733BA"/>
    <w:rsid w:val="00673865"/>
    <w:rsid w:val="00673A47"/>
    <w:rsid w:val="00673B9E"/>
    <w:rsid w:val="00673CC7"/>
    <w:rsid w:val="006744E6"/>
    <w:rsid w:val="00674625"/>
    <w:rsid w:val="0067476E"/>
    <w:rsid w:val="0067636C"/>
    <w:rsid w:val="00676830"/>
    <w:rsid w:val="00676B6B"/>
    <w:rsid w:val="00676BFB"/>
    <w:rsid w:val="00676FB1"/>
    <w:rsid w:val="0067702C"/>
    <w:rsid w:val="00677663"/>
    <w:rsid w:val="0067799B"/>
    <w:rsid w:val="006779A8"/>
    <w:rsid w:val="00677A2C"/>
    <w:rsid w:val="00677CF1"/>
    <w:rsid w:val="00677DF7"/>
    <w:rsid w:val="0068006E"/>
    <w:rsid w:val="0068032E"/>
    <w:rsid w:val="00680465"/>
    <w:rsid w:val="006805E5"/>
    <w:rsid w:val="00680699"/>
    <w:rsid w:val="00680822"/>
    <w:rsid w:val="00680C38"/>
    <w:rsid w:val="00680D4B"/>
    <w:rsid w:val="00681167"/>
    <w:rsid w:val="006811B8"/>
    <w:rsid w:val="006812BE"/>
    <w:rsid w:val="0068133A"/>
    <w:rsid w:val="006815E7"/>
    <w:rsid w:val="00681ECE"/>
    <w:rsid w:val="00681FAE"/>
    <w:rsid w:val="006820FB"/>
    <w:rsid w:val="006823EA"/>
    <w:rsid w:val="006824FD"/>
    <w:rsid w:val="00682853"/>
    <w:rsid w:val="00683249"/>
    <w:rsid w:val="00683F67"/>
    <w:rsid w:val="00684485"/>
    <w:rsid w:val="00684CB8"/>
    <w:rsid w:val="0068548C"/>
    <w:rsid w:val="006857BA"/>
    <w:rsid w:val="00685850"/>
    <w:rsid w:val="00685BD8"/>
    <w:rsid w:val="006863F7"/>
    <w:rsid w:val="00686857"/>
    <w:rsid w:val="00686931"/>
    <w:rsid w:val="006869FA"/>
    <w:rsid w:val="00687023"/>
    <w:rsid w:val="00687051"/>
    <w:rsid w:val="006870BE"/>
    <w:rsid w:val="0068744C"/>
    <w:rsid w:val="00687D1B"/>
    <w:rsid w:val="006901C2"/>
    <w:rsid w:val="006906D8"/>
    <w:rsid w:val="00691291"/>
    <w:rsid w:val="006912BF"/>
    <w:rsid w:val="006920C2"/>
    <w:rsid w:val="00692C45"/>
    <w:rsid w:val="00692ED8"/>
    <w:rsid w:val="006931B4"/>
    <w:rsid w:val="00693550"/>
    <w:rsid w:val="00693592"/>
    <w:rsid w:val="006936F3"/>
    <w:rsid w:val="006937A2"/>
    <w:rsid w:val="00693866"/>
    <w:rsid w:val="00693B61"/>
    <w:rsid w:val="00694040"/>
    <w:rsid w:val="006949E1"/>
    <w:rsid w:val="00694D75"/>
    <w:rsid w:val="006953FB"/>
    <w:rsid w:val="006973DE"/>
    <w:rsid w:val="006978D9"/>
    <w:rsid w:val="00697B4B"/>
    <w:rsid w:val="00697C9C"/>
    <w:rsid w:val="006A0218"/>
    <w:rsid w:val="006A1D7A"/>
    <w:rsid w:val="006A224F"/>
    <w:rsid w:val="006A2CB3"/>
    <w:rsid w:val="006A2E0E"/>
    <w:rsid w:val="006A2FF3"/>
    <w:rsid w:val="006A3466"/>
    <w:rsid w:val="006A373D"/>
    <w:rsid w:val="006A3B85"/>
    <w:rsid w:val="006A40F9"/>
    <w:rsid w:val="006A4449"/>
    <w:rsid w:val="006A4EAA"/>
    <w:rsid w:val="006A4F2E"/>
    <w:rsid w:val="006A573F"/>
    <w:rsid w:val="006A59DD"/>
    <w:rsid w:val="006A5AC2"/>
    <w:rsid w:val="006A5D49"/>
    <w:rsid w:val="006A5E9D"/>
    <w:rsid w:val="006A6007"/>
    <w:rsid w:val="006A62D4"/>
    <w:rsid w:val="006A66DC"/>
    <w:rsid w:val="006A6C9D"/>
    <w:rsid w:val="006A70DC"/>
    <w:rsid w:val="006A720F"/>
    <w:rsid w:val="006A729C"/>
    <w:rsid w:val="006A7500"/>
    <w:rsid w:val="006A789A"/>
    <w:rsid w:val="006A78A7"/>
    <w:rsid w:val="006A7946"/>
    <w:rsid w:val="006A7A22"/>
    <w:rsid w:val="006A7BC9"/>
    <w:rsid w:val="006A7C04"/>
    <w:rsid w:val="006B02F2"/>
    <w:rsid w:val="006B0EAC"/>
    <w:rsid w:val="006B12EA"/>
    <w:rsid w:val="006B139A"/>
    <w:rsid w:val="006B13A1"/>
    <w:rsid w:val="006B1585"/>
    <w:rsid w:val="006B259F"/>
    <w:rsid w:val="006B271C"/>
    <w:rsid w:val="006B2729"/>
    <w:rsid w:val="006B2AC2"/>
    <w:rsid w:val="006B3550"/>
    <w:rsid w:val="006B3BB6"/>
    <w:rsid w:val="006B407A"/>
    <w:rsid w:val="006B49D4"/>
    <w:rsid w:val="006B49F2"/>
    <w:rsid w:val="006B4CE0"/>
    <w:rsid w:val="006B508F"/>
    <w:rsid w:val="006B5F04"/>
    <w:rsid w:val="006B5FA1"/>
    <w:rsid w:val="006B6336"/>
    <w:rsid w:val="006B676E"/>
    <w:rsid w:val="006B6AD5"/>
    <w:rsid w:val="006B7203"/>
    <w:rsid w:val="006B765C"/>
    <w:rsid w:val="006B7824"/>
    <w:rsid w:val="006B7B9D"/>
    <w:rsid w:val="006C012E"/>
    <w:rsid w:val="006C0213"/>
    <w:rsid w:val="006C0357"/>
    <w:rsid w:val="006C08D2"/>
    <w:rsid w:val="006C0968"/>
    <w:rsid w:val="006C0A78"/>
    <w:rsid w:val="006C0BB1"/>
    <w:rsid w:val="006C1042"/>
    <w:rsid w:val="006C146B"/>
    <w:rsid w:val="006C18B0"/>
    <w:rsid w:val="006C2173"/>
    <w:rsid w:val="006C25EA"/>
    <w:rsid w:val="006C27C1"/>
    <w:rsid w:val="006C2B6B"/>
    <w:rsid w:val="006C2EDF"/>
    <w:rsid w:val="006C2FE1"/>
    <w:rsid w:val="006C303F"/>
    <w:rsid w:val="006C3BA5"/>
    <w:rsid w:val="006C426D"/>
    <w:rsid w:val="006C454C"/>
    <w:rsid w:val="006C458A"/>
    <w:rsid w:val="006C4C24"/>
    <w:rsid w:val="006C4F07"/>
    <w:rsid w:val="006C5295"/>
    <w:rsid w:val="006C52F6"/>
    <w:rsid w:val="006C5F97"/>
    <w:rsid w:val="006C6784"/>
    <w:rsid w:val="006C6852"/>
    <w:rsid w:val="006C6B26"/>
    <w:rsid w:val="006C6BB7"/>
    <w:rsid w:val="006C6DEF"/>
    <w:rsid w:val="006C6FAE"/>
    <w:rsid w:val="006C70F3"/>
    <w:rsid w:val="006C7B23"/>
    <w:rsid w:val="006C7B43"/>
    <w:rsid w:val="006C7EDE"/>
    <w:rsid w:val="006C7F63"/>
    <w:rsid w:val="006D06E3"/>
    <w:rsid w:val="006D074C"/>
    <w:rsid w:val="006D123F"/>
    <w:rsid w:val="006D1569"/>
    <w:rsid w:val="006D22F9"/>
    <w:rsid w:val="006D2450"/>
    <w:rsid w:val="006D2B37"/>
    <w:rsid w:val="006D2D3B"/>
    <w:rsid w:val="006D2E74"/>
    <w:rsid w:val="006D2E88"/>
    <w:rsid w:val="006D31A2"/>
    <w:rsid w:val="006D3646"/>
    <w:rsid w:val="006D3D3F"/>
    <w:rsid w:val="006D40C2"/>
    <w:rsid w:val="006D42CD"/>
    <w:rsid w:val="006D44D6"/>
    <w:rsid w:val="006D4714"/>
    <w:rsid w:val="006D612A"/>
    <w:rsid w:val="006D6618"/>
    <w:rsid w:val="006D6ABA"/>
    <w:rsid w:val="006D6D0B"/>
    <w:rsid w:val="006D6F8F"/>
    <w:rsid w:val="006D755C"/>
    <w:rsid w:val="006D77EA"/>
    <w:rsid w:val="006D7937"/>
    <w:rsid w:val="006E0936"/>
    <w:rsid w:val="006E0E3C"/>
    <w:rsid w:val="006E102E"/>
    <w:rsid w:val="006E2AD7"/>
    <w:rsid w:val="006E2B5C"/>
    <w:rsid w:val="006E2EC7"/>
    <w:rsid w:val="006E35B7"/>
    <w:rsid w:val="006E37EE"/>
    <w:rsid w:val="006E391F"/>
    <w:rsid w:val="006E3C32"/>
    <w:rsid w:val="006E3D7D"/>
    <w:rsid w:val="006E3EBB"/>
    <w:rsid w:val="006E45D9"/>
    <w:rsid w:val="006E485B"/>
    <w:rsid w:val="006E49B7"/>
    <w:rsid w:val="006E49FA"/>
    <w:rsid w:val="006E4C5B"/>
    <w:rsid w:val="006E5803"/>
    <w:rsid w:val="006E5EFC"/>
    <w:rsid w:val="006E5FC8"/>
    <w:rsid w:val="006E62A0"/>
    <w:rsid w:val="006E692B"/>
    <w:rsid w:val="006E6D62"/>
    <w:rsid w:val="006E6F9A"/>
    <w:rsid w:val="006E7002"/>
    <w:rsid w:val="006E72C1"/>
    <w:rsid w:val="006E72C8"/>
    <w:rsid w:val="006E73AC"/>
    <w:rsid w:val="006E7522"/>
    <w:rsid w:val="006E75A5"/>
    <w:rsid w:val="006E7737"/>
    <w:rsid w:val="006E7A87"/>
    <w:rsid w:val="006E7BCF"/>
    <w:rsid w:val="006F07B9"/>
    <w:rsid w:val="006F10FD"/>
    <w:rsid w:val="006F1C20"/>
    <w:rsid w:val="006F1EC8"/>
    <w:rsid w:val="006F253A"/>
    <w:rsid w:val="006F26C2"/>
    <w:rsid w:val="006F2707"/>
    <w:rsid w:val="006F375D"/>
    <w:rsid w:val="006F37A0"/>
    <w:rsid w:val="006F3E97"/>
    <w:rsid w:val="006F3F09"/>
    <w:rsid w:val="006F3F43"/>
    <w:rsid w:val="006F411E"/>
    <w:rsid w:val="006F4120"/>
    <w:rsid w:val="006F42C3"/>
    <w:rsid w:val="006F472C"/>
    <w:rsid w:val="006F4C8A"/>
    <w:rsid w:val="006F4E82"/>
    <w:rsid w:val="006F5241"/>
    <w:rsid w:val="006F558E"/>
    <w:rsid w:val="006F5718"/>
    <w:rsid w:val="006F6244"/>
    <w:rsid w:val="006F63CC"/>
    <w:rsid w:val="006F642D"/>
    <w:rsid w:val="006F6BBF"/>
    <w:rsid w:val="006F6E2B"/>
    <w:rsid w:val="006F6FE4"/>
    <w:rsid w:val="006F7250"/>
    <w:rsid w:val="006F7BA3"/>
    <w:rsid w:val="006F7EE2"/>
    <w:rsid w:val="006F7F5D"/>
    <w:rsid w:val="00700230"/>
    <w:rsid w:val="007003D2"/>
    <w:rsid w:val="00700F71"/>
    <w:rsid w:val="007015FE"/>
    <w:rsid w:val="00701B8A"/>
    <w:rsid w:val="00701F38"/>
    <w:rsid w:val="0070221A"/>
    <w:rsid w:val="00702251"/>
    <w:rsid w:val="007022C5"/>
    <w:rsid w:val="007028E3"/>
    <w:rsid w:val="00702967"/>
    <w:rsid w:val="00702A39"/>
    <w:rsid w:val="00702F8F"/>
    <w:rsid w:val="00702FE4"/>
    <w:rsid w:val="00703152"/>
    <w:rsid w:val="00703379"/>
    <w:rsid w:val="007033EC"/>
    <w:rsid w:val="00703495"/>
    <w:rsid w:val="007035A6"/>
    <w:rsid w:val="007035F8"/>
    <w:rsid w:val="00703A28"/>
    <w:rsid w:val="00703CF1"/>
    <w:rsid w:val="00704039"/>
    <w:rsid w:val="007041CD"/>
    <w:rsid w:val="007046C0"/>
    <w:rsid w:val="00704A4F"/>
    <w:rsid w:val="00704A98"/>
    <w:rsid w:val="00704D78"/>
    <w:rsid w:val="00705142"/>
    <w:rsid w:val="007051D9"/>
    <w:rsid w:val="0070585D"/>
    <w:rsid w:val="00705911"/>
    <w:rsid w:val="0070597D"/>
    <w:rsid w:val="00705C29"/>
    <w:rsid w:val="00705CE0"/>
    <w:rsid w:val="0070601E"/>
    <w:rsid w:val="007062D2"/>
    <w:rsid w:val="007066C6"/>
    <w:rsid w:val="00706D20"/>
    <w:rsid w:val="007070BD"/>
    <w:rsid w:val="00707284"/>
    <w:rsid w:val="0070737E"/>
    <w:rsid w:val="007073EE"/>
    <w:rsid w:val="00707C7C"/>
    <w:rsid w:val="00707DEE"/>
    <w:rsid w:val="00710C07"/>
    <w:rsid w:val="007119F5"/>
    <w:rsid w:val="00711DE3"/>
    <w:rsid w:val="00711FE7"/>
    <w:rsid w:val="007122DF"/>
    <w:rsid w:val="00712369"/>
    <w:rsid w:val="00712CA7"/>
    <w:rsid w:val="00712D2A"/>
    <w:rsid w:val="007132CC"/>
    <w:rsid w:val="0071331C"/>
    <w:rsid w:val="00713368"/>
    <w:rsid w:val="007141E2"/>
    <w:rsid w:val="007141E4"/>
    <w:rsid w:val="00714B95"/>
    <w:rsid w:val="0071509B"/>
    <w:rsid w:val="007153D0"/>
    <w:rsid w:val="00715446"/>
    <w:rsid w:val="00716311"/>
    <w:rsid w:val="007164E1"/>
    <w:rsid w:val="00716516"/>
    <w:rsid w:val="00716522"/>
    <w:rsid w:val="00716598"/>
    <w:rsid w:val="00716993"/>
    <w:rsid w:val="007174B5"/>
    <w:rsid w:val="00717AB3"/>
    <w:rsid w:val="00717FA1"/>
    <w:rsid w:val="0072008C"/>
    <w:rsid w:val="00720163"/>
    <w:rsid w:val="00720494"/>
    <w:rsid w:val="007204C7"/>
    <w:rsid w:val="00720D7E"/>
    <w:rsid w:val="0072139E"/>
    <w:rsid w:val="00721883"/>
    <w:rsid w:val="00721C29"/>
    <w:rsid w:val="00721DFE"/>
    <w:rsid w:val="00722764"/>
    <w:rsid w:val="0072286B"/>
    <w:rsid w:val="00722D20"/>
    <w:rsid w:val="00722E72"/>
    <w:rsid w:val="00722EAA"/>
    <w:rsid w:val="007236CA"/>
    <w:rsid w:val="00723764"/>
    <w:rsid w:val="007237D6"/>
    <w:rsid w:val="00723AE2"/>
    <w:rsid w:val="00723D4A"/>
    <w:rsid w:val="00723E6F"/>
    <w:rsid w:val="00724315"/>
    <w:rsid w:val="00724496"/>
    <w:rsid w:val="007246E9"/>
    <w:rsid w:val="007249B0"/>
    <w:rsid w:val="007250F0"/>
    <w:rsid w:val="00725469"/>
    <w:rsid w:val="0072577A"/>
    <w:rsid w:val="007259C9"/>
    <w:rsid w:val="00725B8D"/>
    <w:rsid w:val="00726C28"/>
    <w:rsid w:val="007271F8"/>
    <w:rsid w:val="00727444"/>
    <w:rsid w:val="00727C4C"/>
    <w:rsid w:val="00727F0A"/>
    <w:rsid w:val="007310C2"/>
    <w:rsid w:val="00731AF8"/>
    <w:rsid w:val="00731B06"/>
    <w:rsid w:val="00731C3A"/>
    <w:rsid w:val="00731C65"/>
    <w:rsid w:val="00732402"/>
    <w:rsid w:val="00732A94"/>
    <w:rsid w:val="007335B5"/>
    <w:rsid w:val="007338AC"/>
    <w:rsid w:val="00733996"/>
    <w:rsid w:val="00733A33"/>
    <w:rsid w:val="00734139"/>
    <w:rsid w:val="00734397"/>
    <w:rsid w:val="007349FB"/>
    <w:rsid w:val="00734CD0"/>
    <w:rsid w:val="00734F01"/>
    <w:rsid w:val="00734FF0"/>
    <w:rsid w:val="0073504B"/>
    <w:rsid w:val="0073576A"/>
    <w:rsid w:val="007358C7"/>
    <w:rsid w:val="00735F59"/>
    <w:rsid w:val="00736A76"/>
    <w:rsid w:val="00736E59"/>
    <w:rsid w:val="00736FBA"/>
    <w:rsid w:val="0073736F"/>
    <w:rsid w:val="007379B7"/>
    <w:rsid w:val="00737B9B"/>
    <w:rsid w:val="007404CA"/>
    <w:rsid w:val="00740CE2"/>
    <w:rsid w:val="00740F8E"/>
    <w:rsid w:val="00741557"/>
    <w:rsid w:val="0074188B"/>
    <w:rsid w:val="00741911"/>
    <w:rsid w:val="007423A7"/>
    <w:rsid w:val="00742CDA"/>
    <w:rsid w:val="007435E5"/>
    <w:rsid w:val="00743C30"/>
    <w:rsid w:val="00743FEF"/>
    <w:rsid w:val="007441D9"/>
    <w:rsid w:val="00744270"/>
    <w:rsid w:val="00744465"/>
    <w:rsid w:val="00744631"/>
    <w:rsid w:val="00744786"/>
    <w:rsid w:val="007448E0"/>
    <w:rsid w:val="00744E47"/>
    <w:rsid w:val="00744EF4"/>
    <w:rsid w:val="007458C2"/>
    <w:rsid w:val="00745A9F"/>
    <w:rsid w:val="00745F41"/>
    <w:rsid w:val="00750326"/>
    <w:rsid w:val="00750407"/>
    <w:rsid w:val="0075081C"/>
    <w:rsid w:val="00750E38"/>
    <w:rsid w:val="00751DEC"/>
    <w:rsid w:val="00751F43"/>
    <w:rsid w:val="00752737"/>
    <w:rsid w:val="007529A9"/>
    <w:rsid w:val="007529C5"/>
    <w:rsid w:val="007531CE"/>
    <w:rsid w:val="00753263"/>
    <w:rsid w:val="0075356E"/>
    <w:rsid w:val="007538EB"/>
    <w:rsid w:val="00753E69"/>
    <w:rsid w:val="0075408A"/>
    <w:rsid w:val="007540E8"/>
    <w:rsid w:val="007542C2"/>
    <w:rsid w:val="007545FD"/>
    <w:rsid w:val="007546B1"/>
    <w:rsid w:val="0075489E"/>
    <w:rsid w:val="00754EBE"/>
    <w:rsid w:val="00755592"/>
    <w:rsid w:val="0075571A"/>
    <w:rsid w:val="007559D0"/>
    <w:rsid w:val="00755A42"/>
    <w:rsid w:val="00755D96"/>
    <w:rsid w:val="00756026"/>
    <w:rsid w:val="007560C7"/>
    <w:rsid w:val="00756D3A"/>
    <w:rsid w:val="007570C3"/>
    <w:rsid w:val="00757558"/>
    <w:rsid w:val="0075795C"/>
    <w:rsid w:val="0075796D"/>
    <w:rsid w:val="00757A69"/>
    <w:rsid w:val="00757B8B"/>
    <w:rsid w:val="0076022E"/>
    <w:rsid w:val="007609D9"/>
    <w:rsid w:val="00760E34"/>
    <w:rsid w:val="00760FCD"/>
    <w:rsid w:val="0076136D"/>
    <w:rsid w:val="007616C9"/>
    <w:rsid w:val="0076180D"/>
    <w:rsid w:val="00761BA7"/>
    <w:rsid w:val="00761F08"/>
    <w:rsid w:val="00762078"/>
    <w:rsid w:val="00762407"/>
    <w:rsid w:val="00762CAA"/>
    <w:rsid w:val="00762CE5"/>
    <w:rsid w:val="00762D18"/>
    <w:rsid w:val="00762F7A"/>
    <w:rsid w:val="0076417F"/>
    <w:rsid w:val="00764638"/>
    <w:rsid w:val="007649CC"/>
    <w:rsid w:val="00764A40"/>
    <w:rsid w:val="00764B8A"/>
    <w:rsid w:val="00764C27"/>
    <w:rsid w:val="007650B4"/>
    <w:rsid w:val="007653CE"/>
    <w:rsid w:val="0076593C"/>
    <w:rsid w:val="00766AC9"/>
    <w:rsid w:val="00767092"/>
    <w:rsid w:val="0076719B"/>
    <w:rsid w:val="0076777E"/>
    <w:rsid w:val="00767AA8"/>
    <w:rsid w:val="007704E3"/>
    <w:rsid w:val="007707F4"/>
    <w:rsid w:val="0077087B"/>
    <w:rsid w:val="00770994"/>
    <w:rsid w:val="00770B9E"/>
    <w:rsid w:val="00770CF8"/>
    <w:rsid w:val="00770F04"/>
    <w:rsid w:val="007716A7"/>
    <w:rsid w:val="00771774"/>
    <w:rsid w:val="007719D6"/>
    <w:rsid w:val="007719E2"/>
    <w:rsid w:val="00771F2E"/>
    <w:rsid w:val="00772A20"/>
    <w:rsid w:val="00772A82"/>
    <w:rsid w:val="00772B24"/>
    <w:rsid w:val="00772B28"/>
    <w:rsid w:val="00772B41"/>
    <w:rsid w:val="00772CB0"/>
    <w:rsid w:val="00773340"/>
    <w:rsid w:val="007733C5"/>
    <w:rsid w:val="00773491"/>
    <w:rsid w:val="007734C9"/>
    <w:rsid w:val="0077388A"/>
    <w:rsid w:val="007738CA"/>
    <w:rsid w:val="00773906"/>
    <w:rsid w:val="00773B44"/>
    <w:rsid w:val="00774938"/>
    <w:rsid w:val="00774952"/>
    <w:rsid w:val="0077508C"/>
    <w:rsid w:val="00775EE7"/>
    <w:rsid w:val="00775F6C"/>
    <w:rsid w:val="007763B4"/>
    <w:rsid w:val="007765C4"/>
    <w:rsid w:val="00776F34"/>
    <w:rsid w:val="0077742C"/>
    <w:rsid w:val="00777AD8"/>
    <w:rsid w:val="00777CE6"/>
    <w:rsid w:val="007800AF"/>
    <w:rsid w:val="00780ACA"/>
    <w:rsid w:val="00780C64"/>
    <w:rsid w:val="00780D5B"/>
    <w:rsid w:val="007815A1"/>
    <w:rsid w:val="00781B88"/>
    <w:rsid w:val="00782067"/>
    <w:rsid w:val="007828D3"/>
    <w:rsid w:val="00782910"/>
    <w:rsid w:val="00782ABF"/>
    <w:rsid w:val="00782C9F"/>
    <w:rsid w:val="00783C0C"/>
    <w:rsid w:val="007842E8"/>
    <w:rsid w:val="00784719"/>
    <w:rsid w:val="00784B04"/>
    <w:rsid w:val="00784E20"/>
    <w:rsid w:val="00785721"/>
    <w:rsid w:val="00785953"/>
    <w:rsid w:val="007864A2"/>
    <w:rsid w:val="0078689D"/>
    <w:rsid w:val="00786CE7"/>
    <w:rsid w:val="00787026"/>
    <w:rsid w:val="00787383"/>
    <w:rsid w:val="007875D0"/>
    <w:rsid w:val="00787649"/>
    <w:rsid w:val="00787CB8"/>
    <w:rsid w:val="00787DEF"/>
    <w:rsid w:val="00787F38"/>
    <w:rsid w:val="00787F67"/>
    <w:rsid w:val="00790075"/>
    <w:rsid w:val="007900A0"/>
    <w:rsid w:val="00790482"/>
    <w:rsid w:val="00791213"/>
    <w:rsid w:val="007919F5"/>
    <w:rsid w:val="00791DBC"/>
    <w:rsid w:val="00791DFE"/>
    <w:rsid w:val="00792250"/>
    <w:rsid w:val="007929FD"/>
    <w:rsid w:val="00793469"/>
    <w:rsid w:val="0079387E"/>
    <w:rsid w:val="00793AA7"/>
    <w:rsid w:val="007943D5"/>
    <w:rsid w:val="00794CAE"/>
    <w:rsid w:val="00794E4F"/>
    <w:rsid w:val="00794E5D"/>
    <w:rsid w:val="007957B1"/>
    <w:rsid w:val="007959AC"/>
    <w:rsid w:val="00795C5D"/>
    <w:rsid w:val="00795E16"/>
    <w:rsid w:val="007961D2"/>
    <w:rsid w:val="007964BF"/>
    <w:rsid w:val="0079677E"/>
    <w:rsid w:val="00796B12"/>
    <w:rsid w:val="00796C6F"/>
    <w:rsid w:val="0079746B"/>
    <w:rsid w:val="0079748B"/>
    <w:rsid w:val="007A053E"/>
    <w:rsid w:val="007A11A3"/>
    <w:rsid w:val="007A1645"/>
    <w:rsid w:val="007A212B"/>
    <w:rsid w:val="007A2467"/>
    <w:rsid w:val="007A264F"/>
    <w:rsid w:val="007A26BF"/>
    <w:rsid w:val="007A27CF"/>
    <w:rsid w:val="007A28E4"/>
    <w:rsid w:val="007A2E37"/>
    <w:rsid w:val="007A2E52"/>
    <w:rsid w:val="007A2E9D"/>
    <w:rsid w:val="007A344B"/>
    <w:rsid w:val="007A3911"/>
    <w:rsid w:val="007A399A"/>
    <w:rsid w:val="007A3A34"/>
    <w:rsid w:val="007A3C53"/>
    <w:rsid w:val="007A4396"/>
    <w:rsid w:val="007A44A8"/>
    <w:rsid w:val="007A465F"/>
    <w:rsid w:val="007A4A8D"/>
    <w:rsid w:val="007A4AD6"/>
    <w:rsid w:val="007A4C55"/>
    <w:rsid w:val="007A4C69"/>
    <w:rsid w:val="007A50DC"/>
    <w:rsid w:val="007A5778"/>
    <w:rsid w:val="007A587A"/>
    <w:rsid w:val="007A59EC"/>
    <w:rsid w:val="007A5B47"/>
    <w:rsid w:val="007A5B79"/>
    <w:rsid w:val="007A641C"/>
    <w:rsid w:val="007A6E88"/>
    <w:rsid w:val="007A77A7"/>
    <w:rsid w:val="007A7B86"/>
    <w:rsid w:val="007A7BD8"/>
    <w:rsid w:val="007A7CD6"/>
    <w:rsid w:val="007B0D82"/>
    <w:rsid w:val="007B0DDA"/>
    <w:rsid w:val="007B106C"/>
    <w:rsid w:val="007B16F3"/>
    <w:rsid w:val="007B1830"/>
    <w:rsid w:val="007B1CAC"/>
    <w:rsid w:val="007B1EFD"/>
    <w:rsid w:val="007B2436"/>
    <w:rsid w:val="007B28D9"/>
    <w:rsid w:val="007B29CA"/>
    <w:rsid w:val="007B2B91"/>
    <w:rsid w:val="007B304F"/>
    <w:rsid w:val="007B3191"/>
    <w:rsid w:val="007B417E"/>
    <w:rsid w:val="007B45D2"/>
    <w:rsid w:val="007B4BE5"/>
    <w:rsid w:val="007B4D10"/>
    <w:rsid w:val="007B4D23"/>
    <w:rsid w:val="007B4FBD"/>
    <w:rsid w:val="007B56F3"/>
    <w:rsid w:val="007B5AC0"/>
    <w:rsid w:val="007B5DE5"/>
    <w:rsid w:val="007B607B"/>
    <w:rsid w:val="007B6383"/>
    <w:rsid w:val="007B67B3"/>
    <w:rsid w:val="007B7062"/>
    <w:rsid w:val="007B7386"/>
    <w:rsid w:val="007B7D27"/>
    <w:rsid w:val="007B7D63"/>
    <w:rsid w:val="007B7DE4"/>
    <w:rsid w:val="007B7EEB"/>
    <w:rsid w:val="007C0221"/>
    <w:rsid w:val="007C09F9"/>
    <w:rsid w:val="007C0DC9"/>
    <w:rsid w:val="007C10A8"/>
    <w:rsid w:val="007C10C0"/>
    <w:rsid w:val="007C12A1"/>
    <w:rsid w:val="007C1D20"/>
    <w:rsid w:val="007C1ED7"/>
    <w:rsid w:val="007C1F56"/>
    <w:rsid w:val="007C24D4"/>
    <w:rsid w:val="007C2741"/>
    <w:rsid w:val="007C2C57"/>
    <w:rsid w:val="007C31EE"/>
    <w:rsid w:val="007C34D0"/>
    <w:rsid w:val="007C374B"/>
    <w:rsid w:val="007C3848"/>
    <w:rsid w:val="007C3928"/>
    <w:rsid w:val="007C39CC"/>
    <w:rsid w:val="007C3D2C"/>
    <w:rsid w:val="007C3EAC"/>
    <w:rsid w:val="007C3F49"/>
    <w:rsid w:val="007C4152"/>
    <w:rsid w:val="007C43B7"/>
    <w:rsid w:val="007C48E4"/>
    <w:rsid w:val="007C4DE2"/>
    <w:rsid w:val="007C51BC"/>
    <w:rsid w:val="007C554E"/>
    <w:rsid w:val="007C5A48"/>
    <w:rsid w:val="007C63D9"/>
    <w:rsid w:val="007C64AD"/>
    <w:rsid w:val="007C6578"/>
    <w:rsid w:val="007C6823"/>
    <w:rsid w:val="007C6CF8"/>
    <w:rsid w:val="007C6D77"/>
    <w:rsid w:val="007C6E24"/>
    <w:rsid w:val="007C73F3"/>
    <w:rsid w:val="007C75A5"/>
    <w:rsid w:val="007C7638"/>
    <w:rsid w:val="007C768A"/>
    <w:rsid w:val="007C7AB9"/>
    <w:rsid w:val="007C7C0D"/>
    <w:rsid w:val="007D0200"/>
    <w:rsid w:val="007D0777"/>
    <w:rsid w:val="007D112B"/>
    <w:rsid w:val="007D15B2"/>
    <w:rsid w:val="007D1A89"/>
    <w:rsid w:val="007D2023"/>
    <w:rsid w:val="007D256F"/>
    <w:rsid w:val="007D2A9F"/>
    <w:rsid w:val="007D2D16"/>
    <w:rsid w:val="007D3530"/>
    <w:rsid w:val="007D38CB"/>
    <w:rsid w:val="007D3C56"/>
    <w:rsid w:val="007D3FC2"/>
    <w:rsid w:val="007D5070"/>
    <w:rsid w:val="007D5234"/>
    <w:rsid w:val="007D54E4"/>
    <w:rsid w:val="007D58E3"/>
    <w:rsid w:val="007D6456"/>
    <w:rsid w:val="007D652B"/>
    <w:rsid w:val="007D6763"/>
    <w:rsid w:val="007D6771"/>
    <w:rsid w:val="007D6E6A"/>
    <w:rsid w:val="007D7089"/>
    <w:rsid w:val="007D7819"/>
    <w:rsid w:val="007E074D"/>
    <w:rsid w:val="007E0C2E"/>
    <w:rsid w:val="007E1626"/>
    <w:rsid w:val="007E184B"/>
    <w:rsid w:val="007E1AC7"/>
    <w:rsid w:val="007E20AA"/>
    <w:rsid w:val="007E21ED"/>
    <w:rsid w:val="007E267D"/>
    <w:rsid w:val="007E27E0"/>
    <w:rsid w:val="007E2B60"/>
    <w:rsid w:val="007E2F88"/>
    <w:rsid w:val="007E403E"/>
    <w:rsid w:val="007E43A3"/>
    <w:rsid w:val="007E4532"/>
    <w:rsid w:val="007E458C"/>
    <w:rsid w:val="007E4B1E"/>
    <w:rsid w:val="007E4F5C"/>
    <w:rsid w:val="007E539A"/>
    <w:rsid w:val="007E5715"/>
    <w:rsid w:val="007E59CC"/>
    <w:rsid w:val="007E5F40"/>
    <w:rsid w:val="007E6146"/>
    <w:rsid w:val="007E6BDA"/>
    <w:rsid w:val="007E7188"/>
    <w:rsid w:val="007E7464"/>
    <w:rsid w:val="007E7543"/>
    <w:rsid w:val="007F01F8"/>
    <w:rsid w:val="007F0829"/>
    <w:rsid w:val="007F0850"/>
    <w:rsid w:val="007F1423"/>
    <w:rsid w:val="007F1453"/>
    <w:rsid w:val="007F1491"/>
    <w:rsid w:val="007F23BB"/>
    <w:rsid w:val="007F2418"/>
    <w:rsid w:val="007F2BB0"/>
    <w:rsid w:val="007F2E2E"/>
    <w:rsid w:val="007F3075"/>
    <w:rsid w:val="007F3628"/>
    <w:rsid w:val="007F36B9"/>
    <w:rsid w:val="007F37C0"/>
    <w:rsid w:val="007F39FC"/>
    <w:rsid w:val="007F3BDA"/>
    <w:rsid w:val="007F3E51"/>
    <w:rsid w:val="007F3E76"/>
    <w:rsid w:val="007F3F84"/>
    <w:rsid w:val="007F3FDF"/>
    <w:rsid w:val="007F46E7"/>
    <w:rsid w:val="007F4838"/>
    <w:rsid w:val="007F4C1F"/>
    <w:rsid w:val="007F50B1"/>
    <w:rsid w:val="007F5A6D"/>
    <w:rsid w:val="007F5F5B"/>
    <w:rsid w:val="007F5F73"/>
    <w:rsid w:val="007F67FE"/>
    <w:rsid w:val="007F6826"/>
    <w:rsid w:val="007F6838"/>
    <w:rsid w:val="007F684F"/>
    <w:rsid w:val="007F703D"/>
    <w:rsid w:val="007F706D"/>
    <w:rsid w:val="007F750C"/>
    <w:rsid w:val="007F7CDA"/>
    <w:rsid w:val="007F7D71"/>
    <w:rsid w:val="0080010F"/>
    <w:rsid w:val="0080029D"/>
    <w:rsid w:val="00800321"/>
    <w:rsid w:val="00800835"/>
    <w:rsid w:val="008008D3"/>
    <w:rsid w:val="008008E2"/>
    <w:rsid w:val="00800AA4"/>
    <w:rsid w:val="0080115D"/>
    <w:rsid w:val="00801732"/>
    <w:rsid w:val="00801BB4"/>
    <w:rsid w:val="00801C42"/>
    <w:rsid w:val="0080320B"/>
    <w:rsid w:val="00803B14"/>
    <w:rsid w:val="00803B83"/>
    <w:rsid w:val="00803F46"/>
    <w:rsid w:val="00804004"/>
    <w:rsid w:val="00805EF8"/>
    <w:rsid w:val="00806BDC"/>
    <w:rsid w:val="00806E5D"/>
    <w:rsid w:val="0080707D"/>
    <w:rsid w:val="008071DC"/>
    <w:rsid w:val="008074BC"/>
    <w:rsid w:val="0080755E"/>
    <w:rsid w:val="00807B12"/>
    <w:rsid w:val="00807D28"/>
    <w:rsid w:val="00810280"/>
    <w:rsid w:val="008109C1"/>
    <w:rsid w:val="008117E8"/>
    <w:rsid w:val="00811C02"/>
    <w:rsid w:val="00811C34"/>
    <w:rsid w:val="008122BC"/>
    <w:rsid w:val="00813226"/>
    <w:rsid w:val="00813577"/>
    <w:rsid w:val="0081383E"/>
    <w:rsid w:val="00813C44"/>
    <w:rsid w:val="00813E8D"/>
    <w:rsid w:val="00814520"/>
    <w:rsid w:val="00815191"/>
    <w:rsid w:val="00815319"/>
    <w:rsid w:val="0081537A"/>
    <w:rsid w:val="008155B2"/>
    <w:rsid w:val="00815694"/>
    <w:rsid w:val="00815861"/>
    <w:rsid w:val="008159B8"/>
    <w:rsid w:val="008161F1"/>
    <w:rsid w:val="00816641"/>
    <w:rsid w:val="00816947"/>
    <w:rsid w:val="00816B2F"/>
    <w:rsid w:val="00817114"/>
    <w:rsid w:val="0081759F"/>
    <w:rsid w:val="00817B6F"/>
    <w:rsid w:val="00817D17"/>
    <w:rsid w:val="0082006C"/>
    <w:rsid w:val="0082009B"/>
    <w:rsid w:val="0082039F"/>
    <w:rsid w:val="008219F7"/>
    <w:rsid w:val="00822E5F"/>
    <w:rsid w:val="0082304F"/>
    <w:rsid w:val="00823652"/>
    <w:rsid w:val="00823677"/>
    <w:rsid w:val="008237F3"/>
    <w:rsid w:val="00823FE8"/>
    <w:rsid w:val="008241C3"/>
    <w:rsid w:val="0082450A"/>
    <w:rsid w:val="008249A6"/>
    <w:rsid w:val="00824E72"/>
    <w:rsid w:val="00824ED2"/>
    <w:rsid w:val="00825322"/>
    <w:rsid w:val="00825ACE"/>
    <w:rsid w:val="00826553"/>
    <w:rsid w:val="008274D9"/>
    <w:rsid w:val="008274E6"/>
    <w:rsid w:val="0083136D"/>
    <w:rsid w:val="008319BE"/>
    <w:rsid w:val="00831B95"/>
    <w:rsid w:val="00831EE7"/>
    <w:rsid w:val="00831FC7"/>
    <w:rsid w:val="0083272E"/>
    <w:rsid w:val="0083287C"/>
    <w:rsid w:val="00832AE0"/>
    <w:rsid w:val="00832DCA"/>
    <w:rsid w:val="00833B61"/>
    <w:rsid w:val="00833F91"/>
    <w:rsid w:val="0083460E"/>
    <w:rsid w:val="00834B2E"/>
    <w:rsid w:val="00834EA3"/>
    <w:rsid w:val="00834F4F"/>
    <w:rsid w:val="00836286"/>
    <w:rsid w:val="0083635D"/>
    <w:rsid w:val="008368C6"/>
    <w:rsid w:val="00836902"/>
    <w:rsid w:val="00836DD8"/>
    <w:rsid w:val="00837378"/>
    <w:rsid w:val="008374F8"/>
    <w:rsid w:val="00837843"/>
    <w:rsid w:val="00837AE1"/>
    <w:rsid w:val="00840508"/>
    <w:rsid w:val="00840E02"/>
    <w:rsid w:val="008416AC"/>
    <w:rsid w:val="0084180A"/>
    <w:rsid w:val="00841963"/>
    <w:rsid w:val="008420C1"/>
    <w:rsid w:val="00842439"/>
    <w:rsid w:val="0084263A"/>
    <w:rsid w:val="00842DBD"/>
    <w:rsid w:val="00842E43"/>
    <w:rsid w:val="0084303D"/>
    <w:rsid w:val="00843194"/>
    <w:rsid w:val="00843205"/>
    <w:rsid w:val="00843385"/>
    <w:rsid w:val="008435E5"/>
    <w:rsid w:val="008440DC"/>
    <w:rsid w:val="008442CB"/>
    <w:rsid w:val="008442FD"/>
    <w:rsid w:val="0084508C"/>
    <w:rsid w:val="0084591D"/>
    <w:rsid w:val="008459F8"/>
    <w:rsid w:val="00846209"/>
    <w:rsid w:val="0084655E"/>
    <w:rsid w:val="00846912"/>
    <w:rsid w:val="00846DC5"/>
    <w:rsid w:val="0084717E"/>
    <w:rsid w:val="008475B5"/>
    <w:rsid w:val="0084780E"/>
    <w:rsid w:val="00847BCB"/>
    <w:rsid w:val="00850346"/>
    <w:rsid w:val="00851603"/>
    <w:rsid w:val="0085163A"/>
    <w:rsid w:val="00851A22"/>
    <w:rsid w:val="00852315"/>
    <w:rsid w:val="008524F2"/>
    <w:rsid w:val="008525C1"/>
    <w:rsid w:val="008528AD"/>
    <w:rsid w:val="00852B78"/>
    <w:rsid w:val="00852BB3"/>
    <w:rsid w:val="00852F7A"/>
    <w:rsid w:val="00852FC5"/>
    <w:rsid w:val="00853000"/>
    <w:rsid w:val="00854074"/>
    <w:rsid w:val="0085422D"/>
    <w:rsid w:val="00854F4D"/>
    <w:rsid w:val="008552FD"/>
    <w:rsid w:val="0085590B"/>
    <w:rsid w:val="00855A91"/>
    <w:rsid w:val="00855C68"/>
    <w:rsid w:val="008571DD"/>
    <w:rsid w:val="008576FB"/>
    <w:rsid w:val="0086014F"/>
    <w:rsid w:val="008602B7"/>
    <w:rsid w:val="0086160E"/>
    <w:rsid w:val="0086167E"/>
    <w:rsid w:val="00861B23"/>
    <w:rsid w:val="00861DB6"/>
    <w:rsid w:val="008624A9"/>
    <w:rsid w:val="00862651"/>
    <w:rsid w:val="008627B5"/>
    <w:rsid w:val="00862FF0"/>
    <w:rsid w:val="0086301E"/>
    <w:rsid w:val="008631A1"/>
    <w:rsid w:val="0086339B"/>
    <w:rsid w:val="008633DF"/>
    <w:rsid w:val="008637B0"/>
    <w:rsid w:val="00863E70"/>
    <w:rsid w:val="008641BA"/>
    <w:rsid w:val="008641D5"/>
    <w:rsid w:val="008641FB"/>
    <w:rsid w:val="00864318"/>
    <w:rsid w:val="0086467F"/>
    <w:rsid w:val="00864A32"/>
    <w:rsid w:val="00864D42"/>
    <w:rsid w:val="00864FBA"/>
    <w:rsid w:val="0086532E"/>
    <w:rsid w:val="00865463"/>
    <w:rsid w:val="00866032"/>
    <w:rsid w:val="00866098"/>
    <w:rsid w:val="0086628C"/>
    <w:rsid w:val="008664CB"/>
    <w:rsid w:val="00866C17"/>
    <w:rsid w:val="00866DCB"/>
    <w:rsid w:val="00867640"/>
    <w:rsid w:val="00867C3B"/>
    <w:rsid w:val="00867EF0"/>
    <w:rsid w:val="00867F8A"/>
    <w:rsid w:val="0087078C"/>
    <w:rsid w:val="008712F0"/>
    <w:rsid w:val="00871C32"/>
    <w:rsid w:val="0087209C"/>
    <w:rsid w:val="00872808"/>
    <w:rsid w:val="00872847"/>
    <w:rsid w:val="00873437"/>
    <w:rsid w:val="00873DB8"/>
    <w:rsid w:val="00873FF3"/>
    <w:rsid w:val="0087426E"/>
    <w:rsid w:val="008749D3"/>
    <w:rsid w:val="0087524F"/>
    <w:rsid w:val="00875602"/>
    <w:rsid w:val="0087629B"/>
    <w:rsid w:val="008762DE"/>
    <w:rsid w:val="0087658A"/>
    <w:rsid w:val="00876D8C"/>
    <w:rsid w:val="0087751B"/>
    <w:rsid w:val="00877842"/>
    <w:rsid w:val="00877C0A"/>
    <w:rsid w:val="00877CC5"/>
    <w:rsid w:val="008802B0"/>
    <w:rsid w:val="00880433"/>
    <w:rsid w:val="008805EB"/>
    <w:rsid w:val="00880651"/>
    <w:rsid w:val="00880709"/>
    <w:rsid w:val="00880A73"/>
    <w:rsid w:val="00881B22"/>
    <w:rsid w:val="00881D07"/>
    <w:rsid w:val="00881D5A"/>
    <w:rsid w:val="00881EC0"/>
    <w:rsid w:val="00881FEA"/>
    <w:rsid w:val="00882320"/>
    <w:rsid w:val="00882322"/>
    <w:rsid w:val="0088309D"/>
    <w:rsid w:val="008831D5"/>
    <w:rsid w:val="00883E3D"/>
    <w:rsid w:val="00884046"/>
    <w:rsid w:val="00885298"/>
    <w:rsid w:val="00885544"/>
    <w:rsid w:val="00885671"/>
    <w:rsid w:val="008857E7"/>
    <w:rsid w:val="00885EDF"/>
    <w:rsid w:val="008867D6"/>
    <w:rsid w:val="00886C29"/>
    <w:rsid w:val="00886CFB"/>
    <w:rsid w:val="00886EBB"/>
    <w:rsid w:val="00887326"/>
    <w:rsid w:val="00887577"/>
    <w:rsid w:val="0088774A"/>
    <w:rsid w:val="00887757"/>
    <w:rsid w:val="0089001B"/>
    <w:rsid w:val="0089049D"/>
    <w:rsid w:val="0089050D"/>
    <w:rsid w:val="00890D65"/>
    <w:rsid w:val="0089114B"/>
    <w:rsid w:val="0089121E"/>
    <w:rsid w:val="00891CE7"/>
    <w:rsid w:val="008923AA"/>
    <w:rsid w:val="008924EA"/>
    <w:rsid w:val="00892A59"/>
    <w:rsid w:val="00892D99"/>
    <w:rsid w:val="008933AB"/>
    <w:rsid w:val="0089384F"/>
    <w:rsid w:val="00893AD5"/>
    <w:rsid w:val="00894036"/>
    <w:rsid w:val="0089464C"/>
    <w:rsid w:val="00894A14"/>
    <w:rsid w:val="00894DD2"/>
    <w:rsid w:val="008954D0"/>
    <w:rsid w:val="008956CE"/>
    <w:rsid w:val="00895A15"/>
    <w:rsid w:val="00895BEF"/>
    <w:rsid w:val="00896999"/>
    <w:rsid w:val="00897285"/>
    <w:rsid w:val="00897329"/>
    <w:rsid w:val="00897626"/>
    <w:rsid w:val="00897743"/>
    <w:rsid w:val="0089787B"/>
    <w:rsid w:val="00897D8F"/>
    <w:rsid w:val="00897D9F"/>
    <w:rsid w:val="00897EE7"/>
    <w:rsid w:val="00897FE8"/>
    <w:rsid w:val="008A0ADC"/>
    <w:rsid w:val="008A2098"/>
    <w:rsid w:val="008A268E"/>
    <w:rsid w:val="008A2736"/>
    <w:rsid w:val="008A28CE"/>
    <w:rsid w:val="008A33F6"/>
    <w:rsid w:val="008A3554"/>
    <w:rsid w:val="008A3A8F"/>
    <w:rsid w:val="008A3E9A"/>
    <w:rsid w:val="008A4228"/>
    <w:rsid w:val="008A4244"/>
    <w:rsid w:val="008A47F6"/>
    <w:rsid w:val="008A47FA"/>
    <w:rsid w:val="008A5548"/>
    <w:rsid w:val="008A58CE"/>
    <w:rsid w:val="008A61CC"/>
    <w:rsid w:val="008A6565"/>
    <w:rsid w:val="008A6C98"/>
    <w:rsid w:val="008A6CED"/>
    <w:rsid w:val="008A6FDD"/>
    <w:rsid w:val="008A7246"/>
    <w:rsid w:val="008A7384"/>
    <w:rsid w:val="008B0823"/>
    <w:rsid w:val="008B09E0"/>
    <w:rsid w:val="008B0E57"/>
    <w:rsid w:val="008B0FCC"/>
    <w:rsid w:val="008B16C3"/>
    <w:rsid w:val="008B1A82"/>
    <w:rsid w:val="008B24DA"/>
    <w:rsid w:val="008B265A"/>
    <w:rsid w:val="008B2777"/>
    <w:rsid w:val="008B2A8B"/>
    <w:rsid w:val="008B2B99"/>
    <w:rsid w:val="008B3055"/>
    <w:rsid w:val="008B439F"/>
    <w:rsid w:val="008B47C2"/>
    <w:rsid w:val="008B4AA1"/>
    <w:rsid w:val="008B4BEB"/>
    <w:rsid w:val="008B4EE0"/>
    <w:rsid w:val="008B4F92"/>
    <w:rsid w:val="008B5652"/>
    <w:rsid w:val="008B6025"/>
    <w:rsid w:val="008B628B"/>
    <w:rsid w:val="008B6CB6"/>
    <w:rsid w:val="008B7147"/>
    <w:rsid w:val="008B7377"/>
    <w:rsid w:val="008B7513"/>
    <w:rsid w:val="008B7582"/>
    <w:rsid w:val="008C02E7"/>
    <w:rsid w:val="008C0734"/>
    <w:rsid w:val="008C0736"/>
    <w:rsid w:val="008C0C2D"/>
    <w:rsid w:val="008C106D"/>
    <w:rsid w:val="008C1B91"/>
    <w:rsid w:val="008C1EA7"/>
    <w:rsid w:val="008C2797"/>
    <w:rsid w:val="008C28E3"/>
    <w:rsid w:val="008C37FC"/>
    <w:rsid w:val="008C4139"/>
    <w:rsid w:val="008C4153"/>
    <w:rsid w:val="008C42F7"/>
    <w:rsid w:val="008C4684"/>
    <w:rsid w:val="008C511D"/>
    <w:rsid w:val="008C5DB8"/>
    <w:rsid w:val="008C65CD"/>
    <w:rsid w:val="008C68DF"/>
    <w:rsid w:val="008C6B82"/>
    <w:rsid w:val="008C6CD2"/>
    <w:rsid w:val="008C6D0E"/>
    <w:rsid w:val="008C6EDF"/>
    <w:rsid w:val="008C727F"/>
    <w:rsid w:val="008C7382"/>
    <w:rsid w:val="008C76E2"/>
    <w:rsid w:val="008C778A"/>
    <w:rsid w:val="008C79D9"/>
    <w:rsid w:val="008D0378"/>
    <w:rsid w:val="008D06E2"/>
    <w:rsid w:val="008D0B52"/>
    <w:rsid w:val="008D0D1B"/>
    <w:rsid w:val="008D1620"/>
    <w:rsid w:val="008D1900"/>
    <w:rsid w:val="008D1AA5"/>
    <w:rsid w:val="008D1E01"/>
    <w:rsid w:val="008D25E9"/>
    <w:rsid w:val="008D27F1"/>
    <w:rsid w:val="008D2DCE"/>
    <w:rsid w:val="008D36C8"/>
    <w:rsid w:val="008D39FA"/>
    <w:rsid w:val="008D3C4F"/>
    <w:rsid w:val="008D3E58"/>
    <w:rsid w:val="008D41B8"/>
    <w:rsid w:val="008D494B"/>
    <w:rsid w:val="008D524F"/>
    <w:rsid w:val="008D57CC"/>
    <w:rsid w:val="008D5E78"/>
    <w:rsid w:val="008D61BF"/>
    <w:rsid w:val="008D6DD2"/>
    <w:rsid w:val="008D709B"/>
    <w:rsid w:val="008D7FD7"/>
    <w:rsid w:val="008E03AE"/>
    <w:rsid w:val="008E0522"/>
    <w:rsid w:val="008E0618"/>
    <w:rsid w:val="008E1C17"/>
    <w:rsid w:val="008E20BD"/>
    <w:rsid w:val="008E2375"/>
    <w:rsid w:val="008E249C"/>
    <w:rsid w:val="008E2BE7"/>
    <w:rsid w:val="008E2E80"/>
    <w:rsid w:val="008E2F36"/>
    <w:rsid w:val="008E34F9"/>
    <w:rsid w:val="008E3691"/>
    <w:rsid w:val="008E3D06"/>
    <w:rsid w:val="008E4D69"/>
    <w:rsid w:val="008E4ED8"/>
    <w:rsid w:val="008E5795"/>
    <w:rsid w:val="008E58B6"/>
    <w:rsid w:val="008E5C2A"/>
    <w:rsid w:val="008E6075"/>
    <w:rsid w:val="008E646F"/>
    <w:rsid w:val="008E6CCC"/>
    <w:rsid w:val="008E7110"/>
    <w:rsid w:val="008E7FD9"/>
    <w:rsid w:val="008F06C3"/>
    <w:rsid w:val="008F0D09"/>
    <w:rsid w:val="008F106C"/>
    <w:rsid w:val="008F1502"/>
    <w:rsid w:val="008F1952"/>
    <w:rsid w:val="008F1D05"/>
    <w:rsid w:val="008F1D96"/>
    <w:rsid w:val="008F1EEB"/>
    <w:rsid w:val="008F2145"/>
    <w:rsid w:val="008F2ADA"/>
    <w:rsid w:val="008F2B57"/>
    <w:rsid w:val="008F2C9F"/>
    <w:rsid w:val="008F3240"/>
    <w:rsid w:val="008F36C3"/>
    <w:rsid w:val="008F3942"/>
    <w:rsid w:val="008F410D"/>
    <w:rsid w:val="008F4388"/>
    <w:rsid w:val="008F46D9"/>
    <w:rsid w:val="008F4727"/>
    <w:rsid w:val="008F536E"/>
    <w:rsid w:val="008F538A"/>
    <w:rsid w:val="008F5C60"/>
    <w:rsid w:val="008F5F09"/>
    <w:rsid w:val="008F6017"/>
    <w:rsid w:val="008F6191"/>
    <w:rsid w:val="008F6236"/>
    <w:rsid w:val="008F62F5"/>
    <w:rsid w:val="008F6667"/>
    <w:rsid w:val="008F6963"/>
    <w:rsid w:val="008F6A15"/>
    <w:rsid w:val="008F6EC6"/>
    <w:rsid w:val="008F7C84"/>
    <w:rsid w:val="008F7FDC"/>
    <w:rsid w:val="0090011C"/>
    <w:rsid w:val="009006E3"/>
    <w:rsid w:val="00901277"/>
    <w:rsid w:val="0090137E"/>
    <w:rsid w:val="00903C6B"/>
    <w:rsid w:val="00904329"/>
    <w:rsid w:val="0090469C"/>
    <w:rsid w:val="0090484A"/>
    <w:rsid w:val="009048A2"/>
    <w:rsid w:val="00904B66"/>
    <w:rsid w:val="009055FB"/>
    <w:rsid w:val="009058DB"/>
    <w:rsid w:val="009059B5"/>
    <w:rsid w:val="00905DB6"/>
    <w:rsid w:val="00905EC7"/>
    <w:rsid w:val="00905F01"/>
    <w:rsid w:val="009061F2"/>
    <w:rsid w:val="009067A1"/>
    <w:rsid w:val="00906BF8"/>
    <w:rsid w:val="00907A7A"/>
    <w:rsid w:val="00907F67"/>
    <w:rsid w:val="00910FB6"/>
    <w:rsid w:val="009113E1"/>
    <w:rsid w:val="00911B5D"/>
    <w:rsid w:val="00911BE5"/>
    <w:rsid w:val="00911CF7"/>
    <w:rsid w:val="00911EC0"/>
    <w:rsid w:val="00911FC0"/>
    <w:rsid w:val="009120BD"/>
    <w:rsid w:val="009124E0"/>
    <w:rsid w:val="00912AC0"/>
    <w:rsid w:val="00912B72"/>
    <w:rsid w:val="00912DA5"/>
    <w:rsid w:val="009131FF"/>
    <w:rsid w:val="00913263"/>
    <w:rsid w:val="00913621"/>
    <w:rsid w:val="00913718"/>
    <w:rsid w:val="00913834"/>
    <w:rsid w:val="0091389D"/>
    <w:rsid w:val="00913901"/>
    <w:rsid w:val="00913BB1"/>
    <w:rsid w:val="0091416D"/>
    <w:rsid w:val="00914249"/>
    <w:rsid w:val="0091486E"/>
    <w:rsid w:val="00914D6E"/>
    <w:rsid w:val="00915139"/>
    <w:rsid w:val="0091521E"/>
    <w:rsid w:val="009152BA"/>
    <w:rsid w:val="00915333"/>
    <w:rsid w:val="009153AC"/>
    <w:rsid w:val="0091572C"/>
    <w:rsid w:val="009157F2"/>
    <w:rsid w:val="009165D8"/>
    <w:rsid w:val="00916818"/>
    <w:rsid w:val="009168BE"/>
    <w:rsid w:val="00916A6F"/>
    <w:rsid w:val="00916E58"/>
    <w:rsid w:val="00916FE1"/>
    <w:rsid w:val="009200BB"/>
    <w:rsid w:val="009202DC"/>
    <w:rsid w:val="0092040B"/>
    <w:rsid w:val="009204EC"/>
    <w:rsid w:val="009208D7"/>
    <w:rsid w:val="0092094D"/>
    <w:rsid w:val="00920F69"/>
    <w:rsid w:val="00921586"/>
    <w:rsid w:val="009215AC"/>
    <w:rsid w:val="00921AC4"/>
    <w:rsid w:val="0092248C"/>
    <w:rsid w:val="0092265D"/>
    <w:rsid w:val="00922867"/>
    <w:rsid w:val="00922BA7"/>
    <w:rsid w:val="00922E33"/>
    <w:rsid w:val="00922FC1"/>
    <w:rsid w:val="0092319E"/>
    <w:rsid w:val="0092321E"/>
    <w:rsid w:val="00923263"/>
    <w:rsid w:val="00923AF4"/>
    <w:rsid w:val="00923B13"/>
    <w:rsid w:val="009241D6"/>
    <w:rsid w:val="009244CB"/>
    <w:rsid w:val="00924A28"/>
    <w:rsid w:val="00924A4A"/>
    <w:rsid w:val="00924DE8"/>
    <w:rsid w:val="009251CE"/>
    <w:rsid w:val="00925616"/>
    <w:rsid w:val="009256D8"/>
    <w:rsid w:val="00925835"/>
    <w:rsid w:val="00925D2C"/>
    <w:rsid w:val="009261DC"/>
    <w:rsid w:val="00926BD5"/>
    <w:rsid w:val="0092780F"/>
    <w:rsid w:val="0093012C"/>
    <w:rsid w:val="0093044A"/>
    <w:rsid w:val="00930486"/>
    <w:rsid w:val="009307DC"/>
    <w:rsid w:val="0093089D"/>
    <w:rsid w:val="00930A06"/>
    <w:rsid w:val="00930D38"/>
    <w:rsid w:val="00930F62"/>
    <w:rsid w:val="009315AA"/>
    <w:rsid w:val="0093163A"/>
    <w:rsid w:val="00931886"/>
    <w:rsid w:val="00931E09"/>
    <w:rsid w:val="00932407"/>
    <w:rsid w:val="00932ABF"/>
    <w:rsid w:val="00933183"/>
    <w:rsid w:val="009331F5"/>
    <w:rsid w:val="0093323B"/>
    <w:rsid w:val="0093373D"/>
    <w:rsid w:val="00933997"/>
    <w:rsid w:val="00933A16"/>
    <w:rsid w:val="00933B76"/>
    <w:rsid w:val="00934058"/>
    <w:rsid w:val="009340CE"/>
    <w:rsid w:val="009345D0"/>
    <w:rsid w:val="0093465C"/>
    <w:rsid w:val="00934C68"/>
    <w:rsid w:val="00935908"/>
    <w:rsid w:val="00935E4C"/>
    <w:rsid w:val="0093659B"/>
    <w:rsid w:val="00936DF2"/>
    <w:rsid w:val="009370FB"/>
    <w:rsid w:val="0093794C"/>
    <w:rsid w:val="009405A1"/>
    <w:rsid w:val="00940793"/>
    <w:rsid w:val="00940CC1"/>
    <w:rsid w:val="00940EFA"/>
    <w:rsid w:val="00941389"/>
    <w:rsid w:val="009419B1"/>
    <w:rsid w:val="00941AAA"/>
    <w:rsid w:val="00941CAD"/>
    <w:rsid w:val="00941D5F"/>
    <w:rsid w:val="00941FB7"/>
    <w:rsid w:val="00942422"/>
    <w:rsid w:val="0094266F"/>
    <w:rsid w:val="00942D04"/>
    <w:rsid w:val="009434AB"/>
    <w:rsid w:val="0094397F"/>
    <w:rsid w:val="00944977"/>
    <w:rsid w:val="00944D70"/>
    <w:rsid w:val="00944DB5"/>
    <w:rsid w:val="00945706"/>
    <w:rsid w:val="00945B00"/>
    <w:rsid w:val="00945E39"/>
    <w:rsid w:val="00945E4D"/>
    <w:rsid w:val="00946BD5"/>
    <w:rsid w:val="00946C94"/>
    <w:rsid w:val="00947115"/>
    <w:rsid w:val="0094725A"/>
    <w:rsid w:val="009506F5"/>
    <w:rsid w:val="009507CB"/>
    <w:rsid w:val="009507E9"/>
    <w:rsid w:val="00950991"/>
    <w:rsid w:val="00950BAD"/>
    <w:rsid w:val="00950EB8"/>
    <w:rsid w:val="0095113F"/>
    <w:rsid w:val="00951537"/>
    <w:rsid w:val="00951BD4"/>
    <w:rsid w:val="00951DC3"/>
    <w:rsid w:val="009524D2"/>
    <w:rsid w:val="00952BEC"/>
    <w:rsid w:val="0095350F"/>
    <w:rsid w:val="00953C75"/>
    <w:rsid w:val="00954781"/>
    <w:rsid w:val="0095487D"/>
    <w:rsid w:val="00954DF3"/>
    <w:rsid w:val="009551B6"/>
    <w:rsid w:val="00955B23"/>
    <w:rsid w:val="00955C4D"/>
    <w:rsid w:val="009560AD"/>
    <w:rsid w:val="00956464"/>
    <w:rsid w:val="00956526"/>
    <w:rsid w:val="0095673B"/>
    <w:rsid w:val="00956C72"/>
    <w:rsid w:val="00957218"/>
    <w:rsid w:val="00957C3B"/>
    <w:rsid w:val="00957E90"/>
    <w:rsid w:val="00957F0E"/>
    <w:rsid w:val="00960085"/>
    <w:rsid w:val="00960842"/>
    <w:rsid w:val="0096112B"/>
    <w:rsid w:val="00961E87"/>
    <w:rsid w:val="009624F1"/>
    <w:rsid w:val="009626E2"/>
    <w:rsid w:val="0096289C"/>
    <w:rsid w:val="00962955"/>
    <w:rsid w:val="00962B4C"/>
    <w:rsid w:val="00962F7C"/>
    <w:rsid w:val="0096362B"/>
    <w:rsid w:val="00963A2E"/>
    <w:rsid w:val="00963DF4"/>
    <w:rsid w:val="009641A1"/>
    <w:rsid w:val="009644C5"/>
    <w:rsid w:val="00964754"/>
    <w:rsid w:val="00964781"/>
    <w:rsid w:val="00964DF7"/>
    <w:rsid w:val="00964FCE"/>
    <w:rsid w:val="00965318"/>
    <w:rsid w:val="00965498"/>
    <w:rsid w:val="009664FB"/>
    <w:rsid w:val="009667FA"/>
    <w:rsid w:val="00966B91"/>
    <w:rsid w:val="00966CC5"/>
    <w:rsid w:val="009673FD"/>
    <w:rsid w:val="009674DF"/>
    <w:rsid w:val="0096770B"/>
    <w:rsid w:val="00970A05"/>
    <w:rsid w:val="00970A51"/>
    <w:rsid w:val="00970BE4"/>
    <w:rsid w:val="009711B0"/>
    <w:rsid w:val="0097137A"/>
    <w:rsid w:val="009714D5"/>
    <w:rsid w:val="00971815"/>
    <w:rsid w:val="009718BF"/>
    <w:rsid w:val="00971D19"/>
    <w:rsid w:val="00971F6D"/>
    <w:rsid w:val="009728D9"/>
    <w:rsid w:val="00972EEA"/>
    <w:rsid w:val="00972F1A"/>
    <w:rsid w:val="009733FB"/>
    <w:rsid w:val="0097351B"/>
    <w:rsid w:val="00973573"/>
    <w:rsid w:val="009735CC"/>
    <w:rsid w:val="00974639"/>
    <w:rsid w:val="009749A0"/>
    <w:rsid w:val="00974FD4"/>
    <w:rsid w:val="00975218"/>
    <w:rsid w:val="009757FD"/>
    <w:rsid w:val="00975B6C"/>
    <w:rsid w:val="009802D8"/>
    <w:rsid w:val="009804B1"/>
    <w:rsid w:val="00980531"/>
    <w:rsid w:val="00980825"/>
    <w:rsid w:val="00980D84"/>
    <w:rsid w:val="00980F03"/>
    <w:rsid w:val="00981F5D"/>
    <w:rsid w:val="0098246A"/>
    <w:rsid w:val="009825E1"/>
    <w:rsid w:val="00982669"/>
    <w:rsid w:val="00982F34"/>
    <w:rsid w:val="00983A21"/>
    <w:rsid w:val="00983DCA"/>
    <w:rsid w:val="00984406"/>
    <w:rsid w:val="009844F6"/>
    <w:rsid w:val="009847C8"/>
    <w:rsid w:val="009847DE"/>
    <w:rsid w:val="00984D08"/>
    <w:rsid w:val="00984D80"/>
    <w:rsid w:val="00985377"/>
    <w:rsid w:val="0098543D"/>
    <w:rsid w:val="00985DB2"/>
    <w:rsid w:val="009860B4"/>
    <w:rsid w:val="0098682B"/>
    <w:rsid w:val="00986CC0"/>
    <w:rsid w:val="00987020"/>
    <w:rsid w:val="009870A9"/>
    <w:rsid w:val="009871E3"/>
    <w:rsid w:val="009872A2"/>
    <w:rsid w:val="009874BB"/>
    <w:rsid w:val="0098789C"/>
    <w:rsid w:val="009878AE"/>
    <w:rsid w:val="00987F84"/>
    <w:rsid w:val="00990060"/>
    <w:rsid w:val="00990D24"/>
    <w:rsid w:val="00991D35"/>
    <w:rsid w:val="00992158"/>
    <w:rsid w:val="00992332"/>
    <w:rsid w:val="00992840"/>
    <w:rsid w:val="00994005"/>
    <w:rsid w:val="00994750"/>
    <w:rsid w:val="00994877"/>
    <w:rsid w:val="009949C5"/>
    <w:rsid w:val="00994B2B"/>
    <w:rsid w:val="00994B3C"/>
    <w:rsid w:val="00994DE5"/>
    <w:rsid w:val="009950EC"/>
    <w:rsid w:val="0099513D"/>
    <w:rsid w:val="00995280"/>
    <w:rsid w:val="009952B8"/>
    <w:rsid w:val="00995B5B"/>
    <w:rsid w:val="00996490"/>
    <w:rsid w:val="00996CFD"/>
    <w:rsid w:val="009979D1"/>
    <w:rsid w:val="009A0292"/>
    <w:rsid w:val="009A03F2"/>
    <w:rsid w:val="009A1297"/>
    <w:rsid w:val="009A1879"/>
    <w:rsid w:val="009A2D07"/>
    <w:rsid w:val="009A354E"/>
    <w:rsid w:val="009A3A16"/>
    <w:rsid w:val="009A3DB4"/>
    <w:rsid w:val="009A4362"/>
    <w:rsid w:val="009A4BEC"/>
    <w:rsid w:val="009A520C"/>
    <w:rsid w:val="009A6105"/>
    <w:rsid w:val="009A70E7"/>
    <w:rsid w:val="009A7174"/>
    <w:rsid w:val="009A777A"/>
    <w:rsid w:val="009A77F4"/>
    <w:rsid w:val="009A7980"/>
    <w:rsid w:val="009A7DB2"/>
    <w:rsid w:val="009B006A"/>
    <w:rsid w:val="009B0467"/>
    <w:rsid w:val="009B0622"/>
    <w:rsid w:val="009B0DA3"/>
    <w:rsid w:val="009B1104"/>
    <w:rsid w:val="009B12CB"/>
    <w:rsid w:val="009B17E3"/>
    <w:rsid w:val="009B1B58"/>
    <w:rsid w:val="009B1BD5"/>
    <w:rsid w:val="009B1F77"/>
    <w:rsid w:val="009B20C4"/>
    <w:rsid w:val="009B2144"/>
    <w:rsid w:val="009B2F13"/>
    <w:rsid w:val="009B34AF"/>
    <w:rsid w:val="009B497C"/>
    <w:rsid w:val="009B4B07"/>
    <w:rsid w:val="009B52AC"/>
    <w:rsid w:val="009B5564"/>
    <w:rsid w:val="009B584C"/>
    <w:rsid w:val="009B5950"/>
    <w:rsid w:val="009B5A26"/>
    <w:rsid w:val="009B5E61"/>
    <w:rsid w:val="009B5EA1"/>
    <w:rsid w:val="009B607E"/>
    <w:rsid w:val="009B637D"/>
    <w:rsid w:val="009B6780"/>
    <w:rsid w:val="009B696B"/>
    <w:rsid w:val="009B6A02"/>
    <w:rsid w:val="009B6C5A"/>
    <w:rsid w:val="009B71F2"/>
    <w:rsid w:val="009B7443"/>
    <w:rsid w:val="009B7841"/>
    <w:rsid w:val="009B7BD5"/>
    <w:rsid w:val="009B7DBA"/>
    <w:rsid w:val="009B7F6A"/>
    <w:rsid w:val="009B7FE3"/>
    <w:rsid w:val="009C07FF"/>
    <w:rsid w:val="009C081E"/>
    <w:rsid w:val="009C13BB"/>
    <w:rsid w:val="009C188F"/>
    <w:rsid w:val="009C1C50"/>
    <w:rsid w:val="009C1DC3"/>
    <w:rsid w:val="009C25BB"/>
    <w:rsid w:val="009C275E"/>
    <w:rsid w:val="009C338A"/>
    <w:rsid w:val="009C3424"/>
    <w:rsid w:val="009C3970"/>
    <w:rsid w:val="009C3DAD"/>
    <w:rsid w:val="009C4032"/>
    <w:rsid w:val="009C4103"/>
    <w:rsid w:val="009C422F"/>
    <w:rsid w:val="009C4DA7"/>
    <w:rsid w:val="009C4F1D"/>
    <w:rsid w:val="009C4FB9"/>
    <w:rsid w:val="009C52ED"/>
    <w:rsid w:val="009C5B2D"/>
    <w:rsid w:val="009C6200"/>
    <w:rsid w:val="009C658B"/>
    <w:rsid w:val="009C6EA7"/>
    <w:rsid w:val="009C6FFF"/>
    <w:rsid w:val="009C7634"/>
    <w:rsid w:val="009D0832"/>
    <w:rsid w:val="009D12C3"/>
    <w:rsid w:val="009D1565"/>
    <w:rsid w:val="009D1AFC"/>
    <w:rsid w:val="009D2371"/>
    <w:rsid w:val="009D246A"/>
    <w:rsid w:val="009D25D8"/>
    <w:rsid w:val="009D2852"/>
    <w:rsid w:val="009D28DD"/>
    <w:rsid w:val="009D2C3C"/>
    <w:rsid w:val="009D2C5D"/>
    <w:rsid w:val="009D2C8C"/>
    <w:rsid w:val="009D2DCA"/>
    <w:rsid w:val="009D2DEC"/>
    <w:rsid w:val="009D357B"/>
    <w:rsid w:val="009D3814"/>
    <w:rsid w:val="009D3A20"/>
    <w:rsid w:val="009D443E"/>
    <w:rsid w:val="009D47AF"/>
    <w:rsid w:val="009D5459"/>
    <w:rsid w:val="009D5792"/>
    <w:rsid w:val="009D58A0"/>
    <w:rsid w:val="009D59F0"/>
    <w:rsid w:val="009D5EEC"/>
    <w:rsid w:val="009D6A9C"/>
    <w:rsid w:val="009D7219"/>
    <w:rsid w:val="009E0274"/>
    <w:rsid w:val="009E0573"/>
    <w:rsid w:val="009E0D2E"/>
    <w:rsid w:val="009E0F0D"/>
    <w:rsid w:val="009E1051"/>
    <w:rsid w:val="009E199B"/>
    <w:rsid w:val="009E1A63"/>
    <w:rsid w:val="009E1ACC"/>
    <w:rsid w:val="009E1E64"/>
    <w:rsid w:val="009E1E7B"/>
    <w:rsid w:val="009E2AD6"/>
    <w:rsid w:val="009E35F4"/>
    <w:rsid w:val="009E3751"/>
    <w:rsid w:val="009E3B33"/>
    <w:rsid w:val="009E3DFC"/>
    <w:rsid w:val="009E3FD3"/>
    <w:rsid w:val="009E4007"/>
    <w:rsid w:val="009E43E9"/>
    <w:rsid w:val="009E442D"/>
    <w:rsid w:val="009E4491"/>
    <w:rsid w:val="009E455A"/>
    <w:rsid w:val="009E5471"/>
    <w:rsid w:val="009E59D8"/>
    <w:rsid w:val="009E620C"/>
    <w:rsid w:val="009E62C5"/>
    <w:rsid w:val="009E64CC"/>
    <w:rsid w:val="009E67C5"/>
    <w:rsid w:val="009E688F"/>
    <w:rsid w:val="009E6A68"/>
    <w:rsid w:val="009E72B6"/>
    <w:rsid w:val="009E774E"/>
    <w:rsid w:val="009E7E4E"/>
    <w:rsid w:val="009F0551"/>
    <w:rsid w:val="009F06D8"/>
    <w:rsid w:val="009F07D6"/>
    <w:rsid w:val="009F0AFF"/>
    <w:rsid w:val="009F0F8D"/>
    <w:rsid w:val="009F10C6"/>
    <w:rsid w:val="009F11BD"/>
    <w:rsid w:val="009F1FFC"/>
    <w:rsid w:val="009F22BA"/>
    <w:rsid w:val="009F2F56"/>
    <w:rsid w:val="009F3197"/>
    <w:rsid w:val="009F392D"/>
    <w:rsid w:val="009F4606"/>
    <w:rsid w:val="009F56EF"/>
    <w:rsid w:val="009F604A"/>
    <w:rsid w:val="009F6793"/>
    <w:rsid w:val="009F6A24"/>
    <w:rsid w:val="009F71C7"/>
    <w:rsid w:val="009F7E56"/>
    <w:rsid w:val="009F7EBF"/>
    <w:rsid w:val="009F7EFD"/>
    <w:rsid w:val="00A000DE"/>
    <w:rsid w:val="00A00236"/>
    <w:rsid w:val="00A004C0"/>
    <w:rsid w:val="00A00884"/>
    <w:rsid w:val="00A008DB"/>
    <w:rsid w:val="00A009D2"/>
    <w:rsid w:val="00A00B13"/>
    <w:rsid w:val="00A01441"/>
    <w:rsid w:val="00A01840"/>
    <w:rsid w:val="00A02063"/>
    <w:rsid w:val="00A024A4"/>
    <w:rsid w:val="00A025CC"/>
    <w:rsid w:val="00A0267C"/>
    <w:rsid w:val="00A02949"/>
    <w:rsid w:val="00A029F2"/>
    <w:rsid w:val="00A02BC8"/>
    <w:rsid w:val="00A02C54"/>
    <w:rsid w:val="00A02F33"/>
    <w:rsid w:val="00A03174"/>
    <w:rsid w:val="00A03205"/>
    <w:rsid w:val="00A032F0"/>
    <w:rsid w:val="00A0380D"/>
    <w:rsid w:val="00A03E1D"/>
    <w:rsid w:val="00A04147"/>
    <w:rsid w:val="00A04351"/>
    <w:rsid w:val="00A048C1"/>
    <w:rsid w:val="00A04A23"/>
    <w:rsid w:val="00A04DFB"/>
    <w:rsid w:val="00A04F70"/>
    <w:rsid w:val="00A0553B"/>
    <w:rsid w:val="00A05567"/>
    <w:rsid w:val="00A05AFB"/>
    <w:rsid w:val="00A05FE8"/>
    <w:rsid w:val="00A06472"/>
    <w:rsid w:val="00A06643"/>
    <w:rsid w:val="00A06C89"/>
    <w:rsid w:val="00A07025"/>
    <w:rsid w:val="00A0707C"/>
    <w:rsid w:val="00A072E0"/>
    <w:rsid w:val="00A0776E"/>
    <w:rsid w:val="00A07775"/>
    <w:rsid w:val="00A07DC0"/>
    <w:rsid w:val="00A10051"/>
    <w:rsid w:val="00A1005D"/>
    <w:rsid w:val="00A10A95"/>
    <w:rsid w:val="00A1123E"/>
    <w:rsid w:val="00A117F0"/>
    <w:rsid w:val="00A118A6"/>
    <w:rsid w:val="00A11B7F"/>
    <w:rsid w:val="00A12432"/>
    <w:rsid w:val="00A131E4"/>
    <w:rsid w:val="00A13431"/>
    <w:rsid w:val="00A137AA"/>
    <w:rsid w:val="00A13D83"/>
    <w:rsid w:val="00A1415B"/>
    <w:rsid w:val="00A1423A"/>
    <w:rsid w:val="00A14D0E"/>
    <w:rsid w:val="00A1528D"/>
    <w:rsid w:val="00A153F5"/>
    <w:rsid w:val="00A1573B"/>
    <w:rsid w:val="00A15B5A"/>
    <w:rsid w:val="00A165A3"/>
    <w:rsid w:val="00A166E6"/>
    <w:rsid w:val="00A16838"/>
    <w:rsid w:val="00A16A73"/>
    <w:rsid w:val="00A1727A"/>
    <w:rsid w:val="00A17443"/>
    <w:rsid w:val="00A174C6"/>
    <w:rsid w:val="00A175AF"/>
    <w:rsid w:val="00A175E4"/>
    <w:rsid w:val="00A17A95"/>
    <w:rsid w:val="00A17D33"/>
    <w:rsid w:val="00A17F46"/>
    <w:rsid w:val="00A20296"/>
    <w:rsid w:val="00A202B8"/>
    <w:rsid w:val="00A20316"/>
    <w:rsid w:val="00A20ACE"/>
    <w:rsid w:val="00A2126B"/>
    <w:rsid w:val="00A2137E"/>
    <w:rsid w:val="00A217D8"/>
    <w:rsid w:val="00A21806"/>
    <w:rsid w:val="00A21C6E"/>
    <w:rsid w:val="00A22348"/>
    <w:rsid w:val="00A22968"/>
    <w:rsid w:val="00A22B2D"/>
    <w:rsid w:val="00A22C52"/>
    <w:rsid w:val="00A22DE5"/>
    <w:rsid w:val="00A23560"/>
    <w:rsid w:val="00A241D7"/>
    <w:rsid w:val="00A24CD7"/>
    <w:rsid w:val="00A24D4C"/>
    <w:rsid w:val="00A252D7"/>
    <w:rsid w:val="00A2581D"/>
    <w:rsid w:val="00A25854"/>
    <w:rsid w:val="00A25A52"/>
    <w:rsid w:val="00A266EA"/>
    <w:rsid w:val="00A269AF"/>
    <w:rsid w:val="00A26F7B"/>
    <w:rsid w:val="00A27546"/>
    <w:rsid w:val="00A278E7"/>
    <w:rsid w:val="00A3061A"/>
    <w:rsid w:val="00A30AC5"/>
    <w:rsid w:val="00A30C62"/>
    <w:rsid w:val="00A31C2B"/>
    <w:rsid w:val="00A31CEA"/>
    <w:rsid w:val="00A31E21"/>
    <w:rsid w:val="00A324D2"/>
    <w:rsid w:val="00A327E4"/>
    <w:rsid w:val="00A32A79"/>
    <w:rsid w:val="00A32AAB"/>
    <w:rsid w:val="00A3317E"/>
    <w:rsid w:val="00A331DB"/>
    <w:rsid w:val="00A3348D"/>
    <w:rsid w:val="00A33492"/>
    <w:rsid w:val="00A339C8"/>
    <w:rsid w:val="00A33E2A"/>
    <w:rsid w:val="00A33F1D"/>
    <w:rsid w:val="00A341AC"/>
    <w:rsid w:val="00A34338"/>
    <w:rsid w:val="00A34440"/>
    <w:rsid w:val="00A35147"/>
    <w:rsid w:val="00A351BF"/>
    <w:rsid w:val="00A352CE"/>
    <w:rsid w:val="00A35AC8"/>
    <w:rsid w:val="00A35DAA"/>
    <w:rsid w:val="00A35E40"/>
    <w:rsid w:val="00A364BA"/>
    <w:rsid w:val="00A37976"/>
    <w:rsid w:val="00A37A5B"/>
    <w:rsid w:val="00A37A7D"/>
    <w:rsid w:val="00A37BB6"/>
    <w:rsid w:val="00A37F5E"/>
    <w:rsid w:val="00A4002E"/>
    <w:rsid w:val="00A4004F"/>
    <w:rsid w:val="00A40160"/>
    <w:rsid w:val="00A40AB1"/>
    <w:rsid w:val="00A40D5C"/>
    <w:rsid w:val="00A414C9"/>
    <w:rsid w:val="00A416B4"/>
    <w:rsid w:val="00A42CE8"/>
    <w:rsid w:val="00A42EB9"/>
    <w:rsid w:val="00A42F8C"/>
    <w:rsid w:val="00A43287"/>
    <w:rsid w:val="00A43291"/>
    <w:rsid w:val="00A435EE"/>
    <w:rsid w:val="00A4399E"/>
    <w:rsid w:val="00A43E97"/>
    <w:rsid w:val="00A44270"/>
    <w:rsid w:val="00A446A2"/>
    <w:rsid w:val="00A4498B"/>
    <w:rsid w:val="00A44F64"/>
    <w:rsid w:val="00A4555E"/>
    <w:rsid w:val="00A455D7"/>
    <w:rsid w:val="00A45722"/>
    <w:rsid w:val="00A45AE0"/>
    <w:rsid w:val="00A46158"/>
    <w:rsid w:val="00A46843"/>
    <w:rsid w:val="00A46E0A"/>
    <w:rsid w:val="00A473FD"/>
    <w:rsid w:val="00A47571"/>
    <w:rsid w:val="00A476A7"/>
    <w:rsid w:val="00A47C41"/>
    <w:rsid w:val="00A50198"/>
    <w:rsid w:val="00A501FB"/>
    <w:rsid w:val="00A504F3"/>
    <w:rsid w:val="00A50523"/>
    <w:rsid w:val="00A509E3"/>
    <w:rsid w:val="00A50FEF"/>
    <w:rsid w:val="00A51465"/>
    <w:rsid w:val="00A51B03"/>
    <w:rsid w:val="00A522C0"/>
    <w:rsid w:val="00A525AF"/>
    <w:rsid w:val="00A52F32"/>
    <w:rsid w:val="00A5308B"/>
    <w:rsid w:val="00A5367D"/>
    <w:rsid w:val="00A53858"/>
    <w:rsid w:val="00A53A33"/>
    <w:rsid w:val="00A54644"/>
    <w:rsid w:val="00A54732"/>
    <w:rsid w:val="00A54D02"/>
    <w:rsid w:val="00A55250"/>
    <w:rsid w:val="00A55592"/>
    <w:rsid w:val="00A55FC1"/>
    <w:rsid w:val="00A563D1"/>
    <w:rsid w:val="00A565CD"/>
    <w:rsid w:val="00A567F1"/>
    <w:rsid w:val="00A56DB8"/>
    <w:rsid w:val="00A56DFE"/>
    <w:rsid w:val="00A56EB5"/>
    <w:rsid w:val="00A56F46"/>
    <w:rsid w:val="00A578A1"/>
    <w:rsid w:val="00A57B9C"/>
    <w:rsid w:val="00A609D1"/>
    <w:rsid w:val="00A60E6B"/>
    <w:rsid w:val="00A60FE6"/>
    <w:rsid w:val="00A614F7"/>
    <w:rsid w:val="00A6159F"/>
    <w:rsid w:val="00A61E6C"/>
    <w:rsid w:val="00A634EF"/>
    <w:rsid w:val="00A638C3"/>
    <w:rsid w:val="00A6417B"/>
    <w:rsid w:val="00A64306"/>
    <w:rsid w:val="00A644ED"/>
    <w:rsid w:val="00A646C6"/>
    <w:rsid w:val="00A64791"/>
    <w:rsid w:val="00A64BC9"/>
    <w:rsid w:val="00A6552C"/>
    <w:rsid w:val="00A6579C"/>
    <w:rsid w:val="00A65975"/>
    <w:rsid w:val="00A6597A"/>
    <w:rsid w:val="00A65BAA"/>
    <w:rsid w:val="00A65BBF"/>
    <w:rsid w:val="00A65E36"/>
    <w:rsid w:val="00A664B1"/>
    <w:rsid w:val="00A6766A"/>
    <w:rsid w:val="00A67B82"/>
    <w:rsid w:val="00A67D31"/>
    <w:rsid w:val="00A67E42"/>
    <w:rsid w:val="00A67EBA"/>
    <w:rsid w:val="00A67F3C"/>
    <w:rsid w:val="00A70329"/>
    <w:rsid w:val="00A70817"/>
    <w:rsid w:val="00A70841"/>
    <w:rsid w:val="00A71136"/>
    <w:rsid w:val="00A7179F"/>
    <w:rsid w:val="00A71A8E"/>
    <w:rsid w:val="00A71F3E"/>
    <w:rsid w:val="00A7203B"/>
    <w:rsid w:val="00A722BE"/>
    <w:rsid w:val="00A72322"/>
    <w:rsid w:val="00A72A42"/>
    <w:rsid w:val="00A72AFC"/>
    <w:rsid w:val="00A72B40"/>
    <w:rsid w:val="00A730AE"/>
    <w:rsid w:val="00A733CA"/>
    <w:rsid w:val="00A73603"/>
    <w:rsid w:val="00A737F1"/>
    <w:rsid w:val="00A73AA7"/>
    <w:rsid w:val="00A750F9"/>
    <w:rsid w:val="00A751D5"/>
    <w:rsid w:val="00A761D0"/>
    <w:rsid w:val="00A765EF"/>
    <w:rsid w:val="00A76B7A"/>
    <w:rsid w:val="00A76E05"/>
    <w:rsid w:val="00A77296"/>
    <w:rsid w:val="00A77445"/>
    <w:rsid w:val="00A7746E"/>
    <w:rsid w:val="00A7750C"/>
    <w:rsid w:val="00A7757D"/>
    <w:rsid w:val="00A77A4B"/>
    <w:rsid w:val="00A77A9D"/>
    <w:rsid w:val="00A77E43"/>
    <w:rsid w:val="00A77FD0"/>
    <w:rsid w:val="00A801E2"/>
    <w:rsid w:val="00A8172E"/>
    <w:rsid w:val="00A81BF9"/>
    <w:rsid w:val="00A81EA6"/>
    <w:rsid w:val="00A826C8"/>
    <w:rsid w:val="00A82E50"/>
    <w:rsid w:val="00A836BD"/>
    <w:rsid w:val="00A83EFB"/>
    <w:rsid w:val="00A84856"/>
    <w:rsid w:val="00A84C3D"/>
    <w:rsid w:val="00A851B9"/>
    <w:rsid w:val="00A85703"/>
    <w:rsid w:val="00A85ACB"/>
    <w:rsid w:val="00A8625E"/>
    <w:rsid w:val="00A86350"/>
    <w:rsid w:val="00A875F7"/>
    <w:rsid w:val="00A877A5"/>
    <w:rsid w:val="00A87882"/>
    <w:rsid w:val="00A90353"/>
    <w:rsid w:val="00A90516"/>
    <w:rsid w:val="00A90737"/>
    <w:rsid w:val="00A91257"/>
    <w:rsid w:val="00A92201"/>
    <w:rsid w:val="00A923B1"/>
    <w:rsid w:val="00A9250A"/>
    <w:rsid w:val="00A92899"/>
    <w:rsid w:val="00A9289C"/>
    <w:rsid w:val="00A9290A"/>
    <w:rsid w:val="00A929ED"/>
    <w:rsid w:val="00A929F4"/>
    <w:rsid w:val="00A92B0B"/>
    <w:rsid w:val="00A9320F"/>
    <w:rsid w:val="00A9346D"/>
    <w:rsid w:val="00A94288"/>
    <w:rsid w:val="00A94897"/>
    <w:rsid w:val="00A94C64"/>
    <w:rsid w:val="00A94DC2"/>
    <w:rsid w:val="00A9554A"/>
    <w:rsid w:val="00A95867"/>
    <w:rsid w:val="00A95A76"/>
    <w:rsid w:val="00A96E5D"/>
    <w:rsid w:val="00AA0501"/>
    <w:rsid w:val="00AA08E0"/>
    <w:rsid w:val="00AA0EC0"/>
    <w:rsid w:val="00AA1697"/>
    <w:rsid w:val="00AA1759"/>
    <w:rsid w:val="00AA1B42"/>
    <w:rsid w:val="00AA2469"/>
    <w:rsid w:val="00AA3219"/>
    <w:rsid w:val="00AA33F0"/>
    <w:rsid w:val="00AA3622"/>
    <w:rsid w:val="00AA3C8C"/>
    <w:rsid w:val="00AA5229"/>
    <w:rsid w:val="00AA5425"/>
    <w:rsid w:val="00AA59F6"/>
    <w:rsid w:val="00AA5C6B"/>
    <w:rsid w:val="00AA5E2B"/>
    <w:rsid w:val="00AA5EE6"/>
    <w:rsid w:val="00AA6279"/>
    <w:rsid w:val="00AA68B6"/>
    <w:rsid w:val="00AA6A85"/>
    <w:rsid w:val="00AA6BDC"/>
    <w:rsid w:val="00AA6E85"/>
    <w:rsid w:val="00AA6F38"/>
    <w:rsid w:val="00AA6F4F"/>
    <w:rsid w:val="00AA776E"/>
    <w:rsid w:val="00AA7831"/>
    <w:rsid w:val="00AA7A11"/>
    <w:rsid w:val="00AA7B4B"/>
    <w:rsid w:val="00AB053D"/>
    <w:rsid w:val="00AB05F7"/>
    <w:rsid w:val="00AB1057"/>
    <w:rsid w:val="00AB1A18"/>
    <w:rsid w:val="00AB1C22"/>
    <w:rsid w:val="00AB1CFE"/>
    <w:rsid w:val="00AB20AC"/>
    <w:rsid w:val="00AB21D4"/>
    <w:rsid w:val="00AB2499"/>
    <w:rsid w:val="00AB26D1"/>
    <w:rsid w:val="00AB278C"/>
    <w:rsid w:val="00AB2AC0"/>
    <w:rsid w:val="00AB3205"/>
    <w:rsid w:val="00AB34C4"/>
    <w:rsid w:val="00AB382A"/>
    <w:rsid w:val="00AB3F76"/>
    <w:rsid w:val="00AB5095"/>
    <w:rsid w:val="00AB5289"/>
    <w:rsid w:val="00AB52F4"/>
    <w:rsid w:val="00AB54B5"/>
    <w:rsid w:val="00AB597A"/>
    <w:rsid w:val="00AB5F29"/>
    <w:rsid w:val="00AB614C"/>
    <w:rsid w:val="00AB6BDA"/>
    <w:rsid w:val="00AB7116"/>
    <w:rsid w:val="00AB7540"/>
    <w:rsid w:val="00AB757F"/>
    <w:rsid w:val="00AB7610"/>
    <w:rsid w:val="00AB7B00"/>
    <w:rsid w:val="00AB7E18"/>
    <w:rsid w:val="00AC0410"/>
    <w:rsid w:val="00AC20BF"/>
    <w:rsid w:val="00AC2102"/>
    <w:rsid w:val="00AC21A0"/>
    <w:rsid w:val="00AC28A4"/>
    <w:rsid w:val="00AC296E"/>
    <w:rsid w:val="00AC3A5E"/>
    <w:rsid w:val="00AC3D49"/>
    <w:rsid w:val="00AC4A06"/>
    <w:rsid w:val="00AC5554"/>
    <w:rsid w:val="00AC5B6C"/>
    <w:rsid w:val="00AC5BA1"/>
    <w:rsid w:val="00AC5C24"/>
    <w:rsid w:val="00AC5D00"/>
    <w:rsid w:val="00AC5EE5"/>
    <w:rsid w:val="00AC5EED"/>
    <w:rsid w:val="00AC648F"/>
    <w:rsid w:val="00AC67B2"/>
    <w:rsid w:val="00AC6C9A"/>
    <w:rsid w:val="00AC6CA3"/>
    <w:rsid w:val="00AC6F33"/>
    <w:rsid w:val="00AC6FA0"/>
    <w:rsid w:val="00AC7145"/>
    <w:rsid w:val="00AD0358"/>
    <w:rsid w:val="00AD0B2F"/>
    <w:rsid w:val="00AD0E31"/>
    <w:rsid w:val="00AD0E78"/>
    <w:rsid w:val="00AD15D6"/>
    <w:rsid w:val="00AD166E"/>
    <w:rsid w:val="00AD1BB1"/>
    <w:rsid w:val="00AD1C0B"/>
    <w:rsid w:val="00AD1C69"/>
    <w:rsid w:val="00AD1FB3"/>
    <w:rsid w:val="00AD24D9"/>
    <w:rsid w:val="00AD25E6"/>
    <w:rsid w:val="00AD26ED"/>
    <w:rsid w:val="00AD2C68"/>
    <w:rsid w:val="00AD319C"/>
    <w:rsid w:val="00AD334D"/>
    <w:rsid w:val="00AD3979"/>
    <w:rsid w:val="00AD3D7A"/>
    <w:rsid w:val="00AD5568"/>
    <w:rsid w:val="00AD58B3"/>
    <w:rsid w:val="00AD5B23"/>
    <w:rsid w:val="00AD5F23"/>
    <w:rsid w:val="00AD6349"/>
    <w:rsid w:val="00AD66B9"/>
    <w:rsid w:val="00AD75B8"/>
    <w:rsid w:val="00AD75DE"/>
    <w:rsid w:val="00AD7C6A"/>
    <w:rsid w:val="00AD7D02"/>
    <w:rsid w:val="00AE002E"/>
    <w:rsid w:val="00AE01B7"/>
    <w:rsid w:val="00AE036A"/>
    <w:rsid w:val="00AE0F64"/>
    <w:rsid w:val="00AE1329"/>
    <w:rsid w:val="00AE14EC"/>
    <w:rsid w:val="00AE1AE6"/>
    <w:rsid w:val="00AE26D5"/>
    <w:rsid w:val="00AE27CF"/>
    <w:rsid w:val="00AE2965"/>
    <w:rsid w:val="00AE29F6"/>
    <w:rsid w:val="00AE2B4C"/>
    <w:rsid w:val="00AE316B"/>
    <w:rsid w:val="00AE392B"/>
    <w:rsid w:val="00AE473A"/>
    <w:rsid w:val="00AE4982"/>
    <w:rsid w:val="00AE49B2"/>
    <w:rsid w:val="00AE502C"/>
    <w:rsid w:val="00AE5635"/>
    <w:rsid w:val="00AE5DE3"/>
    <w:rsid w:val="00AE6567"/>
    <w:rsid w:val="00AE6805"/>
    <w:rsid w:val="00AE681E"/>
    <w:rsid w:val="00AE6965"/>
    <w:rsid w:val="00AE6B67"/>
    <w:rsid w:val="00AE6BB7"/>
    <w:rsid w:val="00AE726C"/>
    <w:rsid w:val="00AE77DF"/>
    <w:rsid w:val="00AF0291"/>
    <w:rsid w:val="00AF094E"/>
    <w:rsid w:val="00AF095E"/>
    <w:rsid w:val="00AF0CC0"/>
    <w:rsid w:val="00AF1D54"/>
    <w:rsid w:val="00AF1F70"/>
    <w:rsid w:val="00AF240B"/>
    <w:rsid w:val="00AF263D"/>
    <w:rsid w:val="00AF29FE"/>
    <w:rsid w:val="00AF3457"/>
    <w:rsid w:val="00AF3C03"/>
    <w:rsid w:val="00AF3DDC"/>
    <w:rsid w:val="00AF44C5"/>
    <w:rsid w:val="00AF46F8"/>
    <w:rsid w:val="00AF47DE"/>
    <w:rsid w:val="00AF563C"/>
    <w:rsid w:val="00AF64FD"/>
    <w:rsid w:val="00AF66AF"/>
    <w:rsid w:val="00AF6C85"/>
    <w:rsid w:val="00AF6DD1"/>
    <w:rsid w:val="00AF7540"/>
    <w:rsid w:val="00AF75CD"/>
    <w:rsid w:val="00B00372"/>
    <w:rsid w:val="00B009D0"/>
    <w:rsid w:val="00B01134"/>
    <w:rsid w:val="00B014AE"/>
    <w:rsid w:val="00B01554"/>
    <w:rsid w:val="00B016AD"/>
    <w:rsid w:val="00B021A7"/>
    <w:rsid w:val="00B021DD"/>
    <w:rsid w:val="00B0287B"/>
    <w:rsid w:val="00B02BDD"/>
    <w:rsid w:val="00B02D5F"/>
    <w:rsid w:val="00B0329B"/>
    <w:rsid w:val="00B035FD"/>
    <w:rsid w:val="00B03F01"/>
    <w:rsid w:val="00B04DBA"/>
    <w:rsid w:val="00B04E95"/>
    <w:rsid w:val="00B05306"/>
    <w:rsid w:val="00B057A4"/>
    <w:rsid w:val="00B06261"/>
    <w:rsid w:val="00B06D54"/>
    <w:rsid w:val="00B06F15"/>
    <w:rsid w:val="00B07182"/>
    <w:rsid w:val="00B0767F"/>
    <w:rsid w:val="00B0775B"/>
    <w:rsid w:val="00B07D88"/>
    <w:rsid w:val="00B07E4E"/>
    <w:rsid w:val="00B102BA"/>
    <w:rsid w:val="00B103DD"/>
    <w:rsid w:val="00B1041D"/>
    <w:rsid w:val="00B106BF"/>
    <w:rsid w:val="00B109A3"/>
    <w:rsid w:val="00B1147B"/>
    <w:rsid w:val="00B117C2"/>
    <w:rsid w:val="00B11C86"/>
    <w:rsid w:val="00B12181"/>
    <w:rsid w:val="00B12251"/>
    <w:rsid w:val="00B1225A"/>
    <w:rsid w:val="00B1267F"/>
    <w:rsid w:val="00B131D0"/>
    <w:rsid w:val="00B13C6E"/>
    <w:rsid w:val="00B13CB7"/>
    <w:rsid w:val="00B143B2"/>
    <w:rsid w:val="00B14590"/>
    <w:rsid w:val="00B14896"/>
    <w:rsid w:val="00B14D2F"/>
    <w:rsid w:val="00B152E9"/>
    <w:rsid w:val="00B153C2"/>
    <w:rsid w:val="00B15614"/>
    <w:rsid w:val="00B15680"/>
    <w:rsid w:val="00B158E3"/>
    <w:rsid w:val="00B15A25"/>
    <w:rsid w:val="00B15F3C"/>
    <w:rsid w:val="00B1618C"/>
    <w:rsid w:val="00B16397"/>
    <w:rsid w:val="00B16667"/>
    <w:rsid w:val="00B16A06"/>
    <w:rsid w:val="00B16EA8"/>
    <w:rsid w:val="00B173E9"/>
    <w:rsid w:val="00B17B7E"/>
    <w:rsid w:val="00B17CA8"/>
    <w:rsid w:val="00B17ED6"/>
    <w:rsid w:val="00B201CC"/>
    <w:rsid w:val="00B205E5"/>
    <w:rsid w:val="00B20BF8"/>
    <w:rsid w:val="00B20D3C"/>
    <w:rsid w:val="00B212F2"/>
    <w:rsid w:val="00B21519"/>
    <w:rsid w:val="00B21F42"/>
    <w:rsid w:val="00B22692"/>
    <w:rsid w:val="00B229CF"/>
    <w:rsid w:val="00B22ADE"/>
    <w:rsid w:val="00B22AF9"/>
    <w:rsid w:val="00B22F25"/>
    <w:rsid w:val="00B239AB"/>
    <w:rsid w:val="00B23C0F"/>
    <w:rsid w:val="00B23D38"/>
    <w:rsid w:val="00B240A4"/>
    <w:rsid w:val="00B2411F"/>
    <w:rsid w:val="00B24353"/>
    <w:rsid w:val="00B24832"/>
    <w:rsid w:val="00B2498E"/>
    <w:rsid w:val="00B250A3"/>
    <w:rsid w:val="00B253E1"/>
    <w:rsid w:val="00B2616D"/>
    <w:rsid w:val="00B26A48"/>
    <w:rsid w:val="00B27951"/>
    <w:rsid w:val="00B30789"/>
    <w:rsid w:val="00B3105A"/>
    <w:rsid w:val="00B31289"/>
    <w:rsid w:val="00B3150A"/>
    <w:rsid w:val="00B31E5D"/>
    <w:rsid w:val="00B32837"/>
    <w:rsid w:val="00B328E9"/>
    <w:rsid w:val="00B33D66"/>
    <w:rsid w:val="00B33DC0"/>
    <w:rsid w:val="00B33E12"/>
    <w:rsid w:val="00B33F75"/>
    <w:rsid w:val="00B347C6"/>
    <w:rsid w:val="00B3488F"/>
    <w:rsid w:val="00B34D06"/>
    <w:rsid w:val="00B34D7C"/>
    <w:rsid w:val="00B35330"/>
    <w:rsid w:val="00B359A6"/>
    <w:rsid w:val="00B35F48"/>
    <w:rsid w:val="00B3637E"/>
    <w:rsid w:val="00B363D7"/>
    <w:rsid w:val="00B36D0F"/>
    <w:rsid w:val="00B37434"/>
    <w:rsid w:val="00B40012"/>
    <w:rsid w:val="00B403A5"/>
    <w:rsid w:val="00B4058A"/>
    <w:rsid w:val="00B409AA"/>
    <w:rsid w:val="00B40EAA"/>
    <w:rsid w:val="00B41377"/>
    <w:rsid w:val="00B41B67"/>
    <w:rsid w:val="00B41E12"/>
    <w:rsid w:val="00B42054"/>
    <w:rsid w:val="00B42158"/>
    <w:rsid w:val="00B426C0"/>
    <w:rsid w:val="00B42771"/>
    <w:rsid w:val="00B428B6"/>
    <w:rsid w:val="00B42A36"/>
    <w:rsid w:val="00B42BB3"/>
    <w:rsid w:val="00B42FBE"/>
    <w:rsid w:val="00B430EB"/>
    <w:rsid w:val="00B435C2"/>
    <w:rsid w:val="00B43ADE"/>
    <w:rsid w:val="00B44532"/>
    <w:rsid w:val="00B44802"/>
    <w:rsid w:val="00B44A1F"/>
    <w:rsid w:val="00B44FA7"/>
    <w:rsid w:val="00B45430"/>
    <w:rsid w:val="00B46AB3"/>
    <w:rsid w:val="00B46C90"/>
    <w:rsid w:val="00B47277"/>
    <w:rsid w:val="00B47829"/>
    <w:rsid w:val="00B47905"/>
    <w:rsid w:val="00B508B0"/>
    <w:rsid w:val="00B50DE2"/>
    <w:rsid w:val="00B50FF4"/>
    <w:rsid w:val="00B512F7"/>
    <w:rsid w:val="00B51756"/>
    <w:rsid w:val="00B517AA"/>
    <w:rsid w:val="00B517E5"/>
    <w:rsid w:val="00B518D8"/>
    <w:rsid w:val="00B51C7F"/>
    <w:rsid w:val="00B51C98"/>
    <w:rsid w:val="00B51E73"/>
    <w:rsid w:val="00B52773"/>
    <w:rsid w:val="00B5285E"/>
    <w:rsid w:val="00B53693"/>
    <w:rsid w:val="00B53698"/>
    <w:rsid w:val="00B53DD8"/>
    <w:rsid w:val="00B53E0D"/>
    <w:rsid w:val="00B544BF"/>
    <w:rsid w:val="00B548B7"/>
    <w:rsid w:val="00B54E85"/>
    <w:rsid w:val="00B54EE0"/>
    <w:rsid w:val="00B54F8C"/>
    <w:rsid w:val="00B551E7"/>
    <w:rsid w:val="00B5540C"/>
    <w:rsid w:val="00B55916"/>
    <w:rsid w:val="00B55B65"/>
    <w:rsid w:val="00B55CD6"/>
    <w:rsid w:val="00B56730"/>
    <w:rsid w:val="00B567CD"/>
    <w:rsid w:val="00B5682C"/>
    <w:rsid w:val="00B56A7F"/>
    <w:rsid w:val="00B57639"/>
    <w:rsid w:val="00B57D2A"/>
    <w:rsid w:val="00B6030C"/>
    <w:rsid w:val="00B6036F"/>
    <w:rsid w:val="00B604EA"/>
    <w:rsid w:val="00B606A0"/>
    <w:rsid w:val="00B606EB"/>
    <w:rsid w:val="00B60CCC"/>
    <w:rsid w:val="00B610D3"/>
    <w:rsid w:val="00B61F17"/>
    <w:rsid w:val="00B628B7"/>
    <w:rsid w:val="00B62E34"/>
    <w:rsid w:val="00B6317D"/>
    <w:rsid w:val="00B63224"/>
    <w:rsid w:val="00B63281"/>
    <w:rsid w:val="00B63C16"/>
    <w:rsid w:val="00B64065"/>
    <w:rsid w:val="00B64115"/>
    <w:rsid w:val="00B64138"/>
    <w:rsid w:val="00B64793"/>
    <w:rsid w:val="00B64D23"/>
    <w:rsid w:val="00B64DB3"/>
    <w:rsid w:val="00B6548B"/>
    <w:rsid w:val="00B65737"/>
    <w:rsid w:val="00B6588F"/>
    <w:rsid w:val="00B65CFC"/>
    <w:rsid w:val="00B6626F"/>
    <w:rsid w:val="00B66BA1"/>
    <w:rsid w:val="00B670BE"/>
    <w:rsid w:val="00B6748E"/>
    <w:rsid w:val="00B676A6"/>
    <w:rsid w:val="00B67ABA"/>
    <w:rsid w:val="00B67C51"/>
    <w:rsid w:val="00B7091B"/>
    <w:rsid w:val="00B70D54"/>
    <w:rsid w:val="00B71405"/>
    <w:rsid w:val="00B71844"/>
    <w:rsid w:val="00B71C58"/>
    <w:rsid w:val="00B71E6A"/>
    <w:rsid w:val="00B72853"/>
    <w:rsid w:val="00B72DF9"/>
    <w:rsid w:val="00B72E9F"/>
    <w:rsid w:val="00B7361D"/>
    <w:rsid w:val="00B73C8A"/>
    <w:rsid w:val="00B74276"/>
    <w:rsid w:val="00B745BF"/>
    <w:rsid w:val="00B747FC"/>
    <w:rsid w:val="00B74DA3"/>
    <w:rsid w:val="00B74E48"/>
    <w:rsid w:val="00B74F0B"/>
    <w:rsid w:val="00B75752"/>
    <w:rsid w:val="00B757AE"/>
    <w:rsid w:val="00B768DE"/>
    <w:rsid w:val="00B76EAB"/>
    <w:rsid w:val="00B76EB4"/>
    <w:rsid w:val="00B770D3"/>
    <w:rsid w:val="00B77382"/>
    <w:rsid w:val="00B77441"/>
    <w:rsid w:val="00B776E7"/>
    <w:rsid w:val="00B805DA"/>
    <w:rsid w:val="00B80F62"/>
    <w:rsid w:val="00B813A7"/>
    <w:rsid w:val="00B817D7"/>
    <w:rsid w:val="00B81EDB"/>
    <w:rsid w:val="00B81F72"/>
    <w:rsid w:val="00B82182"/>
    <w:rsid w:val="00B8230B"/>
    <w:rsid w:val="00B8282B"/>
    <w:rsid w:val="00B82893"/>
    <w:rsid w:val="00B82F91"/>
    <w:rsid w:val="00B83085"/>
    <w:rsid w:val="00B83369"/>
    <w:rsid w:val="00B8372B"/>
    <w:rsid w:val="00B83CD9"/>
    <w:rsid w:val="00B83DFA"/>
    <w:rsid w:val="00B84086"/>
    <w:rsid w:val="00B85057"/>
    <w:rsid w:val="00B85394"/>
    <w:rsid w:val="00B853E2"/>
    <w:rsid w:val="00B85E5D"/>
    <w:rsid w:val="00B86737"/>
    <w:rsid w:val="00B868D3"/>
    <w:rsid w:val="00B86FD0"/>
    <w:rsid w:val="00B87445"/>
    <w:rsid w:val="00B877E3"/>
    <w:rsid w:val="00B87B3F"/>
    <w:rsid w:val="00B87FAA"/>
    <w:rsid w:val="00B901C0"/>
    <w:rsid w:val="00B90373"/>
    <w:rsid w:val="00B903EE"/>
    <w:rsid w:val="00B90498"/>
    <w:rsid w:val="00B90996"/>
    <w:rsid w:val="00B90DEF"/>
    <w:rsid w:val="00B91271"/>
    <w:rsid w:val="00B912CB"/>
    <w:rsid w:val="00B91C7B"/>
    <w:rsid w:val="00B9208B"/>
    <w:rsid w:val="00B921F1"/>
    <w:rsid w:val="00B92A1F"/>
    <w:rsid w:val="00B92B03"/>
    <w:rsid w:val="00B92C7A"/>
    <w:rsid w:val="00B938BB"/>
    <w:rsid w:val="00B93AC6"/>
    <w:rsid w:val="00B93C82"/>
    <w:rsid w:val="00B93C95"/>
    <w:rsid w:val="00B93D1D"/>
    <w:rsid w:val="00B93F58"/>
    <w:rsid w:val="00B9406D"/>
    <w:rsid w:val="00B94194"/>
    <w:rsid w:val="00B945C1"/>
    <w:rsid w:val="00B94D00"/>
    <w:rsid w:val="00B94E47"/>
    <w:rsid w:val="00B94F65"/>
    <w:rsid w:val="00B95208"/>
    <w:rsid w:val="00B95382"/>
    <w:rsid w:val="00B95714"/>
    <w:rsid w:val="00B95CB1"/>
    <w:rsid w:val="00B96577"/>
    <w:rsid w:val="00B96CD2"/>
    <w:rsid w:val="00B97A16"/>
    <w:rsid w:val="00BA0EE4"/>
    <w:rsid w:val="00BA1576"/>
    <w:rsid w:val="00BA16A5"/>
    <w:rsid w:val="00BA1923"/>
    <w:rsid w:val="00BA19D0"/>
    <w:rsid w:val="00BA1DD2"/>
    <w:rsid w:val="00BA1E44"/>
    <w:rsid w:val="00BA1FC1"/>
    <w:rsid w:val="00BA28AC"/>
    <w:rsid w:val="00BA2D24"/>
    <w:rsid w:val="00BA4A28"/>
    <w:rsid w:val="00BA4DB8"/>
    <w:rsid w:val="00BA5600"/>
    <w:rsid w:val="00BA58C1"/>
    <w:rsid w:val="00BA59C7"/>
    <w:rsid w:val="00BA621E"/>
    <w:rsid w:val="00BA6C7A"/>
    <w:rsid w:val="00BA70DB"/>
    <w:rsid w:val="00BA7739"/>
    <w:rsid w:val="00BB0008"/>
    <w:rsid w:val="00BB0129"/>
    <w:rsid w:val="00BB0D26"/>
    <w:rsid w:val="00BB113E"/>
    <w:rsid w:val="00BB1AFA"/>
    <w:rsid w:val="00BB1D0D"/>
    <w:rsid w:val="00BB24B8"/>
    <w:rsid w:val="00BB2622"/>
    <w:rsid w:val="00BB26D8"/>
    <w:rsid w:val="00BB388B"/>
    <w:rsid w:val="00BB3D0A"/>
    <w:rsid w:val="00BB3DE9"/>
    <w:rsid w:val="00BB3FAB"/>
    <w:rsid w:val="00BB412D"/>
    <w:rsid w:val="00BB4A8F"/>
    <w:rsid w:val="00BB4F2F"/>
    <w:rsid w:val="00BB4F60"/>
    <w:rsid w:val="00BB5304"/>
    <w:rsid w:val="00BB5CDA"/>
    <w:rsid w:val="00BB621C"/>
    <w:rsid w:val="00BB6888"/>
    <w:rsid w:val="00BB691E"/>
    <w:rsid w:val="00BB6D42"/>
    <w:rsid w:val="00BB7140"/>
    <w:rsid w:val="00BB7253"/>
    <w:rsid w:val="00BB784E"/>
    <w:rsid w:val="00BB7A80"/>
    <w:rsid w:val="00BB7C15"/>
    <w:rsid w:val="00BB7D3A"/>
    <w:rsid w:val="00BC016F"/>
    <w:rsid w:val="00BC0815"/>
    <w:rsid w:val="00BC1363"/>
    <w:rsid w:val="00BC1691"/>
    <w:rsid w:val="00BC1A20"/>
    <w:rsid w:val="00BC2CBD"/>
    <w:rsid w:val="00BC3076"/>
    <w:rsid w:val="00BC35DC"/>
    <w:rsid w:val="00BC40A5"/>
    <w:rsid w:val="00BC48BC"/>
    <w:rsid w:val="00BC48E4"/>
    <w:rsid w:val="00BC49A1"/>
    <w:rsid w:val="00BC5A4F"/>
    <w:rsid w:val="00BC659D"/>
    <w:rsid w:val="00BC6A7E"/>
    <w:rsid w:val="00BC6D2C"/>
    <w:rsid w:val="00BC727C"/>
    <w:rsid w:val="00BC778C"/>
    <w:rsid w:val="00BC77AF"/>
    <w:rsid w:val="00BC78D8"/>
    <w:rsid w:val="00BC79B7"/>
    <w:rsid w:val="00BD0073"/>
    <w:rsid w:val="00BD033D"/>
    <w:rsid w:val="00BD061C"/>
    <w:rsid w:val="00BD06E5"/>
    <w:rsid w:val="00BD0936"/>
    <w:rsid w:val="00BD0FF1"/>
    <w:rsid w:val="00BD106E"/>
    <w:rsid w:val="00BD1AD0"/>
    <w:rsid w:val="00BD23A6"/>
    <w:rsid w:val="00BD2F5A"/>
    <w:rsid w:val="00BD353C"/>
    <w:rsid w:val="00BD37D3"/>
    <w:rsid w:val="00BD415D"/>
    <w:rsid w:val="00BD42BC"/>
    <w:rsid w:val="00BD458F"/>
    <w:rsid w:val="00BD45F8"/>
    <w:rsid w:val="00BD476F"/>
    <w:rsid w:val="00BD4BB7"/>
    <w:rsid w:val="00BD51F9"/>
    <w:rsid w:val="00BD553C"/>
    <w:rsid w:val="00BD5999"/>
    <w:rsid w:val="00BD5DA8"/>
    <w:rsid w:val="00BD5E1A"/>
    <w:rsid w:val="00BD5E8D"/>
    <w:rsid w:val="00BD6705"/>
    <w:rsid w:val="00BD6861"/>
    <w:rsid w:val="00BD6882"/>
    <w:rsid w:val="00BD6C1B"/>
    <w:rsid w:val="00BD72DD"/>
    <w:rsid w:val="00BD7345"/>
    <w:rsid w:val="00BD7824"/>
    <w:rsid w:val="00BE00DA"/>
    <w:rsid w:val="00BE00FD"/>
    <w:rsid w:val="00BE013B"/>
    <w:rsid w:val="00BE01FB"/>
    <w:rsid w:val="00BE053D"/>
    <w:rsid w:val="00BE125A"/>
    <w:rsid w:val="00BE139A"/>
    <w:rsid w:val="00BE14CE"/>
    <w:rsid w:val="00BE1B47"/>
    <w:rsid w:val="00BE2162"/>
    <w:rsid w:val="00BE32C7"/>
    <w:rsid w:val="00BE3470"/>
    <w:rsid w:val="00BE358B"/>
    <w:rsid w:val="00BE3963"/>
    <w:rsid w:val="00BE4B2F"/>
    <w:rsid w:val="00BE51CB"/>
    <w:rsid w:val="00BE5306"/>
    <w:rsid w:val="00BE67E7"/>
    <w:rsid w:val="00BE6BC7"/>
    <w:rsid w:val="00BE6C61"/>
    <w:rsid w:val="00BE7352"/>
    <w:rsid w:val="00BE7753"/>
    <w:rsid w:val="00BF01A4"/>
    <w:rsid w:val="00BF02D5"/>
    <w:rsid w:val="00BF02D8"/>
    <w:rsid w:val="00BF05D8"/>
    <w:rsid w:val="00BF07CF"/>
    <w:rsid w:val="00BF09C1"/>
    <w:rsid w:val="00BF1474"/>
    <w:rsid w:val="00BF14B2"/>
    <w:rsid w:val="00BF1798"/>
    <w:rsid w:val="00BF1EE7"/>
    <w:rsid w:val="00BF2564"/>
    <w:rsid w:val="00BF29E1"/>
    <w:rsid w:val="00BF2DCD"/>
    <w:rsid w:val="00BF2F35"/>
    <w:rsid w:val="00BF2F68"/>
    <w:rsid w:val="00BF3395"/>
    <w:rsid w:val="00BF3AA3"/>
    <w:rsid w:val="00BF3B77"/>
    <w:rsid w:val="00BF3CC9"/>
    <w:rsid w:val="00BF4A0F"/>
    <w:rsid w:val="00BF4AD9"/>
    <w:rsid w:val="00BF4B32"/>
    <w:rsid w:val="00BF556C"/>
    <w:rsid w:val="00BF579D"/>
    <w:rsid w:val="00BF59B4"/>
    <w:rsid w:val="00BF6403"/>
    <w:rsid w:val="00BF6668"/>
    <w:rsid w:val="00BF6DE4"/>
    <w:rsid w:val="00BF70B9"/>
    <w:rsid w:val="00BF745D"/>
    <w:rsid w:val="00BF756E"/>
    <w:rsid w:val="00C005FF"/>
    <w:rsid w:val="00C009DF"/>
    <w:rsid w:val="00C01364"/>
    <w:rsid w:val="00C013A2"/>
    <w:rsid w:val="00C01655"/>
    <w:rsid w:val="00C01A38"/>
    <w:rsid w:val="00C01D4C"/>
    <w:rsid w:val="00C02503"/>
    <w:rsid w:val="00C029C5"/>
    <w:rsid w:val="00C034B6"/>
    <w:rsid w:val="00C03A89"/>
    <w:rsid w:val="00C043B4"/>
    <w:rsid w:val="00C048EB"/>
    <w:rsid w:val="00C05283"/>
    <w:rsid w:val="00C057DC"/>
    <w:rsid w:val="00C059F6"/>
    <w:rsid w:val="00C0601A"/>
    <w:rsid w:val="00C061DA"/>
    <w:rsid w:val="00C06354"/>
    <w:rsid w:val="00C063A1"/>
    <w:rsid w:val="00C06679"/>
    <w:rsid w:val="00C06A40"/>
    <w:rsid w:val="00C10035"/>
    <w:rsid w:val="00C10244"/>
    <w:rsid w:val="00C1098E"/>
    <w:rsid w:val="00C10B71"/>
    <w:rsid w:val="00C10C63"/>
    <w:rsid w:val="00C10D08"/>
    <w:rsid w:val="00C10F02"/>
    <w:rsid w:val="00C11230"/>
    <w:rsid w:val="00C11D63"/>
    <w:rsid w:val="00C12246"/>
    <w:rsid w:val="00C124F4"/>
    <w:rsid w:val="00C1276B"/>
    <w:rsid w:val="00C12BF0"/>
    <w:rsid w:val="00C1329C"/>
    <w:rsid w:val="00C13387"/>
    <w:rsid w:val="00C136B0"/>
    <w:rsid w:val="00C13735"/>
    <w:rsid w:val="00C138E4"/>
    <w:rsid w:val="00C1400E"/>
    <w:rsid w:val="00C143F1"/>
    <w:rsid w:val="00C146C1"/>
    <w:rsid w:val="00C147DE"/>
    <w:rsid w:val="00C14CE1"/>
    <w:rsid w:val="00C150E9"/>
    <w:rsid w:val="00C15115"/>
    <w:rsid w:val="00C1537F"/>
    <w:rsid w:val="00C15C20"/>
    <w:rsid w:val="00C16134"/>
    <w:rsid w:val="00C16A2B"/>
    <w:rsid w:val="00C16A6C"/>
    <w:rsid w:val="00C16AB8"/>
    <w:rsid w:val="00C16FF7"/>
    <w:rsid w:val="00C170B7"/>
    <w:rsid w:val="00C17550"/>
    <w:rsid w:val="00C17576"/>
    <w:rsid w:val="00C175B0"/>
    <w:rsid w:val="00C1776F"/>
    <w:rsid w:val="00C177DC"/>
    <w:rsid w:val="00C179F3"/>
    <w:rsid w:val="00C2035E"/>
    <w:rsid w:val="00C20969"/>
    <w:rsid w:val="00C211F4"/>
    <w:rsid w:val="00C21A65"/>
    <w:rsid w:val="00C21B88"/>
    <w:rsid w:val="00C21E13"/>
    <w:rsid w:val="00C22113"/>
    <w:rsid w:val="00C223AA"/>
    <w:rsid w:val="00C22596"/>
    <w:rsid w:val="00C22EE6"/>
    <w:rsid w:val="00C230B2"/>
    <w:rsid w:val="00C2355F"/>
    <w:rsid w:val="00C238D0"/>
    <w:rsid w:val="00C23CFF"/>
    <w:rsid w:val="00C24042"/>
    <w:rsid w:val="00C24779"/>
    <w:rsid w:val="00C24DC7"/>
    <w:rsid w:val="00C2500C"/>
    <w:rsid w:val="00C25375"/>
    <w:rsid w:val="00C2570D"/>
    <w:rsid w:val="00C25A33"/>
    <w:rsid w:val="00C2631B"/>
    <w:rsid w:val="00C263A2"/>
    <w:rsid w:val="00C2692F"/>
    <w:rsid w:val="00C26AB4"/>
    <w:rsid w:val="00C26B3C"/>
    <w:rsid w:val="00C26B8F"/>
    <w:rsid w:val="00C26CC8"/>
    <w:rsid w:val="00C26D44"/>
    <w:rsid w:val="00C26D4F"/>
    <w:rsid w:val="00C275C7"/>
    <w:rsid w:val="00C27B33"/>
    <w:rsid w:val="00C27F43"/>
    <w:rsid w:val="00C30814"/>
    <w:rsid w:val="00C30B51"/>
    <w:rsid w:val="00C30B8D"/>
    <w:rsid w:val="00C30E3F"/>
    <w:rsid w:val="00C3105A"/>
    <w:rsid w:val="00C31313"/>
    <w:rsid w:val="00C31366"/>
    <w:rsid w:val="00C314D1"/>
    <w:rsid w:val="00C3218B"/>
    <w:rsid w:val="00C3225F"/>
    <w:rsid w:val="00C3266B"/>
    <w:rsid w:val="00C32BCA"/>
    <w:rsid w:val="00C32C2D"/>
    <w:rsid w:val="00C32E5A"/>
    <w:rsid w:val="00C33548"/>
    <w:rsid w:val="00C336D4"/>
    <w:rsid w:val="00C33A9E"/>
    <w:rsid w:val="00C33EC2"/>
    <w:rsid w:val="00C33F13"/>
    <w:rsid w:val="00C34E31"/>
    <w:rsid w:val="00C352FA"/>
    <w:rsid w:val="00C354DC"/>
    <w:rsid w:val="00C357E1"/>
    <w:rsid w:val="00C3586A"/>
    <w:rsid w:val="00C35912"/>
    <w:rsid w:val="00C36C27"/>
    <w:rsid w:val="00C36D5F"/>
    <w:rsid w:val="00C36FAB"/>
    <w:rsid w:val="00C3729B"/>
    <w:rsid w:val="00C37D21"/>
    <w:rsid w:val="00C408AF"/>
    <w:rsid w:val="00C40D66"/>
    <w:rsid w:val="00C41051"/>
    <w:rsid w:val="00C417D5"/>
    <w:rsid w:val="00C417DE"/>
    <w:rsid w:val="00C420FC"/>
    <w:rsid w:val="00C42600"/>
    <w:rsid w:val="00C427CF"/>
    <w:rsid w:val="00C42A03"/>
    <w:rsid w:val="00C42A27"/>
    <w:rsid w:val="00C42BAA"/>
    <w:rsid w:val="00C42CD0"/>
    <w:rsid w:val="00C42EFB"/>
    <w:rsid w:val="00C4373F"/>
    <w:rsid w:val="00C441C3"/>
    <w:rsid w:val="00C449B1"/>
    <w:rsid w:val="00C44A3F"/>
    <w:rsid w:val="00C4529C"/>
    <w:rsid w:val="00C4541F"/>
    <w:rsid w:val="00C4557E"/>
    <w:rsid w:val="00C459B7"/>
    <w:rsid w:val="00C45C22"/>
    <w:rsid w:val="00C45FBD"/>
    <w:rsid w:val="00C4631F"/>
    <w:rsid w:val="00C46C9C"/>
    <w:rsid w:val="00C46E6A"/>
    <w:rsid w:val="00C47019"/>
    <w:rsid w:val="00C47B09"/>
    <w:rsid w:val="00C47F98"/>
    <w:rsid w:val="00C501B5"/>
    <w:rsid w:val="00C5023B"/>
    <w:rsid w:val="00C50499"/>
    <w:rsid w:val="00C50CC7"/>
    <w:rsid w:val="00C50DAE"/>
    <w:rsid w:val="00C50EB1"/>
    <w:rsid w:val="00C51307"/>
    <w:rsid w:val="00C51D99"/>
    <w:rsid w:val="00C51F6F"/>
    <w:rsid w:val="00C51F71"/>
    <w:rsid w:val="00C51F97"/>
    <w:rsid w:val="00C5210E"/>
    <w:rsid w:val="00C522B3"/>
    <w:rsid w:val="00C52311"/>
    <w:rsid w:val="00C528A3"/>
    <w:rsid w:val="00C52B21"/>
    <w:rsid w:val="00C52DCA"/>
    <w:rsid w:val="00C52F49"/>
    <w:rsid w:val="00C530AF"/>
    <w:rsid w:val="00C532DB"/>
    <w:rsid w:val="00C539D4"/>
    <w:rsid w:val="00C53CD7"/>
    <w:rsid w:val="00C53CEA"/>
    <w:rsid w:val="00C53F51"/>
    <w:rsid w:val="00C54D94"/>
    <w:rsid w:val="00C55552"/>
    <w:rsid w:val="00C55AAF"/>
    <w:rsid w:val="00C560B3"/>
    <w:rsid w:val="00C56264"/>
    <w:rsid w:val="00C565F5"/>
    <w:rsid w:val="00C56ACC"/>
    <w:rsid w:val="00C56B10"/>
    <w:rsid w:val="00C56F2C"/>
    <w:rsid w:val="00C57628"/>
    <w:rsid w:val="00C5772F"/>
    <w:rsid w:val="00C57B9F"/>
    <w:rsid w:val="00C57C4D"/>
    <w:rsid w:val="00C57FD7"/>
    <w:rsid w:val="00C605E4"/>
    <w:rsid w:val="00C60980"/>
    <w:rsid w:val="00C60FFC"/>
    <w:rsid w:val="00C6115F"/>
    <w:rsid w:val="00C61175"/>
    <w:rsid w:val="00C61A40"/>
    <w:rsid w:val="00C61CCC"/>
    <w:rsid w:val="00C61E8B"/>
    <w:rsid w:val="00C62185"/>
    <w:rsid w:val="00C623C5"/>
    <w:rsid w:val="00C628D4"/>
    <w:rsid w:val="00C6299A"/>
    <w:rsid w:val="00C631B3"/>
    <w:rsid w:val="00C63230"/>
    <w:rsid w:val="00C632F9"/>
    <w:rsid w:val="00C63398"/>
    <w:rsid w:val="00C634E4"/>
    <w:rsid w:val="00C6430D"/>
    <w:rsid w:val="00C646F7"/>
    <w:rsid w:val="00C64C9C"/>
    <w:rsid w:val="00C6545A"/>
    <w:rsid w:val="00C65693"/>
    <w:rsid w:val="00C65DFF"/>
    <w:rsid w:val="00C660DD"/>
    <w:rsid w:val="00C663C5"/>
    <w:rsid w:val="00C66696"/>
    <w:rsid w:val="00C669FD"/>
    <w:rsid w:val="00C66DF4"/>
    <w:rsid w:val="00C67342"/>
    <w:rsid w:val="00C679F6"/>
    <w:rsid w:val="00C67A93"/>
    <w:rsid w:val="00C67AE5"/>
    <w:rsid w:val="00C708DE"/>
    <w:rsid w:val="00C70A45"/>
    <w:rsid w:val="00C70D96"/>
    <w:rsid w:val="00C70F17"/>
    <w:rsid w:val="00C70FFC"/>
    <w:rsid w:val="00C72067"/>
    <w:rsid w:val="00C722BE"/>
    <w:rsid w:val="00C723A4"/>
    <w:rsid w:val="00C7286B"/>
    <w:rsid w:val="00C728F2"/>
    <w:rsid w:val="00C7299E"/>
    <w:rsid w:val="00C7344C"/>
    <w:rsid w:val="00C735F6"/>
    <w:rsid w:val="00C73972"/>
    <w:rsid w:val="00C73ED3"/>
    <w:rsid w:val="00C73FA0"/>
    <w:rsid w:val="00C74097"/>
    <w:rsid w:val="00C744D2"/>
    <w:rsid w:val="00C74D0A"/>
    <w:rsid w:val="00C74D27"/>
    <w:rsid w:val="00C756C5"/>
    <w:rsid w:val="00C75BEC"/>
    <w:rsid w:val="00C76B61"/>
    <w:rsid w:val="00C76C89"/>
    <w:rsid w:val="00C76D57"/>
    <w:rsid w:val="00C76E0C"/>
    <w:rsid w:val="00C7743A"/>
    <w:rsid w:val="00C775D4"/>
    <w:rsid w:val="00C7792C"/>
    <w:rsid w:val="00C77B67"/>
    <w:rsid w:val="00C77D30"/>
    <w:rsid w:val="00C77F5F"/>
    <w:rsid w:val="00C80864"/>
    <w:rsid w:val="00C808FD"/>
    <w:rsid w:val="00C80AD4"/>
    <w:rsid w:val="00C80AD5"/>
    <w:rsid w:val="00C80E67"/>
    <w:rsid w:val="00C80F53"/>
    <w:rsid w:val="00C8106F"/>
    <w:rsid w:val="00C8152F"/>
    <w:rsid w:val="00C81D4B"/>
    <w:rsid w:val="00C8218E"/>
    <w:rsid w:val="00C821AC"/>
    <w:rsid w:val="00C821C3"/>
    <w:rsid w:val="00C824C5"/>
    <w:rsid w:val="00C8338C"/>
    <w:rsid w:val="00C83654"/>
    <w:rsid w:val="00C83677"/>
    <w:rsid w:val="00C84196"/>
    <w:rsid w:val="00C8458E"/>
    <w:rsid w:val="00C846A5"/>
    <w:rsid w:val="00C84823"/>
    <w:rsid w:val="00C84B9B"/>
    <w:rsid w:val="00C84ED8"/>
    <w:rsid w:val="00C84F95"/>
    <w:rsid w:val="00C85214"/>
    <w:rsid w:val="00C85253"/>
    <w:rsid w:val="00C857AC"/>
    <w:rsid w:val="00C85CD1"/>
    <w:rsid w:val="00C85EC5"/>
    <w:rsid w:val="00C85FEC"/>
    <w:rsid w:val="00C8637D"/>
    <w:rsid w:val="00C8651B"/>
    <w:rsid w:val="00C865D4"/>
    <w:rsid w:val="00C86874"/>
    <w:rsid w:val="00C86918"/>
    <w:rsid w:val="00C869EB"/>
    <w:rsid w:val="00C87628"/>
    <w:rsid w:val="00C87712"/>
    <w:rsid w:val="00C877AF"/>
    <w:rsid w:val="00C904A7"/>
    <w:rsid w:val="00C9097C"/>
    <w:rsid w:val="00C9097F"/>
    <w:rsid w:val="00C90A0C"/>
    <w:rsid w:val="00C90DE5"/>
    <w:rsid w:val="00C90E9E"/>
    <w:rsid w:val="00C9105E"/>
    <w:rsid w:val="00C910E2"/>
    <w:rsid w:val="00C915D1"/>
    <w:rsid w:val="00C9187C"/>
    <w:rsid w:val="00C91BD4"/>
    <w:rsid w:val="00C91C2A"/>
    <w:rsid w:val="00C91EDF"/>
    <w:rsid w:val="00C92D1C"/>
    <w:rsid w:val="00C9327E"/>
    <w:rsid w:val="00C93944"/>
    <w:rsid w:val="00C939CF"/>
    <w:rsid w:val="00C93A4D"/>
    <w:rsid w:val="00C942E7"/>
    <w:rsid w:val="00C94383"/>
    <w:rsid w:val="00C9506A"/>
    <w:rsid w:val="00C95118"/>
    <w:rsid w:val="00C95AA8"/>
    <w:rsid w:val="00C96716"/>
    <w:rsid w:val="00C96F68"/>
    <w:rsid w:val="00C972CB"/>
    <w:rsid w:val="00C97918"/>
    <w:rsid w:val="00C97A92"/>
    <w:rsid w:val="00C97F35"/>
    <w:rsid w:val="00CA021C"/>
    <w:rsid w:val="00CA064D"/>
    <w:rsid w:val="00CA067A"/>
    <w:rsid w:val="00CA081B"/>
    <w:rsid w:val="00CA0DE9"/>
    <w:rsid w:val="00CA0FEA"/>
    <w:rsid w:val="00CA12E3"/>
    <w:rsid w:val="00CA20D1"/>
    <w:rsid w:val="00CA21DE"/>
    <w:rsid w:val="00CA27A2"/>
    <w:rsid w:val="00CA2B0A"/>
    <w:rsid w:val="00CA36B2"/>
    <w:rsid w:val="00CA3F6A"/>
    <w:rsid w:val="00CA4172"/>
    <w:rsid w:val="00CA425A"/>
    <w:rsid w:val="00CA439D"/>
    <w:rsid w:val="00CA464D"/>
    <w:rsid w:val="00CA466F"/>
    <w:rsid w:val="00CA4FF0"/>
    <w:rsid w:val="00CA58BC"/>
    <w:rsid w:val="00CA5A09"/>
    <w:rsid w:val="00CA5F50"/>
    <w:rsid w:val="00CA607A"/>
    <w:rsid w:val="00CA62A1"/>
    <w:rsid w:val="00CA78F5"/>
    <w:rsid w:val="00CA7C1B"/>
    <w:rsid w:val="00CA7FEB"/>
    <w:rsid w:val="00CB00DD"/>
    <w:rsid w:val="00CB064B"/>
    <w:rsid w:val="00CB108B"/>
    <w:rsid w:val="00CB13E9"/>
    <w:rsid w:val="00CB23C2"/>
    <w:rsid w:val="00CB2D7E"/>
    <w:rsid w:val="00CB3DBB"/>
    <w:rsid w:val="00CB3DD0"/>
    <w:rsid w:val="00CB3FB1"/>
    <w:rsid w:val="00CB4A53"/>
    <w:rsid w:val="00CB585C"/>
    <w:rsid w:val="00CB596B"/>
    <w:rsid w:val="00CB5BC9"/>
    <w:rsid w:val="00CB5E15"/>
    <w:rsid w:val="00CB5E58"/>
    <w:rsid w:val="00CB618C"/>
    <w:rsid w:val="00CB62DB"/>
    <w:rsid w:val="00CB6384"/>
    <w:rsid w:val="00CB6643"/>
    <w:rsid w:val="00CB66BB"/>
    <w:rsid w:val="00CB7122"/>
    <w:rsid w:val="00CC0165"/>
    <w:rsid w:val="00CC0A79"/>
    <w:rsid w:val="00CC1192"/>
    <w:rsid w:val="00CC1842"/>
    <w:rsid w:val="00CC1961"/>
    <w:rsid w:val="00CC1B29"/>
    <w:rsid w:val="00CC1F71"/>
    <w:rsid w:val="00CC256D"/>
    <w:rsid w:val="00CC2773"/>
    <w:rsid w:val="00CC2878"/>
    <w:rsid w:val="00CC2BFE"/>
    <w:rsid w:val="00CC2DFC"/>
    <w:rsid w:val="00CC31BA"/>
    <w:rsid w:val="00CC32F1"/>
    <w:rsid w:val="00CC3F16"/>
    <w:rsid w:val="00CC403E"/>
    <w:rsid w:val="00CC41A6"/>
    <w:rsid w:val="00CC428A"/>
    <w:rsid w:val="00CC4603"/>
    <w:rsid w:val="00CC47B3"/>
    <w:rsid w:val="00CC4864"/>
    <w:rsid w:val="00CC4A04"/>
    <w:rsid w:val="00CC4A28"/>
    <w:rsid w:val="00CC5E0B"/>
    <w:rsid w:val="00CC62A2"/>
    <w:rsid w:val="00CC642B"/>
    <w:rsid w:val="00CC687D"/>
    <w:rsid w:val="00CC6C73"/>
    <w:rsid w:val="00CC6C7C"/>
    <w:rsid w:val="00CC74E7"/>
    <w:rsid w:val="00CC7762"/>
    <w:rsid w:val="00CC791D"/>
    <w:rsid w:val="00CC7AED"/>
    <w:rsid w:val="00CD03DF"/>
    <w:rsid w:val="00CD0562"/>
    <w:rsid w:val="00CD0D47"/>
    <w:rsid w:val="00CD18BB"/>
    <w:rsid w:val="00CD1BBA"/>
    <w:rsid w:val="00CD1BE6"/>
    <w:rsid w:val="00CD2487"/>
    <w:rsid w:val="00CD33B1"/>
    <w:rsid w:val="00CD41FD"/>
    <w:rsid w:val="00CD4304"/>
    <w:rsid w:val="00CD47D9"/>
    <w:rsid w:val="00CD4B64"/>
    <w:rsid w:val="00CD4CBC"/>
    <w:rsid w:val="00CD4FC6"/>
    <w:rsid w:val="00CD573E"/>
    <w:rsid w:val="00CD58CE"/>
    <w:rsid w:val="00CD5A29"/>
    <w:rsid w:val="00CD5AB7"/>
    <w:rsid w:val="00CD5C70"/>
    <w:rsid w:val="00CD5DCE"/>
    <w:rsid w:val="00CD6641"/>
    <w:rsid w:val="00CD6C52"/>
    <w:rsid w:val="00CD7267"/>
    <w:rsid w:val="00CD75FF"/>
    <w:rsid w:val="00CD7A84"/>
    <w:rsid w:val="00CE0158"/>
    <w:rsid w:val="00CE0BF7"/>
    <w:rsid w:val="00CE0D54"/>
    <w:rsid w:val="00CE1021"/>
    <w:rsid w:val="00CE121B"/>
    <w:rsid w:val="00CE18F0"/>
    <w:rsid w:val="00CE19B7"/>
    <w:rsid w:val="00CE1D9E"/>
    <w:rsid w:val="00CE2157"/>
    <w:rsid w:val="00CE236E"/>
    <w:rsid w:val="00CE2930"/>
    <w:rsid w:val="00CE2A9C"/>
    <w:rsid w:val="00CE2ACC"/>
    <w:rsid w:val="00CE3116"/>
    <w:rsid w:val="00CE331F"/>
    <w:rsid w:val="00CE358D"/>
    <w:rsid w:val="00CE3752"/>
    <w:rsid w:val="00CE3814"/>
    <w:rsid w:val="00CE3BAB"/>
    <w:rsid w:val="00CE3ED9"/>
    <w:rsid w:val="00CE420E"/>
    <w:rsid w:val="00CE446F"/>
    <w:rsid w:val="00CE4579"/>
    <w:rsid w:val="00CE45A6"/>
    <w:rsid w:val="00CE461E"/>
    <w:rsid w:val="00CE4A77"/>
    <w:rsid w:val="00CE4B4D"/>
    <w:rsid w:val="00CE4B59"/>
    <w:rsid w:val="00CE4EA4"/>
    <w:rsid w:val="00CE5814"/>
    <w:rsid w:val="00CE5961"/>
    <w:rsid w:val="00CE5FCD"/>
    <w:rsid w:val="00CE6085"/>
    <w:rsid w:val="00CE7519"/>
    <w:rsid w:val="00CE79D6"/>
    <w:rsid w:val="00CF004E"/>
    <w:rsid w:val="00CF0899"/>
    <w:rsid w:val="00CF0BFC"/>
    <w:rsid w:val="00CF0EDB"/>
    <w:rsid w:val="00CF129C"/>
    <w:rsid w:val="00CF1469"/>
    <w:rsid w:val="00CF14E8"/>
    <w:rsid w:val="00CF1F1D"/>
    <w:rsid w:val="00CF20FE"/>
    <w:rsid w:val="00CF267D"/>
    <w:rsid w:val="00CF26A7"/>
    <w:rsid w:val="00CF281A"/>
    <w:rsid w:val="00CF2906"/>
    <w:rsid w:val="00CF2AB6"/>
    <w:rsid w:val="00CF2E73"/>
    <w:rsid w:val="00CF2EA7"/>
    <w:rsid w:val="00CF35CE"/>
    <w:rsid w:val="00CF3C0A"/>
    <w:rsid w:val="00CF3CED"/>
    <w:rsid w:val="00CF430C"/>
    <w:rsid w:val="00CF43EC"/>
    <w:rsid w:val="00CF4AED"/>
    <w:rsid w:val="00CF4EA6"/>
    <w:rsid w:val="00CF540C"/>
    <w:rsid w:val="00CF58F9"/>
    <w:rsid w:val="00CF5C12"/>
    <w:rsid w:val="00CF5E34"/>
    <w:rsid w:val="00CF63E4"/>
    <w:rsid w:val="00CF6A0A"/>
    <w:rsid w:val="00CF760C"/>
    <w:rsid w:val="00CF77E0"/>
    <w:rsid w:val="00D0023D"/>
    <w:rsid w:val="00D002FE"/>
    <w:rsid w:val="00D0035E"/>
    <w:rsid w:val="00D00A73"/>
    <w:rsid w:val="00D00BA7"/>
    <w:rsid w:val="00D00EC4"/>
    <w:rsid w:val="00D017D1"/>
    <w:rsid w:val="00D01FDB"/>
    <w:rsid w:val="00D02404"/>
    <w:rsid w:val="00D02705"/>
    <w:rsid w:val="00D02B08"/>
    <w:rsid w:val="00D02CBF"/>
    <w:rsid w:val="00D02E4D"/>
    <w:rsid w:val="00D02F44"/>
    <w:rsid w:val="00D03365"/>
    <w:rsid w:val="00D03670"/>
    <w:rsid w:val="00D03F41"/>
    <w:rsid w:val="00D04105"/>
    <w:rsid w:val="00D0453D"/>
    <w:rsid w:val="00D046CD"/>
    <w:rsid w:val="00D04811"/>
    <w:rsid w:val="00D04A09"/>
    <w:rsid w:val="00D04BC2"/>
    <w:rsid w:val="00D04EE6"/>
    <w:rsid w:val="00D0510B"/>
    <w:rsid w:val="00D0534A"/>
    <w:rsid w:val="00D057BC"/>
    <w:rsid w:val="00D05A1E"/>
    <w:rsid w:val="00D061EF"/>
    <w:rsid w:val="00D064CC"/>
    <w:rsid w:val="00D067B7"/>
    <w:rsid w:val="00D0685D"/>
    <w:rsid w:val="00D06A25"/>
    <w:rsid w:val="00D07190"/>
    <w:rsid w:val="00D0737D"/>
    <w:rsid w:val="00D07880"/>
    <w:rsid w:val="00D07F86"/>
    <w:rsid w:val="00D10209"/>
    <w:rsid w:val="00D1074E"/>
    <w:rsid w:val="00D10F08"/>
    <w:rsid w:val="00D11E9E"/>
    <w:rsid w:val="00D12011"/>
    <w:rsid w:val="00D1222F"/>
    <w:rsid w:val="00D12295"/>
    <w:rsid w:val="00D123B5"/>
    <w:rsid w:val="00D125CF"/>
    <w:rsid w:val="00D1272C"/>
    <w:rsid w:val="00D12C77"/>
    <w:rsid w:val="00D1351B"/>
    <w:rsid w:val="00D136A4"/>
    <w:rsid w:val="00D13973"/>
    <w:rsid w:val="00D13CD9"/>
    <w:rsid w:val="00D140F2"/>
    <w:rsid w:val="00D14C78"/>
    <w:rsid w:val="00D14E78"/>
    <w:rsid w:val="00D15270"/>
    <w:rsid w:val="00D15DAE"/>
    <w:rsid w:val="00D15DCE"/>
    <w:rsid w:val="00D16090"/>
    <w:rsid w:val="00D16F37"/>
    <w:rsid w:val="00D174BF"/>
    <w:rsid w:val="00D1785A"/>
    <w:rsid w:val="00D2002A"/>
    <w:rsid w:val="00D2028C"/>
    <w:rsid w:val="00D20364"/>
    <w:rsid w:val="00D206C5"/>
    <w:rsid w:val="00D219DB"/>
    <w:rsid w:val="00D221AC"/>
    <w:rsid w:val="00D22541"/>
    <w:rsid w:val="00D22D50"/>
    <w:rsid w:val="00D23160"/>
    <w:rsid w:val="00D2336F"/>
    <w:rsid w:val="00D23439"/>
    <w:rsid w:val="00D234F2"/>
    <w:rsid w:val="00D23648"/>
    <w:rsid w:val="00D2381E"/>
    <w:rsid w:val="00D23B2A"/>
    <w:rsid w:val="00D24E40"/>
    <w:rsid w:val="00D24F9C"/>
    <w:rsid w:val="00D254B6"/>
    <w:rsid w:val="00D25688"/>
    <w:rsid w:val="00D25A6E"/>
    <w:rsid w:val="00D2623C"/>
    <w:rsid w:val="00D264EB"/>
    <w:rsid w:val="00D268AF"/>
    <w:rsid w:val="00D26A46"/>
    <w:rsid w:val="00D26D1A"/>
    <w:rsid w:val="00D27631"/>
    <w:rsid w:val="00D27A13"/>
    <w:rsid w:val="00D30012"/>
    <w:rsid w:val="00D30507"/>
    <w:rsid w:val="00D309D7"/>
    <w:rsid w:val="00D30A8D"/>
    <w:rsid w:val="00D30ABE"/>
    <w:rsid w:val="00D3150F"/>
    <w:rsid w:val="00D3169C"/>
    <w:rsid w:val="00D317B0"/>
    <w:rsid w:val="00D31943"/>
    <w:rsid w:val="00D3194B"/>
    <w:rsid w:val="00D31E7F"/>
    <w:rsid w:val="00D31EEC"/>
    <w:rsid w:val="00D326A0"/>
    <w:rsid w:val="00D3301C"/>
    <w:rsid w:val="00D33661"/>
    <w:rsid w:val="00D33CB3"/>
    <w:rsid w:val="00D33F6B"/>
    <w:rsid w:val="00D340FC"/>
    <w:rsid w:val="00D3479A"/>
    <w:rsid w:val="00D34844"/>
    <w:rsid w:val="00D349F1"/>
    <w:rsid w:val="00D358EB"/>
    <w:rsid w:val="00D35A64"/>
    <w:rsid w:val="00D35C35"/>
    <w:rsid w:val="00D369A0"/>
    <w:rsid w:val="00D370CC"/>
    <w:rsid w:val="00D3755B"/>
    <w:rsid w:val="00D37689"/>
    <w:rsid w:val="00D378C0"/>
    <w:rsid w:val="00D37B6E"/>
    <w:rsid w:val="00D37E26"/>
    <w:rsid w:val="00D4016D"/>
    <w:rsid w:val="00D40202"/>
    <w:rsid w:val="00D4031F"/>
    <w:rsid w:val="00D41766"/>
    <w:rsid w:val="00D4192A"/>
    <w:rsid w:val="00D41B46"/>
    <w:rsid w:val="00D41B5B"/>
    <w:rsid w:val="00D42BE3"/>
    <w:rsid w:val="00D42C9D"/>
    <w:rsid w:val="00D43D9E"/>
    <w:rsid w:val="00D442D4"/>
    <w:rsid w:val="00D4460B"/>
    <w:rsid w:val="00D44703"/>
    <w:rsid w:val="00D44B04"/>
    <w:rsid w:val="00D44F8B"/>
    <w:rsid w:val="00D451C1"/>
    <w:rsid w:val="00D4542A"/>
    <w:rsid w:val="00D45893"/>
    <w:rsid w:val="00D45E42"/>
    <w:rsid w:val="00D46A18"/>
    <w:rsid w:val="00D46B54"/>
    <w:rsid w:val="00D46D6A"/>
    <w:rsid w:val="00D472EA"/>
    <w:rsid w:val="00D472F1"/>
    <w:rsid w:val="00D479FD"/>
    <w:rsid w:val="00D47ABE"/>
    <w:rsid w:val="00D5164D"/>
    <w:rsid w:val="00D518D4"/>
    <w:rsid w:val="00D5200A"/>
    <w:rsid w:val="00D5203E"/>
    <w:rsid w:val="00D528B9"/>
    <w:rsid w:val="00D52915"/>
    <w:rsid w:val="00D52B67"/>
    <w:rsid w:val="00D52CED"/>
    <w:rsid w:val="00D5306F"/>
    <w:rsid w:val="00D5333A"/>
    <w:rsid w:val="00D53442"/>
    <w:rsid w:val="00D536EF"/>
    <w:rsid w:val="00D5386F"/>
    <w:rsid w:val="00D53E26"/>
    <w:rsid w:val="00D54007"/>
    <w:rsid w:val="00D5408A"/>
    <w:rsid w:val="00D5442E"/>
    <w:rsid w:val="00D54A09"/>
    <w:rsid w:val="00D54AD1"/>
    <w:rsid w:val="00D55076"/>
    <w:rsid w:val="00D55985"/>
    <w:rsid w:val="00D55DD8"/>
    <w:rsid w:val="00D56602"/>
    <w:rsid w:val="00D56E81"/>
    <w:rsid w:val="00D57346"/>
    <w:rsid w:val="00D5738D"/>
    <w:rsid w:val="00D577B4"/>
    <w:rsid w:val="00D578BB"/>
    <w:rsid w:val="00D57F62"/>
    <w:rsid w:val="00D57FC6"/>
    <w:rsid w:val="00D60158"/>
    <w:rsid w:val="00D601F2"/>
    <w:rsid w:val="00D60A5A"/>
    <w:rsid w:val="00D60ACB"/>
    <w:rsid w:val="00D6173C"/>
    <w:rsid w:val="00D61BD7"/>
    <w:rsid w:val="00D6256E"/>
    <w:rsid w:val="00D627B7"/>
    <w:rsid w:val="00D6324D"/>
    <w:rsid w:val="00D63461"/>
    <w:rsid w:val="00D637BC"/>
    <w:rsid w:val="00D63BD1"/>
    <w:rsid w:val="00D642FE"/>
    <w:rsid w:val="00D64628"/>
    <w:rsid w:val="00D64787"/>
    <w:rsid w:val="00D64944"/>
    <w:rsid w:val="00D65996"/>
    <w:rsid w:val="00D65C09"/>
    <w:rsid w:val="00D668F6"/>
    <w:rsid w:val="00D66E5F"/>
    <w:rsid w:val="00D66EBD"/>
    <w:rsid w:val="00D6755A"/>
    <w:rsid w:val="00D67577"/>
    <w:rsid w:val="00D70019"/>
    <w:rsid w:val="00D701A6"/>
    <w:rsid w:val="00D704A8"/>
    <w:rsid w:val="00D70905"/>
    <w:rsid w:val="00D709C7"/>
    <w:rsid w:val="00D7106F"/>
    <w:rsid w:val="00D71A13"/>
    <w:rsid w:val="00D7203E"/>
    <w:rsid w:val="00D7311E"/>
    <w:rsid w:val="00D7360B"/>
    <w:rsid w:val="00D7378E"/>
    <w:rsid w:val="00D7398A"/>
    <w:rsid w:val="00D7405D"/>
    <w:rsid w:val="00D74143"/>
    <w:rsid w:val="00D74D03"/>
    <w:rsid w:val="00D74DBE"/>
    <w:rsid w:val="00D750BE"/>
    <w:rsid w:val="00D75BC9"/>
    <w:rsid w:val="00D76372"/>
    <w:rsid w:val="00D76785"/>
    <w:rsid w:val="00D76C51"/>
    <w:rsid w:val="00D7784E"/>
    <w:rsid w:val="00D77BF0"/>
    <w:rsid w:val="00D77FB5"/>
    <w:rsid w:val="00D80628"/>
    <w:rsid w:val="00D80F46"/>
    <w:rsid w:val="00D810C9"/>
    <w:rsid w:val="00D813CA"/>
    <w:rsid w:val="00D81525"/>
    <w:rsid w:val="00D8179A"/>
    <w:rsid w:val="00D81D8D"/>
    <w:rsid w:val="00D81EA0"/>
    <w:rsid w:val="00D81EC1"/>
    <w:rsid w:val="00D81F90"/>
    <w:rsid w:val="00D823C4"/>
    <w:rsid w:val="00D825F1"/>
    <w:rsid w:val="00D825F7"/>
    <w:rsid w:val="00D828D2"/>
    <w:rsid w:val="00D82916"/>
    <w:rsid w:val="00D83205"/>
    <w:rsid w:val="00D832F5"/>
    <w:rsid w:val="00D834F7"/>
    <w:rsid w:val="00D83E74"/>
    <w:rsid w:val="00D84708"/>
    <w:rsid w:val="00D8474A"/>
    <w:rsid w:val="00D847C8"/>
    <w:rsid w:val="00D849D7"/>
    <w:rsid w:val="00D84CEF"/>
    <w:rsid w:val="00D84E17"/>
    <w:rsid w:val="00D854F3"/>
    <w:rsid w:val="00D86018"/>
    <w:rsid w:val="00D86580"/>
    <w:rsid w:val="00D8680F"/>
    <w:rsid w:val="00D8688E"/>
    <w:rsid w:val="00D86933"/>
    <w:rsid w:val="00D869A7"/>
    <w:rsid w:val="00D8701D"/>
    <w:rsid w:val="00D87721"/>
    <w:rsid w:val="00D87CBD"/>
    <w:rsid w:val="00D90599"/>
    <w:rsid w:val="00D9080D"/>
    <w:rsid w:val="00D9124B"/>
    <w:rsid w:val="00D913DF"/>
    <w:rsid w:val="00D91C7D"/>
    <w:rsid w:val="00D91EBB"/>
    <w:rsid w:val="00D9215C"/>
    <w:rsid w:val="00D9223F"/>
    <w:rsid w:val="00D92313"/>
    <w:rsid w:val="00D92484"/>
    <w:rsid w:val="00D9354C"/>
    <w:rsid w:val="00D9379D"/>
    <w:rsid w:val="00D93ADD"/>
    <w:rsid w:val="00D93AF5"/>
    <w:rsid w:val="00D93CC0"/>
    <w:rsid w:val="00D93DD6"/>
    <w:rsid w:val="00D93E62"/>
    <w:rsid w:val="00D93F14"/>
    <w:rsid w:val="00D93FD7"/>
    <w:rsid w:val="00D949CA"/>
    <w:rsid w:val="00D95048"/>
    <w:rsid w:val="00D95875"/>
    <w:rsid w:val="00D95969"/>
    <w:rsid w:val="00D95FF4"/>
    <w:rsid w:val="00D969B3"/>
    <w:rsid w:val="00D96BA5"/>
    <w:rsid w:val="00D975AB"/>
    <w:rsid w:val="00D9793C"/>
    <w:rsid w:val="00DA0132"/>
    <w:rsid w:val="00DA04B7"/>
    <w:rsid w:val="00DA059D"/>
    <w:rsid w:val="00DA0772"/>
    <w:rsid w:val="00DA0CE0"/>
    <w:rsid w:val="00DA0CE3"/>
    <w:rsid w:val="00DA0DF7"/>
    <w:rsid w:val="00DA18D9"/>
    <w:rsid w:val="00DA19B0"/>
    <w:rsid w:val="00DA1C92"/>
    <w:rsid w:val="00DA1DFC"/>
    <w:rsid w:val="00DA25DB"/>
    <w:rsid w:val="00DA280C"/>
    <w:rsid w:val="00DA335B"/>
    <w:rsid w:val="00DA42C2"/>
    <w:rsid w:val="00DA4323"/>
    <w:rsid w:val="00DA43EB"/>
    <w:rsid w:val="00DA453A"/>
    <w:rsid w:val="00DA49FE"/>
    <w:rsid w:val="00DA4C0C"/>
    <w:rsid w:val="00DA5C6F"/>
    <w:rsid w:val="00DA62C3"/>
    <w:rsid w:val="00DA62F8"/>
    <w:rsid w:val="00DA6537"/>
    <w:rsid w:val="00DA657A"/>
    <w:rsid w:val="00DA65C6"/>
    <w:rsid w:val="00DA7105"/>
    <w:rsid w:val="00DA770A"/>
    <w:rsid w:val="00DA792F"/>
    <w:rsid w:val="00DA7C84"/>
    <w:rsid w:val="00DA7E24"/>
    <w:rsid w:val="00DB06FC"/>
    <w:rsid w:val="00DB0845"/>
    <w:rsid w:val="00DB0A0C"/>
    <w:rsid w:val="00DB0B40"/>
    <w:rsid w:val="00DB10CE"/>
    <w:rsid w:val="00DB10EA"/>
    <w:rsid w:val="00DB2037"/>
    <w:rsid w:val="00DB2049"/>
    <w:rsid w:val="00DB24E6"/>
    <w:rsid w:val="00DB27EB"/>
    <w:rsid w:val="00DB2B26"/>
    <w:rsid w:val="00DB340C"/>
    <w:rsid w:val="00DB3807"/>
    <w:rsid w:val="00DB3991"/>
    <w:rsid w:val="00DB3D8A"/>
    <w:rsid w:val="00DB3E81"/>
    <w:rsid w:val="00DB3F90"/>
    <w:rsid w:val="00DB42FB"/>
    <w:rsid w:val="00DB55DE"/>
    <w:rsid w:val="00DB5CB9"/>
    <w:rsid w:val="00DB6604"/>
    <w:rsid w:val="00DB6746"/>
    <w:rsid w:val="00DB6D59"/>
    <w:rsid w:val="00DB70E2"/>
    <w:rsid w:val="00DC02E1"/>
    <w:rsid w:val="00DC0F87"/>
    <w:rsid w:val="00DC1041"/>
    <w:rsid w:val="00DC1063"/>
    <w:rsid w:val="00DC1262"/>
    <w:rsid w:val="00DC19C8"/>
    <w:rsid w:val="00DC1E41"/>
    <w:rsid w:val="00DC1F8C"/>
    <w:rsid w:val="00DC2398"/>
    <w:rsid w:val="00DC23DE"/>
    <w:rsid w:val="00DC264D"/>
    <w:rsid w:val="00DC2D9C"/>
    <w:rsid w:val="00DC2EAF"/>
    <w:rsid w:val="00DC2F2D"/>
    <w:rsid w:val="00DC2FBE"/>
    <w:rsid w:val="00DC343E"/>
    <w:rsid w:val="00DC39E3"/>
    <w:rsid w:val="00DC3A09"/>
    <w:rsid w:val="00DC4B0F"/>
    <w:rsid w:val="00DC51A7"/>
    <w:rsid w:val="00DC5D27"/>
    <w:rsid w:val="00DC632B"/>
    <w:rsid w:val="00DC6722"/>
    <w:rsid w:val="00DC6996"/>
    <w:rsid w:val="00DC6EBE"/>
    <w:rsid w:val="00DC7601"/>
    <w:rsid w:val="00DC7DCF"/>
    <w:rsid w:val="00DD01A9"/>
    <w:rsid w:val="00DD0273"/>
    <w:rsid w:val="00DD030E"/>
    <w:rsid w:val="00DD0A74"/>
    <w:rsid w:val="00DD10BE"/>
    <w:rsid w:val="00DD13D0"/>
    <w:rsid w:val="00DD1772"/>
    <w:rsid w:val="00DD180B"/>
    <w:rsid w:val="00DD1B3D"/>
    <w:rsid w:val="00DD1C30"/>
    <w:rsid w:val="00DD1EDD"/>
    <w:rsid w:val="00DD23AB"/>
    <w:rsid w:val="00DD27B5"/>
    <w:rsid w:val="00DD2C5A"/>
    <w:rsid w:val="00DD2F95"/>
    <w:rsid w:val="00DD3050"/>
    <w:rsid w:val="00DD36C6"/>
    <w:rsid w:val="00DD36F1"/>
    <w:rsid w:val="00DD384C"/>
    <w:rsid w:val="00DD49BE"/>
    <w:rsid w:val="00DD4A86"/>
    <w:rsid w:val="00DD4CD4"/>
    <w:rsid w:val="00DD514E"/>
    <w:rsid w:val="00DD55E8"/>
    <w:rsid w:val="00DD5876"/>
    <w:rsid w:val="00DD599C"/>
    <w:rsid w:val="00DD6861"/>
    <w:rsid w:val="00DD6A90"/>
    <w:rsid w:val="00DD6E4C"/>
    <w:rsid w:val="00DD73B8"/>
    <w:rsid w:val="00DD7D50"/>
    <w:rsid w:val="00DE005F"/>
    <w:rsid w:val="00DE00A3"/>
    <w:rsid w:val="00DE0511"/>
    <w:rsid w:val="00DE053B"/>
    <w:rsid w:val="00DE081B"/>
    <w:rsid w:val="00DE0BEF"/>
    <w:rsid w:val="00DE1537"/>
    <w:rsid w:val="00DE161C"/>
    <w:rsid w:val="00DE1E72"/>
    <w:rsid w:val="00DE1F78"/>
    <w:rsid w:val="00DE2140"/>
    <w:rsid w:val="00DE247F"/>
    <w:rsid w:val="00DE2752"/>
    <w:rsid w:val="00DE38DB"/>
    <w:rsid w:val="00DE3C93"/>
    <w:rsid w:val="00DE3CB7"/>
    <w:rsid w:val="00DE3D7F"/>
    <w:rsid w:val="00DE4176"/>
    <w:rsid w:val="00DE4348"/>
    <w:rsid w:val="00DE45FD"/>
    <w:rsid w:val="00DE4E8F"/>
    <w:rsid w:val="00DE52EA"/>
    <w:rsid w:val="00DE5F7C"/>
    <w:rsid w:val="00DE606E"/>
    <w:rsid w:val="00DE6145"/>
    <w:rsid w:val="00DE6431"/>
    <w:rsid w:val="00DE66A3"/>
    <w:rsid w:val="00DE6852"/>
    <w:rsid w:val="00DE7020"/>
    <w:rsid w:val="00DE739E"/>
    <w:rsid w:val="00DE7AF8"/>
    <w:rsid w:val="00DF0180"/>
    <w:rsid w:val="00DF03CB"/>
    <w:rsid w:val="00DF0F9D"/>
    <w:rsid w:val="00DF108E"/>
    <w:rsid w:val="00DF1150"/>
    <w:rsid w:val="00DF1C98"/>
    <w:rsid w:val="00DF2974"/>
    <w:rsid w:val="00DF2C96"/>
    <w:rsid w:val="00DF2E16"/>
    <w:rsid w:val="00DF31EE"/>
    <w:rsid w:val="00DF34D3"/>
    <w:rsid w:val="00DF3EA6"/>
    <w:rsid w:val="00DF3FAF"/>
    <w:rsid w:val="00DF421D"/>
    <w:rsid w:val="00DF44E0"/>
    <w:rsid w:val="00DF4766"/>
    <w:rsid w:val="00DF4814"/>
    <w:rsid w:val="00DF4B94"/>
    <w:rsid w:val="00DF4C93"/>
    <w:rsid w:val="00DF58DD"/>
    <w:rsid w:val="00DF5A79"/>
    <w:rsid w:val="00DF5DCF"/>
    <w:rsid w:val="00DF5FB0"/>
    <w:rsid w:val="00DF705A"/>
    <w:rsid w:val="00DF7116"/>
    <w:rsid w:val="00DF7234"/>
    <w:rsid w:val="00DF76DA"/>
    <w:rsid w:val="00E002DB"/>
    <w:rsid w:val="00E0088E"/>
    <w:rsid w:val="00E0089C"/>
    <w:rsid w:val="00E00E5D"/>
    <w:rsid w:val="00E00EC9"/>
    <w:rsid w:val="00E00F32"/>
    <w:rsid w:val="00E01C76"/>
    <w:rsid w:val="00E02B7E"/>
    <w:rsid w:val="00E038C1"/>
    <w:rsid w:val="00E03D50"/>
    <w:rsid w:val="00E03FFB"/>
    <w:rsid w:val="00E042BC"/>
    <w:rsid w:val="00E048AB"/>
    <w:rsid w:val="00E04A2C"/>
    <w:rsid w:val="00E054E6"/>
    <w:rsid w:val="00E05752"/>
    <w:rsid w:val="00E05E1D"/>
    <w:rsid w:val="00E07024"/>
    <w:rsid w:val="00E07E00"/>
    <w:rsid w:val="00E1031E"/>
    <w:rsid w:val="00E10394"/>
    <w:rsid w:val="00E1071E"/>
    <w:rsid w:val="00E1098E"/>
    <w:rsid w:val="00E10BD9"/>
    <w:rsid w:val="00E10FB8"/>
    <w:rsid w:val="00E117E9"/>
    <w:rsid w:val="00E123DC"/>
    <w:rsid w:val="00E13B05"/>
    <w:rsid w:val="00E1406B"/>
    <w:rsid w:val="00E14B78"/>
    <w:rsid w:val="00E14B7C"/>
    <w:rsid w:val="00E14B85"/>
    <w:rsid w:val="00E14BCF"/>
    <w:rsid w:val="00E14E1F"/>
    <w:rsid w:val="00E14E53"/>
    <w:rsid w:val="00E14F4D"/>
    <w:rsid w:val="00E1503C"/>
    <w:rsid w:val="00E15142"/>
    <w:rsid w:val="00E15359"/>
    <w:rsid w:val="00E1572C"/>
    <w:rsid w:val="00E158FF"/>
    <w:rsid w:val="00E15E25"/>
    <w:rsid w:val="00E162F1"/>
    <w:rsid w:val="00E1662F"/>
    <w:rsid w:val="00E169D8"/>
    <w:rsid w:val="00E16C76"/>
    <w:rsid w:val="00E16ED2"/>
    <w:rsid w:val="00E170B0"/>
    <w:rsid w:val="00E1729C"/>
    <w:rsid w:val="00E17690"/>
    <w:rsid w:val="00E17736"/>
    <w:rsid w:val="00E17AB4"/>
    <w:rsid w:val="00E17C15"/>
    <w:rsid w:val="00E20093"/>
    <w:rsid w:val="00E205AF"/>
    <w:rsid w:val="00E211C3"/>
    <w:rsid w:val="00E2124E"/>
    <w:rsid w:val="00E213F9"/>
    <w:rsid w:val="00E219AA"/>
    <w:rsid w:val="00E21B6B"/>
    <w:rsid w:val="00E21F30"/>
    <w:rsid w:val="00E224CA"/>
    <w:rsid w:val="00E2250D"/>
    <w:rsid w:val="00E2259F"/>
    <w:rsid w:val="00E2297A"/>
    <w:rsid w:val="00E2320F"/>
    <w:rsid w:val="00E234EB"/>
    <w:rsid w:val="00E2389B"/>
    <w:rsid w:val="00E23B11"/>
    <w:rsid w:val="00E23D29"/>
    <w:rsid w:val="00E23EA0"/>
    <w:rsid w:val="00E2412E"/>
    <w:rsid w:val="00E251CC"/>
    <w:rsid w:val="00E25AF2"/>
    <w:rsid w:val="00E26382"/>
    <w:rsid w:val="00E26759"/>
    <w:rsid w:val="00E267B7"/>
    <w:rsid w:val="00E26FC1"/>
    <w:rsid w:val="00E27F43"/>
    <w:rsid w:val="00E30E8A"/>
    <w:rsid w:val="00E3165E"/>
    <w:rsid w:val="00E31E0E"/>
    <w:rsid w:val="00E31F5C"/>
    <w:rsid w:val="00E32119"/>
    <w:rsid w:val="00E32407"/>
    <w:rsid w:val="00E32B7F"/>
    <w:rsid w:val="00E32DEE"/>
    <w:rsid w:val="00E33122"/>
    <w:rsid w:val="00E33A60"/>
    <w:rsid w:val="00E34032"/>
    <w:rsid w:val="00E344A8"/>
    <w:rsid w:val="00E34AA8"/>
    <w:rsid w:val="00E35275"/>
    <w:rsid w:val="00E353EB"/>
    <w:rsid w:val="00E35781"/>
    <w:rsid w:val="00E35892"/>
    <w:rsid w:val="00E35B5C"/>
    <w:rsid w:val="00E35CC2"/>
    <w:rsid w:val="00E35CF7"/>
    <w:rsid w:val="00E35D3F"/>
    <w:rsid w:val="00E36719"/>
    <w:rsid w:val="00E36DB8"/>
    <w:rsid w:val="00E3702F"/>
    <w:rsid w:val="00E379F9"/>
    <w:rsid w:val="00E4029C"/>
    <w:rsid w:val="00E40A88"/>
    <w:rsid w:val="00E40E64"/>
    <w:rsid w:val="00E40FF3"/>
    <w:rsid w:val="00E41165"/>
    <w:rsid w:val="00E41C83"/>
    <w:rsid w:val="00E41D80"/>
    <w:rsid w:val="00E42B32"/>
    <w:rsid w:val="00E42EE0"/>
    <w:rsid w:val="00E432B7"/>
    <w:rsid w:val="00E43626"/>
    <w:rsid w:val="00E44415"/>
    <w:rsid w:val="00E44898"/>
    <w:rsid w:val="00E44C75"/>
    <w:rsid w:val="00E44DA4"/>
    <w:rsid w:val="00E451D2"/>
    <w:rsid w:val="00E452B5"/>
    <w:rsid w:val="00E460AE"/>
    <w:rsid w:val="00E46178"/>
    <w:rsid w:val="00E462D2"/>
    <w:rsid w:val="00E46A19"/>
    <w:rsid w:val="00E46E40"/>
    <w:rsid w:val="00E475FD"/>
    <w:rsid w:val="00E47624"/>
    <w:rsid w:val="00E47D9E"/>
    <w:rsid w:val="00E50432"/>
    <w:rsid w:val="00E50746"/>
    <w:rsid w:val="00E50869"/>
    <w:rsid w:val="00E50AAD"/>
    <w:rsid w:val="00E515FC"/>
    <w:rsid w:val="00E517B1"/>
    <w:rsid w:val="00E52164"/>
    <w:rsid w:val="00E528DD"/>
    <w:rsid w:val="00E52DAA"/>
    <w:rsid w:val="00E53AA1"/>
    <w:rsid w:val="00E53D61"/>
    <w:rsid w:val="00E53DD9"/>
    <w:rsid w:val="00E5481B"/>
    <w:rsid w:val="00E54C8A"/>
    <w:rsid w:val="00E54F75"/>
    <w:rsid w:val="00E556D0"/>
    <w:rsid w:val="00E557C2"/>
    <w:rsid w:val="00E55CA0"/>
    <w:rsid w:val="00E56206"/>
    <w:rsid w:val="00E566BB"/>
    <w:rsid w:val="00E568CD"/>
    <w:rsid w:val="00E5691A"/>
    <w:rsid w:val="00E5699D"/>
    <w:rsid w:val="00E56B3B"/>
    <w:rsid w:val="00E56F1F"/>
    <w:rsid w:val="00E57122"/>
    <w:rsid w:val="00E5747A"/>
    <w:rsid w:val="00E575D5"/>
    <w:rsid w:val="00E577D1"/>
    <w:rsid w:val="00E57DBD"/>
    <w:rsid w:val="00E6082F"/>
    <w:rsid w:val="00E60A53"/>
    <w:rsid w:val="00E6161C"/>
    <w:rsid w:val="00E61FB0"/>
    <w:rsid w:val="00E623D6"/>
    <w:rsid w:val="00E62583"/>
    <w:rsid w:val="00E625BD"/>
    <w:rsid w:val="00E6302B"/>
    <w:rsid w:val="00E63149"/>
    <w:rsid w:val="00E6341C"/>
    <w:rsid w:val="00E63737"/>
    <w:rsid w:val="00E6395C"/>
    <w:rsid w:val="00E63DBA"/>
    <w:rsid w:val="00E64DAE"/>
    <w:rsid w:val="00E651FD"/>
    <w:rsid w:val="00E65219"/>
    <w:rsid w:val="00E654EA"/>
    <w:rsid w:val="00E65569"/>
    <w:rsid w:val="00E65CA1"/>
    <w:rsid w:val="00E65D83"/>
    <w:rsid w:val="00E6636F"/>
    <w:rsid w:val="00E6641D"/>
    <w:rsid w:val="00E66619"/>
    <w:rsid w:val="00E666A6"/>
    <w:rsid w:val="00E6686C"/>
    <w:rsid w:val="00E66AF9"/>
    <w:rsid w:val="00E66EB4"/>
    <w:rsid w:val="00E67519"/>
    <w:rsid w:val="00E6765F"/>
    <w:rsid w:val="00E679D2"/>
    <w:rsid w:val="00E67C67"/>
    <w:rsid w:val="00E70372"/>
    <w:rsid w:val="00E70384"/>
    <w:rsid w:val="00E70429"/>
    <w:rsid w:val="00E704B9"/>
    <w:rsid w:val="00E704D1"/>
    <w:rsid w:val="00E70586"/>
    <w:rsid w:val="00E7084D"/>
    <w:rsid w:val="00E70B7A"/>
    <w:rsid w:val="00E70E2F"/>
    <w:rsid w:val="00E71051"/>
    <w:rsid w:val="00E723DF"/>
    <w:rsid w:val="00E73533"/>
    <w:rsid w:val="00E73547"/>
    <w:rsid w:val="00E73C69"/>
    <w:rsid w:val="00E73D1A"/>
    <w:rsid w:val="00E75136"/>
    <w:rsid w:val="00E75228"/>
    <w:rsid w:val="00E75913"/>
    <w:rsid w:val="00E75C9E"/>
    <w:rsid w:val="00E75E17"/>
    <w:rsid w:val="00E75E31"/>
    <w:rsid w:val="00E76145"/>
    <w:rsid w:val="00E761EF"/>
    <w:rsid w:val="00E767ED"/>
    <w:rsid w:val="00E76856"/>
    <w:rsid w:val="00E76DA6"/>
    <w:rsid w:val="00E77181"/>
    <w:rsid w:val="00E77218"/>
    <w:rsid w:val="00E80151"/>
    <w:rsid w:val="00E80B1B"/>
    <w:rsid w:val="00E8117E"/>
    <w:rsid w:val="00E81978"/>
    <w:rsid w:val="00E81FA2"/>
    <w:rsid w:val="00E821D3"/>
    <w:rsid w:val="00E8224D"/>
    <w:rsid w:val="00E82995"/>
    <w:rsid w:val="00E82B8A"/>
    <w:rsid w:val="00E82D35"/>
    <w:rsid w:val="00E836BA"/>
    <w:rsid w:val="00E83866"/>
    <w:rsid w:val="00E83919"/>
    <w:rsid w:val="00E83C54"/>
    <w:rsid w:val="00E83ECD"/>
    <w:rsid w:val="00E84374"/>
    <w:rsid w:val="00E84BC7"/>
    <w:rsid w:val="00E85320"/>
    <w:rsid w:val="00E85C1E"/>
    <w:rsid w:val="00E864F8"/>
    <w:rsid w:val="00E87AE9"/>
    <w:rsid w:val="00E9003F"/>
    <w:rsid w:val="00E902AE"/>
    <w:rsid w:val="00E90BED"/>
    <w:rsid w:val="00E90D99"/>
    <w:rsid w:val="00E9160F"/>
    <w:rsid w:val="00E91EC8"/>
    <w:rsid w:val="00E9268D"/>
    <w:rsid w:val="00E9283F"/>
    <w:rsid w:val="00E9285A"/>
    <w:rsid w:val="00E92F92"/>
    <w:rsid w:val="00E93421"/>
    <w:rsid w:val="00E94A5B"/>
    <w:rsid w:val="00E94AAF"/>
    <w:rsid w:val="00E94F27"/>
    <w:rsid w:val="00E959DA"/>
    <w:rsid w:val="00E95D0D"/>
    <w:rsid w:val="00E97000"/>
    <w:rsid w:val="00E97469"/>
    <w:rsid w:val="00E974C7"/>
    <w:rsid w:val="00E977B3"/>
    <w:rsid w:val="00E979BD"/>
    <w:rsid w:val="00E97AD0"/>
    <w:rsid w:val="00E97B8A"/>
    <w:rsid w:val="00E97BC6"/>
    <w:rsid w:val="00E97ED5"/>
    <w:rsid w:val="00EA0169"/>
    <w:rsid w:val="00EA05ED"/>
    <w:rsid w:val="00EA085D"/>
    <w:rsid w:val="00EA0D7D"/>
    <w:rsid w:val="00EA0E96"/>
    <w:rsid w:val="00EA0EA8"/>
    <w:rsid w:val="00EA1C6A"/>
    <w:rsid w:val="00EA25B9"/>
    <w:rsid w:val="00EA2BE9"/>
    <w:rsid w:val="00EA3014"/>
    <w:rsid w:val="00EA3196"/>
    <w:rsid w:val="00EA3337"/>
    <w:rsid w:val="00EA36D5"/>
    <w:rsid w:val="00EA3787"/>
    <w:rsid w:val="00EA38F2"/>
    <w:rsid w:val="00EA4504"/>
    <w:rsid w:val="00EA5865"/>
    <w:rsid w:val="00EA5B36"/>
    <w:rsid w:val="00EA6506"/>
    <w:rsid w:val="00EA6799"/>
    <w:rsid w:val="00EA69A3"/>
    <w:rsid w:val="00EA6E30"/>
    <w:rsid w:val="00EA710F"/>
    <w:rsid w:val="00EA7768"/>
    <w:rsid w:val="00EA79EA"/>
    <w:rsid w:val="00EA7B67"/>
    <w:rsid w:val="00EA7E46"/>
    <w:rsid w:val="00EB0162"/>
    <w:rsid w:val="00EB0734"/>
    <w:rsid w:val="00EB1019"/>
    <w:rsid w:val="00EB1BCB"/>
    <w:rsid w:val="00EB1F96"/>
    <w:rsid w:val="00EB200F"/>
    <w:rsid w:val="00EB20E8"/>
    <w:rsid w:val="00EB254C"/>
    <w:rsid w:val="00EB28E1"/>
    <w:rsid w:val="00EB2D5B"/>
    <w:rsid w:val="00EB3579"/>
    <w:rsid w:val="00EB35AA"/>
    <w:rsid w:val="00EB3926"/>
    <w:rsid w:val="00EB3AF4"/>
    <w:rsid w:val="00EB4096"/>
    <w:rsid w:val="00EB40E2"/>
    <w:rsid w:val="00EB4169"/>
    <w:rsid w:val="00EB428A"/>
    <w:rsid w:val="00EB4491"/>
    <w:rsid w:val="00EB4BC5"/>
    <w:rsid w:val="00EB50FA"/>
    <w:rsid w:val="00EB54C1"/>
    <w:rsid w:val="00EB54EA"/>
    <w:rsid w:val="00EB579E"/>
    <w:rsid w:val="00EB57A3"/>
    <w:rsid w:val="00EB583D"/>
    <w:rsid w:val="00EB604E"/>
    <w:rsid w:val="00EB6113"/>
    <w:rsid w:val="00EB6264"/>
    <w:rsid w:val="00EB6CC9"/>
    <w:rsid w:val="00EB6EA1"/>
    <w:rsid w:val="00EB7628"/>
    <w:rsid w:val="00EB785D"/>
    <w:rsid w:val="00EB7922"/>
    <w:rsid w:val="00EB7F07"/>
    <w:rsid w:val="00EB7FAD"/>
    <w:rsid w:val="00EC024A"/>
    <w:rsid w:val="00EC0263"/>
    <w:rsid w:val="00EC029E"/>
    <w:rsid w:val="00EC074E"/>
    <w:rsid w:val="00EC0CCC"/>
    <w:rsid w:val="00EC1BD8"/>
    <w:rsid w:val="00EC2359"/>
    <w:rsid w:val="00EC297E"/>
    <w:rsid w:val="00EC29AE"/>
    <w:rsid w:val="00EC2C9B"/>
    <w:rsid w:val="00EC2DDD"/>
    <w:rsid w:val="00EC30F0"/>
    <w:rsid w:val="00EC3C1A"/>
    <w:rsid w:val="00EC43EA"/>
    <w:rsid w:val="00EC4B22"/>
    <w:rsid w:val="00EC4B4E"/>
    <w:rsid w:val="00EC4DE4"/>
    <w:rsid w:val="00EC5417"/>
    <w:rsid w:val="00EC55AF"/>
    <w:rsid w:val="00EC5694"/>
    <w:rsid w:val="00EC5B67"/>
    <w:rsid w:val="00EC5BBA"/>
    <w:rsid w:val="00EC5DDD"/>
    <w:rsid w:val="00EC6902"/>
    <w:rsid w:val="00EC6C3D"/>
    <w:rsid w:val="00EC6E1E"/>
    <w:rsid w:val="00EC700F"/>
    <w:rsid w:val="00EC7173"/>
    <w:rsid w:val="00ED048A"/>
    <w:rsid w:val="00ED06E4"/>
    <w:rsid w:val="00ED0A80"/>
    <w:rsid w:val="00ED0CA2"/>
    <w:rsid w:val="00ED146C"/>
    <w:rsid w:val="00ED1483"/>
    <w:rsid w:val="00ED18BD"/>
    <w:rsid w:val="00ED1AB3"/>
    <w:rsid w:val="00ED1DCE"/>
    <w:rsid w:val="00ED1F12"/>
    <w:rsid w:val="00ED2AF6"/>
    <w:rsid w:val="00ED2E02"/>
    <w:rsid w:val="00ED3C67"/>
    <w:rsid w:val="00ED45CE"/>
    <w:rsid w:val="00ED4D25"/>
    <w:rsid w:val="00ED5023"/>
    <w:rsid w:val="00ED5334"/>
    <w:rsid w:val="00ED5C3F"/>
    <w:rsid w:val="00ED678E"/>
    <w:rsid w:val="00ED6C27"/>
    <w:rsid w:val="00ED6F76"/>
    <w:rsid w:val="00ED7072"/>
    <w:rsid w:val="00ED7127"/>
    <w:rsid w:val="00ED7A99"/>
    <w:rsid w:val="00ED7AD9"/>
    <w:rsid w:val="00EE0328"/>
    <w:rsid w:val="00EE03FE"/>
    <w:rsid w:val="00EE1A5C"/>
    <w:rsid w:val="00EE20F2"/>
    <w:rsid w:val="00EE265D"/>
    <w:rsid w:val="00EE3776"/>
    <w:rsid w:val="00EE386E"/>
    <w:rsid w:val="00EE3CCA"/>
    <w:rsid w:val="00EE3D5D"/>
    <w:rsid w:val="00EE4532"/>
    <w:rsid w:val="00EE4977"/>
    <w:rsid w:val="00EE5450"/>
    <w:rsid w:val="00EE5611"/>
    <w:rsid w:val="00EE5CEA"/>
    <w:rsid w:val="00EE5E48"/>
    <w:rsid w:val="00EE6232"/>
    <w:rsid w:val="00EE677E"/>
    <w:rsid w:val="00EE6791"/>
    <w:rsid w:val="00EE6E6C"/>
    <w:rsid w:val="00EE6F35"/>
    <w:rsid w:val="00EE70A5"/>
    <w:rsid w:val="00EE7679"/>
    <w:rsid w:val="00EE778F"/>
    <w:rsid w:val="00EE78C1"/>
    <w:rsid w:val="00EE7A4D"/>
    <w:rsid w:val="00EE7B6E"/>
    <w:rsid w:val="00EE7B8A"/>
    <w:rsid w:val="00EE7E51"/>
    <w:rsid w:val="00EF03AD"/>
    <w:rsid w:val="00EF0BCC"/>
    <w:rsid w:val="00EF0BEF"/>
    <w:rsid w:val="00EF1163"/>
    <w:rsid w:val="00EF11E1"/>
    <w:rsid w:val="00EF1289"/>
    <w:rsid w:val="00EF12C2"/>
    <w:rsid w:val="00EF16A9"/>
    <w:rsid w:val="00EF1DDB"/>
    <w:rsid w:val="00EF20EC"/>
    <w:rsid w:val="00EF2C0B"/>
    <w:rsid w:val="00EF34B7"/>
    <w:rsid w:val="00EF430F"/>
    <w:rsid w:val="00EF4D1F"/>
    <w:rsid w:val="00EF5411"/>
    <w:rsid w:val="00EF557A"/>
    <w:rsid w:val="00EF601E"/>
    <w:rsid w:val="00EF62EB"/>
    <w:rsid w:val="00EF64DA"/>
    <w:rsid w:val="00EF65A8"/>
    <w:rsid w:val="00EF6BDF"/>
    <w:rsid w:val="00EF6F85"/>
    <w:rsid w:val="00EF7535"/>
    <w:rsid w:val="00EF7B60"/>
    <w:rsid w:val="00F00237"/>
    <w:rsid w:val="00F00AD1"/>
    <w:rsid w:val="00F00AE0"/>
    <w:rsid w:val="00F00DE9"/>
    <w:rsid w:val="00F015D4"/>
    <w:rsid w:val="00F02220"/>
    <w:rsid w:val="00F02A01"/>
    <w:rsid w:val="00F02AF6"/>
    <w:rsid w:val="00F02FAB"/>
    <w:rsid w:val="00F0460E"/>
    <w:rsid w:val="00F046C6"/>
    <w:rsid w:val="00F0470D"/>
    <w:rsid w:val="00F048BE"/>
    <w:rsid w:val="00F05411"/>
    <w:rsid w:val="00F05AA3"/>
    <w:rsid w:val="00F05BC0"/>
    <w:rsid w:val="00F05D35"/>
    <w:rsid w:val="00F05EF8"/>
    <w:rsid w:val="00F06152"/>
    <w:rsid w:val="00F06874"/>
    <w:rsid w:val="00F068DF"/>
    <w:rsid w:val="00F06D06"/>
    <w:rsid w:val="00F0738C"/>
    <w:rsid w:val="00F073A4"/>
    <w:rsid w:val="00F079A7"/>
    <w:rsid w:val="00F10000"/>
    <w:rsid w:val="00F107C2"/>
    <w:rsid w:val="00F10D26"/>
    <w:rsid w:val="00F10F63"/>
    <w:rsid w:val="00F1105B"/>
    <w:rsid w:val="00F120B8"/>
    <w:rsid w:val="00F12461"/>
    <w:rsid w:val="00F126FA"/>
    <w:rsid w:val="00F12760"/>
    <w:rsid w:val="00F12777"/>
    <w:rsid w:val="00F12A71"/>
    <w:rsid w:val="00F13363"/>
    <w:rsid w:val="00F137B0"/>
    <w:rsid w:val="00F13B36"/>
    <w:rsid w:val="00F14100"/>
    <w:rsid w:val="00F142A9"/>
    <w:rsid w:val="00F1471E"/>
    <w:rsid w:val="00F14CE0"/>
    <w:rsid w:val="00F14EF6"/>
    <w:rsid w:val="00F15CAD"/>
    <w:rsid w:val="00F166EE"/>
    <w:rsid w:val="00F16707"/>
    <w:rsid w:val="00F17364"/>
    <w:rsid w:val="00F174D2"/>
    <w:rsid w:val="00F17540"/>
    <w:rsid w:val="00F177F4"/>
    <w:rsid w:val="00F17855"/>
    <w:rsid w:val="00F202B3"/>
    <w:rsid w:val="00F20432"/>
    <w:rsid w:val="00F2068E"/>
    <w:rsid w:val="00F20CA2"/>
    <w:rsid w:val="00F20F66"/>
    <w:rsid w:val="00F210F7"/>
    <w:rsid w:val="00F2164A"/>
    <w:rsid w:val="00F21757"/>
    <w:rsid w:val="00F229DA"/>
    <w:rsid w:val="00F22E4B"/>
    <w:rsid w:val="00F23713"/>
    <w:rsid w:val="00F237A4"/>
    <w:rsid w:val="00F23DF1"/>
    <w:rsid w:val="00F23E4F"/>
    <w:rsid w:val="00F23FE2"/>
    <w:rsid w:val="00F23FFD"/>
    <w:rsid w:val="00F24389"/>
    <w:rsid w:val="00F24A78"/>
    <w:rsid w:val="00F24A7C"/>
    <w:rsid w:val="00F24EB6"/>
    <w:rsid w:val="00F25325"/>
    <w:rsid w:val="00F2567E"/>
    <w:rsid w:val="00F256E7"/>
    <w:rsid w:val="00F25AFE"/>
    <w:rsid w:val="00F25BFD"/>
    <w:rsid w:val="00F26367"/>
    <w:rsid w:val="00F265E3"/>
    <w:rsid w:val="00F266B6"/>
    <w:rsid w:val="00F26ACF"/>
    <w:rsid w:val="00F273B7"/>
    <w:rsid w:val="00F27657"/>
    <w:rsid w:val="00F27F82"/>
    <w:rsid w:val="00F30B24"/>
    <w:rsid w:val="00F30DD2"/>
    <w:rsid w:val="00F311BC"/>
    <w:rsid w:val="00F31585"/>
    <w:rsid w:val="00F318A5"/>
    <w:rsid w:val="00F31FBA"/>
    <w:rsid w:val="00F32604"/>
    <w:rsid w:val="00F32737"/>
    <w:rsid w:val="00F32844"/>
    <w:rsid w:val="00F328D9"/>
    <w:rsid w:val="00F332BB"/>
    <w:rsid w:val="00F33AF8"/>
    <w:rsid w:val="00F33D09"/>
    <w:rsid w:val="00F341F6"/>
    <w:rsid w:val="00F343F7"/>
    <w:rsid w:val="00F34517"/>
    <w:rsid w:val="00F3462A"/>
    <w:rsid w:val="00F347BF"/>
    <w:rsid w:val="00F3497E"/>
    <w:rsid w:val="00F34BF3"/>
    <w:rsid w:val="00F34E44"/>
    <w:rsid w:val="00F35D35"/>
    <w:rsid w:val="00F3647E"/>
    <w:rsid w:val="00F36A34"/>
    <w:rsid w:val="00F37555"/>
    <w:rsid w:val="00F37849"/>
    <w:rsid w:val="00F37C43"/>
    <w:rsid w:val="00F4012B"/>
    <w:rsid w:val="00F40195"/>
    <w:rsid w:val="00F40D55"/>
    <w:rsid w:val="00F40EB1"/>
    <w:rsid w:val="00F41247"/>
    <w:rsid w:val="00F41505"/>
    <w:rsid w:val="00F416DE"/>
    <w:rsid w:val="00F41898"/>
    <w:rsid w:val="00F41AFF"/>
    <w:rsid w:val="00F41CFA"/>
    <w:rsid w:val="00F421BE"/>
    <w:rsid w:val="00F425EC"/>
    <w:rsid w:val="00F42993"/>
    <w:rsid w:val="00F4343F"/>
    <w:rsid w:val="00F43832"/>
    <w:rsid w:val="00F43B0C"/>
    <w:rsid w:val="00F43B7B"/>
    <w:rsid w:val="00F43C6B"/>
    <w:rsid w:val="00F43DA4"/>
    <w:rsid w:val="00F43E1F"/>
    <w:rsid w:val="00F43E4E"/>
    <w:rsid w:val="00F4439E"/>
    <w:rsid w:val="00F445E6"/>
    <w:rsid w:val="00F447E3"/>
    <w:rsid w:val="00F448E7"/>
    <w:rsid w:val="00F44AC0"/>
    <w:rsid w:val="00F44B6F"/>
    <w:rsid w:val="00F44CFD"/>
    <w:rsid w:val="00F45224"/>
    <w:rsid w:val="00F452D3"/>
    <w:rsid w:val="00F4538B"/>
    <w:rsid w:val="00F459FD"/>
    <w:rsid w:val="00F45DF8"/>
    <w:rsid w:val="00F45EAC"/>
    <w:rsid w:val="00F462F3"/>
    <w:rsid w:val="00F46324"/>
    <w:rsid w:val="00F46362"/>
    <w:rsid w:val="00F46548"/>
    <w:rsid w:val="00F465D0"/>
    <w:rsid w:val="00F468BB"/>
    <w:rsid w:val="00F4691B"/>
    <w:rsid w:val="00F46E83"/>
    <w:rsid w:val="00F46ED1"/>
    <w:rsid w:val="00F47E8A"/>
    <w:rsid w:val="00F50117"/>
    <w:rsid w:val="00F5021F"/>
    <w:rsid w:val="00F50A29"/>
    <w:rsid w:val="00F511D9"/>
    <w:rsid w:val="00F51492"/>
    <w:rsid w:val="00F51A8E"/>
    <w:rsid w:val="00F52231"/>
    <w:rsid w:val="00F527D1"/>
    <w:rsid w:val="00F52845"/>
    <w:rsid w:val="00F530B9"/>
    <w:rsid w:val="00F53AC4"/>
    <w:rsid w:val="00F53B59"/>
    <w:rsid w:val="00F53D87"/>
    <w:rsid w:val="00F546E5"/>
    <w:rsid w:val="00F5489B"/>
    <w:rsid w:val="00F54F86"/>
    <w:rsid w:val="00F54FE1"/>
    <w:rsid w:val="00F55459"/>
    <w:rsid w:val="00F55A3A"/>
    <w:rsid w:val="00F55E82"/>
    <w:rsid w:val="00F55FE6"/>
    <w:rsid w:val="00F56055"/>
    <w:rsid w:val="00F56369"/>
    <w:rsid w:val="00F56947"/>
    <w:rsid w:val="00F56C8E"/>
    <w:rsid w:val="00F57654"/>
    <w:rsid w:val="00F57741"/>
    <w:rsid w:val="00F57902"/>
    <w:rsid w:val="00F57D12"/>
    <w:rsid w:val="00F60BD0"/>
    <w:rsid w:val="00F60C09"/>
    <w:rsid w:val="00F60FE7"/>
    <w:rsid w:val="00F616CD"/>
    <w:rsid w:val="00F61B5D"/>
    <w:rsid w:val="00F61C7D"/>
    <w:rsid w:val="00F63296"/>
    <w:rsid w:val="00F637E1"/>
    <w:rsid w:val="00F63A04"/>
    <w:rsid w:val="00F63F8B"/>
    <w:rsid w:val="00F63F8F"/>
    <w:rsid w:val="00F64272"/>
    <w:rsid w:val="00F64AA2"/>
    <w:rsid w:val="00F64E32"/>
    <w:rsid w:val="00F650AE"/>
    <w:rsid w:val="00F65525"/>
    <w:rsid w:val="00F65C08"/>
    <w:rsid w:val="00F65CB4"/>
    <w:rsid w:val="00F662B1"/>
    <w:rsid w:val="00F6660E"/>
    <w:rsid w:val="00F667CF"/>
    <w:rsid w:val="00F66EBA"/>
    <w:rsid w:val="00F66FC0"/>
    <w:rsid w:val="00F674E0"/>
    <w:rsid w:val="00F67AAF"/>
    <w:rsid w:val="00F67EA0"/>
    <w:rsid w:val="00F701D0"/>
    <w:rsid w:val="00F7053A"/>
    <w:rsid w:val="00F711C6"/>
    <w:rsid w:val="00F719DA"/>
    <w:rsid w:val="00F726CC"/>
    <w:rsid w:val="00F72988"/>
    <w:rsid w:val="00F73184"/>
    <w:rsid w:val="00F7367A"/>
    <w:rsid w:val="00F73AF6"/>
    <w:rsid w:val="00F741AD"/>
    <w:rsid w:val="00F743CA"/>
    <w:rsid w:val="00F74566"/>
    <w:rsid w:val="00F745F6"/>
    <w:rsid w:val="00F7480B"/>
    <w:rsid w:val="00F74F0F"/>
    <w:rsid w:val="00F75339"/>
    <w:rsid w:val="00F758A8"/>
    <w:rsid w:val="00F75F9E"/>
    <w:rsid w:val="00F76025"/>
    <w:rsid w:val="00F763BA"/>
    <w:rsid w:val="00F76A91"/>
    <w:rsid w:val="00F76F77"/>
    <w:rsid w:val="00F773D0"/>
    <w:rsid w:val="00F7752D"/>
    <w:rsid w:val="00F77D6A"/>
    <w:rsid w:val="00F77EBD"/>
    <w:rsid w:val="00F809D3"/>
    <w:rsid w:val="00F80EA4"/>
    <w:rsid w:val="00F81526"/>
    <w:rsid w:val="00F8166C"/>
    <w:rsid w:val="00F81972"/>
    <w:rsid w:val="00F8197B"/>
    <w:rsid w:val="00F81A35"/>
    <w:rsid w:val="00F81D68"/>
    <w:rsid w:val="00F82630"/>
    <w:rsid w:val="00F82695"/>
    <w:rsid w:val="00F82BE6"/>
    <w:rsid w:val="00F82CE4"/>
    <w:rsid w:val="00F83427"/>
    <w:rsid w:val="00F837FC"/>
    <w:rsid w:val="00F84257"/>
    <w:rsid w:val="00F8448B"/>
    <w:rsid w:val="00F84527"/>
    <w:rsid w:val="00F84909"/>
    <w:rsid w:val="00F85080"/>
    <w:rsid w:val="00F850F4"/>
    <w:rsid w:val="00F853DF"/>
    <w:rsid w:val="00F85A49"/>
    <w:rsid w:val="00F85B97"/>
    <w:rsid w:val="00F85BDB"/>
    <w:rsid w:val="00F861DA"/>
    <w:rsid w:val="00F864E5"/>
    <w:rsid w:val="00F869B7"/>
    <w:rsid w:val="00F86E9E"/>
    <w:rsid w:val="00F8703D"/>
    <w:rsid w:val="00F87AA9"/>
    <w:rsid w:val="00F87E7E"/>
    <w:rsid w:val="00F87F02"/>
    <w:rsid w:val="00F90028"/>
    <w:rsid w:val="00F90785"/>
    <w:rsid w:val="00F91124"/>
    <w:rsid w:val="00F91254"/>
    <w:rsid w:val="00F92500"/>
    <w:rsid w:val="00F9262F"/>
    <w:rsid w:val="00F92842"/>
    <w:rsid w:val="00F93888"/>
    <w:rsid w:val="00F94903"/>
    <w:rsid w:val="00F94983"/>
    <w:rsid w:val="00F950B3"/>
    <w:rsid w:val="00F953F2"/>
    <w:rsid w:val="00F95725"/>
    <w:rsid w:val="00F95B87"/>
    <w:rsid w:val="00F9633C"/>
    <w:rsid w:val="00F9662E"/>
    <w:rsid w:val="00F96884"/>
    <w:rsid w:val="00F96C03"/>
    <w:rsid w:val="00F96E53"/>
    <w:rsid w:val="00F96F21"/>
    <w:rsid w:val="00F972E0"/>
    <w:rsid w:val="00F97303"/>
    <w:rsid w:val="00F976C8"/>
    <w:rsid w:val="00F97704"/>
    <w:rsid w:val="00F977F5"/>
    <w:rsid w:val="00F97A8A"/>
    <w:rsid w:val="00FA0028"/>
    <w:rsid w:val="00FA1AB1"/>
    <w:rsid w:val="00FA1FC5"/>
    <w:rsid w:val="00FA228C"/>
    <w:rsid w:val="00FA231B"/>
    <w:rsid w:val="00FA261B"/>
    <w:rsid w:val="00FA269A"/>
    <w:rsid w:val="00FA3950"/>
    <w:rsid w:val="00FA39ED"/>
    <w:rsid w:val="00FA3B5B"/>
    <w:rsid w:val="00FA45A5"/>
    <w:rsid w:val="00FA471D"/>
    <w:rsid w:val="00FA5F45"/>
    <w:rsid w:val="00FA5FD6"/>
    <w:rsid w:val="00FA61AF"/>
    <w:rsid w:val="00FA6F08"/>
    <w:rsid w:val="00FA720D"/>
    <w:rsid w:val="00FA761D"/>
    <w:rsid w:val="00FA77DE"/>
    <w:rsid w:val="00FA7A4A"/>
    <w:rsid w:val="00FB01B6"/>
    <w:rsid w:val="00FB0605"/>
    <w:rsid w:val="00FB0AED"/>
    <w:rsid w:val="00FB0C82"/>
    <w:rsid w:val="00FB0DF9"/>
    <w:rsid w:val="00FB11D2"/>
    <w:rsid w:val="00FB122A"/>
    <w:rsid w:val="00FB1631"/>
    <w:rsid w:val="00FB2573"/>
    <w:rsid w:val="00FB25C9"/>
    <w:rsid w:val="00FB2DB7"/>
    <w:rsid w:val="00FB2E26"/>
    <w:rsid w:val="00FB35AD"/>
    <w:rsid w:val="00FB36C6"/>
    <w:rsid w:val="00FB3BA1"/>
    <w:rsid w:val="00FB42ED"/>
    <w:rsid w:val="00FB43FC"/>
    <w:rsid w:val="00FB4671"/>
    <w:rsid w:val="00FB4F37"/>
    <w:rsid w:val="00FB52D1"/>
    <w:rsid w:val="00FB5663"/>
    <w:rsid w:val="00FB5BCF"/>
    <w:rsid w:val="00FB5C88"/>
    <w:rsid w:val="00FB5CE8"/>
    <w:rsid w:val="00FB5ED1"/>
    <w:rsid w:val="00FB626A"/>
    <w:rsid w:val="00FB6971"/>
    <w:rsid w:val="00FB75DB"/>
    <w:rsid w:val="00FB7DCE"/>
    <w:rsid w:val="00FB7EC8"/>
    <w:rsid w:val="00FB7FF2"/>
    <w:rsid w:val="00FC0237"/>
    <w:rsid w:val="00FC0603"/>
    <w:rsid w:val="00FC0605"/>
    <w:rsid w:val="00FC06C0"/>
    <w:rsid w:val="00FC107E"/>
    <w:rsid w:val="00FC1CA7"/>
    <w:rsid w:val="00FC2191"/>
    <w:rsid w:val="00FC27DF"/>
    <w:rsid w:val="00FC282E"/>
    <w:rsid w:val="00FC2BF8"/>
    <w:rsid w:val="00FC2C14"/>
    <w:rsid w:val="00FC2C4A"/>
    <w:rsid w:val="00FC3781"/>
    <w:rsid w:val="00FC3F1F"/>
    <w:rsid w:val="00FC4253"/>
    <w:rsid w:val="00FC43C5"/>
    <w:rsid w:val="00FC480E"/>
    <w:rsid w:val="00FC4BD0"/>
    <w:rsid w:val="00FC4CE9"/>
    <w:rsid w:val="00FC561C"/>
    <w:rsid w:val="00FC58C5"/>
    <w:rsid w:val="00FC6E92"/>
    <w:rsid w:val="00FC733C"/>
    <w:rsid w:val="00FC7D23"/>
    <w:rsid w:val="00FC7D66"/>
    <w:rsid w:val="00FC7E6E"/>
    <w:rsid w:val="00FC7FCA"/>
    <w:rsid w:val="00FD01BF"/>
    <w:rsid w:val="00FD0283"/>
    <w:rsid w:val="00FD0E10"/>
    <w:rsid w:val="00FD18F6"/>
    <w:rsid w:val="00FD1F0C"/>
    <w:rsid w:val="00FD272C"/>
    <w:rsid w:val="00FD31FF"/>
    <w:rsid w:val="00FD32B5"/>
    <w:rsid w:val="00FD35EC"/>
    <w:rsid w:val="00FD3E8C"/>
    <w:rsid w:val="00FD40BE"/>
    <w:rsid w:val="00FD4346"/>
    <w:rsid w:val="00FD4DE7"/>
    <w:rsid w:val="00FD5178"/>
    <w:rsid w:val="00FD56C8"/>
    <w:rsid w:val="00FD58A1"/>
    <w:rsid w:val="00FD59BE"/>
    <w:rsid w:val="00FD5BA0"/>
    <w:rsid w:val="00FD64ED"/>
    <w:rsid w:val="00FD6769"/>
    <w:rsid w:val="00FD70A1"/>
    <w:rsid w:val="00FD75B0"/>
    <w:rsid w:val="00FD75CD"/>
    <w:rsid w:val="00FD7980"/>
    <w:rsid w:val="00FD7B75"/>
    <w:rsid w:val="00FE03F6"/>
    <w:rsid w:val="00FE0818"/>
    <w:rsid w:val="00FE09EF"/>
    <w:rsid w:val="00FE0B46"/>
    <w:rsid w:val="00FE0B92"/>
    <w:rsid w:val="00FE1437"/>
    <w:rsid w:val="00FE1E33"/>
    <w:rsid w:val="00FE1FFE"/>
    <w:rsid w:val="00FE23C9"/>
    <w:rsid w:val="00FE250F"/>
    <w:rsid w:val="00FE28FD"/>
    <w:rsid w:val="00FE314C"/>
    <w:rsid w:val="00FE3219"/>
    <w:rsid w:val="00FE326C"/>
    <w:rsid w:val="00FE35D4"/>
    <w:rsid w:val="00FE3C4C"/>
    <w:rsid w:val="00FE3D34"/>
    <w:rsid w:val="00FE40E1"/>
    <w:rsid w:val="00FE450C"/>
    <w:rsid w:val="00FE4A92"/>
    <w:rsid w:val="00FE5379"/>
    <w:rsid w:val="00FE57DC"/>
    <w:rsid w:val="00FE59AB"/>
    <w:rsid w:val="00FE5B6C"/>
    <w:rsid w:val="00FE5D5D"/>
    <w:rsid w:val="00FE65DD"/>
    <w:rsid w:val="00FE77ED"/>
    <w:rsid w:val="00FE7F4D"/>
    <w:rsid w:val="00FF0130"/>
    <w:rsid w:val="00FF0182"/>
    <w:rsid w:val="00FF02BB"/>
    <w:rsid w:val="00FF04D8"/>
    <w:rsid w:val="00FF061B"/>
    <w:rsid w:val="00FF0969"/>
    <w:rsid w:val="00FF0C1D"/>
    <w:rsid w:val="00FF1021"/>
    <w:rsid w:val="00FF15DC"/>
    <w:rsid w:val="00FF1953"/>
    <w:rsid w:val="00FF1B0A"/>
    <w:rsid w:val="00FF2022"/>
    <w:rsid w:val="00FF2850"/>
    <w:rsid w:val="00FF2D55"/>
    <w:rsid w:val="00FF35BA"/>
    <w:rsid w:val="00FF3744"/>
    <w:rsid w:val="00FF3CFA"/>
    <w:rsid w:val="00FF3D98"/>
    <w:rsid w:val="00FF3F15"/>
    <w:rsid w:val="00FF471C"/>
    <w:rsid w:val="00FF477C"/>
    <w:rsid w:val="00FF4EB5"/>
    <w:rsid w:val="00FF51F1"/>
    <w:rsid w:val="00FF5C5F"/>
    <w:rsid w:val="00FF5E37"/>
    <w:rsid w:val="00FF626B"/>
    <w:rsid w:val="00FF6885"/>
    <w:rsid w:val="00FF6B89"/>
    <w:rsid w:val="00FF6DE6"/>
    <w:rsid w:val="00FF71DB"/>
    <w:rsid w:val="00FF75A6"/>
    <w:rsid w:val="00FF75B3"/>
    <w:rsid w:val="00FF78D3"/>
    <w:rsid w:val="00FF7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FD5CCD"/>
  <w14:defaultImageDpi w14:val="330"/>
  <w15:chartTrackingRefBased/>
  <w15:docId w15:val="{63E232E6-2953-C949-A84B-D71BA08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202"/>
    <w:rPr>
      <w:rFonts w:ascii="Times New Roman" w:eastAsia="Times New Roman" w:hAnsi="Times New Roman" w:cs="Times New Roman"/>
      <w:lang w:val="en-AU"/>
    </w:rPr>
  </w:style>
  <w:style w:type="paragraph" w:styleId="Heading1">
    <w:name w:val="heading 1"/>
    <w:basedOn w:val="Normal"/>
    <w:next w:val="Normal"/>
    <w:link w:val="Heading1Char"/>
    <w:uiPriority w:val="9"/>
    <w:qFormat/>
    <w:rsid w:val="00B16397"/>
    <w:pPr>
      <w:outlineLvl w:val="0"/>
    </w:pPr>
    <w:rPr>
      <w:rFonts w:ascii="Helvetica Neue" w:eastAsiaTheme="minorHAnsi" w:hAnsi="Helvetica Neue" w:cstheme="minorBidi"/>
      <w:b/>
      <w:color w:val="CC0099"/>
      <w:sz w:val="36"/>
    </w:rPr>
  </w:style>
  <w:style w:type="paragraph" w:styleId="Heading2">
    <w:name w:val="heading 2"/>
    <w:basedOn w:val="Heading1"/>
    <w:next w:val="Normal"/>
    <w:link w:val="Heading2Char"/>
    <w:uiPriority w:val="9"/>
    <w:unhideWhenUsed/>
    <w:qFormat/>
    <w:rsid w:val="0024787F"/>
    <w:pPr>
      <w:spacing w:line="276" w:lineRule="auto"/>
      <w:jc w:val="both"/>
      <w:outlineLvl w:val="1"/>
    </w:pPr>
    <w:rPr>
      <w:rFonts w:ascii="Helvetica" w:hAnsi="Helvetica"/>
      <w:sz w:val="28"/>
    </w:rPr>
  </w:style>
  <w:style w:type="paragraph" w:styleId="Heading3">
    <w:name w:val="heading 3"/>
    <w:basedOn w:val="Heading2"/>
    <w:next w:val="Normal"/>
    <w:link w:val="Heading3Char"/>
    <w:uiPriority w:val="9"/>
    <w:unhideWhenUsed/>
    <w:qFormat/>
    <w:rsid w:val="0024787F"/>
    <w:pPr>
      <w:outlineLvl w:val="2"/>
    </w:pPr>
    <w:rPr>
      <w:color w:val="17365D"/>
      <w:sz w:val="24"/>
    </w:rPr>
  </w:style>
  <w:style w:type="paragraph" w:styleId="Heading4">
    <w:name w:val="heading 4"/>
    <w:basedOn w:val="Normal"/>
    <w:next w:val="Normal"/>
    <w:link w:val="Heading4Char"/>
    <w:uiPriority w:val="9"/>
    <w:unhideWhenUsed/>
    <w:qFormat/>
    <w:rsid w:val="007B5DE5"/>
    <w:pPr>
      <w:keepNext/>
      <w:keepLines/>
      <w:spacing w:before="40"/>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uiPriority w:val="9"/>
    <w:unhideWhenUsed/>
    <w:qFormat/>
    <w:rsid w:val="005B767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397"/>
    <w:rPr>
      <w:rFonts w:ascii="Helvetica Neue" w:hAnsi="Helvetica Neue"/>
      <w:b/>
      <w:color w:val="CC0099"/>
      <w:sz w:val="36"/>
      <w:lang w:val="en-AU"/>
    </w:rPr>
  </w:style>
  <w:style w:type="character" w:customStyle="1" w:styleId="Heading2Char">
    <w:name w:val="Heading 2 Char"/>
    <w:basedOn w:val="DefaultParagraphFont"/>
    <w:link w:val="Heading2"/>
    <w:uiPriority w:val="9"/>
    <w:rsid w:val="0024787F"/>
    <w:rPr>
      <w:rFonts w:ascii="Helvetica" w:hAnsi="Helvetica"/>
      <w:b/>
      <w:color w:val="CC0099"/>
      <w:sz w:val="28"/>
      <w:lang w:val="en-AU"/>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B16397"/>
    <w:pPr>
      <w:ind w:left="720"/>
      <w:contextualSpacing/>
    </w:pPr>
    <w:rPr>
      <w:rFonts w:asciiTheme="minorHAnsi" w:eastAsiaTheme="minorHAnsi" w:hAnsiTheme="minorHAnsi" w:cstheme="minorBidi"/>
      <w:lang w:val="en-GB"/>
    </w:rPr>
  </w:style>
  <w:style w:type="paragraph" w:styleId="NormalWeb">
    <w:name w:val="Normal (Web)"/>
    <w:basedOn w:val="Normal"/>
    <w:uiPriority w:val="99"/>
    <w:unhideWhenUsed/>
    <w:rsid w:val="00E26382"/>
    <w:pPr>
      <w:spacing w:before="100" w:beforeAutospacing="1" w:after="100" w:afterAutospacing="1"/>
    </w:pPr>
    <w:rPr>
      <w:lang w:eastAsia="en-AU"/>
    </w:rPr>
  </w:style>
  <w:style w:type="character" w:styleId="Hyperlink">
    <w:name w:val="Hyperlink"/>
    <w:basedOn w:val="DefaultParagraphFont"/>
    <w:uiPriority w:val="99"/>
    <w:unhideWhenUsed/>
    <w:rsid w:val="00E26382"/>
    <w:rPr>
      <w:color w:val="0000FF"/>
      <w:u w:val="single"/>
    </w:rPr>
  </w:style>
  <w:style w:type="character" w:customStyle="1" w:styleId="UnresolvedMention1">
    <w:name w:val="Unresolved Mention1"/>
    <w:basedOn w:val="DefaultParagraphFont"/>
    <w:uiPriority w:val="99"/>
    <w:rsid w:val="006B7203"/>
    <w:rPr>
      <w:color w:val="808080"/>
      <w:shd w:val="clear" w:color="auto" w:fill="E6E6E6"/>
    </w:rPr>
  </w:style>
  <w:style w:type="character" w:customStyle="1" w:styleId="Heading3Char">
    <w:name w:val="Heading 3 Char"/>
    <w:basedOn w:val="DefaultParagraphFont"/>
    <w:link w:val="Heading3"/>
    <w:uiPriority w:val="9"/>
    <w:rsid w:val="0024787F"/>
    <w:rPr>
      <w:rFonts w:ascii="Helvetica" w:hAnsi="Helvetica"/>
      <w:b/>
      <w:color w:val="17365D"/>
      <w:lang w:val="en-AU"/>
    </w:rPr>
  </w:style>
  <w:style w:type="paragraph" w:styleId="Header">
    <w:name w:val="header"/>
    <w:basedOn w:val="Normal"/>
    <w:link w:val="HeaderChar"/>
    <w:uiPriority w:val="99"/>
    <w:unhideWhenUsed/>
    <w:rsid w:val="006811B8"/>
    <w:pPr>
      <w:tabs>
        <w:tab w:val="center" w:pos="4513"/>
        <w:tab w:val="right" w:pos="9026"/>
      </w:tab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6811B8"/>
  </w:style>
  <w:style w:type="paragraph" w:styleId="Footer">
    <w:name w:val="footer"/>
    <w:basedOn w:val="Normal"/>
    <w:link w:val="FooterChar"/>
    <w:unhideWhenUsed/>
    <w:rsid w:val="006811B8"/>
    <w:pPr>
      <w:tabs>
        <w:tab w:val="center" w:pos="4513"/>
        <w:tab w:val="right" w:pos="9026"/>
      </w:tabs>
    </w:pPr>
    <w:rPr>
      <w:rFonts w:asciiTheme="minorHAnsi" w:eastAsiaTheme="minorHAnsi" w:hAnsiTheme="minorHAnsi" w:cstheme="minorBidi"/>
      <w:lang w:val="en-GB"/>
    </w:rPr>
  </w:style>
  <w:style w:type="character" w:customStyle="1" w:styleId="FooterChar">
    <w:name w:val="Footer Char"/>
    <w:basedOn w:val="DefaultParagraphFont"/>
    <w:link w:val="Footer"/>
    <w:rsid w:val="006811B8"/>
  </w:style>
  <w:style w:type="paragraph" w:styleId="TOCHeading">
    <w:name w:val="TOC Heading"/>
    <w:basedOn w:val="Heading1"/>
    <w:next w:val="Normal"/>
    <w:uiPriority w:val="39"/>
    <w:unhideWhenUsed/>
    <w:qFormat/>
    <w:rsid w:val="0040289D"/>
    <w:pPr>
      <w:keepNext/>
      <w:keepLines/>
      <w:spacing w:before="480" w:line="276" w:lineRule="auto"/>
      <w:outlineLvl w:val="9"/>
    </w:pPr>
    <w:rPr>
      <w:rFonts w:asciiTheme="majorHAnsi" w:eastAsiaTheme="majorEastAsia" w:hAnsiTheme="majorHAnsi" w:cstheme="majorBidi"/>
      <w:bCs/>
      <w:color w:val="2F5496" w:themeColor="accent1" w:themeShade="BF"/>
      <w:sz w:val="28"/>
      <w:szCs w:val="28"/>
      <w:lang w:val="en-US"/>
    </w:rPr>
  </w:style>
  <w:style w:type="paragraph" w:styleId="TOC2">
    <w:name w:val="toc 2"/>
    <w:basedOn w:val="Normal"/>
    <w:next w:val="Normal"/>
    <w:autoRedefine/>
    <w:uiPriority w:val="39"/>
    <w:unhideWhenUsed/>
    <w:rsid w:val="00A64791"/>
    <w:pPr>
      <w:tabs>
        <w:tab w:val="right" w:leader="dot" w:pos="9010"/>
      </w:tabs>
      <w:spacing w:after="100" w:line="276" w:lineRule="auto"/>
      <w:ind w:left="240" w:hanging="284"/>
    </w:pPr>
    <w:rPr>
      <w:rFonts w:asciiTheme="minorHAnsi" w:eastAsiaTheme="minorHAnsi" w:hAnsiTheme="minorHAnsi" w:cstheme="minorBidi"/>
      <w:lang w:val="en-GB"/>
    </w:rPr>
  </w:style>
  <w:style w:type="paragraph" w:styleId="TOC3">
    <w:name w:val="toc 3"/>
    <w:basedOn w:val="Normal"/>
    <w:next w:val="Normal"/>
    <w:autoRedefine/>
    <w:uiPriority w:val="39"/>
    <w:unhideWhenUsed/>
    <w:rsid w:val="0040289D"/>
    <w:pPr>
      <w:spacing w:after="100"/>
      <w:ind w:left="480"/>
    </w:pPr>
    <w:rPr>
      <w:rFonts w:asciiTheme="minorHAnsi" w:eastAsiaTheme="minorHAnsi" w:hAnsiTheme="minorHAnsi" w:cstheme="minorBidi"/>
      <w:lang w:val="en-GB"/>
    </w:rPr>
  </w:style>
  <w:style w:type="character" w:customStyle="1" w:styleId="Heading4Char">
    <w:name w:val="Heading 4 Char"/>
    <w:basedOn w:val="DefaultParagraphFont"/>
    <w:link w:val="Heading4"/>
    <w:uiPriority w:val="9"/>
    <w:rsid w:val="007B5DE5"/>
    <w:rPr>
      <w:rFonts w:asciiTheme="majorHAnsi" w:eastAsiaTheme="majorEastAsia" w:hAnsiTheme="majorHAnsi" w:cstheme="majorBidi"/>
      <w:i/>
      <w:iCs/>
      <w:color w:val="2F5496" w:themeColor="accent1" w:themeShade="BF"/>
    </w:rPr>
  </w:style>
  <w:style w:type="character" w:styleId="Emphasis">
    <w:name w:val="Emphasis"/>
    <w:uiPriority w:val="20"/>
    <w:qFormat/>
    <w:rsid w:val="007B5DE5"/>
    <w:rPr>
      <w:i/>
      <w:iCs/>
    </w:rPr>
  </w:style>
  <w:style w:type="character" w:styleId="Strong">
    <w:name w:val="Strong"/>
    <w:basedOn w:val="DefaultParagraphFont"/>
    <w:uiPriority w:val="22"/>
    <w:qFormat/>
    <w:rsid w:val="00CB585C"/>
    <w:rPr>
      <w:b/>
      <w:bCs/>
    </w:rPr>
  </w:style>
  <w:style w:type="character" w:styleId="FollowedHyperlink">
    <w:name w:val="FollowedHyperlink"/>
    <w:basedOn w:val="DefaultParagraphFont"/>
    <w:uiPriority w:val="99"/>
    <w:semiHidden/>
    <w:unhideWhenUsed/>
    <w:rsid w:val="009D2DCA"/>
    <w:rPr>
      <w:color w:val="954F72" w:themeColor="followedHyperlink"/>
      <w:u w:val="single"/>
    </w:rPr>
  </w:style>
  <w:style w:type="paragraph" w:styleId="NoSpacing">
    <w:name w:val="No Spacing"/>
    <w:link w:val="NoSpacingChar"/>
    <w:qFormat/>
    <w:rsid w:val="009D2DCA"/>
  </w:style>
  <w:style w:type="character" w:styleId="PageNumber">
    <w:name w:val="page number"/>
    <w:basedOn w:val="DefaultParagraphFont"/>
    <w:uiPriority w:val="99"/>
    <w:semiHidden/>
    <w:unhideWhenUsed/>
    <w:rsid w:val="000233A0"/>
  </w:style>
  <w:style w:type="paragraph" w:styleId="TOC1">
    <w:name w:val="toc 1"/>
    <w:basedOn w:val="Normal"/>
    <w:next w:val="Normal"/>
    <w:autoRedefine/>
    <w:uiPriority w:val="39"/>
    <w:unhideWhenUsed/>
    <w:rsid w:val="00971D19"/>
    <w:pPr>
      <w:spacing w:after="100"/>
    </w:pPr>
    <w:rPr>
      <w:rFonts w:asciiTheme="minorHAnsi" w:eastAsiaTheme="minorHAnsi" w:hAnsiTheme="minorHAnsi" w:cstheme="minorBidi"/>
      <w:lang w:val="en-GB"/>
    </w:rPr>
  </w:style>
  <w:style w:type="character" w:styleId="CommentReference">
    <w:name w:val="annotation reference"/>
    <w:basedOn w:val="DefaultParagraphFont"/>
    <w:uiPriority w:val="99"/>
    <w:semiHidden/>
    <w:unhideWhenUsed/>
    <w:rsid w:val="0081537A"/>
    <w:rPr>
      <w:sz w:val="16"/>
      <w:szCs w:val="16"/>
    </w:rPr>
  </w:style>
  <w:style w:type="paragraph" w:styleId="CommentText">
    <w:name w:val="annotation text"/>
    <w:basedOn w:val="Normal"/>
    <w:link w:val="CommentTextChar"/>
    <w:uiPriority w:val="99"/>
    <w:unhideWhenUsed/>
    <w:rsid w:val="0081537A"/>
    <w:rPr>
      <w:sz w:val="20"/>
      <w:szCs w:val="20"/>
    </w:rPr>
  </w:style>
  <w:style w:type="character" w:customStyle="1" w:styleId="CommentTextChar">
    <w:name w:val="Comment Text Char"/>
    <w:basedOn w:val="DefaultParagraphFont"/>
    <w:link w:val="CommentText"/>
    <w:uiPriority w:val="99"/>
    <w:rsid w:val="0081537A"/>
    <w:rPr>
      <w:sz w:val="20"/>
      <w:szCs w:val="20"/>
    </w:rPr>
  </w:style>
  <w:style w:type="paragraph" w:styleId="CommentSubject">
    <w:name w:val="annotation subject"/>
    <w:basedOn w:val="CommentText"/>
    <w:next w:val="CommentText"/>
    <w:link w:val="CommentSubjectChar"/>
    <w:uiPriority w:val="99"/>
    <w:semiHidden/>
    <w:unhideWhenUsed/>
    <w:rsid w:val="0081537A"/>
    <w:rPr>
      <w:b/>
      <w:bCs/>
    </w:rPr>
  </w:style>
  <w:style w:type="character" w:customStyle="1" w:styleId="CommentSubjectChar">
    <w:name w:val="Comment Subject Char"/>
    <w:basedOn w:val="CommentTextChar"/>
    <w:link w:val="CommentSubject"/>
    <w:uiPriority w:val="99"/>
    <w:semiHidden/>
    <w:rsid w:val="0081537A"/>
    <w:rPr>
      <w:b/>
      <w:bCs/>
      <w:sz w:val="20"/>
      <w:szCs w:val="20"/>
    </w:rPr>
  </w:style>
  <w:style w:type="paragraph" w:styleId="BalloonText">
    <w:name w:val="Balloon Text"/>
    <w:basedOn w:val="Normal"/>
    <w:link w:val="BalloonTextChar"/>
    <w:uiPriority w:val="99"/>
    <w:semiHidden/>
    <w:unhideWhenUsed/>
    <w:rsid w:val="0081537A"/>
    <w:rPr>
      <w:sz w:val="18"/>
      <w:szCs w:val="18"/>
    </w:rPr>
  </w:style>
  <w:style w:type="character" w:customStyle="1" w:styleId="BalloonTextChar">
    <w:name w:val="Balloon Text Char"/>
    <w:basedOn w:val="DefaultParagraphFont"/>
    <w:link w:val="BalloonText"/>
    <w:uiPriority w:val="99"/>
    <w:semiHidden/>
    <w:rsid w:val="0081537A"/>
    <w:rPr>
      <w:rFonts w:ascii="Times New Roman" w:hAnsi="Times New Roman" w:cs="Times New Roman"/>
      <w:sz w:val="18"/>
      <w:szCs w:val="18"/>
    </w:rPr>
  </w:style>
  <w:style w:type="paragraph" w:customStyle="1" w:styleId="H23">
    <w:name w:val="_ H_2/3"/>
    <w:basedOn w:val="Normal"/>
    <w:next w:val="SingleTxt"/>
    <w:rsid w:val="0081537A"/>
    <w:pPr>
      <w:suppressAutoHyphens/>
      <w:spacing w:line="240" w:lineRule="exact"/>
      <w:outlineLvl w:val="1"/>
    </w:pPr>
    <w:rPr>
      <w:rFonts w:eastAsiaTheme="minorHAnsi"/>
      <w:b/>
      <w:spacing w:val="4"/>
      <w:w w:val="103"/>
      <w:kern w:val="14"/>
      <w:sz w:val="20"/>
      <w:szCs w:val="20"/>
      <w:lang w:val="en-US"/>
    </w:rPr>
  </w:style>
  <w:style w:type="paragraph" w:customStyle="1" w:styleId="SingleTxt">
    <w:name w:val="__Single Txt"/>
    <w:basedOn w:val="Normal"/>
    <w:rsid w:val="0081537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eastAsiaTheme="minorHAnsi"/>
      <w:spacing w:val="4"/>
      <w:w w:val="103"/>
      <w:kern w:val="14"/>
      <w:sz w:val="20"/>
      <w:szCs w:val="20"/>
      <w:lang w:val="en-GB"/>
    </w:rPr>
  </w:style>
  <w:style w:type="paragraph" w:customStyle="1" w:styleId="Distribution">
    <w:name w:val="Distribution"/>
    <w:next w:val="Normal"/>
    <w:rsid w:val="0081537A"/>
    <w:pPr>
      <w:spacing w:before="240"/>
    </w:pPr>
    <w:rPr>
      <w:rFonts w:ascii="Times New Roman" w:hAnsi="Times New Roman" w:cs="Times New Roman"/>
      <w:spacing w:val="4"/>
      <w:w w:val="103"/>
      <w:kern w:val="14"/>
      <w:sz w:val="20"/>
      <w:szCs w:val="20"/>
    </w:rPr>
  </w:style>
  <w:style w:type="paragraph" w:styleId="EndnoteText">
    <w:name w:val="endnote text"/>
    <w:basedOn w:val="Normal"/>
    <w:link w:val="EndnoteTextChar"/>
    <w:uiPriority w:val="99"/>
    <w:unhideWhenUsed/>
    <w:qFormat/>
    <w:rsid w:val="00023F30"/>
    <w:rPr>
      <w:rFonts w:asciiTheme="minorHAnsi" w:eastAsiaTheme="minorHAnsi" w:hAnsiTheme="minorHAnsi" w:cstheme="minorBidi"/>
      <w:sz w:val="20"/>
      <w:szCs w:val="20"/>
      <w:lang w:val="en-GB"/>
    </w:rPr>
  </w:style>
  <w:style w:type="character" w:customStyle="1" w:styleId="EndnoteTextChar">
    <w:name w:val="Endnote Text Char"/>
    <w:basedOn w:val="DefaultParagraphFont"/>
    <w:link w:val="EndnoteText"/>
    <w:uiPriority w:val="99"/>
    <w:rsid w:val="00023F30"/>
    <w:rPr>
      <w:sz w:val="20"/>
      <w:szCs w:val="20"/>
    </w:rPr>
  </w:style>
  <w:style w:type="character" w:styleId="EndnoteReference">
    <w:name w:val="endnote reference"/>
    <w:basedOn w:val="DefaultParagraphFont"/>
    <w:uiPriority w:val="99"/>
    <w:unhideWhenUsed/>
    <w:qFormat/>
    <w:rsid w:val="00023F30"/>
    <w:rPr>
      <w:vertAlign w:val="superscript"/>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link w:val="4GCharCharChar"/>
    <w:uiPriority w:val="99"/>
    <w:unhideWhenUsed/>
    <w:qFormat/>
    <w:rsid w:val="00F343F7"/>
    <w:rPr>
      <w:vertAlign w:val="superscript"/>
    </w:rPr>
  </w:style>
  <w:style w:type="character" w:customStyle="1" w:styleId="FootnoteTextChar">
    <w:name w:val="Footnote Text Char"/>
    <w:aliases w:val="Footnote Text Char Char Char Char Char Char Char,Footnote Text Char Char Char Char Char Char Char Char Char Char Char Char Char Char Char Char Char Char,Ca Char"/>
    <w:basedOn w:val="DefaultParagraphFont"/>
    <w:link w:val="FootnoteText"/>
    <w:uiPriority w:val="99"/>
    <w:rsid w:val="00F343F7"/>
    <w:rPr>
      <w:sz w:val="20"/>
      <w:szCs w:val="20"/>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a"/>
    <w:basedOn w:val="Normal"/>
    <w:link w:val="FootnoteTextChar"/>
    <w:uiPriority w:val="99"/>
    <w:unhideWhenUsed/>
    <w:qFormat/>
    <w:rsid w:val="00F343F7"/>
    <w:rPr>
      <w:rFonts w:asciiTheme="minorHAnsi" w:eastAsiaTheme="minorHAnsi" w:hAnsiTheme="minorHAnsi" w:cstheme="minorBidi"/>
      <w:sz w:val="20"/>
      <w:szCs w:val="20"/>
      <w:lang w:val="en-GB"/>
    </w:rPr>
  </w:style>
  <w:style w:type="character" w:customStyle="1" w:styleId="FootnoteTextChar1">
    <w:name w:val="Footnote Text Char1"/>
    <w:basedOn w:val="DefaultParagraphFont"/>
    <w:uiPriority w:val="99"/>
    <w:semiHidden/>
    <w:rsid w:val="00F343F7"/>
    <w:rPr>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343F7"/>
    <w:pPr>
      <w:spacing w:before="120" w:after="120" w:line="240" w:lineRule="exact"/>
      <w:jc w:val="both"/>
    </w:pPr>
    <w:rPr>
      <w:rFonts w:asciiTheme="minorHAnsi" w:eastAsiaTheme="minorHAnsi" w:hAnsiTheme="minorHAnsi" w:cstheme="minorBidi"/>
      <w:vertAlign w:val="superscript"/>
      <w:lang w:val="en-GB"/>
    </w:rPr>
  </w:style>
  <w:style w:type="paragraph" w:customStyle="1" w:styleId="default">
    <w:name w:val="default"/>
    <w:basedOn w:val="Normal"/>
    <w:rsid w:val="00F343F7"/>
    <w:pPr>
      <w:spacing w:before="100" w:beforeAutospacing="1" w:after="100" w:afterAutospacing="1"/>
    </w:pPr>
    <w:rPr>
      <w:lang w:eastAsia="en-GB"/>
    </w:rPr>
  </w:style>
  <w:style w:type="character" w:customStyle="1" w:styleId="NoSpacingChar">
    <w:name w:val="No Spacing Char"/>
    <w:basedOn w:val="DefaultParagraphFont"/>
    <w:link w:val="NoSpacing"/>
    <w:rsid w:val="00F343F7"/>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415C95"/>
  </w:style>
  <w:style w:type="paragraph" w:customStyle="1" w:styleId="textbox">
    <w:name w:val="textbox"/>
    <w:basedOn w:val="Normal"/>
    <w:rsid w:val="00A56DB8"/>
    <w:pPr>
      <w:spacing w:before="100" w:beforeAutospacing="1" w:after="100" w:afterAutospacing="1"/>
    </w:pPr>
    <w:rPr>
      <w:rFonts w:eastAsiaTheme="minorHAnsi"/>
      <w:lang w:val="en-GB" w:eastAsia="en-GB"/>
    </w:rPr>
  </w:style>
  <w:style w:type="paragraph" w:customStyle="1" w:styleId="Default0">
    <w:name w:val="Default"/>
    <w:rsid w:val="00A16838"/>
    <w:pPr>
      <w:autoSpaceDE w:val="0"/>
      <w:autoSpaceDN w:val="0"/>
      <w:adjustRightInd w:val="0"/>
    </w:pPr>
    <w:rPr>
      <w:rFonts w:ascii="Times New Roman" w:hAnsi="Times New Roman" w:cs="Times New Roman"/>
      <w:color w:val="000000"/>
      <w:lang w:val="en-US"/>
    </w:rPr>
  </w:style>
  <w:style w:type="character" w:customStyle="1" w:styleId="apple-converted-space">
    <w:name w:val="apple-converted-space"/>
    <w:basedOn w:val="DefaultParagraphFont"/>
    <w:rsid w:val="00A16838"/>
  </w:style>
  <w:style w:type="character" w:customStyle="1" w:styleId="A9">
    <w:name w:val="A9"/>
    <w:uiPriority w:val="99"/>
    <w:rsid w:val="00A16838"/>
    <w:rPr>
      <w:rFonts w:cs="DINOT-Regular"/>
      <w:color w:val="000000"/>
      <w:sz w:val="21"/>
      <w:szCs w:val="21"/>
    </w:rPr>
  </w:style>
  <w:style w:type="character" w:customStyle="1" w:styleId="A7">
    <w:name w:val="A7"/>
    <w:uiPriority w:val="99"/>
    <w:rsid w:val="00A16838"/>
    <w:rPr>
      <w:rFonts w:cs="DINOT-Regular"/>
      <w:color w:val="000000"/>
      <w:sz w:val="19"/>
      <w:szCs w:val="19"/>
    </w:rPr>
  </w:style>
  <w:style w:type="paragraph" w:customStyle="1" w:styleId="Body">
    <w:name w:val="Body"/>
    <w:rsid w:val="00A1683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HRLCHeading1">
    <w:name w:val="HRLC Heading 1"/>
    <w:basedOn w:val="Normal"/>
    <w:next w:val="AARHeading2"/>
    <w:rsid w:val="00A16838"/>
    <w:pPr>
      <w:keepNext/>
      <w:numPr>
        <w:numId w:val="1"/>
      </w:numPr>
      <w:pBdr>
        <w:bottom w:val="single" w:sz="4" w:space="3" w:color="auto"/>
      </w:pBdr>
      <w:spacing w:before="360" w:line="312" w:lineRule="auto"/>
    </w:pPr>
    <w:rPr>
      <w:rFonts w:ascii="Caecilia LT Pro 55 Roman" w:hAnsi="Caecilia LT Pro 55 Roman"/>
      <w:sz w:val="36"/>
      <w:szCs w:val="20"/>
    </w:rPr>
  </w:style>
  <w:style w:type="paragraph" w:customStyle="1" w:styleId="AARHeading2">
    <w:name w:val="AAR Heading 2"/>
    <w:basedOn w:val="Normal"/>
    <w:next w:val="Normal"/>
    <w:rsid w:val="00A16838"/>
    <w:pPr>
      <w:keepNext/>
      <w:numPr>
        <w:ilvl w:val="1"/>
        <w:numId w:val="1"/>
      </w:numPr>
      <w:tabs>
        <w:tab w:val="clear" w:pos="709"/>
        <w:tab w:val="num" w:pos="1789"/>
      </w:tabs>
      <w:spacing w:before="200" w:line="312" w:lineRule="auto"/>
      <w:ind w:left="1789"/>
    </w:pPr>
    <w:rPr>
      <w:rFonts w:ascii="Arial" w:hAnsi="Arial"/>
      <w:b/>
      <w:sz w:val="20"/>
      <w:szCs w:val="20"/>
    </w:rPr>
  </w:style>
  <w:style w:type="paragraph" w:customStyle="1" w:styleId="AARHeading3">
    <w:name w:val="AAR Heading 3"/>
    <w:basedOn w:val="Normal"/>
    <w:rsid w:val="00A16838"/>
    <w:pPr>
      <w:numPr>
        <w:ilvl w:val="2"/>
        <w:numId w:val="1"/>
      </w:numPr>
      <w:spacing w:before="100" w:line="312" w:lineRule="auto"/>
      <w:outlineLvl w:val="2"/>
    </w:pPr>
    <w:rPr>
      <w:rFonts w:ascii="Arial" w:hAnsi="Arial"/>
      <w:b/>
      <w:i/>
      <w:sz w:val="20"/>
      <w:szCs w:val="20"/>
    </w:rPr>
  </w:style>
  <w:style w:type="paragraph" w:customStyle="1" w:styleId="AARHeading4">
    <w:name w:val="AAR Heading 4"/>
    <w:basedOn w:val="Normal"/>
    <w:rsid w:val="00A16838"/>
    <w:pPr>
      <w:numPr>
        <w:ilvl w:val="3"/>
        <w:numId w:val="1"/>
      </w:numPr>
      <w:spacing w:before="100" w:line="312" w:lineRule="auto"/>
      <w:outlineLvl w:val="3"/>
    </w:pPr>
    <w:rPr>
      <w:rFonts w:ascii="Arial" w:hAnsi="Arial"/>
      <w:b/>
      <w:sz w:val="20"/>
      <w:szCs w:val="20"/>
    </w:rPr>
  </w:style>
  <w:style w:type="paragraph" w:customStyle="1" w:styleId="AARHeading5">
    <w:name w:val="AAR Heading 5"/>
    <w:basedOn w:val="Normal"/>
    <w:rsid w:val="00A16838"/>
    <w:pPr>
      <w:numPr>
        <w:ilvl w:val="4"/>
        <w:numId w:val="1"/>
      </w:numPr>
      <w:spacing w:before="100" w:line="312" w:lineRule="auto"/>
      <w:outlineLvl w:val="4"/>
    </w:pPr>
    <w:rPr>
      <w:rFonts w:ascii="Arial" w:hAnsi="Arial"/>
      <w:i/>
      <w:sz w:val="20"/>
      <w:szCs w:val="20"/>
    </w:rPr>
  </w:style>
  <w:style w:type="paragraph" w:customStyle="1" w:styleId="AARHeading6">
    <w:name w:val="AAR Heading 6"/>
    <w:basedOn w:val="Normal"/>
    <w:rsid w:val="00A16838"/>
    <w:pPr>
      <w:numPr>
        <w:ilvl w:val="5"/>
        <w:numId w:val="1"/>
      </w:numPr>
      <w:spacing w:before="100" w:line="312" w:lineRule="auto"/>
      <w:outlineLvl w:val="5"/>
    </w:pPr>
    <w:rPr>
      <w:rFonts w:ascii="Arial" w:hAnsi="Arial"/>
      <w:sz w:val="20"/>
      <w:szCs w:val="20"/>
    </w:rPr>
  </w:style>
  <w:style w:type="paragraph" w:customStyle="1" w:styleId="HRLCHeading2">
    <w:name w:val="HRLC Heading 2"/>
    <w:basedOn w:val="AARHeading2"/>
    <w:rsid w:val="00A16838"/>
    <w:pPr>
      <w:spacing w:after="60" w:line="360" w:lineRule="auto"/>
    </w:pPr>
    <w:rPr>
      <w:rFonts w:ascii="Caecilia LT Pro 55 Roman" w:hAnsi="Caecilia LT Pro 55 Roman"/>
      <w:b w:val="0"/>
      <w:bCs/>
      <w:sz w:val="24"/>
    </w:rPr>
  </w:style>
  <w:style w:type="paragraph" w:styleId="Quote">
    <w:name w:val="Quote"/>
    <w:aliases w:val="Quote 2"/>
    <w:basedOn w:val="Normal"/>
    <w:next w:val="ListParagraph"/>
    <w:link w:val="QuoteChar"/>
    <w:uiPriority w:val="29"/>
    <w:qFormat/>
    <w:rsid w:val="00B35330"/>
    <w:pPr>
      <w:spacing w:before="360" w:after="360" w:line="276" w:lineRule="auto"/>
      <w:jc w:val="center"/>
    </w:pPr>
    <w:rPr>
      <w:rFonts w:ascii="Calibri" w:eastAsia="Calibri" w:hAnsi="Calibri" w:cs="Calibri"/>
      <w:iCs/>
      <w:color w:val="404040" w:themeColor="text1" w:themeTint="BF"/>
      <w:w w:val="105"/>
      <w:kern w:val="40"/>
      <w:szCs w:val="22"/>
    </w:rPr>
  </w:style>
  <w:style w:type="character" w:customStyle="1" w:styleId="QuoteChar">
    <w:name w:val="Quote Char"/>
    <w:aliases w:val="Quote 2 Char"/>
    <w:basedOn w:val="DefaultParagraphFont"/>
    <w:link w:val="Quote"/>
    <w:uiPriority w:val="29"/>
    <w:rsid w:val="00B35330"/>
    <w:rPr>
      <w:rFonts w:ascii="Calibri" w:eastAsia="Calibri" w:hAnsi="Calibri" w:cs="Calibri"/>
      <w:iCs/>
      <w:color w:val="404040" w:themeColor="text1" w:themeTint="BF"/>
      <w:w w:val="105"/>
      <w:kern w:val="40"/>
      <w:szCs w:val="22"/>
      <w:lang w:val="en-AU"/>
    </w:rPr>
  </w:style>
  <w:style w:type="table" w:styleId="TableGrid">
    <w:name w:val="Table Grid"/>
    <w:basedOn w:val="TableNormal"/>
    <w:uiPriority w:val="39"/>
    <w:rsid w:val="00640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amendingtext">
    <w:name w:val="legamendingtext"/>
    <w:rsid w:val="00F73184"/>
    <w:rPr>
      <w:lang w:val="en-US"/>
    </w:rPr>
  </w:style>
  <w:style w:type="character" w:customStyle="1" w:styleId="refarticletitle">
    <w:name w:val="ref_article_title"/>
    <w:rsid w:val="00076111"/>
    <w:rPr>
      <w:rFonts w:ascii="Times New Roman" w:hAnsi="Times New Roman"/>
      <w:color w:val="000000"/>
      <w:sz w:val="24"/>
      <w:szCs w:val="24"/>
      <w:lang w:val="en-GB"/>
    </w:rPr>
  </w:style>
  <w:style w:type="character" w:customStyle="1" w:styleId="refjournaltitle">
    <w:name w:val="ref_journal_title"/>
    <w:rsid w:val="00076111"/>
    <w:rPr>
      <w:rFonts w:ascii="Times New Roman" w:hAnsi="Times New Roman"/>
      <w:i/>
      <w:iCs/>
      <w:color w:val="000000"/>
      <w:sz w:val="24"/>
      <w:szCs w:val="24"/>
      <w:lang w:val="en-GB"/>
    </w:rPr>
  </w:style>
  <w:style w:type="character" w:customStyle="1" w:styleId="refpagerange">
    <w:name w:val="ref_page_range"/>
    <w:rsid w:val="00076111"/>
    <w:rPr>
      <w:rFonts w:ascii="Times New Roman" w:hAnsi="Times New Roman"/>
      <w:color w:val="000000"/>
      <w:sz w:val="24"/>
      <w:szCs w:val="24"/>
      <w:lang w:val="en-GB"/>
    </w:rPr>
  </w:style>
  <w:style w:type="character" w:customStyle="1" w:styleId="refsurname">
    <w:name w:val="ref_surname"/>
    <w:rsid w:val="00076111"/>
    <w:rPr>
      <w:rFonts w:ascii="Times New Roman" w:hAnsi="Times New Roman"/>
      <w:color w:val="000000"/>
      <w:sz w:val="24"/>
      <w:szCs w:val="24"/>
      <w:lang w:val="en-GB"/>
    </w:rPr>
  </w:style>
  <w:style w:type="paragraph" w:customStyle="1" w:styleId="Reference">
    <w:name w:val="Reference"/>
    <w:rsid w:val="0015213E"/>
    <w:pPr>
      <w:spacing w:after="200"/>
    </w:pPr>
    <w:rPr>
      <w:rFonts w:ascii="Times New Roman" w:eastAsia="Times New Roman" w:hAnsi="Times New Roman" w:cs="Times New Roman"/>
      <w:lang w:eastAsia="en-GB"/>
    </w:rPr>
  </w:style>
  <w:style w:type="character" w:customStyle="1" w:styleId="refchaptertitle">
    <w:name w:val="ref_chapter_title"/>
    <w:rsid w:val="0015213E"/>
    <w:rPr>
      <w:rFonts w:ascii="Times New Roman" w:hAnsi="Times New Roman"/>
      <w:color w:val="000000"/>
      <w:sz w:val="24"/>
      <w:szCs w:val="24"/>
      <w:lang w:val="en-GB"/>
    </w:rPr>
  </w:style>
  <w:style w:type="paragraph" w:customStyle="1" w:styleId="Articletitle">
    <w:name w:val="Article title"/>
    <w:basedOn w:val="Normal"/>
    <w:next w:val="Normal"/>
    <w:qFormat/>
    <w:rsid w:val="002C1152"/>
    <w:pPr>
      <w:spacing w:after="120" w:line="360" w:lineRule="auto"/>
    </w:pPr>
    <w:rPr>
      <w:b/>
      <w:sz w:val="28"/>
      <w:lang w:val="en-GB" w:eastAsia="en-GB"/>
    </w:rPr>
  </w:style>
  <w:style w:type="numbering" w:customStyle="1" w:styleId="Bullet2">
    <w:name w:val="Bullet 2"/>
    <w:basedOn w:val="NoList"/>
    <w:uiPriority w:val="99"/>
    <w:rsid w:val="003E0749"/>
    <w:pPr>
      <w:numPr>
        <w:numId w:val="2"/>
      </w:numPr>
    </w:pPr>
  </w:style>
  <w:style w:type="paragraph" w:styleId="TOC4">
    <w:name w:val="toc 4"/>
    <w:basedOn w:val="Normal"/>
    <w:next w:val="Normal"/>
    <w:autoRedefine/>
    <w:uiPriority w:val="39"/>
    <w:unhideWhenUsed/>
    <w:rsid w:val="00FE450C"/>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FE450C"/>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FE450C"/>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FE450C"/>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FE450C"/>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FE450C"/>
    <w:pPr>
      <w:spacing w:after="100" w:line="259" w:lineRule="auto"/>
      <w:ind w:left="1760"/>
    </w:pPr>
    <w:rPr>
      <w:rFonts w:asciiTheme="minorHAnsi" w:eastAsiaTheme="minorEastAsia" w:hAnsiTheme="minorHAnsi" w:cstheme="minorBidi"/>
      <w:sz w:val="22"/>
      <w:szCs w:val="22"/>
      <w:lang w:eastAsia="en-AU"/>
    </w:rPr>
  </w:style>
  <w:style w:type="paragraph" w:customStyle="1" w:styleId="subsection">
    <w:name w:val="subsection"/>
    <w:basedOn w:val="Normal"/>
    <w:rsid w:val="001B16EF"/>
    <w:pPr>
      <w:spacing w:before="100" w:beforeAutospacing="1" w:after="100" w:afterAutospacing="1"/>
    </w:pPr>
    <w:rPr>
      <w:lang w:eastAsia="en-AU"/>
    </w:rPr>
  </w:style>
  <w:style w:type="paragraph" w:customStyle="1" w:styleId="paragraph">
    <w:name w:val="paragraph"/>
    <w:basedOn w:val="Normal"/>
    <w:rsid w:val="001B16EF"/>
    <w:pPr>
      <w:spacing w:before="100" w:beforeAutospacing="1" w:after="100" w:afterAutospacing="1"/>
    </w:pPr>
    <w:rPr>
      <w:lang w:eastAsia="en-AU"/>
    </w:rPr>
  </w:style>
  <w:style w:type="paragraph" w:customStyle="1" w:styleId="paragraphsub">
    <w:name w:val="paragraphsub"/>
    <w:basedOn w:val="Normal"/>
    <w:rsid w:val="001B16EF"/>
    <w:pPr>
      <w:spacing w:before="100" w:beforeAutospacing="1" w:after="100" w:afterAutospacing="1"/>
    </w:pPr>
    <w:rPr>
      <w:lang w:eastAsia="en-AU"/>
    </w:rPr>
  </w:style>
  <w:style w:type="paragraph" w:customStyle="1" w:styleId="notepara">
    <w:name w:val="notepara"/>
    <w:basedOn w:val="Normal"/>
    <w:rsid w:val="002C7E53"/>
    <w:pPr>
      <w:spacing w:before="100" w:beforeAutospacing="1" w:after="100" w:afterAutospacing="1"/>
    </w:pPr>
    <w:rPr>
      <w:lang w:eastAsia="en-AU"/>
    </w:rPr>
  </w:style>
  <w:style w:type="character" w:customStyle="1" w:styleId="highlight">
    <w:name w:val="highlight"/>
    <w:basedOn w:val="DefaultParagraphFont"/>
    <w:rsid w:val="00D86580"/>
  </w:style>
  <w:style w:type="paragraph" w:styleId="BodyText">
    <w:name w:val="Body Text"/>
    <w:basedOn w:val="Normal"/>
    <w:link w:val="BodyTextChar"/>
    <w:uiPriority w:val="1"/>
    <w:qFormat/>
    <w:rsid w:val="007540E8"/>
    <w:pPr>
      <w:autoSpaceDE w:val="0"/>
      <w:autoSpaceDN w:val="0"/>
      <w:adjustRightInd w:val="0"/>
      <w:ind w:left="39"/>
    </w:pPr>
    <w:rPr>
      <w:rFonts w:eastAsiaTheme="minorHAnsi"/>
      <w:sz w:val="20"/>
      <w:szCs w:val="20"/>
    </w:rPr>
  </w:style>
  <w:style w:type="character" w:customStyle="1" w:styleId="BodyTextChar">
    <w:name w:val="Body Text Char"/>
    <w:basedOn w:val="DefaultParagraphFont"/>
    <w:link w:val="BodyText"/>
    <w:uiPriority w:val="1"/>
    <w:rsid w:val="007540E8"/>
    <w:rPr>
      <w:rFonts w:ascii="Times New Roman" w:hAnsi="Times New Roman" w:cs="Times New Roman"/>
      <w:sz w:val="20"/>
      <w:szCs w:val="20"/>
      <w:lang w:val="en-AU"/>
    </w:rPr>
  </w:style>
  <w:style w:type="paragraph" w:customStyle="1" w:styleId="SingleTxtG">
    <w:name w:val="_ Single Txt_G"/>
    <w:basedOn w:val="Normal"/>
    <w:rsid w:val="00716516"/>
    <w:pPr>
      <w:spacing w:after="120"/>
      <w:ind w:left="1134" w:right="1134"/>
      <w:jc w:val="both"/>
    </w:pPr>
    <w:rPr>
      <w:rFonts w:eastAsia="SimSun"/>
      <w:sz w:val="20"/>
      <w:szCs w:val="20"/>
      <w:lang w:val="en-GB" w:eastAsia="zh-CN"/>
    </w:rPr>
  </w:style>
  <w:style w:type="paragraph" w:customStyle="1" w:styleId="quote1">
    <w:name w:val="quote1"/>
    <w:basedOn w:val="Normal"/>
    <w:rsid w:val="00FB7DCE"/>
    <w:pPr>
      <w:spacing w:before="100" w:beforeAutospacing="1" w:after="100" w:afterAutospacing="1"/>
    </w:pPr>
    <w:rPr>
      <w:lang w:eastAsia="en-AU"/>
    </w:rPr>
  </w:style>
  <w:style w:type="paragraph" w:styleId="Revision">
    <w:name w:val="Revision"/>
    <w:hidden/>
    <w:uiPriority w:val="99"/>
    <w:semiHidden/>
    <w:rsid w:val="00387EDA"/>
    <w:rPr>
      <w:rFonts w:ascii="Times New Roman" w:eastAsia="Times New Roman" w:hAnsi="Times New Roman" w:cs="Times New Roman"/>
      <w:lang w:val="en-AU"/>
    </w:rPr>
  </w:style>
  <w:style w:type="character" w:customStyle="1" w:styleId="UnresolvedMention2">
    <w:name w:val="Unresolved Mention2"/>
    <w:basedOn w:val="DefaultParagraphFont"/>
    <w:uiPriority w:val="99"/>
    <w:semiHidden/>
    <w:unhideWhenUsed/>
    <w:rsid w:val="00A02063"/>
    <w:rPr>
      <w:color w:val="605E5C"/>
      <w:shd w:val="clear" w:color="auto" w:fill="E1DFDD"/>
    </w:rPr>
  </w:style>
  <w:style w:type="character" w:customStyle="1" w:styleId="Heading5Char">
    <w:name w:val="Heading 5 Char"/>
    <w:basedOn w:val="DefaultParagraphFont"/>
    <w:link w:val="Heading5"/>
    <w:uiPriority w:val="9"/>
    <w:rsid w:val="005B767D"/>
    <w:rPr>
      <w:rFonts w:asciiTheme="majorHAnsi" w:eastAsiaTheme="majorEastAsia" w:hAnsiTheme="majorHAnsi" w:cstheme="majorBidi"/>
      <w:color w:val="2F5496" w:themeColor="accent1" w:themeShade="BF"/>
      <w:lang w:val="en-AU"/>
    </w:rPr>
  </w:style>
  <w:style w:type="paragraph" w:customStyle="1" w:styleId="Bulltlist">
    <w:name w:val="Bullt list"/>
    <w:basedOn w:val="ListParagraph"/>
    <w:link w:val="BulltlistChar"/>
    <w:qFormat/>
    <w:rsid w:val="007D5234"/>
    <w:pPr>
      <w:numPr>
        <w:numId w:val="6"/>
      </w:numPr>
      <w:spacing w:after="200" w:line="276" w:lineRule="auto"/>
    </w:pPr>
    <w:rPr>
      <w:rFonts w:ascii="Arial" w:eastAsia="Calibri" w:hAnsi="Arial" w:cs="Calibri"/>
      <w:w w:val="105"/>
      <w:kern w:val="40"/>
      <w:szCs w:val="22"/>
      <w:lang w:val="en-AU"/>
    </w:rPr>
  </w:style>
  <w:style w:type="character" w:customStyle="1" w:styleId="BulltlistChar">
    <w:name w:val="Bullt list Char"/>
    <w:basedOn w:val="DefaultParagraphFont"/>
    <w:link w:val="Bulltlist"/>
    <w:rsid w:val="007D5234"/>
    <w:rPr>
      <w:rFonts w:ascii="Arial" w:eastAsia="Calibri" w:hAnsi="Arial" w:cs="Calibri"/>
      <w:w w:val="105"/>
      <w:kern w:val="40"/>
      <w:szCs w:val="22"/>
      <w:lang w:val="en-AU"/>
    </w:rPr>
  </w:style>
  <w:style w:type="character" w:customStyle="1" w:styleId="pdf-viewer-word">
    <w:name w:val="pdf-viewer-word"/>
    <w:basedOn w:val="DefaultParagraphFont"/>
    <w:rsid w:val="00233A98"/>
  </w:style>
  <w:style w:type="character" w:customStyle="1" w:styleId="pdf-viewer-line">
    <w:name w:val="pdf-viewer-line"/>
    <w:basedOn w:val="DefaultParagraphFont"/>
    <w:rsid w:val="00BC778C"/>
  </w:style>
  <w:style w:type="paragraph" w:styleId="Bibliography">
    <w:name w:val="Bibliography"/>
    <w:basedOn w:val="Normal"/>
    <w:next w:val="Normal"/>
    <w:uiPriority w:val="37"/>
    <w:unhideWhenUsed/>
    <w:rsid w:val="00D27A13"/>
  </w:style>
  <w:style w:type="paragraph" w:customStyle="1" w:styleId="definition">
    <w:name w:val="definition"/>
    <w:basedOn w:val="Normal"/>
    <w:rsid w:val="00F87F02"/>
    <w:pPr>
      <w:spacing w:before="100" w:beforeAutospacing="1" w:after="100" w:afterAutospacing="1"/>
    </w:pPr>
    <w:rPr>
      <w:lang w:eastAsia="en-AU"/>
    </w:rPr>
  </w:style>
  <w:style w:type="character" w:styleId="UnresolvedMention">
    <w:name w:val="Unresolved Mention"/>
    <w:basedOn w:val="DefaultParagraphFont"/>
    <w:uiPriority w:val="99"/>
    <w:semiHidden/>
    <w:unhideWhenUsed/>
    <w:rsid w:val="00FC3F1F"/>
    <w:rPr>
      <w:color w:val="605E5C"/>
      <w:shd w:val="clear" w:color="auto" w:fill="E1DFDD"/>
    </w:rPr>
  </w:style>
  <w:style w:type="character" w:customStyle="1" w:styleId="ssleftalign">
    <w:name w:val="ss_leftalign"/>
    <w:basedOn w:val="DefaultParagraphFont"/>
    <w:rsid w:val="00BC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1516">
      <w:bodyDiv w:val="1"/>
      <w:marLeft w:val="0"/>
      <w:marRight w:val="0"/>
      <w:marTop w:val="0"/>
      <w:marBottom w:val="0"/>
      <w:divBdr>
        <w:top w:val="none" w:sz="0" w:space="0" w:color="auto"/>
        <w:left w:val="none" w:sz="0" w:space="0" w:color="auto"/>
        <w:bottom w:val="none" w:sz="0" w:space="0" w:color="auto"/>
        <w:right w:val="none" w:sz="0" w:space="0" w:color="auto"/>
      </w:divBdr>
      <w:divsChild>
        <w:div w:id="1546139615">
          <w:marLeft w:val="0"/>
          <w:marRight w:val="0"/>
          <w:marTop w:val="0"/>
          <w:marBottom w:val="0"/>
          <w:divBdr>
            <w:top w:val="none" w:sz="0" w:space="0" w:color="auto"/>
            <w:left w:val="none" w:sz="0" w:space="0" w:color="auto"/>
            <w:bottom w:val="none" w:sz="0" w:space="0" w:color="auto"/>
            <w:right w:val="none" w:sz="0" w:space="0" w:color="auto"/>
          </w:divBdr>
          <w:divsChild>
            <w:div w:id="1354069473">
              <w:marLeft w:val="0"/>
              <w:marRight w:val="0"/>
              <w:marTop w:val="0"/>
              <w:marBottom w:val="0"/>
              <w:divBdr>
                <w:top w:val="none" w:sz="0" w:space="0" w:color="auto"/>
                <w:left w:val="none" w:sz="0" w:space="0" w:color="auto"/>
                <w:bottom w:val="none" w:sz="0" w:space="0" w:color="auto"/>
                <w:right w:val="none" w:sz="0" w:space="0" w:color="auto"/>
              </w:divBdr>
              <w:divsChild>
                <w:div w:id="13758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2560">
      <w:bodyDiv w:val="1"/>
      <w:marLeft w:val="0"/>
      <w:marRight w:val="0"/>
      <w:marTop w:val="0"/>
      <w:marBottom w:val="0"/>
      <w:divBdr>
        <w:top w:val="none" w:sz="0" w:space="0" w:color="auto"/>
        <w:left w:val="none" w:sz="0" w:space="0" w:color="auto"/>
        <w:bottom w:val="none" w:sz="0" w:space="0" w:color="auto"/>
        <w:right w:val="none" w:sz="0" w:space="0" w:color="auto"/>
      </w:divBdr>
      <w:divsChild>
        <w:div w:id="605232126">
          <w:marLeft w:val="0"/>
          <w:marRight w:val="0"/>
          <w:marTop w:val="0"/>
          <w:marBottom w:val="0"/>
          <w:divBdr>
            <w:top w:val="none" w:sz="0" w:space="0" w:color="auto"/>
            <w:left w:val="none" w:sz="0" w:space="0" w:color="auto"/>
            <w:bottom w:val="none" w:sz="0" w:space="0" w:color="auto"/>
            <w:right w:val="none" w:sz="0" w:space="0" w:color="auto"/>
          </w:divBdr>
          <w:divsChild>
            <w:div w:id="1466578935">
              <w:marLeft w:val="0"/>
              <w:marRight w:val="0"/>
              <w:marTop w:val="0"/>
              <w:marBottom w:val="0"/>
              <w:divBdr>
                <w:top w:val="none" w:sz="0" w:space="0" w:color="auto"/>
                <w:left w:val="none" w:sz="0" w:space="0" w:color="auto"/>
                <w:bottom w:val="none" w:sz="0" w:space="0" w:color="auto"/>
                <w:right w:val="none" w:sz="0" w:space="0" w:color="auto"/>
              </w:divBdr>
              <w:divsChild>
                <w:div w:id="12352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2940">
      <w:bodyDiv w:val="1"/>
      <w:marLeft w:val="0"/>
      <w:marRight w:val="0"/>
      <w:marTop w:val="0"/>
      <w:marBottom w:val="0"/>
      <w:divBdr>
        <w:top w:val="none" w:sz="0" w:space="0" w:color="auto"/>
        <w:left w:val="none" w:sz="0" w:space="0" w:color="auto"/>
        <w:bottom w:val="none" w:sz="0" w:space="0" w:color="auto"/>
        <w:right w:val="none" w:sz="0" w:space="0" w:color="auto"/>
      </w:divBdr>
      <w:divsChild>
        <w:div w:id="558131695">
          <w:marLeft w:val="0"/>
          <w:marRight w:val="0"/>
          <w:marTop w:val="0"/>
          <w:marBottom w:val="0"/>
          <w:divBdr>
            <w:top w:val="none" w:sz="0" w:space="0" w:color="auto"/>
            <w:left w:val="none" w:sz="0" w:space="0" w:color="auto"/>
            <w:bottom w:val="none" w:sz="0" w:space="0" w:color="auto"/>
            <w:right w:val="none" w:sz="0" w:space="0" w:color="auto"/>
          </w:divBdr>
        </w:div>
        <w:div w:id="618879145">
          <w:marLeft w:val="0"/>
          <w:marRight w:val="0"/>
          <w:marTop w:val="0"/>
          <w:marBottom w:val="0"/>
          <w:divBdr>
            <w:top w:val="none" w:sz="0" w:space="0" w:color="auto"/>
            <w:left w:val="none" w:sz="0" w:space="0" w:color="auto"/>
            <w:bottom w:val="none" w:sz="0" w:space="0" w:color="auto"/>
            <w:right w:val="none" w:sz="0" w:space="0" w:color="auto"/>
          </w:divBdr>
        </w:div>
        <w:div w:id="772746031">
          <w:marLeft w:val="0"/>
          <w:marRight w:val="0"/>
          <w:marTop w:val="0"/>
          <w:marBottom w:val="0"/>
          <w:divBdr>
            <w:top w:val="none" w:sz="0" w:space="0" w:color="auto"/>
            <w:left w:val="none" w:sz="0" w:space="0" w:color="auto"/>
            <w:bottom w:val="none" w:sz="0" w:space="0" w:color="auto"/>
            <w:right w:val="none" w:sz="0" w:space="0" w:color="auto"/>
          </w:divBdr>
        </w:div>
        <w:div w:id="1102336747">
          <w:marLeft w:val="0"/>
          <w:marRight w:val="0"/>
          <w:marTop w:val="0"/>
          <w:marBottom w:val="0"/>
          <w:divBdr>
            <w:top w:val="none" w:sz="0" w:space="0" w:color="auto"/>
            <w:left w:val="none" w:sz="0" w:space="0" w:color="auto"/>
            <w:bottom w:val="none" w:sz="0" w:space="0" w:color="auto"/>
            <w:right w:val="none" w:sz="0" w:space="0" w:color="auto"/>
          </w:divBdr>
        </w:div>
        <w:div w:id="1241017229">
          <w:marLeft w:val="0"/>
          <w:marRight w:val="0"/>
          <w:marTop w:val="0"/>
          <w:marBottom w:val="0"/>
          <w:divBdr>
            <w:top w:val="none" w:sz="0" w:space="0" w:color="auto"/>
            <w:left w:val="none" w:sz="0" w:space="0" w:color="auto"/>
            <w:bottom w:val="none" w:sz="0" w:space="0" w:color="auto"/>
            <w:right w:val="none" w:sz="0" w:space="0" w:color="auto"/>
          </w:divBdr>
        </w:div>
        <w:div w:id="1971474107">
          <w:marLeft w:val="0"/>
          <w:marRight w:val="0"/>
          <w:marTop w:val="0"/>
          <w:marBottom w:val="0"/>
          <w:divBdr>
            <w:top w:val="none" w:sz="0" w:space="0" w:color="auto"/>
            <w:left w:val="none" w:sz="0" w:space="0" w:color="auto"/>
            <w:bottom w:val="none" w:sz="0" w:space="0" w:color="auto"/>
            <w:right w:val="none" w:sz="0" w:space="0" w:color="auto"/>
          </w:divBdr>
        </w:div>
      </w:divsChild>
    </w:div>
    <w:div w:id="88165437">
      <w:bodyDiv w:val="1"/>
      <w:marLeft w:val="0"/>
      <w:marRight w:val="0"/>
      <w:marTop w:val="0"/>
      <w:marBottom w:val="0"/>
      <w:divBdr>
        <w:top w:val="none" w:sz="0" w:space="0" w:color="auto"/>
        <w:left w:val="none" w:sz="0" w:space="0" w:color="auto"/>
        <w:bottom w:val="none" w:sz="0" w:space="0" w:color="auto"/>
        <w:right w:val="none" w:sz="0" w:space="0" w:color="auto"/>
      </w:divBdr>
    </w:div>
    <w:div w:id="109861075">
      <w:bodyDiv w:val="1"/>
      <w:marLeft w:val="0"/>
      <w:marRight w:val="0"/>
      <w:marTop w:val="0"/>
      <w:marBottom w:val="0"/>
      <w:divBdr>
        <w:top w:val="none" w:sz="0" w:space="0" w:color="auto"/>
        <w:left w:val="none" w:sz="0" w:space="0" w:color="auto"/>
        <w:bottom w:val="none" w:sz="0" w:space="0" w:color="auto"/>
        <w:right w:val="none" w:sz="0" w:space="0" w:color="auto"/>
      </w:divBdr>
    </w:div>
    <w:div w:id="119493873">
      <w:bodyDiv w:val="1"/>
      <w:marLeft w:val="0"/>
      <w:marRight w:val="0"/>
      <w:marTop w:val="0"/>
      <w:marBottom w:val="0"/>
      <w:divBdr>
        <w:top w:val="none" w:sz="0" w:space="0" w:color="auto"/>
        <w:left w:val="none" w:sz="0" w:space="0" w:color="auto"/>
        <w:bottom w:val="none" w:sz="0" w:space="0" w:color="auto"/>
        <w:right w:val="none" w:sz="0" w:space="0" w:color="auto"/>
      </w:divBdr>
    </w:div>
    <w:div w:id="123237802">
      <w:bodyDiv w:val="1"/>
      <w:marLeft w:val="0"/>
      <w:marRight w:val="0"/>
      <w:marTop w:val="0"/>
      <w:marBottom w:val="0"/>
      <w:divBdr>
        <w:top w:val="none" w:sz="0" w:space="0" w:color="auto"/>
        <w:left w:val="none" w:sz="0" w:space="0" w:color="auto"/>
        <w:bottom w:val="none" w:sz="0" w:space="0" w:color="auto"/>
        <w:right w:val="none" w:sz="0" w:space="0" w:color="auto"/>
      </w:divBdr>
    </w:div>
    <w:div w:id="140778677">
      <w:bodyDiv w:val="1"/>
      <w:marLeft w:val="0"/>
      <w:marRight w:val="0"/>
      <w:marTop w:val="0"/>
      <w:marBottom w:val="0"/>
      <w:divBdr>
        <w:top w:val="none" w:sz="0" w:space="0" w:color="auto"/>
        <w:left w:val="none" w:sz="0" w:space="0" w:color="auto"/>
        <w:bottom w:val="none" w:sz="0" w:space="0" w:color="auto"/>
        <w:right w:val="none" w:sz="0" w:space="0" w:color="auto"/>
      </w:divBdr>
    </w:div>
    <w:div w:id="155147123">
      <w:bodyDiv w:val="1"/>
      <w:marLeft w:val="0"/>
      <w:marRight w:val="0"/>
      <w:marTop w:val="0"/>
      <w:marBottom w:val="0"/>
      <w:divBdr>
        <w:top w:val="none" w:sz="0" w:space="0" w:color="auto"/>
        <w:left w:val="none" w:sz="0" w:space="0" w:color="auto"/>
        <w:bottom w:val="none" w:sz="0" w:space="0" w:color="auto"/>
        <w:right w:val="none" w:sz="0" w:space="0" w:color="auto"/>
      </w:divBdr>
      <w:divsChild>
        <w:div w:id="119300240">
          <w:marLeft w:val="0"/>
          <w:marRight w:val="0"/>
          <w:marTop w:val="0"/>
          <w:marBottom w:val="0"/>
          <w:divBdr>
            <w:top w:val="none" w:sz="0" w:space="0" w:color="auto"/>
            <w:left w:val="none" w:sz="0" w:space="0" w:color="auto"/>
            <w:bottom w:val="none" w:sz="0" w:space="0" w:color="auto"/>
            <w:right w:val="none" w:sz="0" w:space="0" w:color="auto"/>
          </w:divBdr>
        </w:div>
        <w:div w:id="377704710">
          <w:marLeft w:val="0"/>
          <w:marRight w:val="0"/>
          <w:marTop w:val="0"/>
          <w:marBottom w:val="0"/>
          <w:divBdr>
            <w:top w:val="none" w:sz="0" w:space="0" w:color="auto"/>
            <w:left w:val="none" w:sz="0" w:space="0" w:color="auto"/>
            <w:bottom w:val="none" w:sz="0" w:space="0" w:color="auto"/>
            <w:right w:val="none" w:sz="0" w:space="0" w:color="auto"/>
          </w:divBdr>
        </w:div>
        <w:div w:id="462626571">
          <w:marLeft w:val="0"/>
          <w:marRight w:val="0"/>
          <w:marTop w:val="0"/>
          <w:marBottom w:val="0"/>
          <w:divBdr>
            <w:top w:val="none" w:sz="0" w:space="0" w:color="auto"/>
            <w:left w:val="none" w:sz="0" w:space="0" w:color="auto"/>
            <w:bottom w:val="none" w:sz="0" w:space="0" w:color="auto"/>
            <w:right w:val="none" w:sz="0" w:space="0" w:color="auto"/>
          </w:divBdr>
        </w:div>
        <w:div w:id="910582374">
          <w:marLeft w:val="0"/>
          <w:marRight w:val="0"/>
          <w:marTop w:val="0"/>
          <w:marBottom w:val="0"/>
          <w:divBdr>
            <w:top w:val="none" w:sz="0" w:space="0" w:color="auto"/>
            <w:left w:val="none" w:sz="0" w:space="0" w:color="auto"/>
            <w:bottom w:val="none" w:sz="0" w:space="0" w:color="auto"/>
            <w:right w:val="none" w:sz="0" w:space="0" w:color="auto"/>
          </w:divBdr>
        </w:div>
        <w:div w:id="1797292004">
          <w:marLeft w:val="0"/>
          <w:marRight w:val="0"/>
          <w:marTop w:val="0"/>
          <w:marBottom w:val="0"/>
          <w:divBdr>
            <w:top w:val="none" w:sz="0" w:space="0" w:color="auto"/>
            <w:left w:val="none" w:sz="0" w:space="0" w:color="auto"/>
            <w:bottom w:val="none" w:sz="0" w:space="0" w:color="auto"/>
            <w:right w:val="none" w:sz="0" w:space="0" w:color="auto"/>
          </w:divBdr>
        </w:div>
        <w:div w:id="1814368916">
          <w:marLeft w:val="0"/>
          <w:marRight w:val="0"/>
          <w:marTop w:val="0"/>
          <w:marBottom w:val="0"/>
          <w:divBdr>
            <w:top w:val="none" w:sz="0" w:space="0" w:color="auto"/>
            <w:left w:val="none" w:sz="0" w:space="0" w:color="auto"/>
            <w:bottom w:val="none" w:sz="0" w:space="0" w:color="auto"/>
            <w:right w:val="none" w:sz="0" w:space="0" w:color="auto"/>
          </w:divBdr>
        </w:div>
      </w:divsChild>
    </w:div>
    <w:div w:id="176971973">
      <w:bodyDiv w:val="1"/>
      <w:marLeft w:val="0"/>
      <w:marRight w:val="0"/>
      <w:marTop w:val="0"/>
      <w:marBottom w:val="0"/>
      <w:divBdr>
        <w:top w:val="none" w:sz="0" w:space="0" w:color="auto"/>
        <w:left w:val="none" w:sz="0" w:space="0" w:color="auto"/>
        <w:bottom w:val="none" w:sz="0" w:space="0" w:color="auto"/>
        <w:right w:val="none" w:sz="0" w:space="0" w:color="auto"/>
      </w:divBdr>
      <w:divsChild>
        <w:div w:id="664480591">
          <w:marLeft w:val="0"/>
          <w:marRight w:val="0"/>
          <w:marTop w:val="0"/>
          <w:marBottom w:val="0"/>
          <w:divBdr>
            <w:top w:val="none" w:sz="0" w:space="0" w:color="auto"/>
            <w:left w:val="none" w:sz="0" w:space="0" w:color="auto"/>
            <w:bottom w:val="none" w:sz="0" w:space="0" w:color="auto"/>
            <w:right w:val="none" w:sz="0" w:space="0" w:color="auto"/>
          </w:divBdr>
        </w:div>
        <w:div w:id="66611792">
          <w:marLeft w:val="0"/>
          <w:marRight w:val="0"/>
          <w:marTop w:val="0"/>
          <w:marBottom w:val="0"/>
          <w:divBdr>
            <w:top w:val="none" w:sz="0" w:space="0" w:color="auto"/>
            <w:left w:val="none" w:sz="0" w:space="0" w:color="auto"/>
            <w:bottom w:val="none" w:sz="0" w:space="0" w:color="auto"/>
            <w:right w:val="none" w:sz="0" w:space="0" w:color="auto"/>
          </w:divBdr>
        </w:div>
        <w:div w:id="796604472">
          <w:marLeft w:val="0"/>
          <w:marRight w:val="0"/>
          <w:marTop w:val="0"/>
          <w:marBottom w:val="0"/>
          <w:divBdr>
            <w:top w:val="none" w:sz="0" w:space="0" w:color="auto"/>
            <w:left w:val="none" w:sz="0" w:space="0" w:color="auto"/>
            <w:bottom w:val="none" w:sz="0" w:space="0" w:color="auto"/>
            <w:right w:val="none" w:sz="0" w:space="0" w:color="auto"/>
          </w:divBdr>
        </w:div>
        <w:div w:id="1502817691">
          <w:marLeft w:val="0"/>
          <w:marRight w:val="0"/>
          <w:marTop w:val="0"/>
          <w:marBottom w:val="0"/>
          <w:divBdr>
            <w:top w:val="none" w:sz="0" w:space="0" w:color="auto"/>
            <w:left w:val="none" w:sz="0" w:space="0" w:color="auto"/>
            <w:bottom w:val="none" w:sz="0" w:space="0" w:color="auto"/>
            <w:right w:val="none" w:sz="0" w:space="0" w:color="auto"/>
          </w:divBdr>
        </w:div>
        <w:div w:id="582254164">
          <w:marLeft w:val="0"/>
          <w:marRight w:val="0"/>
          <w:marTop w:val="0"/>
          <w:marBottom w:val="0"/>
          <w:divBdr>
            <w:top w:val="none" w:sz="0" w:space="0" w:color="auto"/>
            <w:left w:val="none" w:sz="0" w:space="0" w:color="auto"/>
            <w:bottom w:val="none" w:sz="0" w:space="0" w:color="auto"/>
            <w:right w:val="none" w:sz="0" w:space="0" w:color="auto"/>
          </w:divBdr>
        </w:div>
        <w:div w:id="272398189">
          <w:marLeft w:val="0"/>
          <w:marRight w:val="0"/>
          <w:marTop w:val="0"/>
          <w:marBottom w:val="0"/>
          <w:divBdr>
            <w:top w:val="none" w:sz="0" w:space="0" w:color="auto"/>
            <w:left w:val="none" w:sz="0" w:space="0" w:color="auto"/>
            <w:bottom w:val="none" w:sz="0" w:space="0" w:color="auto"/>
            <w:right w:val="none" w:sz="0" w:space="0" w:color="auto"/>
          </w:divBdr>
        </w:div>
        <w:div w:id="1003967534">
          <w:marLeft w:val="0"/>
          <w:marRight w:val="0"/>
          <w:marTop w:val="0"/>
          <w:marBottom w:val="0"/>
          <w:divBdr>
            <w:top w:val="none" w:sz="0" w:space="0" w:color="auto"/>
            <w:left w:val="none" w:sz="0" w:space="0" w:color="auto"/>
            <w:bottom w:val="none" w:sz="0" w:space="0" w:color="auto"/>
            <w:right w:val="none" w:sz="0" w:space="0" w:color="auto"/>
          </w:divBdr>
        </w:div>
      </w:divsChild>
    </w:div>
    <w:div w:id="190151084">
      <w:bodyDiv w:val="1"/>
      <w:marLeft w:val="0"/>
      <w:marRight w:val="0"/>
      <w:marTop w:val="0"/>
      <w:marBottom w:val="0"/>
      <w:divBdr>
        <w:top w:val="none" w:sz="0" w:space="0" w:color="auto"/>
        <w:left w:val="none" w:sz="0" w:space="0" w:color="auto"/>
        <w:bottom w:val="none" w:sz="0" w:space="0" w:color="auto"/>
        <w:right w:val="none" w:sz="0" w:space="0" w:color="auto"/>
      </w:divBdr>
    </w:div>
    <w:div w:id="194585275">
      <w:bodyDiv w:val="1"/>
      <w:marLeft w:val="0"/>
      <w:marRight w:val="0"/>
      <w:marTop w:val="0"/>
      <w:marBottom w:val="0"/>
      <w:divBdr>
        <w:top w:val="none" w:sz="0" w:space="0" w:color="auto"/>
        <w:left w:val="none" w:sz="0" w:space="0" w:color="auto"/>
        <w:bottom w:val="none" w:sz="0" w:space="0" w:color="auto"/>
        <w:right w:val="none" w:sz="0" w:space="0" w:color="auto"/>
      </w:divBdr>
    </w:div>
    <w:div w:id="197475869">
      <w:bodyDiv w:val="1"/>
      <w:marLeft w:val="0"/>
      <w:marRight w:val="0"/>
      <w:marTop w:val="0"/>
      <w:marBottom w:val="0"/>
      <w:divBdr>
        <w:top w:val="none" w:sz="0" w:space="0" w:color="auto"/>
        <w:left w:val="none" w:sz="0" w:space="0" w:color="auto"/>
        <w:bottom w:val="none" w:sz="0" w:space="0" w:color="auto"/>
        <w:right w:val="none" w:sz="0" w:space="0" w:color="auto"/>
      </w:divBdr>
      <w:divsChild>
        <w:div w:id="711223707">
          <w:marLeft w:val="0"/>
          <w:marRight w:val="0"/>
          <w:marTop w:val="0"/>
          <w:marBottom w:val="0"/>
          <w:divBdr>
            <w:top w:val="none" w:sz="0" w:space="0" w:color="auto"/>
            <w:left w:val="none" w:sz="0" w:space="0" w:color="auto"/>
            <w:bottom w:val="none" w:sz="0" w:space="0" w:color="auto"/>
            <w:right w:val="none" w:sz="0" w:space="0" w:color="auto"/>
          </w:divBdr>
          <w:divsChild>
            <w:div w:id="1476217719">
              <w:marLeft w:val="0"/>
              <w:marRight w:val="0"/>
              <w:marTop w:val="0"/>
              <w:marBottom w:val="0"/>
              <w:divBdr>
                <w:top w:val="none" w:sz="0" w:space="0" w:color="auto"/>
                <w:left w:val="none" w:sz="0" w:space="0" w:color="auto"/>
                <w:bottom w:val="none" w:sz="0" w:space="0" w:color="auto"/>
                <w:right w:val="none" w:sz="0" w:space="0" w:color="auto"/>
              </w:divBdr>
              <w:divsChild>
                <w:div w:id="205373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37387">
      <w:bodyDiv w:val="1"/>
      <w:marLeft w:val="0"/>
      <w:marRight w:val="0"/>
      <w:marTop w:val="0"/>
      <w:marBottom w:val="0"/>
      <w:divBdr>
        <w:top w:val="none" w:sz="0" w:space="0" w:color="auto"/>
        <w:left w:val="none" w:sz="0" w:space="0" w:color="auto"/>
        <w:bottom w:val="none" w:sz="0" w:space="0" w:color="auto"/>
        <w:right w:val="none" w:sz="0" w:space="0" w:color="auto"/>
      </w:divBdr>
    </w:div>
    <w:div w:id="246304778">
      <w:bodyDiv w:val="1"/>
      <w:marLeft w:val="0"/>
      <w:marRight w:val="0"/>
      <w:marTop w:val="0"/>
      <w:marBottom w:val="0"/>
      <w:divBdr>
        <w:top w:val="none" w:sz="0" w:space="0" w:color="auto"/>
        <w:left w:val="none" w:sz="0" w:space="0" w:color="auto"/>
        <w:bottom w:val="none" w:sz="0" w:space="0" w:color="auto"/>
        <w:right w:val="none" w:sz="0" w:space="0" w:color="auto"/>
      </w:divBdr>
    </w:div>
    <w:div w:id="259609312">
      <w:bodyDiv w:val="1"/>
      <w:marLeft w:val="0"/>
      <w:marRight w:val="0"/>
      <w:marTop w:val="0"/>
      <w:marBottom w:val="0"/>
      <w:divBdr>
        <w:top w:val="none" w:sz="0" w:space="0" w:color="auto"/>
        <w:left w:val="none" w:sz="0" w:space="0" w:color="auto"/>
        <w:bottom w:val="none" w:sz="0" w:space="0" w:color="auto"/>
        <w:right w:val="none" w:sz="0" w:space="0" w:color="auto"/>
      </w:divBdr>
    </w:div>
    <w:div w:id="266353041">
      <w:bodyDiv w:val="1"/>
      <w:marLeft w:val="0"/>
      <w:marRight w:val="0"/>
      <w:marTop w:val="0"/>
      <w:marBottom w:val="0"/>
      <w:divBdr>
        <w:top w:val="none" w:sz="0" w:space="0" w:color="auto"/>
        <w:left w:val="none" w:sz="0" w:space="0" w:color="auto"/>
        <w:bottom w:val="none" w:sz="0" w:space="0" w:color="auto"/>
        <w:right w:val="none" w:sz="0" w:space="0" w:color="auto"/>
      </w:divBdr>
    </w:div>
    <w:div w:id="283654334">
      <w:bodyDiv w:val="1"/>
      <w:marLeft w:val="0"/>
      <w:marRight w:val="0"/>
      <w:marTop w:val="0"/>
      <w:marBottom w:val="0"/>
      <w:divBdr>
        <w:top w:val="none" w:sz="0" w:space="0" w:color="auto"/>
        <w:left w:val="none" w:sz="0" w:space="0" w:color="auto"/>
        <w:bottom w:val="none" w:sz="0" w:space="0" w:color="auto"/>
        <w:right w:val="none" w:sz="0" w:space="0" w:color="auto"/>
      </w:divBdr>
      <w:divsChild>
        <w:div w:id="51975816">
          <w:marLeft w:val="0"/>
          <w:marRight w:val="0"/>
          <w:marTop w:val="0"/>
          <w:marBottom w:val="0"/>
          <w:divBdr>
            <w:top w:val="none" w:sz="0" w:space="0" w:color="auto"/>
            <w:left w:val="none" w:sz="0" w:space="0" w:color="auto"/>
            <w:bottom w:val="none" w:sz="0" w:space="0" w:color="auto"/>
            <w:right w:val="none" w:sz="0" w:space="0" w:color="auto"/>
          </w:divBdr>
        </w:div>
        <w:div w:id="67114823">
          <w:marLeft w:val="0"/>
          <w:marRight w:val="0"/>
          <w:marTop w:val="0"/>
          <w:marBottom w:val="0"/>
          <w:divBdr>
            <w:top w:val="none" w:sz="0" w:space="0" w:color="auto"/>
            <w:left w:val="none" w:sz="0" w:space="0" w:color="auto"/>
            <w:bottom w:val="none" w:sz="0" w:space="0" w:color="auto"/>
            <w:right w:val="none" w:sz="0" w:space="0" w:color="auto"/>
          </w:divBdr>
        </w:div>
        <w:div w:id="108016406">
          <w:marLeft w:val="0"/>
          <w:marRight w:val="0"/>
          <w:marTop w:val="0"/>
          <w:marBottom w:val="0"/>
          <w:divBdr>
            <w:top w:val="none" w:sz="0" w:space="0" w:color="auto"/>
            <w:left w:val="none" w:sz="0" w:space="0" w:color="auto"/>
            <w:bottom w:val="none" w:sz="0" w:space="0" w:color="auto"/>
            <w:right w:val="none" w:sz="0" w:space="0" w:color="auto"/>
          </w:divBdr>
        </w:div>
        <w:div w:id="117722731">
          <w:marLeft w:val="0"/>
          <w:marRight w:val="0"/>
          <w:marTop w:val="0"/>
          <w:marBottom w:val="0"/>
          <w:divBdr>
            <w:top w:val="none" w:sz="0" w:space="0" w:color="auto"/>
            <w:left w:val="none" w:sz="0" w:space="0" w:color="auto"/>
            <w:bottom w:val="none" w:sz="0" w:space="0" w:color="auto"/>
            <w:right w:val="none" w:sz="0" w:space="0" w:color="auto"/>
          </w:divBdr>
        </w:div>
        <w:div w:id="510990105">
          <w:marLeft w:val="0"/>
          <w:marRight w:val="0"/>
          <w:marTop w:val="0"/>
          <w:marBottom w:val="0"/>
          <w:divBdr>
            <w:top w:val="none" w:sz="0" w:space="0" w:color="auto"/>
            <w:left w:val="none" w:sz="0" w:space="0" w:color="auto"/>
            <w:bottom w:val="none" w:sz="0" w:space="0" w:color="auto"/>
            <w:right w:val="none" w:sz="0" w:space="0" w:color="auto"/>
          </w:divBdr>
        </w:div>
        <w:div w:id="574634751">
          <w:marLeft w:val="0"/>
          <w:marRight w:val="0"/>
          <w:marTop w:val="0"/>
          <w:marBottom w:val="0"/>
          <w:divBdr>
            <w:top w:val="none" w:sz="0" w:space="0" w:color="auto"/>
            <w:left w:val="none" w:sz="0" w:space="0" w:color="auto"/>
            <w:bottom w:val="none" w:sz="0" w:space="0" w:color="auto"/>
            <w:right w:val="none" w:sz="0" w:space="0" w:color="auto"/>
          </w:divBdr>
        </w:div>
        <w:div w:id="678579432">
          <w:marLeft w:val="0"/>
          <w:marRight w:val="0"/>
          <w:marTop w:val="0"/>
          <w:marBottom w:val="0"/>
          <w:divBdr>
            <w:top w:val="none" w:sz="0" w:space="0" w:color="auto"/>
            <w:left w:val="none" w:sz="0" w:space="0" w:color="auto"/>
            <w:bottom w:val="none" w:sz="0" w:space="0" w:color="auto"/>
            <w:right w:val="none" w:sz="0" w:space="0" w:color="auto"/>
          </w:divBdr>
        </w:div>
        <w:div w:id="1432241504">
          <w:marLeft w:val="0"/>
          <w:marRight w:val="0"/>
          <w:marTop w:val="0"/>
          <w:marBottom w:val="0"/>
          <w:divBdr>
            <w:top w:val="none" w:sz="0" w:space="0" w:color="auto"/>
            <w:left w:val="none" w:sz="0" w:space="0" w:color="auto"/>
            <w:bottom w:val="none" w:sz="0" w:space="0" w:color="auto"/>
            <w:right w:val="none" w:sz="0" w:space="0" w:color="auto"/>
          </w:divBdr>
        </w:div>
        <w:div w:id="1520701969">
          <w:marLeft w:val="0"/>
          <w:marRight w:val="0"/>
          <w:marTop w:val="0"/>
          <w:marBottom w:val="0"/>
          <w:divBdr>
            <w:top w:val="none" w:sz="0" w:space="0" w:color="auto"/>
            <w:left w:val="none" w:sz="0" w:space="0" w:color="auto"/>
            <w:bottom w:val="none" w:sz="0" w:space="0" w:color="auto"/>
            <w:right w:val="none" w:sz="0" w:space="0" w:color="auto"/>
          </w:divBdr>
        </w:div>
        <w:div w:id="1615094987">
          <w:marLeft w:val="0"/>
          <w:marRight w:val="0"/>
          <w:marTop w:val="0"/>
          <w:marBottom w:val="0"/>
          <w:divBdr>
            <w:top w:val="none" w:sz="0" w:space="0" w:color="auto"/>
            <w:left w:val="none" w:sz="0" w:space="0" w:color="auto"/>
            <w:bottom w:val="none" w:sz="0" w:space="0" w:color="auto"/>
            <w:right w:val="none" w:sz="0" w:space="0" w:color="auto"/>
          </w:divBdr>
        </w:div>
        <w:div w:id="1803233077">
          <w:marLeft w:val="0"/>
          <w:marRight w:val="0"/>
          <w:marTop w:val="0"/>
          <w:marBottom w:val="0"/>
          <w:divBdr>
            <w:top w:val="none" w:sz="0" w:space="0" w:color="auto"/>
            <w:left w:val="none" w:sz="0" w:space="0" w:color="auto"/>
            <w:bottom w:val="none" w:sz="0" w:space="0" w:color="auto"/>
            <w:right w:val="none" w:sz="0" w:space="0" w:color="auto"/>
          </w:divBdr>
        </w:div>
        <w:div w:id="2114204525">
          <w:marLeft w:val="0"/>
          <w:marRight w:val="0"/>
          <w:marTop w:val="0"/>
          <w:marBottom w:val="0"/>
          <w:divBdr>
            <w:top w:val="none" w:sz="0" w:space="0" w:color="auto"/>
            <w:left w:val="none" w:sz="0" w:space="0" w:color="auto"/>
            <w:bottom w:val="none" w:sz="0" w:space="0" w:color="auto"/>
            <w:right w:val="none" w:sz="0" w:space="0" w:color="auto"/>
          </w:divBdr>
        </w:div>
      </w:divsChild>
    </w:div>
    <w:div w:id="293950834">
      <w:bodyDiv w:val="1"/>
      <w:marLeft w:val="0"/>
      <w:marRight w:val="0"/>
      <w:marTop w:val="0"/>
      <w:marBottom w:val="0"/>
      <w:divBdr>
        <w:top w:val="none" w:sz="0" w:space="0" w:color="auto"/>
        <w:left w:val="none" w:sz="0" w:space="0" w:color="auto"/>
        <w:bottom w:val="none" w:sz="0" w:space="0" w:color="auto"/>
        <w:right w:val="none" w:sz="0" w:space="0" w:color="auto"/>
      </w:divBdr>
    </w:div>
    <w:div w:id="325018002">
      <w:bodyDiv w:val="1"/>
      <w:marLeft w:val="0"/>
      <w:marRight w:val="0"/>
      <w:marTop w:val="0"/>
      <w:marBottom w:val="0"/>
      <w:divBdr>
        <w:top w:val="none" w:sz="0" w:space="0" w:color="auto"/>
        <w:left w:val="none" w:sz="0" w:space="0" w:color="auto"/>
        <w:bottom w:val="none" w:sz="0" w:space="0" w:color="auto"/>
        <w:right w:val="none" w:sz="0" w:space="0" w:color="auto"/>
      </w:divBdr>
    </w:div>
    <w:div w:id="348603319">
      <w:bodyDiv w:val="1"/>
      <w:marLeft w:val="0"/>
      <w:marRight w:val="0"/>
      <w:marTop w:val="0"/>
      <w:marBottom w:val="0"/>
      <w:divBdr>
        <w:top w:val="none" w:sz="0" w:space="0" w:color="auto"/>
        <w:left w:val="none" w:sz="0" w:space="0" w:color="auto"/>
        <w:bottom w:val="none" w:sz="0" w:space="0" w:color="auto"/>
        <w:right w:val="none" w:sz="0" w:space="0" w:color="auto"/>
      </w:divBdr>
    </w:div>
    <w:div w:id="352875904">
      <w:bodyDiv w:val="1"/>
      <w:marLeft w:val="0"/>
      <w:marRight w:val="0"/>
      <w:marTop w:val="0"/>
      <w:marBottom w:val="0"/>
      <w:divBdr>
        <w:top w:val="none" w:sz="0" w:space="0" w:color="auto"/>
        <w:left w:val="none" w:sz="0" w:space="0" w:color="auto"/>
        <w:bottom w:val="none" w:sz="0" w:space="0" w:color="auto"/>
        <w:right w:val="none" w:sz="0" w:space="0" w:color="auto"/>
      </w:divBdr>
    </w:div>
    <w:div w:id="360739515">
      <w:bodyDiv w:val="1"/>
      <w:marLeft w:val="0"/>
      <w:marRight w:val="0"/>
      <w:marTop w:val="0"/>
      <w:marBottom w:val="0"/>
      <w:divBdr>
        <w:top w:val="none" w:sz="0" w:space="0" w:color="auto"/>
        <w:left w:val="none" w:sz="0" w:space="0" w:color="auto"/>
        <w:bottom w:val="none" w:sz="0" w:space="0" w:color="auto"/>
        <w:right w:val="none" w:sz="0" w:space="0" w:color="auto"/>
      </w:divBdr>
      <w:divsChild>
        <w:div w:id="1894150149">
          <w:marLeft w:val="0"/>
          <w:marRight w:val="0"/>
          <w:marTop w:val="0"/>
          <w:marBottom w:val="0"/>
          <w:divBdr>
            <w:top w:val="none" w:sz="0" w:space="0" w:color="auto"/>
            <w:left w:val="none" w:sz="0" w:space="0" w:color="auto"/>
            <w:bottom w:val="none" w:sz="0" w:space="0" w:color="auto"/>
            <w:right w:val="none" w:sz="0" w:space="0" w:color="auto"/>
          </w:divBdr>
          <w:divsChild>
            <w:div w:id="701436652">
              <w:marLeft w:val="0"/>
              <w:marRight w:val="0"/>
              <w:marTop w:val="0"/>
              <w:marBottom w:val="0"/>
              <w:divBdr>
                <w:top w:val="none" w:sz="0" w:space="0" w:color="auto"/>
                <w:left w:val="none" w:sz="0" w:space="0" w:color="auto"/>
                <w:bottom w:val="none" w:sz="0" w:space="0" w:color="auto"/>
                <w:right w:val="none" w:sz="0" w:space="0" w:color="auto"/>
              </w:divBdr>
              <w:divsChild>
                <w:div w:id="7675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079408">
      <w:bodyDiv w:val="1"/>
      <w:marLeft w:val="0"/>
      <w:marRight w:val="0"/>
      <w:marTop w:val="0"/>
      <w:marBottom w:val="0"/>
      <w:divBdr>
        <w:top w:val="none" w:sz="0" w:space="0" w:color="auto"/>
        <w:left w:val="none" w:sz="0" w:space="0" w:color="auto"/>
        <w:bottom w:val="none" w:sz="0" w:space="0" w:color="auto"/>
        <w:right w:val="none" w:sz="0" w:space="0" w:color="auto"/>
      </w:divBdr>
      <w:divsChild>
        <w:div w:id="1084575406">
          <w:marLeft w:val="0"/>
          <w:marRight w:val="0"/>
          <w:marTop w:val="0"/>
          <w:marBottom w:val="0"/>
          <w:divBdr>
            <w:top w:val="none" w:sz="0" w:space="0" w:color="auto"/>
            <w:left w:val="none" w:sz="0" w:space="0" w:color="auto"/>
            <w:bottom w:val="none" w:sz="0" w:space="0" w:color="auto"/>
            <w:right w:val="none" w:sz="0" w:space="0" w:color="auto"/>
          </w:divBdr>
          <w:divsChild>
            <w:div w:id="147719977">
              <w:marLeft w:val="0"/>
              <w:marRight w:val="0"/>
              <w:marTop w:val="0"/>
              <w:marBottom w:val="0"/>
              <w:divBdr>
                <w:top w:val="none" w:sz="0" w:space="0" w:color="auto"/>
                <w:left w:val="none" w:sz="0" w:space="0" w:color="auto"/>
                <w:bottom w:val="none" w:sz="0" w:space="0" w:color="auto"/>
                <w:right w:val="none" w:sz="0" w:space="0" w:color="auto"/>
              </w:divBdr>
              <w:divsChild>
                <w:div w:id="1255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42509">
      <w:bodyDiv w:val="1"/>
      <w:marLeft w:val="0"/>
      <w:marRight w:val="0"/>
      <w:marTop w:val="0"/>
      <w:marBottom w:val="0"/>
      <w:divBdr>
        <w:top w:val="none" w:sz="0" w:space="0" w:color="auto"/>
        <w:left w:val="none" w:sz="0" w:space="0" w:color="auto"/>
        <w:bottom w:val="none" w:sz="0" w:space="0" w:color="auto"/>
        <w:right w:val="none" w:sz="0" w:space="0" w:color="auto"/>
      </w:divBdr>
    </w:div>
    <w:div w:id="402797139">
      <w:bodyDiv w:val="1"/>
      <w:marLeft w:val="0"/>
      <w:marRight w:val="0"/>
      <w:marTop w:val="0"/>
      <w:marBottom w:val="0"/>
      <w:divBdr>
        <w:top w:val="none" w:sz="0" w:space="0" w:color="auto"/>
        <w:left w:val="none" w:sz="0" w:space="0" w:color="auto"/>
        <w:bottom w:val="none" w:sz="0" w:space="0" w:color="auto"/>
        <w:right w:val="none" w:sz="0" w:space="0" w:color="auto"/>
      </w:divBdr>
    </w:div>
    <w:div w:id="415708441">
      <w:bodyDiv w:val="1"/>
      <w:marLeft w:val="0"/>
      <w:marRight w:val="0"/>
      <w:marTop w:val="0"/>
      <w:marBottom w:val="0"/>
      <w:divBdr>
        <w:top w:val="none" w:sz="0" w:space="0" w:color="auto"/>
        <w:left w:val="none" w:sz="0" w:space="0" w:color="auto"/>
        <w:bottom w:val="none" w:sz="0" w:space="0" w:color="auto"/>
        <w:right w:val="none" w:sz="0" w:space="0" w:color="auto"/>
      </w:divBdr>
    </w:div>
    <w:div w:id="437454710">
      <w:bodyDiv w:val="1"/>
      <w:marLeft w:val="0"/>
      <w:marRight w:val="0"/>
      <w:marTop w:val="0"/>
      <w:marBottom w:val="0"/>
      <w:divBdr>
        <w:top w:val="none" w:sz="0" w:space="0" w:color="auto"/>
        <w:left w:val="none" w:sz="0" w:space="0" w:color="auto"/>
        <w:bottom w:val="none" w:sz="0" w:space="0" w:color="auto"/>
        <w:right w:val="none" w:sz="0" w:space="0" w:color="auto"/>
      </w:divBdr>
    </w:div>
    <w:div w:id="439838552">
      <w:bodyDiv w:val="1"/>
      <w:marLeft w:val="0"/>
      <w:marRight w:val="0"/>
      <w:marTop w:val="0"/>
      <w:marBottom w:val="0"/>
      <w:divBdr>
        <w:top w:val="none" w:sz="0" w:space="0" w:color="auto"/>
        <w:left w:val="none" w:sz="0" w:space="0" w:color="auto"/>
        <w:bottom w:val="none" w:sz="0" w:space="0" w:color="auto"/>
        <w:right w:val="none" w:sz="0" w:space="0" w:color="auto"/>
      </w:divBdr>
    </w:div>
    <w:div w:id="446121065">
      <w:bodyDiv w:val="1"/>
      <w:marLeft w:val="0"/>
      <w:marRight w:val="0"/>
      <w:marTop w:val="0"/>
      <w:marBottom w:val="0"/>
      <w:divBdr>
        <w:top w:val="none" w:sz="0" w:space="0" w:color="auto"/>
        <w:left w:val="none" w:sz="0" w:space="0" w:color="auto"/>
        <w:bottom w:val="none" w:sz="0" w:space="0" w:color="auto"/>
        <w:right w:val="none" w:sz="0" w:space="0" w:color="auto"/>
      </w:divBdr>
    </w:div>
    <w:div w:id="487215080">
      <w:bodyDiv w:val="1"/>
      <w:marLeft w:val="0"/>
      <w:marRight w:val="0"/>
      <w:marTop w:val="0"/>
      <w:marBottom w:val="0"/>
      <w:divBdr>
        <w:top w:val="none" w:sz="0" w:space="0" w:color="auto"/>
        <w:left w:val="none" w:sz="0" w:space="0" w:color="auto"/>
        <w:bottom w:val="none" w:sz="0" w:space="0" w:color="auto"/>
        <w:right w:val="none" w:sz="0" w:space="0" w:color="auto"/>
      </w:divBdr>
    </w:div>
    <w:div w:id="509878505">
      <w:bodyDiv w:val="1"/>
      <w:marLeft w:val="0"/>
      <w:marRight w:val="0"/>
      <w:marTop w:val="0"/>
      <w:marBottom w:val="0"/>
      <w:divBdr>
        <w:top w:val="none" w:sz="0" w:space="0" w:color="auto"/>
        <w:left w:val="none" w:sz="0" w:space="0" w:color="auto"/>
        <w:bottom w:val="none" w:sz="0" w:space="0" w:color="auto"/>
        <w:right w:val="none" w:sz="0" w:space="0" w:color="auto"/>
      </w:divBdr>
    </w:div>
    <w:div w:id="519390979">
      <w:bodyDiv w:val="1"/>
      <w:marLeft w:val="0"/>
      <w:marRight w:val="0"/>
      <w:marTop w:val="0"/>
      <w:marBottom w:val="0"/>
      <w:divBdr>
        <w:top w:val="none" w:sz="0" w:space="0" w:color="auto"/>
        <w:left w:val="none" w:sz="0" w:space="0" w:color="auto"/>
        <w:bottom w:val="none" w:sz="0" w:space="0" w:color="auto"/>
        <w:right w:val="none" w:sz="0" w:space="0" w:color="auto"/>
      </w:divBdr>
      <w:divsChild>
        <w:div w:id="970283630">
          <w:marLeft w:val="0"/>
          <w:marRight w:val="0"/>
          <w:marTop w:val="0"/>
          <w:marBottom w:val="0"/>
          <w:divBdr>
            <w:top w:val="none" w:sz="0" w:space="0" w:color="auto"/>
            <w:left w:val="none" w:sz="0" w:space="0" w:color="auto"/>
            <w:bottom w:val="none" w:sz="0" w:space="0" w:color="auto"/>
            <w:right w:val="none" w:sz="0" w:space="0" w:color="auto"/>
          </w:divBdr>
        </w:div>
        <w:div w:id="1648782119">
          <w:marLeft w:val="0"/>
          <w:marRight w:val="0"/>
          <w:marTop w:val="0"/>
          <w:marBottom w:val="0"/>
          <w:divBdr>
            <w:top w:val="none" w:sz="0" w:space="0" w:color="auto"/>
            <w:left w:val="none" w:sz="0" w:space="0" w:color="auto"/>
            <w:bottom w:val="none" w:sz="0" w:space="0" w:color="auto"/>
            <w:right w:val="none" w:sz="0" w:space="0" w:color="auto"/>
          </w:divBdr>
        </w:div>
        <w:div w:id="1492940285">
          <w:marLeft w:val="0"/>
          <w:marRight w:val="0"/>
          <w:marTop w:val="0"/>
          <w:marBottom w:val="0"/>
          <w:divBdr>
            <w:top w:val="none" w:sz="0" w:space="0" w:color="auto"/>
            <w:left w:val="none" w:sz="0" w:space="0" w:color="auto"/>
            <w:bottom w:val="none" w:sz="0" w:space="0" w:color="auto"/>
            <w:right w:val="none" w:sz="0" w:space="0" w:color="auto"/>
          </w:divBdr>
        </w:div>
      </w:divsChild>
    </w:div>
    <w:div w:id="525339131">
      <w:bodyDiv w:val="1"/>
      <w:marLeft w:val="0"/>
      <w:marRight w:val="0"/>
      <w:marTop w:val="0"/>
      <w:marBottom w:val="0"/>
      <w:divBdr>
        <w:top w:val="none" w:sz="0" w:space="0" w:color="auto"/>
        <w:left w:val="none" w:sz="0" w:space="0" w:color="auto"/>
        <w:bottom w:val="none" w:sz="0" w:space="0" w:color="auto"/>
        <w:right w:val="none" w:sz="0" w:space="0" w:color="auto"/>
      </w:divBdr>
    </w:div>
    <w:div w:id="533924935">
      <w:bodyDiv w:val="1"/>
      <w:marLeft w:val="0"/>
      <w:marRight w:val="0"/>
      <w:marTop w:val="0"/>
      <w:marBottom w:val="0"/>
      <w:divBdr>
        <w:top w:val="none" w:sz="0" w:space="0" w:color="auto"/>
        <w:left w:val="none" w:sz="0" w:space="0" w:color="auto"/>
        <w:bottom w:val="none" w:sz="0" w:space="0" w:color="auto"/>
        <w:right w:val="none" w:sz="0" w:space="0" w:color="auto"/>
      </w:divBdr>
      <w:divsChild>
        <w:div w:id="150485145">
          <w:marLeft w:val="0"/>
          <w:marRight w:val="0"/>
          <w:marTop w:val="0"/>
          <w:marBottom w:val="0"/>
          <w:divBdr>
            <w:top w:val="none" w:sz="0" w:space="0" w:color="auto"/>
            <w:left w:val="none" w:sz="0" w:space="0" w:color="auto"/>
            <w:bottom w:val="none" w:sz="0" w:space="0" w:color="auto"/>
            <w:right w:val="none" w:sz="0" w:space="0" w:color="auto"/>
          </w:divBdr>
        </w:div>
        <w:div w:id="190922630">
          <w:marLeft w:val="0"/>
          <w:marRight w:val="0"/>
          <w:marTop w:val="0"/>
          <w:marBottom w:val="0"/>
          <w:divBdr>
            <w:top w:val="none" w:sz="0" w:space="0" w:color="auto"/>
            <w:left w:val="none" w:sz="0" w:space="0" w:color="auto"/>
            <w:bottom w:val="none" w:sz="0" w:space="0" w:color="auto"/>
            <w:right w:val="none" w:sz="0" w:space="0" w:color="auto"/>
          </w:divBdr>
        </w:div>
        <w:div w:id="335958267">
          <w:marLeft w:val="0"/>
          <w:marRight w:val="0"/>
          <w:marTop w:val="0"/>
          <w:marBottom w:val="0"/>
          <w:divBdr>
            <w:top w:val="none" w:sz="0" w:space="0" w:color="auto"/>
            <w:left w:val="none" w:sz="0" w:space="0" w:color="auto"/>
            <w:bottom w:val="none" w:sz="0" w:space="0" w:color="auto"/>
            <w:right w:val="none" w:sz="0" w:space="0" w:color="auto"/>
          </w:divBdr>
        </w:div>
        <w:div w:id="400908362">
          <w:marLeft w:val="0"/>
          <w:marRight w:val="0"/>
          <w:marTop w:val="0"/>
          <w:marBottom w:val="0"/>
          <w:divBdr>
            <w:top w:val="none" w:sz="0" w:space="0" w:color="auto"/>
            <w:left w:val="none" w:sz="0" w:space="0" w:color="auto"/>
            <w:bottom w:val="none" w:sz="0" w:space="0" w:color="auto"/>
            <w:right w:val="none" w:sz="0" w:space="0" w:color="auto"/>
          </w:divBdr>
        </w:div>
        <w:div w:id="452750660">
          <w:marLeft w:val="0"/>
          <w:marRight w:val="0"/>
          <w:marTop w:val="0"/>
          <w:marBottom w:val="0"/>
          <w:divBdr>
            <w:top w:val="none" w:sz="0" w:space="0" w:color="auto"/>
            <w:left w:val="none" w:sz="0" w:space="0" w:color="auto"/>
            <w:bottom w:val="none" w:sz="0" w:space="0" w:color="auto"/>
            <w:right w:val="none" w:sz="0" w:space="0" w:color="auto"/>
          </w:divBdr>
        </w:div>
        <w:div w:id="517621130">
          <w:marLeft w:val="0"/>
          <w:marRight w:val="0"/>
          <w:marTop w:val="0"/>
          <w:marBottom w:val="0"/>
          <w:divBdr>
            <w:top w:val="none" w:sz="0" w:space="0" w:color="auto"/>
            <w:left w:val="none" w:sz="0" w:space="0" w:color="auto"/>
            <w:bottom w:val="none" w:sz="0" w:space="0" w:color="auto"/>
            <w:right w:val="none" w:sz="0" w:space="0" w:color="auto"/>
          </w:divBdr>
        </w:div>
        <w:div w:id="528953803">
          <w:marLeft w:val="0"/>
          <w:marRight w:val="0"/>
          <w:marTop w:val="0"/>
          <w:marBottom w:val="0"/>
          <w:divBdr>
            <w:top w:val="none" w:sz="0" w:space="0" w:color="auto"/>
            <w:left w:val="none" w:sz="0" w:space="0" w:color="auto"/>
            <w:bottom w:val="none" w:sz="0" w:space="0" w:color="auto"/>
            <w:right w:val="none" w:sz="0" w:space="0" w:color="auto"/>
          </w:divBdr>
        </w:div>
        <w:div w:id="1027372094">
          <w:marLeft w:val="0"/>
          <w:marRight w:val="0"/>
          <w:marTop w:val="0"/>
          <w:marBottom w:val="0"/>
          <w:divBdr>
            <w:top w:val="none" w:sz="0" w:space="0" w:color="auto"/>
            <w:left w:val="none" w:sz="0" w:space="0" w:color="auto"/>
            <w:bottom w:val="none" w:sz="0" w:space="0" w:color="auto"/>
            <w:right w:val="none" w:sz="0" w:space="0" w:color="auto"/>
          </w:divBdr>
        </w:div>
        <w:div w:id="1038047838">
          <w:marLeft w:val="0"/>
          <w:marRight w:val="0"/>
          <w:marTop w:val="0"/>
          <w:marBottom w:val="0"/>
          <w:divBdr>
            <w:top w:val="none" w:sz="0" w:space="0" w:color="auto"/>
            <w:left w:val="none" w:sz="0" w:space="0" w:color="auto"/>
            <w:bottom w:val="none" w:sz="0" w:space="0" w:color="auto"/>
            <w:right w:val="none" w:sz="0" w:space="0" w:color="auto"/>
          </w:divBdr>
        </w:div>
        <w:div w:id="1095590228">
          <w:marLeft w:val="0"/>
          <w:marRight w:val="0"/>
          <w:marTop w:val="0"/>
          <w:marBottom w:val="0"/>
          <w:divBdr>
            <w:top w:val="none" w:sz="0" w:space="0" w:color="auto"/>
            <w:left w:val="none" w:sz="0" w:space="0" w:color="auto"/>
            <w:bottom w:val="none" w:sz="0" w:space="0" w:color="auto"/>
            <w:right w:val="none" w:sz="0" w:space="0" w:color="auto"/>
          </w:divBdr>
        </w:div>
        <w:div w:id="1104769980">
          <w:marLeft w:val="0"/>
          <w:marRight w:val="0"/>
          <w:marTop w:val="0"/>
          <w:marBottom w:val="0"/>
          <w:divBdr>
            <w:top w:val="none" w:sz="0" w:space="0" w:color="auto"/>
            <w:left w:val="none" w:sz="0" w:space="0" w:color="auto"/>
            <w:bottom w:val="none" w:sz="0" w:space="0" w:color="auto"/>
            <w:right w:val="none" w:sz="0" w:space="0" w:color="auto"/>
          </w:divBdr>
        </w:div>
        <w:div w:id="1106776794">
          <w:marLeft w:val="0"/>
          <w:marRight w:val="0"/>
          <w:marTop w:val="0"/>
          <w:marBottom w:val="0"/>
          <w:divBdr>
            <w:top w:val="none" w:sz="0" w:space="0" w:color="auto"/>
            <w:left w:val="none" w:sz="0" w:space="0" w:color="auto"/>
            <w:bottom w:val="none" w:sz="0" w:space="0" w:color="auto"/>
            <w:right w:val="none" w:sz="0" w:space="0" w:color="auto"/>
          </w:divBdr>
        </w:div>
        <w:div w:id="1216431136">
          <w:marLeft w:val="0"/>
          <w:marRight w:val="0"/>
          <w:marTop w:val="0"/>
          <w:marBottom w:val="0"/>
          <w:divBdr>
            <w:top w:val="none" w:sz="0" w:space="0" w:color="auto"/>
            <w:left w:val="none" w:sz="0" w:space="0" w:color="auto"/>
            <w:bottom w:val="none" w:sz="0" w:space="0" w:color="auto"/>
            <w:right w:val="none" w:sz="0" w:space="0" w:color="auto"/>
          </w:divBdr>
        </w:div>
        <w:div w:id="1345784003">
          <w:marLeft w:val="0"/>
          <w:marRight w:val="0"/>
          <w:marTop w:val="0"/>
          <w:marBottom w:val="0"/>
          <w:divBdr>
            <w:top w:val="none" w:sz="0" w:space="0" w:color="auto"/>
            <w:left w:val="none" w:sz="0" w:space="0" w:color="auto"/>
            <w:bottom w:val="none" w:sz="0" w:space="0" w:color="auto"/>
            <w:right w:val="none" w:sz="0" w:space="0" w:color="auto"/>
          </w:divBdr>
        </w:div>
        <w:div w:id="1441145521">
          <w:marLeft w:val="0"/>
          <w:marRight w:val="0"/>
          <w:marTop w:val="0"/>
          <w:marBottom w:val="0"/>
          <w:divBdr>
            <w:top w:val="none" w:sz="0" w:space="0" w:color="auto"/>
            <w:left w:val="none" w:sz="0" w:space="0" w:color="auto"/>
            <w:bottom w:val="none" w:sz="0" w:space="0" w:color="auto"/>
            <w:right w:val="none" w:sz="0" w:space="0" w:color="auto"/>
          </w:divBdr>
        </w:div>
        <w:div w:id="1491020454">
          <w:marLeft w:val="0"/>
          <w:marRight w:val="0"/>
          <w:marTop w:val="0"/>
          <w:marBottom w:val="0"/>
          <w:divBdr>
            <w:top w:val="none" w:sz="0" w:space="0" w:color="auto"/>
            <w:left w:val="none" w:sz="0" w:space="0" w:color="auto"/>
            <w:bottom w:val="none" w:sz="0" w:space="0" w:color="auto"/>
            <w:right w:val="none" w:sz="0" w:space="0" w:color="auto"/>
          </w:divBdr>
        </w:div>
        <w:div w:id="1498614660">
          <w:marLeft w:val="0"/>
          <w:marRight w:val="0"/>
          <w:marTop w:val="0"/>
          <w:marBottom w:val="0"/>
          <w:divBdr>
            <w:top w:val="none" w:sz="0" w:space="0" w:color="auto"/>
            <w:left w:val="none" w:sz="0" w:space="0" w:color="auto"/>
            <w:bottom w:val="none" w:sz="0" w:space="0" w:color="auto"/>
            <w:right w:val="none" w:sz="0" w:space="0" w:color="auto"/>
          </w:divBdr>
        </w:div>
        <w:div w:id="1597327276">
          <w:marLeft w:val="0"/>
          <w:marRight w:val="0"/>
          <w:marTop w:val="0"/>
          <w:marBottom w:val="0"/>
          <w:divBdr>
            <w:top w:val="none" w:sz="0" w:space="0" w:color="auto"/>
            <w:left w:val="none" w:sz="0" w:space="0" w:color="auto"/>
            <w:bottom w:val="none" w:sz="0" w:space="0" w:color="auto"/>
            <w:right w:val="none" w:sz="0" w:space="0" w:color="auto"/>
          </w:divBdr>
        </w:div>
        <w:div w:id="1608926960">
          <w:marLeft w:val="0"/>
          <w:marRight w:val="0"/>
          <w:marTop w:val="0"/>
          <w:marBottom w:val="0"/>
          <w:divBdr>
            <w:top w:val="none" w:sz="0" w:space="0" w:color="auto"/>
            <w:left w:val="none" w:sz="0" w:space="0" w:color="auto"/>
            <w:bottom w:val="none" w:sz="0" w:space="0" w:color="auto"/>
            <w:right w:val="none" w:sz="0" w:space="0" w:color="auto"/>
          </w:divBdr>
        </w:div>
        <w:div w:id="1638801866">
          <w:marLeft w:val="0"/>
          <w:marRight w:val="0"/>
          <w:marTop w:val="0"/>
          <w:marBottom w:val="0"/>
          <w:divBdr>
            <w:top w:val="none" w:sz="0" w:space="0" w:color="auto"/>
            <w:left w:val="none" w:sz="0" w:space="0" w:color="auto"/>
            <w:bottom w:val="none" w:sz="0" w:space="0" w:color="auto"/>
            <w:right w:val="none" w:sz="0" w:space="0" w:color="auto"/>
          </w:divBdr>
        </w:div>
        <w:div w:id="1662001776">
          <w:marLeft w:val="0"/>
          <w:marRight w:val="0"/>
          <w:marTop w:val="0"/>
          <w:marBottom w:val="0"/>
          <w:divBdr>
            <w:top w:val="none" w:sz="0" w:space="0" w:color="auto"/>
            <w:left w:val="none" w:sz="0" w:space="0" w:color="auto"/>
            <w:bottom w:val="none" w:sz="0" w:space="0" w:color="auto"/>
            <w:right w:val="none" w:sz="0" w:space="0" w:color="auto"/>
          </w:divBdr>
        </w:div>
        <w:div w:id="1918007994">
          <w:marLeft w:val="0"/>
          <w:marRight w:val="0"/>
          <w:marTop w:val="0"/>
          <w:marBottom w:val="0"/>
          <w:divBdr>
            <w:top w:val="none" w:sz="0" w:space="0" w:color="auto"/>
            <w:left w:val="none" w:sz="0" w:space="0" w:color="auto"/>
            <w:bottom w:val="none" w:sz="0" w:space="0" w:color="auto"/>
            <w:right w:val="none" w:sz="0" w:space="0" w:color="auto"/>
          </w:divBdr>
        </w:div>
        <w:div w:id="2008047959">
          <w:marLeft w:val="0"/>
          <w:marRight w:val="0"/>
          <w:marTop w:val="0"/>
          <w:marBottom w:val="0"/>
          <w:divBdr>
            <w:top w:val="none" w:sz="0" w:space="0" w:color="auto"/>
            <w:left w:val="none" w:sz="0" w:space="0" w:color="auto"/>
            <w:bottom w:val="none" w:sz="0" w:space="0" w:color="auto"/>
            <w:right w:val="none" w:sz="0" w:space="0" w:color="auto"/>
          </w:divBdr>
        </w:div>
      </w:divsChild>
    </w:div>
    <w:div w:id="563563821">
      <w:bodyDiv w:val="1"/>
      <w:marLeft w:val="0"/>
      <w:marRight w:val="0"/>
      <w:marTop w:val="0"/>
      <w:marBottom w:val="0"/>
      <w:divBdr>
        <w:top w:val="none" w:sz="0" w:space="0" w:color="auto"/>
        <w:left w:val="none" w:sz="0" w:space="0" w:color="auto"/>
        <w:bottom w:val="none" w:sz="0" w:space="0" w:color="auto"/>
        <w:right w:val="none" w:sz="0" w:space="0" w:color="auto"/>
      </w:divBdr>
    </w:div>
    <w:div w:id="577904001">
      <w:bodyDiv w:val="1"/>
      <w:marLeft w:val="0"/>
      <w:marRight w:val="0"/>
      <w:marTop w:val="0"/>
      <w:marBottom w:val="0"/>
      <w:divBdr>
        <w:top w:val="none" w:sz="0" w:space="0" w:color="auto"/>
        <w:left w:val="none" w:sz="0" w:space="0" w:color="auto"/>
        <w:bottom w:val="none" w:sz="0" w:space="0" w:color="auto"/>
        <w:right w:val="none" w:sz="0" w:space="0" w:color="auto"/>
      </w:divBdr>
    </w:div>
    <w:div w:id="608974466">
      <w:bodyDiv w:val="1"/>
      <w:marLeft w:val="0"/>
      <w:marRight w:val="0"/>
      <w:marTop w:val="0"/>
      <w:marBottom w:val="0"/>
      <w:divBdr>
        <w:top w:val="none" w:sz="0" w:space="0" w:color="auto"/>
        <w:left w:val="none" w:sz="0" w:space="0" w:color="auto"/>
        <w:bottom w:val="none" w:sz="0" w:space="0" w:color="auto"/>
        <w:right w:val="none" w:sz="0" w:space="0" w:color="auto"/>
      </w:divBdr>
    </w:div>
    <w:div w:id="618073125">
      <w:bodyDiv w:val="1"/>
      <w:marLeft w:val="0"/>
      <w:marRight w:val="0"/>
      <w:marTop w:val="0"/>
      <w:marBottom w:val="0"/>
      <w:divBdr>
        <w:top w:val="none" w:sz="0" w:space="0" w:color="auto"/>
        <w:left w:val="none" w:sz="0" w:space="0" w:color="auto"/>
        <w:bottom w:val="none" w:sz="0" w:space="0" w:color="auto"/>
        <w:right w:val="none" w:sz="0" w:space="0" w:color="auto"/>
      </w:divBdr>
    </w:div>
    <w:div w:id="630942036">
      <w:bodyDiv w:val="1"/>
      <w:marLeft w:val="0"/>
      <w:marRight w:val="0"/>
      <w:marTop w:val="0"/>
      <w:marBottom w:val="0"/>
      <w:divBdr>
        <w:top w:val="none" w:sz="0" w:space="0" w:color="auto"/>
        <w:left w:val="none" w:sz="0" w:space="0" w:color="auto"/>
        <w:bottom w:val="none" w:sz="0" w:space="0" w:color="auto"/>
        <w:right w:val="none" w:sz="0" w:space="0" w:color="auto"/>
      </w:divBdr>
      <w:divsChild>
        <w:div w:id="1712725929">
          <w:marLeft w:val="0"/>
          <w:marRight w:val="0"/>
          <w:marTop w:val="0"/>
          <w:marBottom w:val="0"/>
          <w:divBdr>
            <w:top w:val="none" w:sz="0" w:space="0" w:color="auto"/>
            <w:left w:val="none" w:sz="0" w:space="0" w:color="auto"/>
            <w:bottom w:val="none" w:sz="0" w:space="0" w:color="auto"/>
            <w:right w:val="none" w:sz="0" w:space="0" w:color="auto"/>
          </w:divBdr>
          <w:divsChild>
            <w:div w:id="1380587424">
              <w:marLeft w:val="0"/>
              <w:marRight w:val="0"/>
              <w:marTop w:val="0"/>
              <w:marBottom w:val="0"/>
              <w:divBdr>
                <w:top w:val="none" w:sz="0" w:space="0" w:color="auto"/>
                <w:left w:val="none" w:sz="0" w:space="0" w:color="auto"/>
                <w:bottom w:val="none" w:sz="0" w:space="0" w:color="auto"/>
                <w:right w:val="none" w:sz="0" w:space="0" w:color="auto"/>
              </w:divBdr>
              <w:divsChild>
                <w:div w:id="20914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55809">
      <w:bodyDiv w:val="1"/>
      <w:marLeft w:val="0"/>
      <w:marRight w:val="0"/>
      <w:marTop w:val="0"/>
      <w:marBottom w:val="0"/>
      <w:divBdr>
        <w:top w:val="none" w:sz="0" w:space="0" w:color="auto"/>
        <w:left w:val="none" w:sz="0" w:space="0" w:color="auto"/>
        <w:bottom w:val="none" w:sz="0" w:space="0" w:color="auto"/>
        <w:right w:val="none" w:sz="0" w:space="0" w:color="auto"/>
      </w:divBdr>
    </w:div>
    <w:div w:id="660735692">
      <w:bodyDiv w:val="1"/>
      <w:marLeft w:val="0"/>
      <w:marRight w:val="0"/>
      <w:marTop w:val="0"/>
      <w:marBottom w:val="0"/>
      <w:divBdr>
        <w:top w:val="none" w:sz="0" w:space="0" w:color="auto"/>
        <w:left w:val="none" w:sz="0" w:space="0" w:color="auto"/>
        <w:bottom w:val="none" w:sz="0" w:space="0" w:color="auto"/>
        <w:right w:val="none" w:sz="0" w:space="0" w:color="auto"/>
      </w:divBdr>
    </w:div>
    <w:div w:id="753622229">
      <w:bodyDiv w:val="1"/>
      <w:marLeft w:val="0"/>
      <w:marRight w:val="0"/>
      <w:marTop w:val="0"/>
      <w:marBottom w:val="0"/>
      <w:divBdr>
        <w:top w:val="none" w:sz="0" w:space="0" w:color="auto"/>
        <w:left w:val="none" w:sz="0" w:space="0" w:color="auto"/>
        <w:bottom w:val="none" w:sz="0" w:space="0" w:color="auto"/>
        <w:right w:val="none" w:sz="0" w:space="0" w:color="auto"/>
      </w:divBdr>
      <w:divsChild>
        <w:div w:id="273899721">
          <w:marLeft w:val="0"/>
          <w:marRight w:val="0"/>
          <w:marTop w:val="0"/>
          <w:marBottom w:val="0"/>
          <w:divBdr>
            <w:top w:val="none" w:sz="0" w:space="0" w:color="auto"/>
            <w:left w:val="none" w:sz="0" w:space="0" w:color="auto"/>
            <w:bottom w:val="none" w:sz="0" w:space="0" w:color="auto"/>
            <w:right w:val="none" w:sz="0" w:space="0" w:color="auto"/>
          </w:divBdr>
        </w:div>
        <w:div w:id="765462406">
          <w:marLeft w:val="0"/>
          <w:marRight w:val="0"/>
          <w:marTop w:val="0"/>
          <w:marBottom w:val="0"/>
          <w:divBdr>
            <w:top w:val="none" w:sz="0" w:space="0" w:color="auto"/>
            <w:left w:val="none" w:sz="0" w:space="0" w:color="auto"/>
            <w:bottom w:val="none" w:sz="0" w:space="0" w:color="auto"/>
            <w:right w:val="none" w:sz="0" w:space="0" w:color="auto"/>
          </w:divBdr>
        </w:div>
        <w:div w:id="820661320">
          <w:marLeft w:val="0"/>
          <w:marRight w:val="0"/>
          <w:marTop w:val="0"/>
          <w:marBottom w:val="0"/>
          <w:divBdr>
            <w:top w:val="none" w:sz="0" w:space="0" w:color="auto"/>
            <w:left w:val="none" w:sz="0" w:space="0" w:color="auto"/>
            <w:bottom w:val="none" w:sz="0" w:space="0" w:color="auto"/>
            <w:right w:val="none" w:sz="0" w:space="0" w:color="auto"/>
          </w:divBdr>
        </w:div>
        <w:div w:id="964576580">
          <w:marLeft w:val="0"/>
          <w:marRight w:val="0"/>
          <w:marTop w:val="0"/>
          <w:marBottom w:val="0"/>
          <w:divBdr>
            <w:top w:val="none" w:sz="0" w:space="0" w:color="auto"/>
            <w:left w:val="none" w:sz="0" w:space="0" w:color="auto"/>
            <w:bottom w:val="none" w:sz="0" w:space="0" w:color="auto"/>
            <w:right w:val="none" w:sz="0" w:space="0" w:color="auto"/>
          </w:divBdr>
        </w:div>
        <w:div w:id="1025130443">
          <w:marLeft w:val="0"/>
          <w:marRight w:val="0"/>
          <w:marTop w:val="0"/>
          <w:marBottom w:val="0"/>
          <w:divBdr>
            <w:top w:val="none" w:sz="0" w:space="0" w:color="auto"/>
            <w:left w:val="none" w:sz="0" w:space="0" w:color="auto"/>
            <w:bottom w:val="none" w:sz="0" w:space="0" w:color="auto"/>
            <w:right w:val="none" w:sz="0" w:space="0" w:color="auto"/>
          </w:divBdr>
        </w:div>
        <w:div w:id="1175607182">
          <w:marLeft w:val="0"/>
          <w:marRight w:val="0"/>
          <w:marTop w:val="0"/>
          <w:marBottom w:val="0"/>
          <w:divBdr>
            <w:top w:val="none" w:sz="0" w:space="0" w:color="auto"/>
            <w:left w:val="none" w:sz="0" w:space="0" w:color="auto"/>
            <w:bottom w:val="none" w:sz="0" w:space="0" w:color="auto"/>
            <w:right w:val="none" w:sz="0" w:space="0" w:color="auto"/>
          </w:divBdr>
        </w:div>
        <w:div w:id="1222330932">
          <w:marLeft w:val="0"/>
          <w:marRight w:val="0"/>
          <w:marTop w:val="0"/>
          <w:marBottom w:val="0"/>
          <w:divBdr>
            <w:top w:val="none" w:sz="0" w:space="0" w:color="auto"/>
            <w:left w:val="none" w:sz="0" w:space="0" w:color="auto"/>
            <w:bottom w:val="none" w:sz="0" w:space="0" w:color="auto"/>
            <w:right w:val="none" w:sz="0" w:space="0" w:color="auto"/>
          </w:divBdr>
        </w:div>
        <w:div w:id="1338193429">
          <w:marLeft w:val="0"/>
          <w:marRight w:val="0"/>
          <w:marTop w:val="0"/>
          <w:marBottom w:val="0"/>
          <w:divBdr>
            <w:top w:val="none" w:sz="0" w:space="0" w:color="auto"/>
            <w:left w:val="none" w:sz="0" w:space="0" w:color="auto"/>
            <w:bottom w:val="none" w:sz="0" w:space="0" w:color="auto"/>
            <w:right w:val="none" w:sz="0" w:space="0" w:color="auto"/>
          </w:divBdr>
        </w:div>
        <w:div w:id="1378042600">
          <w:marLeft w:val="0"/>
          <w:marRight w:val="0"/>
          <w:marTop w:val="0"/>
          <w:marBottom w:val="0"/>
          <w:divBdr>
            <w:top w:val="none" w:sz="0" w:space="0" w:color="auto"/>
            <w:left w:val="none" w:sz="0" w:space="0" w:color="auto"/>
            <w:bottom w:val="none" w:sz="0" w:space="0" w:color="auto"/>
            <w:right w:val="none" w:sz="0" w:space="0" w:color="auto"/>
          </w:divBdr>
        </w:div>
        <w:div w:id="1457799379">
          <w:marLeft w:val="0"/>
          <w:marRight w:val="0"/>
          <w:marTop w:val="0"/>
          <w:marBottom w:val="0"/>
          <w:divBdr>
            <w:top w:val="none" w:sz="0" w:space="0" w:color="auto"/>
            <w:left w:val="none" w:sz="0" w:space="0" w:color="auto"/>
            <w:bottom w:val="none" w:sz="0" w:space="0" w:color="auto"/>
            <w:right w:val="none" w:sz="0" w:space="0" w:color="auto"/>
          </w:divBdr>
        </w:div>
        <w:div w:id="1557936941">
          <w:marLeft w:val="0"/>
          <w:marRight w:val="0"/>
          <w:marTop w:val="0"/>
          <w:marBottom w:val="0"/>
          <w:divBdr>
            <w:top w:val="none" w:sz="0" w:space="0" w:color="auto"/>
            <w:left w:val="none" w:sz="0" w:space="0" w:color="auto"/>
            <w:bottom w:val="none" w:sz="0" w:space="0" w:color="auto"/>
            <w:right w:val="none" w:sz="0" w:space="0" w:color="auto"/>
          </w:divBdr>
        </w:div>
        <w:div w:id="1976446551">
          <w:marLeft w:val="0"/>
          <w:marRight w:val="0"/>
          <w:marTop w:val="0"/>
          <w:marBottom w:val="0"/>
          <w:divBdr>
            <w:top w:val="none" w:sz="0" w:space="0" w:color="auto"/>
            <w:left w:val="none" w:sz="0" w:space="0" w:color="auto"/>
            <w:bottom w:val="none" w:sz="0" w:space="0" w:color="auto"/>
            <w:right w:val="none" w:sz="0" w:space="0" w:color="auto"/>
          </w:divBdr>
        </w:div>
        <w:div w:id="2011253510">
          <w:marLeft w:val="0"/>
          <w:marRight w:val="0"/>
          <w:marTop w:val="0"/>
          <w:marBottom w:val="0"/>
          <w:divBdr>
            <w:top w:val="none" w:sz="0" w:space="0" w:color="auto"/>
            <w:left w:val="none" w:sz="0" w:space="0" w:color="auto"/>
            <w:bottom w:val="none" w:sz="0" w:space="0" w:color="auto"/>
            <w:right w:val="none" w:sz="0" w:space="0" w:color="auto"/>
          </w:divBdr>
        </w:div>
        <w:div w:id="2045328846">
          <w:marLeft w:val="0"/>
          <w:marRight w:val="0"/>
          <w:marTop w:val="0"/>
          <w:marBottom w:val="0"/>
          <w:divBdr>
            <w:top w:val="none" w:sz="0" w:space="0" w:color="auto"/>
            <w:left w:val="none" w:sz="0" w:space="0" w:color="auto"/>
            <w:bottom w:val="none" w:sz="0" w:space="0" w:color="auto"/>
            <w:right w:val="none" w:sz="0" w:space="0" w:color="auto"/>
          </w:divBdr>
        </w:div>
      </w:divsChild>
    </w:div>
    <w:div w:id="753940274">
      <w:bodyDiv w:val="1"/>
      <w:marLeft w:val="0"/>
      <w:marRight w:val="0"/>
      <w:marTop w:val="0"/>
      <w:marBottom w:val="0"/>
      <w:divBdr>
        <w:top w:val="none" w:sz="0" w:space="0" w:color="auto"/>
        <w:left w:val="none" w:sz="0" w:space="0" w:color="auto"/>
        <w:bottom w:val="none" w:sz="0" w:space="0" w:color="auto"/>
        <w:right w:val="none" w:sz="0" w:space="0" w:color="auto"/>
      </w:divBdr>
      <w:divsChild>
        <w:div w:id="482818363">
          <w:marLeft w:val="0"/>
          <w:marRight w:val="0"/>
          <w:marTop w:val="0"/>
          <w:marBottom w:val="0"/>
          <w:divBdr>
            <w:top w:val="none" w:sz="0" w:space="0" w:color="auto"/>
            <w:left w:val="none" w:sz="0" w:space="0" w:color="auto"/>
            <w:bottom w:val="none" w:sz="0" w:space="0" w:color="auto"/>
            <w:right w:val="none" w:sz="0" w:space="0" w:color="auto"/>
          </w:divBdr>
          <w:divsChild>
            <w:div w:id="1300960932">
              <w:marLeft w:val="0"/>
              <w:marRight w:val="0"/>
              <w:marTop w:val="0"/>
              <w:marBottom w:val="0"/>
              <w:divBdr>
                <w:top w:val="none" w:sz="0" w:space="0" w:color="auto"/>
                <w:left w:val="none" w:sz="0" w:space="0" w:color="auto"/>
                <w:bottom w:val="none" w:sz="0" w:space="0" w:color="auto"/>
                <w:right w:val="none" w:sz="0" w:space="0" w:color="auto"/>
              </w:divBdr>
              <w:divsChild>
                <w:div w:id="968123911">
                  <w:marLeft w:val="0"/>
                  <w:marRight w:val="0"/>
                  <w:marTop w:val="0"/>
                  <w:marBottom w:val="0"/>
                  <w:divBdr>
                    <w:top w:val="none" w:sz="0" w:space="0" w:color="auto"/>
                    <w:left w:val="none" w:sz="0" w:space="0" w:color="auto"/>
                    <w:bottom w:val="none" w:sz="0" w:space="0" w:color="auto"/>
                    <w:right w:val="none" w:sz="0" w:space="0" w:color="auto"/>
                  </w:divBdr>
                  <w:divsChild>
                    <w:div w:id="1815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7854">
      <w:bodyDiv w:val="1"/>
      <w:marLeft w:val="0"/>
      <w:marRight w:val="0"/>
      <w:marTop w:val="0"/>
      <w:marBottom w:val="0"/>
      <w:divBdr>
        <w:top w:val="none" w:sz="0" w:space="0" w:color="auto"/>
        <w:left w:val="none" w:sz="0" w:space="0" w:color="auto"/>
        <w:bottom w:val="none" w:sz="0" w:space="0" w:color="auto"/>
        <w:right w:val="none" w:sz="0" w:space="0" w:color="auto"/>
      </w:divBdr>
      <w:divsChild>
        <w:div w:id="665518889">
          <w:marLeft w:val="0"/>
          <w:marRight w:val="0"/>
          <w:marTop w:val="0"/>
          <w:marBottom w:val="0"/>
          <w:divBdr>
            <w:top w:val="none" w:sz="0" w:space="0" w:color="auto"/>
            <w:left w:val="none" w:sz="0" w:space="0" w:color="auto"/>
            <w:bottom w:val="none" w:sz="0" w:space="0" w:color="auto"/>
            <w:right w:val="none" w:sz="0" w:space="0" w:color="auto"/>
          </w:divBdr>
        </w:div>
        <w:div w:id="1154107138">
          <w:marLeft w:val="0"/>
          <w:marRight w:val="0"/>
          <w:marTop w:val="0"/>
          <w:marBottom w:val="0"/>
          <w:divBdr>
            <w:top w:val="none" w:sz="0" w:space="0" w:color="auto"/>
            <w:left w:val="none" w:sz="0" w:space="0" w:color="auto"/>
            <w:bottom w:val="none" w:sz="0" w:space="0" w:color="auto"/>
            <w:right w:val="none" w:sz="0" w:space="0" w:color="auto"/>
          </w:divBdr>
        </w:div>
      </w:divsChild>
    </w:div>
    <w:div w:id="795678814">
      <w:bodyDiv w:val="1"/>
      <w:marLeft w:val="0"/>
      <w:marRight w:val="0"/>
      <w:marTop w:val="0"/>
      <w:marBottom w:val="0"/>
      <w:divBdr>
        <w:top w:val="none" w:sz="0" w:space="0" w:color="auto"/>
        <w:left w:val="none" w:sz="0" w:space="0" w:color="auto"/>
        <w:bottom w:val="none" w:sz="0" w:space="0" w:color="auto"/>
        <w:right w:val="none" w:sz="0" w:space="0" w:color="auto"/>
      </w:divBdr>
      <w:divsChild>
        <w:div w:id="512693206">
          <w:marLeft w:val="0"/>
          <w:marRight w:val="0"/>
          <w:marTop w:val="0"/>
          <w:marBottom w:val="0"/>
          <w:divBdr>
            <w:top w:val="none" w:sz="0" w:space="0" w:color="auto"/>
            <w:left w:val="none" w:sz="0" w:space="0" w:color="auto"/>
            <w:bottom w:val="none" w:sz="0" w:space="0" w:color="auto"/>
            <w:right w:val="none" w:sz="0" w:space="0" w:color="auto"/>
          </w:divBdr>
          <w:divsChild>
            <w:div w:id="963266410">
              <w:marLeft w:val="0"/>
              <w:marRight w:val="0"/>
              <w:marTop w:val="0"/>
              <w:marBottom w:val="0"/>
              <w:divBdr>
                <w:top w:val="none" w:sz="0" w:space="0" w:color="auto"/>
                <w:left w:val="none" w:sz="0" w:space="0" w:color="auto"/>
                <w:bottom w:val="none" w:sz="0" w:space="0" w:color="auto"/>
                <w:right w:val="none" w:sz="0" w:space="0" w:color="auto"/>
              </w:divBdr>
              <w:divsChild>
                <w:div w:id="1789005933">
                  <w:marLeft w:val="0"/>
                  <w:marRight w:val="0"/>
                  <w:marTop w:val="0"/>
                  <w:marBottom w:val="0"/>
                  <w:divBdr>
                    <w:top w:val="none" w:sz="0" w:space="0" w:color="auto"/>
                    <w:left w:val="none" w:sz="0" w:space="0" w:color="auto"/>
                    <w:bottom w:val="none" w:sz="0" w:space="0" w:color="auto"/>
                    <w:right w:val="none" w:sz="0" w:space="0" w:color="auto"/>
                  </w:divBdr>
                </w:div>
              </w:divsChild>
            </w:div>
            <w:div w:id="350448858">
              <w:marLeft w:val="0"/>
              <w:marRight w:val="0"/>
              <w:marTop w:val="0"/>
              <w:marBottom w:val="0"/>
              <w:divBdr>
                <w:top w:val="none" w:sz="0" w:space="0" w:color="auto"/>
                <w:left w:val="none" w:sz="0" w:space="0" w:color="auto"/>
                <w:bottom w:val="none" w:sz="0" w:space="0" w:color="auto"/>
                <w:right w:val="none" w:sz="0" w:space="0" w:color="auto"/>
              </w:divBdr>
              <w:divsChild>
                <w:div w:id="14379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6788">
          <w:marLeft w:val="0"/>
          <w:marRight w:val="0"/>
          <w:marTop w:val="0"/>
          <w:marBottom w:val="0"/>
          <w:divBdr>
            <w:top w:val="none" w:sz="0" w:space="0" w:color="auto"/>
            <w:left w:val="none" w:sz="0" w:space="0" w:color="auto"/>
            <w:bottom w:val="none" w:sz="0" w:space="0" w:color="auto"/>
            <w:right w:val="none" w:sz="0" w:space="0" w:color="auto"/>
          </w:divBdr>
          <w:divsChild>
            <w:div w:id="1540976274">
              <w:marLeft w:val="0"/>
              <w:marRight w:val="0"/>
              <w:marTop w:val="0"/>
              <w:marBottom w:val="0"/>
              <w:divBdr>
                <w:top w:val="none" w:sz="0" w:space="0" w:color="auto"/>
                <w:left w:val="none" w:sz="0" w:space="0" w:color="auto"/>
                <w:bottom w:val="none" w:sz="0" w:space="0" w:color="auto"/>
                <w:right w:val="none" w:sz="0" w:space="0" w:color="auto"/>
              </w:divBdr>
              <w:divsChild>
                <w:div w:id="20396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760019">
      <w:bodyDiv w:val="1"/>
      <w:marLeft w:val="0"/>
      <w:marRight w:val="0"/>
      <w:marTop w:val="0"/>
      <w:marBottom w:val="0"/>
      <w:divBdr>
        <w:top w:val="none" w:sz="0" w:space="0" w:color="auto"/>
        <w:left w:val="none" w:sz="0" w:space="0" w:color="auto"/>
        <w:bottom w:val="none" w:sz="0" w:space="0" w:color="auto"/>
        <w:right w:val="none" w:sz="0" w:space="0" w:color="auto"/>
      </w:divBdr>
      <w:divsChild>
        <w:div w:id="1869172916">
          <w:marLeft w:val="0"/>
          <w:marRight w:val="0"/>
          <w:marTop w:val="0"/>
          <w:marBottom w:val="0"/>
          <w:divBdr>
            <w:top w:val="none" w:sz="0" w:space="0" w:color="auto"/>
            <w:left w:val="none" w:sz="0" w:space="0" w:color="auto"/>
            <w:bottom w:val="none" w:sz="0" w:space="0" w:color="auto"/>
            <w:right w:val="none" w:sz="0" w:space="0" w:color="auto"/>
          </w:divBdr>
          <w:divsChild>
            <w:div w:id="1146893585">
              <w:marLeft w:val="0"/>
              <w:marRight w:val="0"/>
              <w:marTop w:val="0"/>
              <w:marBottom w:val="0"/>
              <w:divBdr>
                <w:top w:val="none" w:sz="0" w:space="0" w:color="auto"/>
                <w:left w:val="none" w:sz="0" w:space="0" w:color="auto"/>
                <w:bottom w:val="none" w:sz="0" w:space="0" w:color="auto"/>
                <w:right w:val="none" w:sz="0" w:space="0" w:color="auto"/>
              </w:divBdr>
              <w:divsChild>
                <w:div w:id="8192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75036">
      <w:bodyDiv w:val="1"/>
      <w:marLeft w:val="0"/>
      <w:marRight w:val="0"/>
      <w:marTop w:val="0"/>
      <w:marBottom w:val="0"/>
      <w:divBdr>
        <w:top w:val="none" w:sz="0" w:space="0" w:color="auto"/>
        <w:left w:val="none" w:sz="0" w:space="0" w:color="auto"/>
        <w:bottom w:val="none" w:sz="0" w:space="0" w:color="auto"/>
        <w:right w:val="none" w:sz="0" w:space="0" w:color="auto"/>
      </w:divBdr>
    </w:div>
    <w:div w:id="890993872">
      <w:bodyDiv w:val="1"/>
      <w:marLeft w:val="0"/>
      <w:marRight w:val="0"/>
      <w:marTop w:val="0"/>
      <w:marBottom w:val="0"/>
      <w:divBdr>
        <w:top w:val="none" w:sz="0" w:space="0" w:color="auto"/>
        <w:left w:val="none" w:sz="0" w:space="0" w:color="auto"/>
        <w:bottom w:val="none" w:sz="0" w:space="0" w:color="auto"/>
        <w:right w:val="none" w:sz="0" w:space="0" w:color="auto"/>
      </w:divBdr>
      <w:divsChild>
        <w:div w:id="1537306626">
          <w:marLeft w:val="0"/>
          <w:marRight w:val="0"/>
          <w:marTop w:val="0"/>
          <w:marBottom w:val="0"/>
          <w:divBdr>
            <w:top w:val="none" w:sz="0" w:space="0" w:color="auto"/>
            <w:left w:val="none" w:sz="0" w:space="0" w:color="auto"/>
            <w:bottom w:val="none" w:sz="0" w:space="0" w:color="auto"/>
            <w:right w:val="none" w:sz="0" w:space="0" w:color="auto"/>
          </w:divBdr>
        </w:div>
      </w:divsChild>
    </w:div>
    <w:div w:id="899485645">
      <w:bodyDiv w:val="1"/>
      <w:marLeft w:val="0"/>
      <w:marRight w:val="0"/>
      <w:marTop w:val="0"/>
      <w:marBottom w:val="0"/>
      <w:divBdr>
        <w:top w:val="none" w:sz="0" w:space="0" w:color="auto"/>
        <w:left w:val="none" w:sz="0" w:space="0" w:color="auto"/>
        <w:bottom w:val="none" w:sz="0" w:space="0" w:color="auto"/>
        <w:right w:val="none" w:sz="0" w:space="0" w:color="auto"/>
      </w:divBdr>
      <w:divsChild>
        <w:div w:id="344745539">
          <w:marLeft w:val="0"/>
          <w:marRight w:val="0"/>
          <w:marTop w:val="0"/>
          <w:marBottom w:val="0"/>
          <w:divBdr>
            <w:top w:val="none" w:sz="0" w:space="0" w:color="auto"/>
            <w:left w:val="none" w:sz="0" w:space="0" w:color="auto"/>
            <w:bottom w:val="none" w:sz="0" w:space="0" w:color="auto"/>
            <w:right w:val="none" w:sz="0" w:space="0" w:color="auto"/>
          </w:divBdr>
          <w:divsChild>
            <w:div w:id="1036661157">
              <w:marLeft w:val="0"/>
              <w:marRight w:val="0"/>
              <w:marTop w:val="0"/>
              <w:marBottom w:val="0"/>
              <w:divBdr>
                <w:top w:val="none" w:sz="0" w:space="0" w:color="auto"/>
                <w:left w:val="none" w:sz="0" w:space="0" w:color="auto"/>
                <w:bottom w:val="none" w:sz="0" w:space="0" w:color="auto"/>
                <w:right w:val="none" w:sz="0" w:space="0" w:color="auto"/>
              </w:divBdr>
              <w:divsChild>
                <w:div w:id="15688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9620">
      <w:bodyDiv w:val="1"/>
      <w:marLeft w:val="0"/>
      <w:marRight w:val="0"/>
      <w:marTop w:val="0"/>
      <w:marBottom w:val="0"/>
      <w:divBdr>
        <w:top w:val="none" w:sz="0" w:space="0" w:color="auto"/>
        <w:left w:val="none" w:sz="0" w:space="0" w:color="auto"/>
        <w:bottom w:val="none" w:sz="0" w:space="0" w:color="auto"/>
        <w:right w:val="none" w:sz="0" w:space="0" w:color="auto"/>
      </w:divBdr>
    </w:div>
    <w:div w:id="903950579">
      <w:bodyDiv w:val="1"/>
      <w:marLeft w:val="0"/>
      <w:marRight w:val="0"/>
      <w:marTop w:val="0"/>
      <w:marBottom w:val="0"/>
      <w:divBdr>
        <w:top w:val="none" w:sz="0" w:space="0" w:color="auto"/>
        <w:left w:val="none" w:sz="0" w:space="0" w:color="auto"/>
        <w:bottom w:val="none" w:sz="0" w:space="0" w:color="auto"/>
        <w:right w:val="none" w:sz="0" w:space="0" w:color="auto"/>
      </w:divBdr>
      <w:divsChild>
        <w:div w:id="1520240108">
          <w:marLeft w:val="0"/>
          <w:marRight w:val="0"/>
          <w:marTop w:val="0"/>
          <w:marBottom w:val="0"/>
          <w:divBdr>
            <w:top w:val="none" w:sz="0" w:space="0" w:color="auto"/>
            <w:left w:val="none" w:sz="0" w:space="0" w:color="auto"/>
            <w:bottom w:val="none" w:sz="0" w:space="0" w:color="auto"/>
            <w:right w:val="none" w:sz="0" w:space="0" w:color="auto"/>
          </w:divBdr>
          <w:divsChild>
            <w:div w:id="1842968303">
              <w:marLeft w:val="0"/>
              <w:marRight w:val="0"/>
              <w:marTop w:val="0"/>
              <w:marBottom w:val="0"/>
              <w:divBdr>
                <w:top w:val="none" w:sz="0" w:space="0" w:color="auto"/>
                <w:left w:val="none" w:sz="0" w:space="0" w:color="auto"/>
                <w:bottom w:val="none" w:sz="0" w:space="0" w:color="auto"/>
                <w:right w:val="none" w:sz="0" w:space="0" w:color="auto"/>
              </w:divBdr>
              <w:divsChild>
                <w:div w:id="917061666">
                  <w:marLeft w:val="0"/>
                  <w:marRight w:val="0"/>
                  <w:marTop w:val="0"/>
                  <w:marBottom w:val="0"/>
                  <w:divBdr>
                    <w:top w:val="none" w:sz="0" w:space="0" w:color="auto"/>
                    <w:left w:val="none" w:sz="0" w:space="0" w:color="auto"/>
                    <w:bottom w:val="none" w:sz="0" w:space="0" w:color="auto"/>
                    <w:right w:val="none" w:sz="0" w:space="0" w:color="auto"/>
                  </w:divBdr>
                  <w:divsChild>
                    <w:div w:id="530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534596">
      <w:bodyDiv w:val="1"/>
      <w:marLeft w:val="0"/>
      <w:marRight w:val="0"/>
      <w:marTop w:val="0"/>
      <w:marBottom w:val="0"/>
      <w:divBdr>
        <w:top w:val="none" w:sz="0" w:space="0" w:color="auto"/>
        <w:left w:val="none" w:sz="0" w:space="0" w:color="auto"/>
        <w:bottom w:val="none" w:sz="0" w:space="0" w:color="auto"/>
        <w:right w:val="none" w:sz="0" w:space="0" w:color="auto"/>
      </w:divBdr>
    </w:div>
    <w:div w:id="911089555">
      <w:bodyDiv w:val="1"/>
      <w:marLeft w:val="0"/>
      <w:marRight w:val="0"/>
      <w:marTop w:val="0"/>
      <w:marBottom w:val="0"/>
      <w:divBdr>
        <w:top w:val="none" w:sz="0" w:space="0" w:color="auto"/>
        <w:left w:val="none" w:sz="0" w:space="0" w:color="auto"/>
        <w:bottom w:val="none" w:sz="0" w:space="0" w:color="auto"/>
        <w:right w:val="none" w:sz="0" w:space="0" w:color="auto"/>
      </w:divBdr>
      <w:divsChild>
        <w:div w:id="1889300276">
          <w:marLeft w:val="0"/>
          <w:marRight w:val="0"/>
          <w:marTop w:val="0"/>
          <w:marBottom w:val="0"/>
          <w:divBdr>
            <w:top w:val="none" w:sz="0" w:space="0" w:color="auto"/>
            <w:left w:val="none" w:sz="0" w:space="0" w:color="auto"/>
            <w:bottom w:val="none" w:sz="0" w:space="0" w:color="auto"/>
            <w:right w:val="none" w:sz="0" w:space="0" w:color="auto"/>
          </w:divBdr>
          <w:divsChild>
            <w:div w:id="956761421">
              <w:marLeft w:val="0"/>
              <w:marRight w:val="0"/>
              <w:marTop w:val="0"/>
              <w:marBottom w:val="0"/>
              <w:divBdr>
                <w:top w:val="none" w:sz="0" w:space="0" w:color="auto"/>
                <w:left w:val="none" w:sz="0" w:space="0" w:color="auto"/>
                <w:bottom w:val="none" w:sz="0" w:space="0" w:color="auto"/>
                <w:right w:val="none" w:sz="0" w:space="0" w:color="auto"/>
              </w:divBdr>
              <w:divsChild>
                <w:div w:id="2808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43117">
      <w:bodyDiv w:val="1"/>
      <w:marLeft w:val="0"/>
      <w:marRight w:val="0"/>
      <w:marTop w:val="0"/>
      <w:marBottom w:val="0"/>
      <w:divBdr>
        <w:top w:val="none" w:sz="0" w:space="0" w:color="auto"/>
        <w:left w:val="none" w:sz="0" w:space="0" w:color="auto"/>
        <w:bottom w:val="none" w:sz="0" w:space="0" w:color="auto"/>
        <w:right w:val="none" w:sz="0" w:space="0" w:color="auto"/>
      </w:divBdr>
      <w:divsChild>
        <w:div w:id="271086792">
          <w:marLeft w:val="0"/>
          <w:marRight w:val="0"/>
          <w:marTop w:val="0"/>
          <w:marBottom w:val="0"/>
          <w:divBdr>
            <w:top w:val="none" w:sz="0" w:space="0" w:color="auto"/>
            <w:left w:val="none" w:sz="0" w:space="0" w:color="auto"/>
            <w:bottom w:val="none" w:sz="0" w:space="0" w:color="auto"/>
            <w:right w:val="none" w:sz="0" w:space="0" w:color="auto"/>
          </w:divBdr>
          <w:divsChild>
            <w:div w:id="2032875708">
              <w:marLeft w:val="0"/>
              <w:marRight w:val="0"/>
              <w:marTop w:val="0"/>
              <w:marBottom w:val="0"/>
              <w:divBdr>
                <w:top w:val="none" w:sz="0" w:space="0" w:color="auto"/>
                <w:left w:val="none" w:sz="0" w:space="0" w:color="auto"/>
                <w:bottom w:val="none" w:sz="0" w:space="0" w:color="auto"/>
                <w:right w:val="none" w:sz="0" w:space="0" w:color="auto"/>
              </w:divBdr>
              <w:divsChild>
                <w:div w:id="16205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5807">
      <w:bodyDiv w:val="1"/>
      <w:marLeft w:val="0"/>
      <w:marRight w:val="0"/>
      <w:marTop w:val="0"/>
      <w:marBottom w:val="0"/>
      <w:divBdr>
        <w:top w:val="none" w:sz="0" w:space="0" w:color="auto"/>
        <w:left w:val="none" w:sz="0" w:space="0" w:color="auto"/>
        <w:bottom w:val="none" w:sz="0" w:space="0" w:color="auto"/>
        <w:right w:val="none" w:sz="0" w:space="0" w:color="auto"/>
      </w:divBdr>
    </w:div>
    <w:div w:id="975447734">
      <w:bodyDiv w:val="1"/>
      <w:marLeft w:val="0"/>
      <w:marRight w:val="0"/>
      <w:marTop w:val="0"/>
      <w:marBottom w:val="0"/>
      <w:divBdr>
        <w:top w:val="none" w:sz="0" w:space="0" w:color="auto"/>
        <w:left w:val="none" w:sz="0" w:space="0" w:color="auto"/>
        <w:bottom w:val="none" w:sz="0" w:space="0" w:color="auto"/>
        <w:right w:val="none" w:sz="0" w:space="0" w:color="auto"/>
      </w:divBdr>
    </w:div>
    <w:div w:id="979772205">
      <w:bodyDiv w:val="1"/>
      <w:marLeft w:val="0"/>
      <w:marRight w:val="0"/>
      <w:marTop w:val="0"/>
      <w:marBottom w:val="0"/>
      <w:divBdr>
        <w:top w:val="none" w:sz="0" w:space="0" w:color="auto"/>
        <w:left w:val="none" w:sz="0" w:space="0" w:color="auto"/>
        <w:bottom w:val="none" w:sz="0" w:space="0" w:color="auto"/>
        <w:right w:val="none" w:sz="0" w:space="0" w:color="auto"/>
      </w:divBdr>
    </w:div>
    <w:div w:id="1027874282">
      <w:bodyDiv w:val="1"/>
      <w:marLeft w:val="0"/>
      <w:marRight w:val="0"/>
      <w:marTop w:val="0"/>
      <w:marBottom w:val="0"/>
      <w:divBdr>
        <w:top w:val="none" w:sz="0" w:space="0" w:color="auto"/>
        <w:left w:val="none" w:sz="0" w:space="0" w:color="auto"/>
        <w:bottom w:val="none" w:sz="0" w:space="0" w:color="auto"/>
        <w:right w:val="none" w:sz="0" w:space="0" w:color="auto"/>
      </w:divBdr>
    </w:div>
    <w:div w:id="1038969282">
      <w:bodyDiv w:val="1"/>
      <w:marLeft w:val="0"/>
      <w:marRight w:val="0"/>
      <w:marTop w:val="0"/>
      <w:marBottom w:val="0"/>
      <w:divBdr>
        <w:top w:val="none" w:sz="0" w:space="0" w:color="auto"/>
        <w:left w:val="none" w:sz="0" w:space="0" w:color="auto"/>
        <w:bottom w:val="none" w:sz="0" w:space="0" w:color="auto"/>
        <w:right w:val="none" w:sz="0" w:space="0" w:color="auto"/>
      </w:divBdr>
    </w:div>
    <w:div w:id="1051879528">
      <w:bodyDiv w:val="1"/>
      <w:marLeft w:val="0"/>
      <w:marRight w:val="0"/>
      <w:marTop w:val="0"/>
      <w:marBottom w:val="0"/>
      <w:divBdr>
        <w:top w:val="none" w:sz="0" w:space="0" w:color="auto"/>
        <w:left w:val="none" w:sz="0" w:space="0" w:color="auto"/>
        <w:bottom w:val="none" w:sz="0" w:space="0" w:color="auto"/>
        <w:right w:val="none" w:sz="0" w:space="0" w:color="auto"/>
      </w:divBdr>
      <w:divsChild>
        <w:div w:id="555704051">
          <w:marLeft w:val="0"/>
          <w:marRight w:val="0"/>
          <w:marTop w:val="0"/>
          <w:marBottom w:val="0"/>
          <w:divBdr>
            <w:top w:val="none" w:sz="0" w:space="0" w:color="auto"/>
            <w:left w:val="none" w:sz="0" w:space="0" w:color="auto"/>
            <w:bottom w:val="none" w:sz="0" w:space="0" w:color="auto"/>
            <w:right w:val="none" w:sz="0" w:space="0" w:color="auto"/>
          </w:divBdr>
        </w:div>
        <w:div w:id="801189654">
          <w:marLeft w:val="0"/>
          <w:marRight w:val="0"/>
          <w:marTop w:val="0"/>
          <w:marBottom w:val="0"/>
          <w:divBdr>
            <w:top w:val="none" w:sz="0" w:space="0" w:color="auto"/>
            <w:left w:val="none" w:sz="0" w:space="0" w:color="auto"/>
            <w:bottom w:val="none" w:sz="0" w:space="0" w:color="auto"/>
            <w:right w:val="none" w:sz="0" w:space="0" w:color="auto"/>
          </w:divBdr>
        </w:div>
        <w:div w:id="1328095826">
          <w:marLeft w:val="0"/>
          <w:marRight w:val="0"/>
          <w:marTop w:val="0"/>
          <w:marBottom w:val="0"/>
          <w:divBdr>
            <w:top w:val="none" w:sz="0" w:space="0" w:color="auto"/>
            <w:left w:val="none" w:sz="0" w:space="0" w:color="auto"/>
            <w:bottom w:val="none" w:sz="0" w:space="0" w:color="auto"/>
            <w:right w:val="none" w:sz="0" w:space="0" w:color="auto"/>
          </w:divBdr>
        </w:div>
        <w:div w:id="1525366295">
          <w:marLeft w:val="0"/>
          <w:marRight w:val="0"/>
          <w:marTop w:val="0"/>
          <w:marBottom w:val="0"/>
          <w:divBdr>
            <w:top w:val="none" w:sz="0" w:space="0" w:color="auto"/>
            <w:left w:val="none" w:sz="0" w:space="0" w:color="auto"/>
            <w:bottom w:val="none" w:sz="0" w:space="0" w:color="auto"/>
            <w:right w:val="none" w:sz="0" w:space="0" w:color="auto"/>
          </w:divBdr>
        </w:div>
        <w:div w:id="1598176032">
          <w:marLeft w:val="0"/>
          <w:marRight w:val="0"/>
          <w:marTop w:val="0"/>
          <w:marBottom w:val="0"/>
          <w:divBdr>
            <w:top w:val="none" w:sz="0" w:space="0" w:color="auto"/>
            <w:left w:val="none" w:sz="0" w:space="0" w:color="auto"/>
            <w:bottom w:val="none" w:sz="0" w:space="0" w:color="auto"/>
            <w:right w:val="none" w:sz="0" w:space="0" w:color="auto"/>
          </w:divBdr>
        </w:div>
        <w:div w:id="1765149842">
          <w:marLeft w:val="0"/>
          <w:marRight w:val="0"/>
          <w:marTop w:val="0"/>
          <w:marBottom w:val="0"/>
          <w:divBdr>
            <w:top w:val="none" w:sz="0" w:space="0" w:color="auto"/>
            <w:left w:val="none" w:sz="0" w:space="0" w:color="auto"/>
            <w:bottom w:val="none" w:sz="0" w:space="0" w:color="auto"/>
            <w:right w:val="none" w:sz="0" w:space="0" w:color="auto"/>
          </w:divBdr>
        </w:div>
        <w:div w:id="1864398095">
          <w:marLeft w:val="0"/>
          <w:marRight w:val="0"/>
          <w:marTop w:val="0"/>
          <w:marBottom w:val="0"/>
          <w:divBdr>
            <w:top w:val="none" w:sz="0" w:space="0" w:color="auto"/>
            <w:left w:val="none" w:sz="0" w:space="0" w:color="auto"/>
            <w:bottom w:val="none" w:sz="0" w:space="0" w:color="auto"/>
            <w:right w:val="none" w:sz="0" w:space="0" w:color="auto"/>
          </w:divBdr>
        </w:div>
      </w:divsChild>
    </w:div>
    <w:div w:id="1060439828">
      <w:bodyDiv w:val="1"/>
      <w:marLeft w:val="0"/>
      <w:marRight w:val="0"/>
      <w:marTop w:val="0"/>
      <w:marBottom w:val="0"/>
      <w:divBdr>
        <w:top w:val="none" w:sz="0" w:space="0" w:color="auto"/>
        <w:left w:val="none" w:sz="0" w:space="0" w:color="auto"/>
        <w:bottom w:val="none" w:sz="0" w:space="0" w:color="auto"/>
        <w:right w:val="none" w:sz="0" w:space="0" w:color="auto"/>
      </w:divBdr>
    </w:div>
    <w:div w:id="1073166048">
      <w:bodyDiv w:val="1"/>
      <w:marLeft w:val="0"/>
      <w:marRight w:val="0"/>
      <w:marTop w:val="0"/>
      <w:marBottom w:val="0"/>
      <w:divBdr>
        <w:top w:val="none" w:sz="0" w:space="0" w:color="auto"/>
        <w:left w:val="none" w:sz="0" w:space="0" w:color="auto"/>
        <w:bottom w:val="none" w:sz="0" w:space="0" w:color="auto"/>
        <w:right w:val="none" w:sz="0" w:space="0" w:color="auto"/>
      </w:divBdr>
      <w:divsChild>
        <w:div w:id="344597445">
          <w:marLeft w:val="0"/>
          <w:marRight w:val="0"/>
          <w:marTop w:val="0"/>
          <w:marBottom w:val="0"/>
          <w:divBdr>
            <w:top w:val="none" w:sz="0" w:space="0" w:color="auto"/>
            <w:left w:val="none" w:sz="0" w:space="0" w:color="auto"/>
            <w:bottom w:val="none" w:sz="0" w:space="0" w:color="auto"/>
            <w:right w:val="none" w:sz="0" w:space="0" w:color="auto"/>
          </w:divBdr>
        </w:div>
        <w:div w:id="1558738997">
          <w:marLeft w:val="0"/>
          <w:marRight w:val="0"/>
          <w:marTop w:val="0"/>
          <w:marBottom w:val="0"/>
          <w:divBdr>
            <w:top w:val="none" w:sz="0" w:space="0" w:color="auto"/>
            <w:left w:val="none" w:sz="0" w:space="0" w:color="auto"/>
            <w:bottom w:val="none" w:sz="0" w:space="0" w:color="auto"/>
            <w:right w:val="none" w:sz="0" w:space="0" w:color="auto"/>
          </w:divBdr>
        </w:div>
        <w:div w:id="1807971250">
          <w:marLeft w:val="0"/>
          <w:marRight w:val="0"/>
          <w:marTop w:val="0"/>
          <w:marBottom w:val="0"/>
          <w:divBdr>
            <w:top w:val="none" w:sz="0" w:space="0" w:color="auto"/>
            <w:left w:val="none" w:sz="0" w:space="0" w:color="auto"/>
            <w:bottom w:val="none" w:sz="0" w:space="0" w:color="auto"/>
            <w:right w:val="none" w:sz="0" w:space="0" w:color="auto"/>
          </w:divBdr>
        </w:div>
      </w:divsChild>
    </w:div>
    <w:div w:id="1077823969">
      <w:bodyDiv w:val="1"/>
      <w:marLeft w:val="0"/>
      <w:marRight w:val="0"/>
      <w:marTop w:val="0"/>
      <w:marBottom w:val="0"/>
      <w:divBdr>
        <w:top w:val="none" w:sz="0" w:space="0" w:color="auto"/>
        <w:left w:val="none" w:sz="0" w:space="0" w:color="auto"/>
        <w:bottom w:val="none" w:sz="0" w:space="0" w:color="auto"/>
        <w:right w:val="none" w:sz="0" w:space="0" w:color="auto"/>
      </w:divBdr>
      <w:divsChild>
        <w:div w:id="439448652">
          <w:marLeft w:val="0"/>
          <w:marRight w:val="0"/>
          <w:marTop w:val="0"/>
          <w:marBottom w:val="0"/>
          <w:divBdr>
            <w:top w:val="none" w:sz="0" w:space="0" w:color="auto"/>
            <w:left w:val="none" w:sz="0" w:space="0" w:color="auto"/>
            <w:bottom w:val="none" w:sz="0" w:space="0" w:color="auto"/>
            <w:right w:val="none" w:sz="0" w:space="0" w:color="auto"/>
          </w:divBdr>
          <w:divsChild>
            <w:div w:id="2084715136">
              <w:marLeft w:val="0"/>
              <w:marRight w:val="0"/>
              <w:marTop w:val="0"/>
              <w:marBottom w:val="0"/>
              <w:divBdr>
                <w:top w:val="none" w:sz="0" w:space="0" w:color="auto"/>
                <w:left w:val="none" w:sz="0" w:space="0" w:color="auto"/>
                <w:bottom w:val="none" w:sz="0" w:space="0" w:color="auto"/>
                <w:right w:val="none" w:sz="0" w:space="0" w:color="auto"/>
              </w:divBdr>
              <w:divsChild>
                <w:div w:id="1410690269">
                  <w:marLeft w:val="0"/>
                  <w:marRight w:val="0"/>
                  <w:marTop w:val="0"/>
                  <w:marBottom w:val="0"/>
                  <w:divBdr>
                    <w:top w:val="none" w:sz="0" w:space="0" w:color="auto"/>
                    <w:left w:val="none" w:sz="0" w:space="0" w:color="auto"/>
                    <w:bottom w:val="none" w:sz="0" w:space="0" w:color="auto"/>
                    <w:right w:val="none" w:sz="0" w:space="0" w:color="auto"/>
                  </w:divBdr>
                </w:div>
              </w:divsChild>
            </w:div>
            <w:div w:id="229771261">
              <w:marLeft w:val="0"/>
              <w:marRight w:val="0"/>
              <w:marTop w:val="0"/>
              <w:marBottom w:val="0"/>
              <w:divBdr>
                <w:top w:val="none" w:sz="0" w:space="0" w:color="auto"/>
                <w:left w:val="none" w:sz="0" w:space="0" w:color="auto"/>
                <w:bottom w:val="none" w:sz="0" w:space="0" w:color="auto"/>
                <w:right w:val="none" w:sz="0" w:space="0" w:color="auto"/>
              </w:divBdr>
              <w:divsChild>
                <w:div w:id="1464075485">
                  <w:marLeft w:val="0"/>
                  <w:marRight w:val="0"/>
                  <w:marTop w:val="0"/>
                  <w:marBottom w:val="0"/>
                  <w:divBdr>
                    <w:top w:val="none" w:sz="0" w:space="0" w:color="auto"/>
                    <w:left w:val="none" w:sz="0" w:space="0" w:color="auto"/>
                    <w:bottom w:val="none" w:sz="0" w:space="0" w:color="auto"/>
                    <w:right w:val="none" w:sz="0" w:space="0" w:color="auto"/>
                  </w:divBdr>
                </w:div>
              </w:divsChild>
            </w:div>
            <w:div w:id="1513765407">
              <w:marLeft w:val="0"/>
              <w:marRight w:val="0"/>
              <w:marTop w:val="0"/>
              <w:marBottom w:val="0"/>
              <w:divBdr>
                <w:top w:val="none" w:sz="0" w:space="0" w:color="auto"/>
                <w:left w:val="none" w:sz="0" w:space="0" w:color="auto"/>
                <w:bottom w:val="none" w:sz="0" w:space="0" w:color="auto"/>
                <w:right w:val="none" w:sz="0" w:space="0" w:color="auto"/>
              </w:divBdr>
              <w:divsChild>
                <w:div w:id="1834564101">
                  <w:marLeft w:val="0"/>
                  <w:marRight w:val="0"/>
                  <w:marTop w:val="0"/>
                  <w:marBottom w:val="0"/>
                  <w:divBdr>
                    <w:top w:val="none" w:sz="0" w:space="0" w:color="auto"/>
                    <w:left w:val="none" w:sz="0" w:space="0" w:color="auto"/>
                    <w:bottom w:val="none" w:sz="0" w:space="0" w:color="auto"/>
                    <w:right w:val="none" w:sz="0" w:space="0" w:color="auto"/>
                  </w:divBdr>
                </w:div>
              </w:divsChild>
            </w:div>
            <w:div w:id="835531560">
              <w:marLeft w:val="0"/>
              <w:marRight w:val="0"/>
              <w:marTop w:val="0"/>
              <w:marBottom w:val="0"/>
              <w:divBdr>
                <w:top w:val="none" w:sz="0" w:space="0" w:color="auto"/>
                <w:left w:val="none" w:sz="0" w:space="0" w:color="auto"/>
                <w:bottom w:val="none" w:sz="0" w:space="0" w:color="auto"/>
                <w:right w:val="none" w:sz="0" w:space="0" w:color="auto"/>
              </w:divBdr>
              <w:divsChild>
                <w:div w:id="12928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32743">
      <w:bodyDiv w:val="1"/>
      <w:marLeft w:val="0"/>
      <w:marRight w:val="0"/>
      <w:marTop w:val="0"/>
      <w:marBottom w:val="0"/>
      <w:divBdr>
        <w:top w:val="none" w:sz="0" w:space="0" w:color="auto"/>
        <w:left w:val="none" w:sz="0" w:space="0" w:color="auto"/>
        <w:bottom w:val="none" w:sz="0" w:space="0" w:color="auto"/>
        <w:right w:val="none" w:sz="0" w:space="0" w:color="auto"/>
      </w:divBdr>
    </w:div>
    <w:div w:id="1132750536">
      <w:bodyDiv w:val="1"/>
      <w:marLeft w:val="0"/>
      <w:marRight w:val="0"/>
      <w:marTop w:val="0"/>
      <w:marBottom w:val="0"/>
      <w:divBdr>
        <w:top w:val="none" w:sz="0" w:space="0" w:color="auto"/>
        <w:left w:val="none" w:sz="0" w:space="0" w:color="auto"/>
        <w:bottom w:val="none" w:sz="0" w:space="0" w:color="auto"/>
        <w:right w:val="none" w:sz="0" w:space="0" w:color="auto"/>
      </w:divBdr>
      <w:divsChild>
        <w:div w:id="1783302880">
          <w:marLeft w:val="0"/>
          <w:marRight w:val="0"/>
          <w:marTop w:val="0"/>
          <w:marBottom w:val="0"/>
          <w:divBdr>
            <w:top w:val="none" w:sz="0" w:space="0" w:color="auto"/>
            <w:left w:val="none" w:sz="0" w:space="0" w:color="auto"/>
            <w:bottom w:val="none" w:sz="0" w:space="0" w:color="auto"/>
            <w:right w:val="none" w:sz="0" w:space="0" w:color="auto"/>
          </w:divBdr>
        </w:div>
        <w:div w:id="978074976">
          <w:marLeft w:val="0"/>
          <w:marRight w:val="0"/>
          <w:marTop w:val="0"/>
          <w:marBottom w:val="0"/>
          <w:divBdr>
            <w:top w:val="none" w:sz="0" w:space="0" w:color="auto"/>
            <w:left w:val="none" w:sz="0" w:space="0" w:color="auto"/>
            <w:bottom w:val="none" w:sz="0" w:space="0" w:color="auto"/>
            <w:right w:val="none" w:sz="0" w:space="0" w:color="auto"/>
          </w:divBdr>
        </w:div>
        <w:div w:id="591864639">
          <w:marLeft w:val="0"/>
          <w:marRight w:val="0"/>
          <w:marTop w:val="0"/>
          <w:marBottom w:val="0"/>
          <w:divBdr>
            <w:top w:val="none" w:sz="0" w:space="0" w:color="auto"/>
            <w:left w:val="none" w:sz="0" w:space="0" w:color="auto"/>
            <w:bottom w:val="none" w:sz="0" w:space="0" w:color="auto"/>
            <w:right w:val="none" w:sz="0" w:space="0" w:color="auto"/>
          </w:divBdr>
        </w:div>
        <w:div w:id="897664993">
          <w:marLeft w:val="0"/>
          <w:marRight w:val="0"/>
          <w:marTop w:val="0"/>
          <w:marBottom w:val="0"/>
          <w:divBdr>
            <w:top w:val="none" w:sz="0" w:space="0" w:color="auto"/>
            <w:left w:val="none" w:sz="0" w:space="0" w:color="auto"/>
            <w:bottom w:val="none" w:sz="0" w:space="0" w:color="auto"/>
            <w:right w:val="none" w:sz="0" w:space="0" w:color="auto"/>
          </w:divBdr>
        </w:div>
        <w:div w:id="517504701">
          <w:marLeft w:val="0"/>
          <w:marRight w:val="0"/>
          <w:marTop w:val="0"/>
          <w:marBottom w:val="0"/>
          <w:divBdr>
            <w:top w:val="none" w:sz="0" w:space="0" w:color="auto"/>
            <w:left w:val="none" w:sz="0" w:space="0" w:color="auto"/>
            <w:bottom w:val="none" w:sz="0" w:space="0" w:color="auto"/>
            <w:right w:val="none" w:sz="0" w:space="0" w:color="auto"/>
          </w:divBdr>
        </w:div>
        <w:div w:id="1311253769">
          <w:marLeft w:val="0"/>
          <w:marRight w:val="0"/>
          <w:marTop w:val="0"/>
          <w:marBottom w:val="0"/>
          <w:divBdr>
            <w:top w:val="none" w:sz="0" w:space="0" w:color="auto"/>
            <w:left w:val="none" w:sz="0" w:space="0" w:color="auto"/>
            <w:bottom w:val="none" w:sz="0" w:space="0" w:color="auto"/>
            <w:right w:val="none" w:sz="0" w:space="0" w:color="auto"/>
          </w:divBdr>
        </w:div>
        <w:div w:id="1358770695">
          <w:marLeft w:val="0"/>
          <w:marRight w:val="0"/>
          <w:marTop w:val="0"/>
          <w:marBottom w:val="0"/>
          <w:divBdr>
            <w:top w:val="none" w:sz="0" w:space="0" w:color="auto"/>
            <w:left w:val="none" w:sz="0" w:space="0" w:color="auto"/>
            <w:bottom w:val="none" w:sz="0" w:space="0" w:color="auto"/>
            <w:right w:val="none" w:sz="0" w:space="0" w:color="auto"/>
          </w:divBdr>
        </w:div>
        <w:div w:id="1037969931">
          <w:marLeft w:val="0"/>
          <w:marRight w:val="0"/>
          <w:marTop w:val="0"/>
          <w:marBottom w:val="0"/>
          <w:divBdr>
            <w:top w:val="none" w:sz="0" w:space="0" w:color="auto"/>
            <w:left w:val="none" w:sz="0" w:space="0" w:color="auto"/>
            <w:bottom w:val="none" w:sz="0" w:space="0" w:color="auto"/>
            <w:right w:val="none" w:sz="0" w:space="0" w:color="auto"/>
          </w:divBdr>
        </w:div>
        <w:div w:id="1885829134">
          <w:marLeft w:val="0"/>
          <w:marRight w:val="0"/>
          <w:marTop w:val="0"/>
          <w:marBottom w:val="0"/>
          <w:divBdr>
            <w:top w:val="none" w:sz="0" w:space="0" w:color="auto"/>
            <w:left w:val="none" w:sz="0" w:space="0" w:color="auto"/>
            <w:bottom w:val="none" w:sz="0" w:space="0" w:color="auto"/>
            <w:right w:val="none" w:sz="0" w:space="0" w:color="auto"/>
          </w:divBdr>
        </w:div>
        <w:div w:id="1851792245">
          <w:marLeft w:val="0"/>
          <w:marRight w:val="0"/>
          <w:marTop w:val="0"/>
          <w:marBottom w:val="0"/>
          <w:divBdr>
            <w:top w:val="none" w:sz="0" w:space="0" w:color="auto"/>
            <w:left w:val="none" w:sz="0" w:space="0" w:color="auto"/>
            <w:bottom w:val="none" w:sz="0" w:space="0" w:color="auto"/>
            <w:right w:val="none" w:sz="0" w:space="0" w:color="auto"/>
          </w:divBdr>
        </w:div>
        <w:div w:id="1912619289">
          <w:marLeft w:val="0"/>
          <w:marRight w:val="0"/>
          <w:marTop w:val="0"/>
          <w:marBottom w:val="0"/>
          <w:divBdr>
            <w:top w:val="none" w:sz="0" w:space="0" w:color="auto"/>
            <w:left w:val="none" w:sz="0" w:space="0" w:color="auto"/>
            <w:bottom w:val="none" w:sz="0" w:space="0" w:color="auto"/>
            <w:right w:val="none" w:sz="0" w:space="0" w:color="auto"/>
          </w:divBdr>
        </w:div>
        <w:div w:id="174660253">
          <w:marLeft w:val="0"/>
          <w:marRight w:val="0"/>
          <w:marTop w:val="0"/>
          <w:marBottom w:val="0"/>
          <w:divBdr>
            <w:top w:val="none" w:sz="0" w:space="0" w:color="auto"/>
            <w:left w:val="none" w:sz="0" w:space="0" w:color="auto"/>
            <w:bottom w:val="none" w:sz="0" w:space="0" w:color="auto"/>
            <w:right w:val="none" w:sz="0" w:space="0" w:color="auto"/>
          </w:divBdr>
        </w:div>
        <w:div w:id="2048409593">
          <w:marLeft w:val="0"/>
          <w:marRight w:val="0"/>
          <w:marTop w:val="0"/>
          <w:marBottom w:val="0"/>
          <w:divBdr>
            <w:top w:val="none" w:sz="0" w:space="0" w:color="auto"/>
            <w:left w:val="none" w:sz="0" w:space="0" w:color="auto"/>
            <w:bottom w:val="none" w:sz="0" w:space="0" w:color="auto"/>
            <w:right w:val="none" w:sz="0" w:space="0" w:color="auto"/>
          </w:divBdr>
        </w:div>
        <w:div w:id="1006395503">
          <w:marLeft w:val="0"/>
          <w:marRight w:val="0"/>
          <w:marTop w:val="0"/>
          <w:marBottom w:val="0"/>
          <w:divBdr>
            <w:top w:val="none" w:sz="0" w:space="0" w:color="auto"/>
            <w:left w:val="none" w:sz="0" w:space="0" w:color="auto"/>
            <w:bottom w:val="none" w:sz="0" w:space="0" w:color="auto"/>
            <w:right w:val="none" w:sz="0" w:space="0" w:color="auto"/>
          </w:divBdr>
        </w:div>
        <w:div w:id="451099577">
          <w:marLeft w:val="0"/>
          <w:marRight w:val="0"/>
          <w:marTop w:val="0"/>
          <w:marBottom w:val="0"/>
          <w:divBdr>
            <w:top w:val="none" w:sz="0" w:space="0" w:color="auto"/>
            <w:left w:val="none" w:sz="0" w:space="0" w:color="auto"/>
            <w:bottom w:val="none" w:sz="0" w:space="0" w:color="auto"/>
            <w:right w:val="none" w:sz="0" w:space="0" w:color="auto"/>
          </w:divBdr>
        </w:div>
        <w:div w:id="1400520514">
          <w:marLeft w:val="0"/>
          <w:marRight w:val="0"/>
          <w:marTop w:val="0"/>
          <w:marBottom w:val="0"/>
          <w:divBdr>
            <w:top w:val="none" w:sz="0" w:space="0" w:color="auto"/>
            <w:left w:val="none" w:sz="0" w:space="0" w:color="auto"/>
            <w:bottom w:val="none" w:sz="0" w:space="0" w:color="auto"/>
            <w:right w:val="none" w:sz="0" w:space="0" w:color="auto"/>
          </w:divBdr>
        </w:div>
        <w:div w:id="1580824625">
          <w:marLeft w:val="0"/>
          <w:marRight w:val="0"/>
          <w:marTop w:val="0"/>
          <w:marBottom w:val="0"/>
          <w:divBdr>
            <w:top w:val="none" w:sz="0" w:space="0" w:color="auto"/>
            <w:left w:val="none" w:sz="0" w:space="0" w:color="auto"/>
            <w:bottom w:val="none" w:sz="0" w:space="0" w:color="auto"/>
            <w:right w:val="none" w:sz="0" w:space="0" w:color="auto"/>
          </w:divBdr>
        </w:div>
        <w:div w:id="492992608">
          <w:marLeft w:val="0"/>
          <w:marRight w:val="0"/>
          <w:marTop w:val="0"/>
          <w:marBottom w:val="0"/>
          <w:divBdr>
            <w:top w:val="none" w:sz="0" w:space="0" w:color="auto"/>
            <w:left w:val="none" w:sz="0" w:space="0" w:color="auto"/>
            <w:bottom w:val="none" w:sz="0" w:space="0" w:color="auto"/>
            <w:right w:val="none" w:sz="0" w:space="0" w:color="auto"/>
          </w:divBdr>
        </w:div>
        <w:div w:id="586115622">
          <w:marLeft w:val="0"/>
          <w:marRight w:val="0"/>
          <w:marTop w:val="0"/>
          <w:marBottom w:val="0"/>
          <w:divBdr>
            <w:top w:val="none" w:sz="0" w:space="0" w:color="auto"/>
            <w:left w:val="none" w:sz="0" w:space="0" w:color="auto"/>
            <w:bottom w:val="none" w:sz="0" w:space="0" w:color="auto"/>
            <w:right w:val="none" w:sz="0" w:space="0" w:color="auto"/>
          </w:divBdr>
        </w:div>
        <w:div w:id="1349990354">
          <w:marLeft w:val="0"/>
          <w:marRight w:val="0"/>
          <w:marTop w:val="0"/>
          <w:marBottom w:val="0"/>
          <w:divBdr>
            <w:top w:val="none" w:sz="0" w:space="0" w:color="auto"/>
            <w:left w:val="none" w:sz="0" w:space="0" w:color="auto"/>
            <w:bottom w:val="none" w:sz="0" w:space="0" w:color="auto"/>
            <w:right w:val="none" w:sz="0" w:space="0" w:color="auto"/>
          </w:divBdr>
        </w:div>
        <w:div w:id="323627460">
          <w:marLeft w:val="0"/>
          <w:marRight w:val="0"/>
          <w:marTop w:val="0"/>
          <w:marBottom w:val="0"/>
          <w:divBdr>
            <w:top w:val="none" w:sz="0" w:space="0" w:color="auto"/>
            <w:left w:val="none" w:sz="0" w:space="0" w:color="auto"/>
            <w:bottom w:val="none" w:sz="0" w:space="0" w:color="auto"/>
            <w:right w:val="none" w:sz="0" w:space="0" w:color="auto"/>
          </w:divBdr>
        </w:div>
        <w:div w:id="1530146243">
          <w:marLeft w:val="0"/>
          <w:marRight w:val="0"/>
          <w:marTop w:val="0"/>
          <w:marBottom w:val="0"/>
          <w:divBdr>
            <w:top w:val="none" w:sz="0" w:space="0" w:color="auto"/>
            <w:left w:val="none" w:sz="0" w:space="0" w:color="auto"/>
            <w:bottom w:val="none" w:sz="0" w:space="0" w:color="auto"/>
            <w:right w:val="none" w:sz="0" w:space="0" w:color="auto"/>
          </w:divBdr>
        </w:div>
        <w:div w:id="456221117">
          <w:marLeft w:val="0"/>
          <w:marRight w:val="0"/>
          <w:marTop w:val="0"/>
          <w:marBottom w:val="0"/>
          <w:divBdr>
            <w:top w:val="none" w:sz="0" w:space="0" w:color="auto"/>
            <w:left w:val="none" w:sz="0" w:space="0" w:color="auto"/>
            <w:bottom w:val="none" w:sz="0" w:space="0" w:color="auto"/>
            <w:right w:val="none" w:sz="0" w:space="0" w:color="auto"/>
          </w:divBdr>
        </w:div>
        <w:div w:id="741025113">
          <w:marLeft w:val="0"/>
          <w:marRight w:val="0"/>
          <w:marTop w:val="0"/>
          <w:marBottom w:val="0"/>
          <w:divBdr>
            <w:top w:val="none" w:sz="0" w:space="0" w:color="auto"/>
            <w:left w:val="none" w:sz="0" w:space="0" w:color="auto"/>
            <w:bottom w:val="none" w:sz="0" w:space="0" w:color="auto"/>
            <w:right w:val="none" w:sz="0" w:space="0" w:color="auto"/>
          </w:divBdr>
        </w:div>
        <w:div w:id="1426264812">
          <w:marLeft w:val="0"/>
          <w:marRight w:val="0"/>
          <w:marTop w:val="0"/>
          <w:marBottom w:val="0"/>
          <w:divBdr>
            <w:top w:val="none" w:sz="0" w:space="0" w:color="auto"/>
            <w:left w:val="none" w:sz="0" w:space="0" w:color="auto"/>
            <w:bottom w:val="none" w:sz="0" w:space="0" w:color="auto"/>
            <w:right w:val="none" w:sz="0" w:space="0" w:color="auto"/>
          </w:divBdr>
        </w:div>
        <w:div w:id="20980984">
          <w:marLeft w:val="0"/>
          <w:marRight w:val="0"/>
          <w:marTop w:val="0"/>
          <w:marBottom w:val="0"/>
          <w:divBdr>
            <w:top w:val="none" w:sz="0" w:space="0" w:color="auto"/>
            <w:left w:val="none" w:sz="0" w:space="0" w:color="auto"/>
            <w:bottom w:val="none" w:sz="0" w:space="0" w:color="auto"/>
            <w:right w:val="none" w:sz="0" w:space="0" w:color="auto"/>
          </w:divBdr>
        </w:div>
        <w:div w:id="1224754726">
          <w:marLeft w:val="0"/>
          <w:marRight w:val="0"/>
          <w:marTop w:val="0"/>
          <w:marBottom w:val="0"/>
          <w:divBdr>
            <w:top w:val="none" w:sz="0" w:space="0" w:color="auto"/>
            <w:left w:val="none" w:sz="0" w:space="0" w:color="auto"/>
            <w:bottom w:val="none" w:sz="0" w:space="0" w:color="auto"/>
            <w:right w:val="none" w:sz="0" w:space="0" w:color="auto"/>
          </w:divBdr>
        </w:div>
        <w:div w:id="895628166">
          <w:marLeft w:val="0"/>
          <w:marRight w:val="0"/>
          <w:marTop w:val="0"/>
          <w:marBottom w:val="0"/>
          <w:divBdr>
            <w:top w:val="none" w:sz="0" w:space="0" w:color="auto"/>
            <w:left w:val="none" w:sz="0" w:space="0" w:color="auto"/>
            <w:bottom w:val="none" w:sz="0" w:space="0" w:color="auto"/>
            <w:right w:val="none" w:sz="0" w:space="0" w:color="auto"/>
          </w:divBdr>
        </w:div>
        <w:div w:id="637301102">
          <w:marLeft w:val="0"/>
          <w:marRight w:val="0"/>
          <w:marTop w:val="0"/>
          <w:marBottom w:val="0"/>
          <w:divBdr>
            <w:top w:val="none" w:sz="0" w:space="0" w:color="auto"/>
            <w:left w:val="none" w:sz="0" w:space="0" w:color="auto"/>
            <w:bottom w:val="none" w:sz="0" w:space="0" w:color="auto"/>
            <w:right w:val="none" w:sz="0" w:space="0" w:color="auto"/>
          </w:divBdr>
        </w:div>
        <w:div w:id="1123885178">
          <w:marLeft w:val="0"/>
          <w:marRight w:val="0"/>
          <w:marTop w:val="0"/>
          <w:marBottom w:val="0"/>
          <w:divBdr>
            <w:top w:val="none" w:sz="0" w:space="0" w:color="auto"/>
            <w:left w:val="none" w:sz="0" w:space="0" w:color="auto"/>
            <w:bottom w:val="none" w:sz="0" w:space="0" w:color="auto"/>
            <w:right w:val="none" w:sz="0" w:space="0" w:color="auto"/>
          </w:divBdr>
        </w:div>
        <w:div w:id="112985479">
          <w:marLeft w:val="0"/>
          <w:marRight w:val="0"/>
          <w:marTop w:val="0"/>
          <w:marBottom w:val="0"/>
          <w:divBdr>
            <w:top w:val="none" w:sz="0" w:space="0" w:color="auto"/>
            <w:left w:val="none" w:sz="0" w:space="0" w:color="auto"/>
            <w:bottom w:val="none" w:sz="0" w:space="0" w:color="auto"/>
            <w:right w:val="none" w:sz="0" w:space="0" w:color="auto"/>
          </w:divBdr>
        </w:div>
        <w:div w:id="287779549">
          <w:marLeft w:val="0"/>
          <w:marRight w:val="0"/>
          <w:marTop w:val="0"/>
          <w:marBottom w:val="0"/>
          <w:divBdr>
            <w:top w:val="none" w:sz="0" w:space="0" w:color="auto"/>
            <w:left w:val="none" w:sz="0" w:space="0" w:color="auto"/>
            <w:bottom w:val="none" w:sz="0" w:space="0" w:color="auto"/>
            <w:right w:val="none" w:sz="0" w:space="0" w:color="auto"/>
          </w:divBdr>
        </w:div>
        <w:div w:id="1698896445">
          <w:marLeft w:val="0"/>
          <w:marRight w:val="0"/>
          <w:marTop w:val="0"/>
          <w:marBottom w:val="0"/>
          <w:divBdr>
            <w:top w:val="none" w:sz="0" w:space="0" w:color="auto"/>
            <w:left w:val="none" w:sz="0" w:space="0" w:color="auto"/>
            <w:bottom w:val="none" w:sz="0" w:space="0" w:color="auto"/>
            <w:right w:val="none" w:sz="0" w:space="0" w:color="auto"/>
          </w:divBdr>
        </w:div>
        <w:div w:id="365445021">
          <w:marLeft w:val="0"/>
          <w:marRight w:val="0"/>
          <w:marTop w:val="0"/>
          <w:marBottom w:val="0"/>
          <w:divBdr>
            <w:top w:val="none" w:sz="0" w:space="0" w:color="auto"/>
            <w:left w:val="none" w:sz="0" w:space="0" w:color="auto"/>
            <w:bottom w:val="none" w:sz="0" w:space="0" w:color="auto"/>
            <w:right w:val="none" w:sz="0" w:space="0" w:color="auto"/>
          </w:divBdr>
        </w:div>
        <w:div w:id="44303659">
          <w:marLeft w:val="0"/>
          <w:marRight w:val="0"/>
          <w:marTop w:val="0"/>
          <w:marBottom w:val="0"/>
          <w:divBdr>
            <w:top w:val="none" w:sz="0" w:space="0" w:color="auto"/>
            <w:left w:val="none" w:sz="0" w:space="0" w:color="auto"/>
            <w:bottom w:val="none" w:sz="0" w:space="0" w:color="auto"/>
            <w:right w:val="none" w:sz="0" w:space="0" w:color="auto"/>
          </w:divBdr>
        </w:div>
        <w:div w:id="1202746668">
          <w:marLeft w:val="0"/>
          <w:marRight w:val="0"/>
          <w:marTop w:val="0"/>
          <w:marBottom w:val="0"/>
          <w:divBdr>
            <w:top w:val="none" w:sz="0" w:space="0" w:color="auto"/>
            <w:left w:val="none" w:sz="0" w:space="0" w:color="auto"/>
            <w:bottom w:val="none" w:sz="0" w:space="0" w:color="auto"/>
            <w:right w:val="none" w:sz="0" w:space="0" w:color="auto"/>
          </w:divBdr>
        </w:div>
        <w:div w:id="1424112293">
          <w:marLeft w:val="0"/>
          <w:marRight w:val="0"/>
          <w:marTop w:val="0"/>
          <w:marBottom w:val="0"/>
          <w:divBdr>
            <w:top w:val="none" w:sz="0" w:space="0" w:color="auto"/>
            <w:left w:val="none" w:sz="0" w:space="0" w:color="auto"/>
            <w:bottom w:val="none" w:sz="0" w:space="0" w:color="auto"/>
            <w:right w:val="none" w:sz="0" w:space="0" w:color="auto"/>
          </w:divBdr>
        </w:div>
        <w:div w:id="1536111901">
          <w:marLeft w:val="0"/>
          <w:marRight w:val="0"/>
          <w:marTop w:val="0"/>
          <w:marBottom w:val="0"/>
          <w:divBdr>
            <w:top w:val="none" w:sz="0" w:space="0" w:color="auto"/>
            <w:left w:val="none" w:sz="0" w:space="0" w:color="auto"/>
            <w:bottom w:val="none" w:sz="0" w:space="0" w:color="auto"/>
            <w:right w:val="none" w:sz="0" w:space="0" w:color="auto"/>
          </w:divBdr>
        </w:div>
        <w:div w:id="989283149">
          <w:marLeft w:val="0"/>
          <w:marRight w:val="0"/>
          <w:marTop w:val="0"/>
          <w:marBottom w:val="0"/>
          <w:divBdr>
            <w:top w:val="none" w:sz="0" w:space="0" w:color="auto"/>
            <w:left w:val="none" w:sz="0" w:space="0" w:color="auto"/>
            <w:bottom w:val="none" w:sz="0" w:space="0" w:color="auto"/>
            <w:right w:val="none" w:sz="0" w:space="0" w:color="auto"/>
          </w:divBdr>
        </w:div>
        <w:div w:id="1986934041">
          <w:marLeft w:val="0"/>
          <w:marRight w:val="0"/>
          <w:marTop w:val="0"/>
          <w:marBottom w:val="0"/>
          <w:divBdr>
            <w:top w:val="none" w:sz="0" w:space="0" w:color="auto"/>
            <w:left w:val="none" w:sz="0" w:space="0" w:color="auto"/>
            <w:bottom w:val="none" w:sz="0" w:space="0" w:color="auto"/>
            <w:right w:val="none" w:sz="0" w:space="0" w:color="auto"/>
          </w:divBdr>
        </w:div>
        <w:div w:id="281350950">
          <w:marLeft w:val="0"/>
          <w:marRight w:val="0"/>
          <w:marTop w:val="0"/>
          <w:marBottom w:val="0"/>
          <w:divBdr>
            <w:top w:val="none" w:sz="0" w:space="0" w:color="auto"/>
            <w:left w:val="none" w:sz="0" w:space="0" w:color="auto"/>
            <w:bottom w:val="none" w:sz="0" w:space="0" w:color="auto"/>
            <w:right w:val="none" w:sz="0" w:space="0" w:color="auto"/>
          </w:divBdr>
        </w:div>
        <w:div w:id="950285716">
          <w:marLeft w:val="0"/>
          <w:marRight w:val="0"/>
          <w:marTop w:val="0"/>
          <w:marBottom w:val="0"/>
          <w:divBdr>
            <w:top w:val="none" w:sz="0" w:space="0" w:color="auto"/>
            <w:left w:val="none" w:sz="0" w:space="0" w:color="auto"/>
            <w:bottom w:val="none" w:sz="0" w:space="0" w:color="auto"/>
            <w:right w:val="none" w:sz="0" w:space="0" w:color="auto"/>
          </w:divBdr>
        </w:div>
        <w:div w:id="104424334">
          <w:marLeft w:val="0"/>
          <w:marRight w:val="0"/>
          <w:marTop w:val="0"/>
          <w:marBottom w:val="0"/>
          <w:divBdr>
            <w:top w:val="none" w:sz="0" w:space="0" w:color="auto"/>
            <w:left w:val="none" w:sz="0" w:space="0" w:color="auto"/>
            <w:bottom w:val="none" w:sz="0" w:space="0" w:color="auto"/>
            <w:right w:val="none" w:sz="0" w:space="0" w:color="auto"/>
          </w:divBdr>
        </w:div>
        <w:div w:id="1708333877">
          <w:marLeft w:val="0"/>
          <w:marRight w:val="0"/>
          <w:marTop w:val="0"/>
          <w:marBottom w:val="0"/>
          <w:divBdr>
            <w:top w:val="none" w:sz="0" w:space="0" w:color="auto"/>
            <w:left w:val="none" w:sz="0" w:space="0" w:color="auto"/>
            <w:bottom w:val="none" w:sz="0" w:space="0" w:color="auto"/>
            <w:right w:val="none" w:sz="0" w:space="0" w:color="auto"/>
          </w:divBdr>
        </w:div>
        <w:div w:id="1258447294">
          <w:marLeft w:val="0"/>
          <w:marRight w:val="0"/>
          <w:marTop w:val="0"/>
          <w:marBottom w:val="0"/>
          <w:divBdr>
            <w:top w:val="none" w:sz="0" w:space="0" w:color="auto"/>
            <w:left w:val="none" w:sz="0" w:space="0" w:color="auto"/>
            <w:bottom w:val="none" w:sz="0" w:space="0" w:color="auto"/>
            <w:right w:val="none" w:sz="0" w:space="0" w:color="auto"/>
          </w:divBdr>
        </w:div>
        <w:div w:id="1239511345">
          <w:marLeft w:val="0"/>
          <w:marRight w:val="0"/>
          <w:marTop w:val="0"/>
          <w:marBottom w:val="0"/>
          <w:divBdr>
            <w:top w:val="none" w:sz="0" w:space="0" w:color="auto"/>
            <w:left w:val="none" w:sz="0" w:space="0" w:color="auto"/>
            <w:bottom w:val="none" w:sz="0" w:space="0" w:color="auto"/>
            <w:right w:val="none" w:sz="0" w:space="0" w:color="auto"/>
          </w:divBdr>
        </w:div>
        <w:div w:id="321398236">
          <w:marLeft w:val="0"/>
          <w:marRight w:val="0"/>
          <w:marTop w:val="0"/>
          <w:marBottom w:val="0"/>
          <w:divBdr>
            <w:top w:val="none" w:sz="0" w:space="0" w:color="auto"/>
            <w:left w:val="none" w:sz="0" w:space="0" w:color="auto"/>
            <w:bottom w:val="none" w:sz="0" w:space="0" w:color="auto"/>
            <w:right w:val="none" w:sz="0" w:space="0" w:color="auto"/>
          </w:divBdr>
        </w:div>
        <w:div w:id="1935549880">
          <w:marLeft w:val="0"/>
          <w:marRight w:val="0"/>
          <w:marTop w:val="0"/>
          <w:marBottom w:val="0"/>
          <w:divBdr>
            <w:top w:val="none" w:sz="0" w:space="0" w:color="auto"/>
            <w:left w:val="none" w:sz="0" w:space="0" w:color="auto"/>
            <w:bottom w:val="none" w:sz="0" w:space="0" w:color="auto"/>
            <w:right w:val="none" w:sz="0" w:space="0" w:color="auto"/>
          </w:divBdr>
        </w:div>
        <w:div w:id="129635399">
          <w:marLeft w:val="0"/>
          <w:marRight w:val="0"/>
          <w:marTop w:val="0"/>
          <w:marBottom w:val="0"/>
          <w:divBdr>
            <w:top w:val="none" w:sz="0" w:space="0" w:color="auto"/>
            <w:left w:val="none" w:sz="0" w:space="0" w:color="auto"/>
            <w:bottom w:val="none" w:sz="0" w:space="0" w:color="auto"/>
            <w:right w:val="none" w:sz="0" w:space="0" w:color="auto"/>
          </w:divBdr>
        </w:div>
        <w:div w:id="100299441">
          <w:marLeft w:val="0"/>
          <w:marRight w:val="0"/>
          <w:marTop w:val="0"/>
          <w:marBottom w:val="0"/>
          <w:divBdr>
            <w:top w:val="none" w:sz="0" w:space="0" w:color="auto"/>
            <w:left w:val="none" w:sz="0" w:space="0" w:color="auto"/>
            <w:bottom w:val="none" w:sz="0" w:space="0" w:color="auto"/>
            <w:right w:val="none" w:sz="0" w:space="0" w:color="auto"/>
          </w:divBdr>
        </w:div>
        <w:div w:id="610552634">
          <w:marLeft w:val="0"/>
          <w:marRight w:val="0"/>
          <w:marTop w:val="0"/>
          <w:marBottom w:val="0"/>
          <w:divBdr>
            <w:top w:val="none" w:sz="0" w:space="0" w:color="auto"/>
            <w:left w:val="none" w:sz="0" w:space="0" w:color="auto"/>
            <w:bottom w:val="none" w:sz="0" w:space="0" w:color="auto"/>
            <w:right w:val="none" w:sz="0" w:space="0" w:color="auto"/>
          </w:divBdr>
        </w:div>
        <w:div w:id="379861074">
          <w:marLeft w:val="0"/>
          <w:marRight w:val="0"/>
          <w:marTop w:val="0"/>
          <w:marBottom w:val="0"/>
          <w:divBdr>
            <w:top w:val="none" w:sz="0" w:space="0" w:color="auto"/>
            <w:left w:val="none" w:sz="0" w:space="0" w:color="auto"/>
            <w:bottom w:val="none" w:sz="0" w:space="0" w:color="auto"/>
            <w:right w:val="none" w:sz="0" w:space="0" w:color="auto"/>
          </w:divBdr>
        </w:div>
        <w:div w:id="1021779982">
          <w:marLeft w:val="0"/>
          <w:marRight w:val="0"/>
          <w:marTop w:val="0"/>
          <w:marBottom w:val="0"/>
          <w:divBdr>
            <w:top w:val="none" w:sz="0" w:space="0" w:color="auto"/>
            <w:left w:val="none" w:sz="0" w:space="0" w:color="auto"/>
            <w:bottom w:val="none" w:sz="0" w:space="0" w:color="auto"/>
            <w:right w:val="none" w:sz="0" w:space="0" w:color="auto"/>
          </w:divBdr>
        </w:div>
        <w:div w:id="1027565666">
          <w:marLeft w:val="0"/>
          <w:marRight w:val="0"/>
          <w:marTop w:val="0"/>
          <w:marBottom w:val="0"/>
          <w:divBdr>
            <w:top w:val="none" w:sz="0" w:space="0" w:color="auto"/>
            <w:left w:val="none" w:sz="0" w:space="0" w:color="auto"/>
            <w:bottom w:val="none" w:sz="0" w:space="0" w:color="auto"/>
            <w:right w:val="none" w:sz="0" w:space="0" w:color="auto"/>
          </w:divBdr>
        </w:div>
        <w:div w:id="316691196">
          <w:marLeft w:val="0"/>
          <w:marRight w:val="0"/>
          <w:marTop w:val="0"/>
          <w:marBottom w:val="0"/>
          <w:divBdr>
            <w:top w:val="none" w:sz="0" w:space="0" w:color="auto"/>
            <w:left w:val="none" w:sz="0" w:space="0" w:color="auto"/>
            <w:bottom w:val="none" w:sz="0" w:space="0" w:color="auto"/>
            <w:right w:val="none" w:sz="0" w:space="0" w:color="auto"/>
          </w:divBdr>
        </w:div>
        <w:div w:id="726955641">
          <w:marLeft w:val="0"/>
          <w:marRight w:val="0"/>
          <w:marTop w:val="0"/>
          <w:marBottom w:val="0"/>
          <w:divBdr>
            <w:top w:val="none" w:sz="0" w:space="0" w:color="auto"/>
            <w:left w:val="none" w:sz="0" w:space="0" w:color="auto"/>
            <w:bottom w:val="none" w:sz="0" w:space="0" w:color="auto"/>
            <w:right w:val="none" w:sz="0" w:space="0" w:color="auto"/>
          </w:divBdr>
        </w:div>
        <w:div w:id="653684073">
          <w:marLeft w:val="0"/>
          <w:marRight w:val="0"/>
          <w:marTop w:val="0"/>
          <w:marBottom w:val="0"/>
          <w:divBdr>
            <w:top w:val="none" w:sz="0" w:space="0" w:color="auto"/>
            <w:left w:val="none" w:sz="0" w:space="0" w:color="auto"/>
            <w:bottom w:val="none" w:sz="0" w:space="0" w:color="auto"/>
            <w:right w:val="none" w:sz="0" w:space="0" w:color="auto"/>
          </w:divBdr>
        </w:div>
        <w:div w:id="1842696857">
          <w:marLeft w:val="0"/>
          <w:marRight w:val="0"/>
          <w:marTop w:val="0"/>
          <w:marBottom w:val="0"/>
          <w:divBdr>
            <w:top w:val="none" w:sz="0" w:space="0" w:color="auto"/>
            <w:left w:val="none" w:sz="0" w:space="0" w:color="auto"/>
            <w:bottom w:val="none" w:sz="0" w:space="0" w:color="auto"/>
            <w:right w:val="none" w:sz="0" w:space="0" w:color="auto"/>
          </w:divBdr>
        </w:div>
        <w:div w:id="1169758782">
          <w:marLeft w:val="0"/>
          <w:marRight w:val="0"/>
          <w:marTop w:val="0"/>
          <w:marBottom w:val="0"/>
          <w:divBdr>
            <w:top w:val="none" w:sz="0" w:space="0" w:color="auto"/>
            <w:left w:val="none" w:sz="0" w:space="0" w:color="auto"/>
            <w:bottom w:val="none" w:sz="0" w:space="0" w:color="auto"/>
            <w:right w:val="none" w:sz="0" w:space="0" w:color="auto"/>
          </w:divBdr>
        </w:div>
        <w:div w:id="1561595166">
          <w:marLeft w:val="0"/>
          <w:marRight w:val="0"/>
          <w:marTop w:val="0"/>
          <w:marBottom w:val="0"/>
          <w:divBdr>
            <w:top w:val="none" w:sz="0" w:space="0" w:color="auto"/>
            <w:left w:val="none" w:sz="0" w:space="0" w:color="auto"/>
            <w:bottom w:val="none" w:sz="0" w:space="0" w:color="auto"/>
            <w:right w:val="none" w:sz="0" w:space="0" w:color="auto"/>
          </w:divBdr>
        </w:div>
        <w:div w:id="1426850464">
          <w:marLeft w:val="0"/>
          <w:marRight w:val="0"/>
          <w:marTop w:val="0"/>
          <w:marBottom w:val="0"/>
          <w:divBdr>
            <w:top w:val="none" w:sz="0" w:space="0" w:color="auto"/>
            <w:left w:val="none" w:sz="0" w:space="0" w:color="auto"/>
            <w:bottom w:val="none" w:sz="0" w:space="0" w:color="auto"/>
            <w:right w:val="none" w:sz="0" w:space="0" w:color="auto"/>
          </w:divBdr>
        </w:div>
        <w:div w:id="771172026">
          <w:marLeft w:val="0"/>
          <w:marRight w:val="0"/>
          <w:marTop w:val="0"/>
          <w:marBottom w:val="0"/>
          <w:divBdr>
            <w:top w:val="none" w:sz="0" w:space="0" w:color="auto"/>
            <w:left w:val="none" w:sz="0" w:space="0" w:color="auto"/>
            <w:bottom w:val="none" w:sz="0" w:space="0" w:color="auto"/>
            <w:right w:val="none" w:sz="0" w:space="0" w:color="auto"/>
          </w:divBdr>
        </w:div>
        <w:div w:id="1001466163">
          <w:marLeft w:val="0"/>
          <w:marRight w:val="0"/>
          <w:marTop w:val="0"/>
          <w:marBottom w:val="0"/>
          <w:divBdr>
            <w:top w:val="none" w:sz="0" w:space="0" w:color="auto"/>
            <w:left w:val="none" w:sz="0" w:space="0" w:color="auto"/>
            <w:bottom w:val="none" w:sz="0" w:space="0" w:color="auto"/>
            <w:right w:val="none" w:sz="0" w:space="0" w:color="auto"/>
          </w:divBdr>
        </w:div>
        <w:div w:id="397747354">
          <w:marLeft w:val="0"/>
          <w:marRight w:val="0"/>
          <w:marTop w:val="0"/>
          <w:marBottom w:val="0"/>
          <w:divBdr>
            <w:top w:val="none" w:sz="0" w:space="0" w:color="auto"/>
            <w:left w:val="none" w:sz="0" w:space="0" w:color="auto"/>
            <w:bottom w:val="none" w:sz="0" w:space="0" w:color="auto"/>
            <w:right w:val="none" w:sz="0" w:space="0" w:color="auto"/>
          </w:divBdr>
        </w:div>
        <w:div w:id="1109004507">
          <w:marLeft w:val="0"/>
          <w:marRight w:val="0"/>
          <w:marTop w:val="0"/>
          <w:marBottom w:val="0"/>
          <w:divBdr>
            <w:top w:val="none" w:sz="0" w:space="0" w:color="auto"/>
            <w:left w:val="none" w:sz="0" w:space="0" w:color="auto"/>
            <w:bottom w:val="none" w:sz="0" w:space="0" w:color="auto"/>
            <w:right w:val="none" w:sz="0" w:space="0" w:color="auto"/>
          </w:divBdr>
        </w:div>
        <w:div w:id="685326592">
          <w:marLeft w:val="0"/>
          <w:marRight w:val="0"/>
          <w:marTop w:val="0"/>
          <w:marBottom w:val="0"/>
          <w:divBdr>
            <w:top w:val="none" w:sz="0" w:space="0" w:color="auto"/>
            <w:left w:val="none" w:sz="0" w:space="0" w:color="auto"/>
            <w:bottom w:val="none" w:sz="0" w:space="0" w:color="auto"/>
            <w:right w:val="none" w:sz="0" w:space="0" w:color="auto"/>
          </w:divBdr>
        </w:div>
        <w:div w:id="726800484">
          <w:marLeft w:val="0"/>
          <w:marRight w:val="0"/>
          <w:marTop w:val="0"/>
          <w:marBottom w:val="0"/>
          <w:divBdr>
            <w:top w:val="none" w:sz="0" w:space="0" w:color="auto"/>
            <w:left w:val="none" w:sz="0" w:space="0" w:color="auto"/>
            <w:bottom w:val="none" w:sz="0" w:space="0" w:color="auto"/>
            <w:right w:val="none" w:sz="0" w:space="0" w:color="auto"/>
          </w:divBdr>
        </w:div>
        <w:div w:id="1223634534">
          <w:marLeft w:val="0"/>
          <w:marRight w:val="0"/>
          <w:marTop w:val="0"/>
          <w:marBottom w:val="0"/>
          <w:divBdr>
            <w:top w:val="none" w:sz="0" w:space="0" w:color="auto"/>
            <w:left w:val="none" w:sz="0" w:space="0" w:color="auto"/>
            <w:bottom w:val="none" w:sz="0" w:space="0" w:color="auto"/>
            <w:right w:val="none" w:sz="0" w:space="0" w:color="auto"/>
          </w:divBdr>
        </w:div>
        <w:div w:id="558173473">
          <w:marLeft w:val="0"/>
          <w:marRight w:val="0"/>
          <w:marTop w:val="0"/>
          <w:marBottom w:val="0"/>
          <w:divBdr>
            <w:top w:val="none" w:sz="0" w:space="0" w:color="auto"/>
            <w:left w:val="none" w:sz="0" w:space="0" w:color="auto"/>
            <w:bottom w:val="none" w:sz="0" w:space="0" w:color="auto"/>
            <w:right w:val="none" w:sz="0" w:space="0" w:color="auto"/>
          </w:divBdr>
        </w:div>
        <w:div w:id="796796192">
          <w:marLeft w:val="0"/>
          <w:marRight w:val="0"/>
          <w:marTop w:val="0"/>
          <w:marBottom w:val="0"/>
          <w:divBdr>
            <w:top w:val="none" w:sz="0" w:space="0" w:color="auto"/>
            <w:left w:val="none" w:sz="0" w:space="0" w:color="auto"/>
            <w:bottom w:val="none" w:sz="0" w:space="0" w:color="auto"/>
            <w:right w:val="none" w:sz="0" w:space="0" w:color="auto"/>
          </w:divBdr>
        </w:div>
      </w:divsChild>
    </w:div>
    <w:div w:id="1167936748">
      <w:bodyDiv w:val="1"/>
      <w:marLeft w:val="0"/>
      <w:marRight w:val="0"/>
      <w:marTop w:val="0"/>
      <w:marBottom w:val="0"/>
      <w:divBdr>
        <w:top w:val="none" w:sz="0" w:space="0" w:color="auto"/>
        <w:left w:val="none" w:sz="0" w:space="0" w:color="auto"/>
        <w:bottom w:val="none" w:sz="0" w:space="0" w:color="auto"/>
        <w:right w:val="none" w:sz="0" w:space="0" w:color="auto"/>
      </w:divBdr>
    </w:div>
    <w:div w:id="1178691611">
      <w:bodyDiv w:val="1"/>
      <w:marLeft w:val="0"/>
      <w:marRight w:val="0"/>
      <w:marTop w:val="0"/>
      <w:marBottom w:val="0"/>
      <w:divBdr>
        <w:top w:val="none" w:sz="0" w:space="0" w:color="auto"/>
        <w:left w:val="none" w:sz="0" w:space="0" w:color="auto"/>
        <w:bottom w:val="none" w:sz="0" w:space="0" w:color="auto"/>
        <w:right w:val="none" w:sz="0" w:space="0" w:color="auto"/>
      </w:divBdr>
      <w:divsChild>
        <w:div w:id="1284003204">
          <w:marLeft w:val="0"/>
          <w:marRight w:val="0"/>
          <w:marTop w:val="0"/>
          <w:marBottom w:val="0"/>
          <w:divBdr>
            <w:top w:val="none" w:sz="0" w:space="0" w:color="auto"/>
            <w:left w:val="none" w:sz="0" w:space="0" w:color="auto"/>
            <w:bottom w:val="none" w:sz="0" w:space="0" w:color="auto"/>
            <w:right w:val="none" w:sz="0" w:space="0" w:color="auto"/>
          </w:divBdr>
        </w:div>
        <w:div w:id="1489127401">
          <w:marLeft w:val="0"/>
          <w:marRight w:val="0"/>
          <w:marTop w:val="0"/>
          <w:marBottom w:val="0"/>
          <w:divBdr>
            <w:top w:val="none" w:sz="0" w:space="0" w:color="auto"/>
            <w:left w:val="none" w:sz="0" w:space="0" w:color="auto"/>
            <w:bottom w:val="none" w:sz="0" w:space="0" w:color="auto"/>
            <w:right w:val="none" w:sz="0" w:space="0" w:color="auto"/>
          </w:divBdr>
        </w:div>
      </w:divsChild>
    </w:div>
    <w:div w:id="1185171663">
      <w:bodyDiv w:val="1"/>
      <w:marLeft w:val="0"/>
      <w:marRight w:val="0"/>
      <w:marTop w:val="0"/>
      <w:marBottom w:val="0"/>
      <w:divBdr>
        <w:top w:val="none" w:sz="0" w:space="0" w:color="auto"/>
        <w:left w:val="none" w:sz="0" w:space="0" w:color="auto"/>
        <w:bottom w:val="none" w:sz="0" w:space="0" w:color="auto"/>
        <w:right w:val="none" w:sz="0" w:space="0" w:color="auto"/>
      </w:divBdr>
    </w:div>
    <w:div w:id="1200163384">
      <w:bodyDiv w:val="1"/>
      <w:marLeft w:val="0"/>
      <w:marRight w:val="0"/>
      <w:marTop w:val="0"/>
      <w:marBottom w:val="0"/>
      <w:divBdr>
        <w:top w:val="none" w:sz="0" w:space="0" w:color="auto"/>
        <w:left w:val="none" w:sz="0" w:space="0" w:color="auto"/>
        <w:bottom w:val="none" w:sz="0" w:space="0" w:color="auto"/>
        <w:right w:val="none" w:sz="0" w:space="0" w:color="auto"/>
      </w:divBdr>
      <w:divsChild>
        <w:div w:id="874469714">
          <w:marLeft w:val="0"/>
          <w:marRight w:val="0"/>
          <w:marTop w:val="0"/>
          <w:marBottom w:val="0"/>
          <w:divBdr>
            <w:top w:val="none" w:sz="0" w:space="0" w:color="auto"/>
            <w:left w:val="none" w:sz="0" w:space="0" w:color="auto"/>
            <w:bottom w:val="none" w:sz="0" w:space="0" w:color="auto"/>
            <w:right w:val="none" w:sz="0" w:space="0" w:color="auto"/>
          </w:divBdr>
          <w:divsChild>
            <w:div w:id="1051657528">
              <w:marLeft w:val="0"/>
              <w:marRight w:val="0"/>
              <w:marTop w:val="0"/>
              <w:marBottom w:val="0"/>
              <w:divBdr>
                <w:top w:val="none" w:sz="0" w:space="0" w:color="auto"/>
                <w:left w:val="none" w:sz="0" w:space="0" w:color="auto"/>
                <w:bottom w:val="none" w:sz="0" w:space="0" w:color="auto"/>
                <w:right w:val="none" w:sz="0" w:space="0" w:color="auto"/>
              </w:divBdr>
              <w:divsChild>
                <w:div w:id="15047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9062">
      <w:bodyDiv w:val="1"/>
      <w:marLeft w:val="0"/>
      <w:marRight w:val="0"/>
      <w:marTop w:val="0"/>
      <w:marBottom w:val="0"/>
      <w:divBdr>
        <w:top w:val="none" w:sz="0" w:space="0" w:color="auto"/>
        <w:left w:val="none" w:sz="0" w:space="0" w:color="auto"/>
        <w:bottom w:val="none" w:sz="0" w:space="0" w:color="auto"/>
        <w:right w:val="none" w:sz="0" w:space="0" w:color="auto"/>
      </w:divBdr>
    </w:div>
    <w:div w:id="1210874747">
      <w:bodyDiv w:val="1"/>
      <w:marLeft w:val="0"/>
      <w:marRight w:val="0"/>
      <w:marTop w:val="0"/>
      <w:marBottom w:val="0"/>
      <w:divBdr>
        <w:top w:val="none" w:sz="0" w:space="0" w:color="auto"/>
        <w:left w:val="none" w:sz="0" w:space="0" w:color="auto"/>
        <w:bottom w:val="none" w:sz="0" w:space="0" w:color="auto"/>
        <w:right w:val="none" w:sz="0" w:space="0" w:color="auto"/>
      </w:divBdr>
      <w:divsChild>
        <w:div w:id="2106992588">
          <w:marLeft w:val="0"/>
          <w:marRight w:val="0"/>
          <w:marTop w:val="0"/>
          <w:marBottom w:val="0"/>
          <w:divBdr>
            <w:top w:val="none" w:sz="0" w:space="0" w:color="auto"/>
            <w:left w:val="none" w:sz="0" w:space="0" w:color="auto"/>
            <w:bottom w:val="none" w:sz="0" w:space="0" w:color="auto"/>
            <w:right w:val="none" w:sz="0" w:space="0" w:color="auto"/>
          </w:divBdr>
          <w:divsChild>
            <w:div w:id="123350696">
              <w:marLeft w:val="0"/>
              <w:marRight w:val="0"/>
              <w:marTop w:val="0"/>
              <w:marBottom w:val="0"/>
              <w:divBdr>
                <w:top w:val="none" w:sz="0" w:space="0" w:color="auto"/>
                <w:left w:val="none" w:sz="0" w:space="0" w:color="auto"/>
                <w:bottom w:val="none" w:sz="0" w:space="0" w:color="auto"/>
                <w:right w:val="none" w:sz="0" w:space="0" w:color="auto"/>
              </w:divBdr>
              <w:divsChild>
                <w:div w:id="112173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3459">
      <w:bodyDiv w:val="1"/>
      <w:marLeft w:val="0"/>
      <w:marRight w:val="0"/>
      <w:marTop w:val="0"/>
      <w:marBottom w:val="0"/>
      <w:divBdr>
        <w:top w:val="none" w:sz="0" w:space="0" w:color="auto"/>
        <w:left w:val="none" w:sz="0" w:space="0" w:color="auto"/>
        <w:bottom w:val="none" w:sz="0" w:space="0" w:color="auto"/>
        <w:right w:val="none" w:sz="0" w:space="0" w:color="auto"/>
      </w:divBdr>
    </w:div>
    <w:div w:id="1238395511">
      <w:bodyDiv w:val="1"/>
      <w:marLeft w:val="0"/>
      <w:marRight w:val="0"/>
      <w:marTop w:val="0"/>
      <w:marBottom w:val="0"/>
      <w:divBdr>
        <w:top w:val="none" w:sz="0" w:space="0" w:color="auto"/>
        <w:left w:val="none" w:sz="0" w:space="0" w:color="auto"/>
        <w:bottom w:val="none" w:sz="0" w:space="0" w:color="auto"/>
        <w:right w:val="none" w:sz="0" w:space="0" w:color="auto"/>
      </w:divBdr>
    </w:div>
    <w:div w:id="1240947706">
      <w:bodyDiv w:val="1"/>
      <w:marLeft w:val="0"/>
      <w:marRight w:val="0"/>
      <w:marTop w:val="0"/>
      <w:marBottom w:val="0"/>
      <w:divBdr>
        <w:top w:val="none" w:sz="0" w:space="0" w:color="auto"/>
        <w:left w:val="none" w:sz="0" w:space="0" w:color="auto"/>
        <w:bottom w:val="none" w:sz="0" w:space="0" w:color="auto"/>
        <w:right w:val="none" w:sz="0" w:space="0" w:color="auto"/>
      </w:divBdr>
      <w:divsChild>
        <w:div w:id="90398715">
          <w:marLeft w:val="0"/>
          <w:marRight w:val="0"/>
          <w:marTop w:val="0"/>
          <w:marBottom w:val="0"/>
          <w:divBdr>
            <w:top w:val="none" w:sz="0" w:space="0" w:color="auto"/>
            <w:left w:val="none" w:sz="0" w:space="0" w:color="auto"/>
            <w:bottom w:val="none" w:sz="0" w:space="0" w:color="auto"/>
            <w:right w:val="none" w:sz="0" w:space="0" w:color="auto"/>
          </w:divBdr>
          <w:divsChild>
            <w:div w:id="2070960912">
              <w:marLeft w:val="0"/>
              <w:marRight w:val="0"/>
              <w:marTop w:val="0"/>
              <w:marBottom w:val="0"/>
              <w:divBdr>
                <w:top w:val="none" w:sz="0" w:space="0" w:color="auto"/>
                <w:left w:val="none" w:sz="0" w:space="0" w:color="auto"/>
                <w:bottom w:val="none" w:sz="0" w:space="0" w:color="auto"/>
                <w:right w:val="none" w:sz="0" w:space="0" w:color="auto"/>
              </w:divBdr>
              <w:divsChild>
                <w:div w:id="521554028">
                  <w:marLeft w:val="0"/>
                  <w:marRight w:val="0"/>
                  <w:marTop w:val="0"/>
                  <w:marBottom w:val="0"/>
                  <w:divBdr>
                    <w:top w:val="none" w:sz="0" w:space="0" w:color="auto"/>
                    <w:left w:val="none" w:sz="0" w:space="0" w:color="auto"/>
                    <w:bottom w:val="none" w:sz="0" w:space="0" w:color="auto"/>
                    <w:right w:val="none" w:sz="0" w:space="0" w:color="auto"/>
                  </w:divBdr>
                  <w:divsChild>
                    <w:div w:id="3143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268371">
      <w:bodyDiv w:val="1"/>
      <w:marLeft w:val="0"/>
      <w:marRight w:val="0"/>
      <w:marTop w:val="0"/>
      <w:marBottom w:val="0"/>
      <w:divBdr>
        <w:top w:val="none" w:sz="0" w:space="0" w:color="auto"/>
        <w:left w:val="none" w:sz="0" w:space="0" w:color="auto"/>
        <w:bottom w:val="none" w:sz="0" w:space="0" w:color="auto"/>
        <w:right w:val="none" w:sz="0" w:space="0" w:color="auto"/>
      </w:divBdr>
    </w:div>
    <w:div w:id="1281719096">
      <w:bodyDiv w:val="1"/>
      <w:marLeft w:val="0"/>
      <w:marRight w:val="0"/>
      <w:marTop w:val="0"/>
      <w:marBottom w:val="0"/>
      <w:divBdr>
        <w:top w:val="none" w:sz="0" w:space="0" w:color="auto"/>
        <w:left w:val="none" w:sz="0" w:space="0" w:color="auto"/>
        <w:bottom w:val="none" w:sz="0" w:space="0" w:color="auto"/>
        <w:right w:val="none" w:sz="0" w:space="0" w:color="auto"/>
      </w:divBdr>
    </w:div>
    <w:div w:id="1293174359">
      <w:bodyDiv w:val="1"/>
      <w:marLeft w:val="0"/>
      <w:marRight w:val="0"/>
      <w:marTop w:val="0"/>
      <w:marBottom w:val="0"/>
      <w:divBdr>
        <w:top w:val="none" w:sz="0" w:space="0" w:color="auto"/>
        <w:left w:val="none" w:sz="0" w:space="0" w:color="auto"/>
        <w:bottom w:val="none" w:sz="0" w:space="0" w:color="auto"/>
        <w:right w:val="none" w:sz="0" w:space="0" w:color="auto"/>
      </w:divBdr>
    </w:div>
    <w:div w:id="1296834911">
      <w:bodyDiv w:val="1"/>
      <w:marLeft w:val="0"/>
      <w:marRight w:val="0"/>
      <w:marTop w:val="0"/>
      <w:marBottom w:val="0"/>
      <w:divBdr>
        <w:top w:val="none" w:sz="0" w:space="0" w:color="auto"/>
        <w:left w:val="none" w:sz="0" w:space="0" w:color="auto"/>
        <w:bottom w:val="none" w:sz="0" w:space="0" w:color="auto"/>
        <w:right w:val="none" w:sz="0" w:space="0" w:color="auto"/>
      </w:divBdr>
    </w:div>
    <w:div w:id="1309435625">
      <w:bodyDiv w:val="1"/>
      <w:marLeft w:val="0"/>
      <w:marRight w:val="0"/>
      <w:marTop w:val="0"/>
      <w:marBottom w:val="0"/>
      <w:divBdr>
        <w:top w:val="none" w:sz="0" w:space="0" w:color="auto"/>
        <w:left w:val="none" w:sz="0" w:space="0" w:color="auto"/>
        <w:bottom w:val="none" w:sz="0" w:space="0" w:color="auto"/>
        <w:right w:val="none" w:sz="0" w:space="0" w:color="auto"/>
      </w:divBdr>
    </w:div>
    <w:div w:id="1330329751">
      <w:bodyDiv w:val="1"/>
      <w:marLeft w:val="0"/>
      <w:marRight w:val="0"/>
      <w:marTop w:val="0"/>
      <w:marBottom w:val="0"/>
      <w:divBdr>
        <w:top w:val="none" w:sz="0" w:space="0" w:color="auto"/>
        <w:left w:val="none" w:sz="0" w:space="0" w:color="auto"/>
        <w:bottom w:val="none" w:sz="0" w:space="0" w:color="auto"/>
        <w:right w:val="none" w:sz="0" w:space="0" w:color="auto"/>
      </w:divBdr>
    </w:div>
    <w:div w:id="1362050223">
      <w:bodyDiv w:val="1"/>
      <w:marLeft w:val="0"/>
      <w:marRight w:val="0"/>
      <w:marTop w:val="0"/>
      <w:marBottom w:val="0"/>
      <w:divBdr>
        <w:top w:val="none" w:sz="0" w:space="0" w:color="auto"/>
        <w:left w:val="none" w:sz="0" w:space="0" w:color="auto"/>
        <w:bottom w:val="none" w:sz="0" w:space="0" w:color="auto"/>
        <w:right w:val="none" w:sz="0" w:space="0" w:color="auto"/>
      </w:divBdr>
    </w:div>
    <w:div w:id="1379547274">
      <w:bodyDiv w:val="1"/>
      <w:marLeft w:val="0"/>
      <w:marRight w:val="0"/>
      <w:marTop w:val="0"/>
      <w:marBottom w:val="0"/>
      <w:divBdr>
        <w:top w:val="none" w:sz="0" w:space="0" w:color="auto"/>
        <w:left w:val="none" w:sz="0" w:space="0" w:color="auto"/>
        <w:bottom w:val="none" w:sz="0" w:space="0" w:color="auto"/>
        <w:right w:val="none" w:sz="0" w:space="0" w:color="auto"/>
      </w:divBdr>
    </w:div>
    <w:div w:id="1419717194">
      <w:bodyDiv w:val="1"/>
      <w:marLeft w:val="0"/>
      <w:marRight w:val="0"/>
      <w:marTop w:val="0"/>
      <w:marBottom w:val="0"/>
      <w:divBdr>
        <w:top w:val="none" w:sz="0" w:space="0" w:color="auto"/>
        <w:left w:val="none" w:sz="0" w:space="0" w:color="auto"/>
        <w:bottom w:val="none" w:sz="0" w:space="0" w:color="auto"/>
        <w:right w:val="none" w:sz="0" w:space="0" w:color="auto"/>
      </w:divBdr>
      <w:divsChild>
        <w:div w:id="2074619656">
          <w:marLeft w:val="0"/>
          <w:marRight w:val="0"/>
          <w:marTop w:val="0"/>
          <w:marBottom w:val="0"/>
          <w:divBdr>
            <w:top w:val="none" w:sz="0" w:space="0" w:color="auto"/>
            <w:left w:val="none" w:sz="0" w:space="0" w:color="auto"/>
            <w:bottom w:val="none" w:sz="0" w:space="0" w:color="auto"/>
            <w:right w:val="none" w:sz="0" w:space="0" w:color="auto"/>
          </w:divBdr>
        </w:div>
        <w:div w:id="1490559816">
          <w:marLeft w:val="0"/>
          <w:marRight w:val="0"/>
          <w:marTop w:val="0"/>
          <w:marBottom w:val="0"/>
          <w:divBdr>
            <w:top w:val="none" w:sz="0" w:space="0" w:color="auto"/>
            <w:left w:val="none" w:sz="0" w:space="0" w:color="auto"/>
            <w:bottom w:val="none" w:sz="0" w:space="0" w:color="auto"/>
            <w:right w:val="none" w:sz="0" w:space="0" w:color="auto"/>
          </w:divBdr>
        </w:div>
        <w:div w:id="161941511">
          <w:marLeft w:val="0"/>
          <w:marRight w:val="0"/>
          <w:marTop w:val="0"/>
          <w:marBottom w:val="0"/>
          <w:divBdr>
            <w:top w:val="none" w:sz="0" w:space="0" w:color="auto"/>
            <w:left w:val="none" w:sz="0" w:space="0" w:color="auto"/>
            <w:bottom w:val="none" w:sz="0" w:space="0" w:color="auto"/>
            <w:right w:val="none" w:sz="0" w:space="0" w:color="auto"/>
          </w:divBdr>
        </w:div>
        <w:div w:id="2146504841">
          <w:marLeft w:val="0"/>
          <w:marRight w:val="0"/>
          <w:marTop w:val="0"/>
          <w:marBottom w:val="0"/>
          <w:divBdr>
            <w:top w:val="none" w:sz="0" w:space="0" w:color="auto"/>
            <w:left w:val="none" w:sz="0" w:space="0" w:color="auto"/>
            <w:bottom w:val="none" w:sz="0" w:space="0" w:color="auto"/>
            <w:right w:val="none" w:sz="0" w:space="0" w:color="auto"/>
          </w:divBdr>
        </w:div>
        <w:div w:id="1955012218">
          <w:marLeft w:val="0"/>
          <w:marRight w:val="0"/>
          <w:marTop w:val="0"/>
          <w:marBottom w:val="0"/>
          <w:divBdr>
            <w:top w:val="none" w:sz="0" w:space="0" w:color="auto"/>
            <w:left w:val="none" w:sz="0" w:space="0" w:color="auto"/>
            <w:bottom w:val="none" w:sz="0" w:space="0" w:color="auto"/>
            <w:right w:val="none" w:sz="0" w:space="0" w:color="auto"/>
          </w:divBdr>
        </w:div>
        <w:div w:id="1369916970">
          <w:marLeft w:val="0"/>
          <w:marRight w:val="0"/>
          <w:marTop w:val="0"/>
          <w:marBottom w:val="0"/>
          <w:divBdr>
            <w:top w:val="none" w:sz="0" w:space="0" w:color="auto"/>
            <w:left w:val="none" w:sz="0" w:space="0" w:color="auto"/>
            <w:bottom w:val="none" w:sz="0" w:space="0" w:color="auto"/>
            <w:right w:val="none" w:sz="0" w:space="0" w:color="auto"/>
          </w:divBdr>
        </w:div>
      </w:divsChild>
    </w:div>
    <w:div w:id="1439905408">
      <w:bodyDiv w:val="1"/>
      <w:marLeft w:val="0"/>
      <w:marRight w:val="0"/>
      <w:marTop w:val="0"/>
      <w:marBottom w:val="0"/>
      <w:divBdr>
        <w:top w:val="none" w:sz="0" w:space="0" w:color="auto"/>
        <w:left w:val="none" w:sz="0" w:space="0" w:color="auto"/>
        <w:bottom w:val="none" w:sz="0" w:space="0" w:color="auto"/>
        <w:right w:val="none" w:sz="0" w:space="0" w:color="auto"/>
      </w:divBdr>
      <w:divsChild>
        <w:div w:id="570695592">
          <w:marLeft w:val="1397"/>
          <w:marRight w:val="0"/>
          <w:marTop w:val="80"/>
          <w:marBottom w:val="0"/>
          <w:divBdr>
            <w:top w:val="none" w:sz="0" w:space="0" w:color="auto"/>
            <w:left w:val="none" w:sz="0" w:space="0" w:color="auto"/>
            <w:bottom w:val="none" w:sz="0" w:space="0" w:color="auto"/>
            <w:right w:val="none" w:sz="0" w:space="0" w:color="auto"/>
          </w:divBdr>
        </w:div>
        <w:div w:id="1220364420">
          <w:marLeft w:val="1397"/>
          <w:marRight w:val="0"/>
          <w:marTop w:val="80"/>
          <w:marBottom w:val="0"/>
          <w:divBdr>
            <w:top w:val="none" w:sz="0" w:space="0" w:color="auto"/>
            <w:left w:val="none" w:sz="0" w:space="0" w:color="auto"/>
            <w:bottom w:val="none" w:sz="0" w:space="0" w:color="auto"/>
            <w:right w:val="none" w:sz="0" w:space="0" w:color="auto"/>
          </w:divBdr>
        </w:div>
        <w:div w:id="1175926447">
          <w:marLeft w:val="1397"/>
          <w:marRight w:val="0"/>
          <w:marTop w:val="80"/>
          <w:marBottom w:val="0"/>
          <w:divBdr>
            <w:top w:val="none" w:sz="0" w:space="0" w:color="auto"/>
            <w:left w:val="none" w:sz="0" w:space="0" w:color="auto"/>
            <w:bottom w:val="none" w:sz="0" w:space="0" w:color="auto"/>
            <w:right w:val="none" w:sz="0" w:space="0" w:color="auto"/>
          </w:divBdr>
        </w:div>
        <w:div w:id="692270417">
          <w:marLeft w:val="1397"/>
          <w:marRight w:val="0"/>
          <w:marTop w:val="80"/>
          <w:marBottom w:val="0"/>
          <w:divBdr>
            <w:top w:val="none" w:sz="0" w:space="0" w:color="auto"/>
            <w:left w:val="none" w:sz="0" w:space="0" w:color="auto"/>
            <w:bottom w:val="none" w:sz="0" w:space="0" w:color="auto"/>
            <w:right w:val="none" w:sz="0" w:space="0" w:color="auto"/>
          </w:divBdr>
        </w:div>
        <w:div w:id="1086150377">
          <w:marLeft w:val="1397"/>
          <w:marRight w:val="0"/>
          <w:marTop w:val="80"/>
          <w:marBottom w:val="0"/>
          <w:divBdr>
            <w:top w:val="none" w:sz="0" w:space="0" w:color="auto"/>
            <w:left w:val="none" w:sz="0" w:space="0" w:color="auto"/>
            <w:bottom w:val="none" w:sz="0" w:space="0" w:color="auto"/>
            <w:right w:val="none" w:sz="0" w:space="0" w:color="auto"/>
          </w:divBdr>
        </w:div>
      </w:divsChild>
    </w:div>
    <w:div w:id="1441022609">
      <w:bodyDiv w:val="1"/>
      <w:marLeft w:val="0"/>
      <w:marRight w:val="0"/>
      <w:marTop w:val="0"/>
      <w:marBottom w:val="0"/>
      <w:divBdr>
        <w:top w:val="none" w:sz="0" w:space="0" w:color="auto"/>
        <w:left w:val="none" w:sz="0" w:space="0" w:color="auto"/>
        <w:bottom w:val="none" w:sz="0" w:space="0" w:color="auto"/>
        <w:right w:val="none" w:sz="0" w:space="0" w:color="auto"/>
      </w:divBdr>
    </w:div>
    <w:div w:id="1479151090">
      <w:bodyDiv w:val="1"/>
      <w:marLeft w:val="0"/>
      <w:marRight w:val="0"/>
      <w:marTop w:val="0"/>
      <w:marBottom w:val="0"/>
      <w:divBdr>
        <w:top w:val="none" w:sz="0" w:space="0" w:color="auto"/>
        <w:left w:val="none" w:sz="0" w:space="0" w:color="auto"/>
        <w:bottom w:val="none" w:sz="0" w:space="0" w:color="auto"/>
        <w:right w:val="none" w:sz="0" w:space="0" w:color="auto"/>
      </w:divBdr>
    </w:div>
    <w:div w:id="1480465455">
      <w:bodyDiv w:val="1"/>
      <w:marLeft w:val="0"/>
      <w:marRight w:val="0"/>
      <w:marTop w:val="0"/>
      <w:marBottom w:val="0"/>
      <w:divBdr>
        <w:top w:val="none" w:sz="0" w:space="0" w:color="auto"/>
        <w:left w:val="none" w:sz="0" w:space="0" w:color="auto"/>
        <w:bottom w:val="none" w:sz="0" w:space="0" w:color="auto"/>
        <w:right w:val="none" w:sz="0" w:space="0" w:color="auto"/>
      </w:divBdr>
      <w:divsChild>
        <w:div w:id="47507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741647">
      <w:bodyDiv w:val="1"/>
      <w:marLeft w:val="0"/>
      <w:marRight w:val="0"/>
      <w:marTop w:val="0"/>
      <w:marBottom w:val="0"/>
      <w:divBdr>
        <w:top w:val="none" w:sz="0" w:space="0" w:color="auto"/>
        <w:left w:val="none" w:sz="0" w:space="0" w:color="auto"/>
        <w:bottom w:val="none" w:sz="0" w:space="0" w:color="auto"/>
        <w:right w:val="none" w:sz="0" w:space="0" w:color="auto"/>
      </w:divBdr>
    </w:div>
    <w:div w:id="1532960783">
      <w:bodyDiv w:val="1"/>
      <w:marLeft w:val="0"/>
      <w:marRight w:val="0"/>
      <w:marTop w:val="0"/>
      <w:marBottom w:val="0"/>
      <w:divBdr>
        <w:top w:val="none" w:sz="0" w:space="0" w:color="auto"/>
        <w:left w:val="none" w:sz="0" w:space="0" w:color="auto"/>
        <w:bottom w:val="none" w:sz="0" w:space="0" w:color="auto"/>
        <w:right w:val="none" w:sz="0" w:space="0" w:color="auto"/>
      </w:divBdr>
      <w:divsChild>
        <w:div w:id="1554079650">
          <w:marLeft w:val="0"/>
          <w:marRight w:val="0"/>
          <w:marTop w:val="0"/>
          <w:marBottom w:val="0"/>
          <w:divBdr>
            <w:top w:val="none" w:sz="0" w:space="0" w:color="auto"/>
            <w:left w:val="none" w:sz="0" w:space="0" w:color="auto"/>
            <w:bottom w:val="none" w:sz="0" w:space="0" w:color="auto"/>
            <w:right w:val="none" w:sz="0" w:space="0" w:color="auto"/>
          </w:divBdr>
        </w:div>
      </w:divsChild>
    </w:div>
    <w:div w:id="1535537639">
      <w:bodyDiv w:val="1"/>
      <w:marLeft w:val="0"/>
      <w:marRight w:val="0"/>
      <w:marTop w:val="0"/>
      <w:marBottom w:val="0"/>
      <w:divBdr>
        <w:top w:val="none" w:sz="0" w:space="0" w:color="auto"/>
        <w:left w:val="none" w:sz="0" w:space="0" w:color="auto"/>
        <w:bottom w:val="none" w:sz="0" w:space="0" w:color="auto"/>
        <w:right w:val="none" w:sz="0" w:space="0" w:color="auto"/>
      </w:divBdr>
      <w:divsChild>
        <w:div w:id="179512646">
          <w:marLeft w:val="0"/>
          <w:marRight w:val="0"/>
          <w:marTop w:val="0"/>
          <w:marBottom w:val="0"/>
          <w:divBdr>
            <w:top w:val="none" w:sz="0" w:space="0" w:color="auto"/>
            <w:left w:val="none" w:sz="0" w:space="0" w:color="auto"/>
            <w:bottom w:val="none" w:sz="0" w:space="0" w:color="auto"/>
            <w:right w:val="none" w:sz="0" w:space="0" w:color="auto"/>
          </w:divBdr>
        </w:div>
        <w:div w:id="271984881">
          <w:marLeft w:val="0"/>
          <w:marRight w:val="0"/>
          <w:marTop w:val="0"/>
          <w:marBottom w:val="0"/>
          <w:divBdr>
            <w:top w:val="none" w:sz="0" w:space="0" w:color="auto"/>
            <w:left w:val="none" w:sz="0" w:space="0" w:color="auto"/>
            <w:bottom w:val="none" w:sz="0" w:space="0" w:color="auto"/>
            <w:right w:val="none" w:sz="0" w:space="0" w:color="auto"/>
          </w:divBdr>
        </w:div>
        <w:div w:id="342360846">
          <w:marLeft w:val="0"/>
          <w:marRight w:val="0"/>
          <w:marTop w:val="0"/>
          <w:marBottom w:val="0"/>
          <w:divBdr>
            <w:top w:val="none" w:sz="0" w:space="0" w:color="auto"/>
            <w:left w:val="none" w:sz="0" w:space="0" w:color="auto"/>
            <w:bottom w:val="none" w:sz="0" w:space="0" w:color="auto"/>
            <w:right w:val="none" w:sz="0" w:space="0" w:color="auto"/>
          </w:divBdr>
        </w:div>
        <w:div w:id="767582581">
          <w:marLeft w:val="0"/>
          <w:marRight w:val="0"/>
          <w:marTop w:val="0"/>
          <w:marBottom w:val="0"/>
          <w:divBdr>
            <w:top w:val="none" w:sz="0" w:space="0" w:color="auto"/>
            <w:left w:val="none" w:sz="0" w:space="0" w:color="auto"/>
            <w:bottom w:val="none" w:sz="0" w:space="0" w:color="auto"/>
            <w:right w:val="none" w:sz="0" w:space="0" w:color="auto"/>
          </w:divBdr>
        </w:div>
        <w:div w:id="931746652">
          <w:marLeft w:val="0"/>
          <w:marRight w:val="0"/>
          <w:marTop w:val="0"/>
          <w:marBottom w:val="0"/>
          <w:divBdr>
            <w:top w:val="none" w:sz="0" w:space="0" w:color="auto"/>
            <w:left w:val="none" w:sz="0" w:space="0" w:color="auto"/>
            <w:bottom w:val="none" w:sz="0" w:space="0" w:color="auto"/>
            <w:right w:val="none" w:sz="0" w:space="0" w:color="auto"/>
          </w:divBdr>
        </w:div>
        <w:div w:id="1930113613">
          <w:marLeft w:val="0"/>
          <w:marRight w:val="0"/>
          <w:marTop w:val="0"/>
          <w:marBottom w:val="0"/>
          <w:divBdr>
            <w:top w:val="none" w:sz="0" w:space="0" w:color="auto"/>
            <w:left w:val="none" w:sz="0" w:space="0" w:color="auto"/>
            <w:bottom w:val="none" w:sz="0" w:space="0" w:color="auto"/>
            <w:right w:val="none" w:sz="0" w:space="0" w:color="auto"/>
          </w:divBdr>
        </w:div>
      </w:divsChild>
    </w:div>
    <w:div w:id="1573931404">
      <w:bodyDiv w:val="1"/>
      <w:marLeft w:val="0"/>
      <w:marRight w:val="0"/>
      <w:marTop w:val="0"/>
      <w:marBottom w:val="0"/>
      <w:divBdr>
        <w:top w:val="none" w:sz="0" w:space="0" w:color="auto"/>
        <w:left w:val="none" w:sz="0" w:space="0" w:color="auto"/>
        <w:bottom w:val="none" w:sz="0" w:space="0" w:color="auto"/>
        <w:right w:val="none" w:sz="0" w:space="0" w:color="auto"/>
      </w:divBdr>
    </w:div>
    <w:div w:id="1591352049">
      <w:bodyDiv w:val="1"/>
      <w:marLeft w:val="0"/>
      <w:marRight w:val="0"/>
      <w:marTop w:val="0"/>
      <w:marBottom w:val="0"/>
      <w:divBdr>
        <w:top w:val="none" w:sz="0" w:space="0" w:color="auto"/>
        <w:left w:val="none" w:sz="0" w:space="0" w:color="auto"/>
        <w:bottom w:val="none" w:sz="0" w:space="0" w:color="auto"/>
        <w:right w:val="none" w:sz="0" w:space="0" w:color="auto"/>
      </w:divBdr>
      <w:divsChild>
        <w:div w:id="1889999182">
          <w:marLeft w:val="0"/>
          <w:marRight w:val="0"/>
          <w:marTop w:val="0"/>
          <w:marBottom w:val="0"/>
          <w:divBdr>
            <w:top w:val="none" w:sz="0" w:space="0" w:color="auto"/>
            <w:left w:val="none" w:sz="0" w:space="0" w:color="auto"/>
            <w:bottom w:val="none" w:sz="0" w:space="0" w:color="auto"/>
            <w:right w:val="none" w:sz="0" w:space="0" w:color="auto"/>
          </w:divBdr>
          <w:divsChild>
            <w:div w:id="1328360370">
              <w:marLeft w:val="0"/>
              <w:marRight w:val="0"/>
              <w:marTop w:val="0"/>
              <w:marBottom w:val="0"/>
              <w:divBdr>
                <w:top w:val="none" w:sz="0" w:space="0" w:color="auto"/>
                <w:left w:val="none" w:sz="0" w:space="0" w:color="auto"/>
                <w:bottom w:val="none" w:sz="0" w:space="0" w:color="auto"/>
                <w:right w:val="none" w:sz="0" w:space="0" w:color="auto"/>
              </w:divBdr>
              <w:divsChild>
                <w:div w:id="21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9903">
      <w:bodyDiv w:val="1"/>
      <w:marLeft w:val="0"/>
      <w:marRight w:val="0"/>
      <w:marTop w:val="0"/>
      <w:marBottom w:val="0"/>
      <w:divBdr>
        <w:top w:val="none" w:sz="0" w:space="0" w:color="auto"/>
        <w:left w:val="none" w:sz="0" w:space="0" w:color="auto"/>
        <w:bottom w:val="none" w:sz="0" w:space="0" w:color="auto"/>
        <w:right w:val="none" w:sz="0" w:space="0" w:color="auto"/>
      </w:divBdr>
    </w:div>
    <w:div w:id="1611736972">
      <w:bodyDiv w:val="1"/>
      <w:marLeft w:val="0"/>
      <w:marRight w:val="0"/>
      <w:marTop w:val="0"/>
      <w:marBottom w:val="0"/>
      <w:divBdr>
        <w:top w:val="none" w:sz="0" w:space="0" w:color="auto"/>
        <w:left w:val="none" w:sz="0" w:space="0" w:color="auto"/>
        <w:bottom w:val="none" w:sz="0" w:space="0" w:color="auto"/>
        <w:right w:val="none" w:sz="0" w:space="0" w:color="auto"/>
      </w:divBdr>
    </w:div>
    <w:div w:id="1625040597">
      <w:bodyDiv w:val="1"/>
      <w:marLeft w:val="0"/>
      <w:marRight w:val="0"/>
      <w:marTop w:val="0"/>
      <w:marBottom w:val="0"/>
      <w:divBdr>
        <w:top w:val="none" w:sz="0" w:space="0" w:color="auto"/>
        <w:left w:val="none" w:sz="0" w:space="0" w:color="auto"/>
        <w:bottom w:val="none" w:sz="0" w:space="0" w:color="auto"/>
        <w:right w:val="none" w:sz="0" w:space="0" w:color="auto"/>
      </w:divBdr>
      <w:divsChild>
        <w:div w:id="182864006">
          <w:marLeft w:val="0"/>
          <w:marRight w:val="0"/>
          <w:marTop w:val="0"/>
          <w:marBottom w:val="0"/>
          <w:divBdr>
            <w:top w:val="none" w:sz="0" w:space="0" w:color="auto"/>
            <w:left w:val="none" w:sz="0" w:space="0" w:color="auto"/>
            <w:bottom w:val="none" w:sz="0" w:space="0" w:color="auto"/>
            <w:right w:val="none" w:sz="0" w:space="0" w:color="auto"/>
          </w:divBdr>
          <w:divsChild>
            <w:div w:id="165705556">
              <w:marLeft w:val="0"/>
              <w:marRight w:val="0"/>
              <w:marTop w:val="0"/>
              <w:marBottom w:val="0"/>
              <w:divBdr>
                <w:top w:val="none" w:sz="0" w:space="0" w:color="auto"/>
                <w:left w:val="none" w:sz="0" w:space="0" w:color="auto"/>
                <w:bottom w:val="none" w:sz="0" w:space="0" w:color="auto"/>
                <w:right w:val="none" w:sz="0" w:space="0" w:color="auto"/>
              </w:divBdr>
              <w:divsChild>
                <w:div w:id="1109542146">
                  <w:marLeft w:val="0"/>
                  <w:marRight w:val="0"/>
                  <w:marTop w:val="0"/>
                  <w:marBottom w:val="0"/>
                  <w:divBdr>
                    <w:top w:val="none" w:sz="0" w:space="0" w:color="auto"/>
                    <w:left w:val="none" w:sz="0" w:space="0" w:color="auto"/>
                    <w:bottom w:val="none" w:sz="0" w:space="0" w:color="auto"/>
                    <w:right w:val="none" w:sz="0" w:space="0" w:color="auto"/>
                  </w:divBdr>
                  <w:divsChild>
                    <w:div w:id="10720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02253">
      <w:bodyDiv w:val="1"/>
      <w:marLeft w:val="0"/>
      <w:marRight w:val="0"/>
      <w:marTop w:val="0"/>
      <w:marBottom w:val="0"/>
      <w:divBdr>
        <w:top w:val="none" w:sz="0" w:space="0" w:color="auto"/>
        <w:left w:val="none" w:sz="0" w:space="0" w:color="auto"/>
        <w:bottom w:val="none" w:sz="0" w:space="0" w:color="auto"/>
        <w:right w:val="none" w:sz="0" w:space="0" w:color="auto"/>
      </w:divBdr>
    </w:div>
    <w:div w:id="1629044042">
      <w:bodyDiv w:val="1"/>
      <w:marLeft w:val="0"/>
      <w:marRight w:val="0"/>
      <w:marTop w:val="0"/>
      <w:marBottom w:val="0"/>
      <w:divBdr>
        <w:top w:val="none" w:sz="0" w:space="0" w:color="auto"/>
        <w:left w:val="none" w:sz="0" w:space="0" w:color="auto"/>
        <w:bottom w:val="none" w:sz="0" w:space="0" w:color="auto"/>
        <w:right w:val="none" w:sz="0" w:space="0" w:color="auto"/>
      </w:divBdr>
    </w:div>
    <w:div w:id="1632251780">
      <w:bodyDiv w:val="1"/>
      <w:marLeft w:val="0"/>
      <w:marRight w:val="0"/>
      <w:marTop w:val="0"/>
      <w:marBottom w:val="0"/>
      <w:divBdr>
        <w:top w:val="none" w:sz="0" w:space="0" w:color="auto"/>
        <w:left w:val="none" w:sz="0" w:space="0" w:color="auto"/>
        <w:bottom w:val="none" w:sz="0" w:space="0" w:color="auto"/>
        <w:right w:val="none" w:sz="0" w:space="0" w:color="auto"/>
      </w:divBdr>
      <w:divsChild>
        <w:div w:id="1366640751">
          <w:marLeft w:val="0"/>
          <w:marRight w:val="0"/>
          <w:marTop w:val="0"/>
          <w:marBottom w:val="0"/>
          <w:divBdr>
            <w:top w:val="none" w:sz="0" w:space="0" w:color="auto"/>
            <w:left w:val="none" w:sz="0" w:space="0" w:color="auto"/>
            <w:bottom w:val="none" w:sz="0" w:space="0" w:color="auto"/>
            <w:right w:val="none" w:sz="0" w:space="0" w:color="auto"/>
          </w:divBdr>
        </w:div>
      </w:divsChild>
    </w:div>
    <w:div w:id="1638997838">
      <w:bodyDiv w:val="1"/>
      <w:marLeft w:val="0"/>
      <w:marRight w:val="0"/>
      <w:marTop w:val="0"/>
      <w:marBottom w:val="0"/>
      <w:divBdr>
        <w:top w:val="none" w:sz="0" w:space="0" w:color="auto"/>
        <w:left w:val="none" w:sz="0" w:space="0" w:color="auto"/>
        <w:bottom w:val="none" w:sz="0" w:space="0" w:color="auto"/>
        <w:right w:val="none" w:sz="0" w:space="0" w:color="auto"/>
      </w:divBdr>
    </w:div>
    <w:div w:id="1643580092">
      <w:bodyDiv w:val="1"/>
      <w:marLeft w:val="0"/>
      <w:marRight w:val="0"/>
      <w:marTop w:val="0"/>
      <w:marBottom w:val="0"/>
      <w:divBdr>
        <w:top w:val="none" w:sz="0" w:space="0" w:color="auto"/>
        <w:left w:val="none" w:sz="0" w:space="0" w:color="auto"/>
        <w:bottom w:val="none" w:sz="0" w:space="0" w:color="auto"/>
        <w:right w:val="none" w:sz="0" w:space="0" w:color="auto"/>
      </w:divBdr>
    </w:div>
    <w:div w:id="1682270712">
      <w:bodyDiv w:val="1"/>
      <w:marLeft w:val="0"/>
      <w:marRight w:val="0"/>
      <w:marTop w:val="0"/>
      <w:marBottom w:val="0"/>
      <w:divBdr>
        <w:top w:val="none" w:sz="0" w:space="0" w:color="auto"/>
        <w:left w:val="none" w:sz="0" w:space="0" w:color="auto"/>
        <w:bottom w:val="none" w:sz="0" w:space="0" w:color="auto"/>
        <w:right w:val="none" w:sz="0" w:space="0" w:color="auto"/>
      </w:divBdr>
      <w:divsChild>
        <w:div w:id="1852455452">
          <w:marLeft w:val="0"/>
          <w:marRight w:val="0"/>
          <w:marTop w:val="0"/>
          <w:marBottom w:val="0"/>
          <w:divBdr>
            <w:top w:val="none" w:sz="0" w:space="0" w:color="auto"/>
            <w:left w:val="none" w:sz="0" w:space="0" w:color="auto"/>
            <w:bottom w:val="none" w:sz="0" w:space="0" w:color="auto"/>
            <w:right w:val="none" w:sz="0" w:space="0" w:color="auto"/>
          </w:divBdr>
          <w:divsChild>
            <w:div w:id="1461610866">
              <w:marLeft w:val="0"/>
              <w:marRight w:val="0"/>
              <w:marTop w:val="0"/>
              <w:marBottom w:val="0"/>
              <w:divBdr>
                <w:top w:val="none" w:sz="0" w:space="0" w:color="auto"/>
                <w:left w:val="none" w:sz="0" w:space="0" w:color="auto"/>
                <w:bottom w:val="none" w:sz="0" w:space="0" w:color="auto"/>
                <w:right w:val="none" w:sz="0" w:space="0" w:color="auto"/>
              </w:divBdr>
              <w:divsChild>
                <w:div w:id="11931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30239">
      <w:bodyDiv w:val="1"/>
      <w:marLeft w:val="0"/>
      <w:marRight w:val="0"/>
      <w:marTop w:val="0"/>
      <w:marBottom w:val="0"/>
      <w:divBdr>
        <w:top w:val="none" w:sz="0" w:space="0" w:color="auto"/>
        <w:left w:val="none" w:sz="0" w:space="0" w:color="auto"/>
        <w:bottom w:val="none" w:sz="0" w:space="0" w:color="auto"/>
        <w:right w:val="none" w:sz="0" w:space="0" w:color="auto"/>
      </w:divBdr>
      <w:divsChild>
        <w:div w:id="914706113">
          <w:marLeft w:val="0"/>
          <w:marRight w:val="0"/>
          <w:marTop w:val="0"/>
          <w:marBottom w:val="0"/>
          <w:divBdr>
            <w:top w:val="none" w:sz="0" w:space="0" w:color="auto"/>
            <w:left w:val="none" w:sz="0" w:space="0" w:color="auto"/>
            <w:bottom w:val="none" w:sz="0" w:space="0" w:color="auto"/>
            <w:right w:val="none" w:sz="0" w:space="0" w:color="auto"/>
          </w:divBdr>
          <w:divsChild>
            <w:div w:id="1813062910">
              <w:marLeft w:val="0"/>
              <w:marRight w:val="0"/>
              <w:marTop w:val="0"/>
              <w:marBottom w:val="0"/>
              <w:divBdr>
                <w:top w:val="none" w:sz="0" w:space="0" w:color="auto"/>
                <w:left w:val="none" w:sz="0" w:space="0" w:color="auto"/>
                <w:bottom w:val="none" w:sz="0" w:space="0" w:color="auto"/>
                <w:right w:val="none" w:sz="0" w:space="0" w:color="auto"/>
              </w:divBdr>
              <w:divsChild>
                <w:div w:id="9640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491">
      <w:bodyDiv w:val="1"/>
      <w:marLeft w:val="0"/>
      <w:marRight w:val="0"/>
      <w:marTop w:val="0"/>
      <w:marBottom w:val="0"/>
      <w:divBdr>
        <w:top w:val="none" w:sz="0" w:space="0" w:color="auto"/>
        <w:left w:val="none" w:sz="0" w:space="0" w:color="auto"/>
        <w:bottom w:val="none" w:sz="0" w:space="0" w:color="auto"/>
        <w:right w:val="none" w:sz="0" w:space="0" w:color="auto"/>
      </w:divBdr>
    </w:div>
    <w:div w:id="1740981160">
      <w:bodyDiv w:val="1"/>
      <w:marLeft w:val="0"/>
      <w:marRight w:val="0"/>
      <w:marTop w:val="0"/>
      <w:marBottom w:val="0"/>
      <w:divBdr>
        <w:top w:val="none" w:sz="0" w:space="0" w:color="auto"/>
        <w:left w:val="none" w:sz="0" w:space="0" w:color="auto"/>
        <w:bottom w:val="none" w:sz="0" w:space="0" w:color="auto"/>
        <w:right w:val="none" w:sz="0" w:space="0" w:color="auto"/>
      </w:divBdr>
      <w:divsChild>
        <w:div w:id="254018076">
          <w:marLeft w:val="0"/>
          <w:marRight w:val="0"/>
          <w:marTop w:val="0"/>
          <w:marBottom w:val="0"/>
          <w:divBdr>
            <w:top w:val="none" w:sz="0" w:space="0" w:color="auto"/>
            <w:left w:val="none" w:sz="0" w:space="0" w:color="auto"/>
            <w:bottom w:val="none" w:sz="0" w:space="0" w:color="auto"/>
            <w:right w:val="none" w:sz="0" w:space="0" w:color="auto"/>
          </w:divBdr>
          <w:divsChild>
            <w:div w:id="1711801038">
              <w:marLeft w:val="0"/>
              <w:marRight w:val="0"/>
              <w:marTop w:val="0"/>
              <w:marBottom w:val="0"/>
              <w:divBdr>
                <w:top w:val="none" w:sz="0" w:space="0" w:color="auto"/>
                <w:left w:val="none" w:sz="0" w:space="0" w:color="auto"/>
                <w:bottom w:val="none" w:sz="0" w:space="0" w:color="auto"/>
                <w:right w:val="none" w:sz="0" w:space="0" w:color="auto"/>
              </w:divBdr>
              <w:divsChild>
                <w:div w:id="958028402">
                  <w:marLeft w:val="0"/>
                  <w:marRight w:val="0"/>
                  <w:marTop w:val="0"/>
                  <w:marBottom w:val="0"/>
                  <w:divBdr>
                    <w:top w:val="none" w:sz="0" w:space="0" w:color="auto"/>
                    <w:left w:val="none" w:sz="0" w:space="0" w:color="auto"/>
                    <w:bottom w:val="none" w:sz="0" w:space="0" w:color="auto"/>
                    <w:right w:val="none" w:sz="0" w:space="0" w:color="auto"/>
                  </w:divBdr>
                </w:div>
              </w:divsChild>
            </w:div>
            <w:div w:id="2006398563">
              <w:marLeft w:val="0"/>
              <w:marRight w:val="0"/>
              <w:marTop w:val="0"/>
              <w:marBottom w:val="0"/>
              <w:divBdr>
                <w:top w:val="none" w:sz="0" w:space="0" w:color="auto"/>
                <w:left w:val="none" w:sz="0" w:space="0" w:color="auto"/>
                <w:bottom w:val="none" w:sz="0" w:space="0" w:color="auto"/>
                <w:right w:val="none" w:sz="0" w:space="0" w:color="auto"/>
              </w:divBdr>
              <w:divsChild>
                <w:div w:id="488449874">
                  <w:marLeft w:val="0"/>
                  <w:marRight w:val="0"/>
                  <w:marTop w:val="0"/>
                  <w:marBottom w:val="0"/>
                  <w:divBdr>
                    <w:top w:val="none" w:sz="0" w:space="0" w:color="auto"/>
                    <w:left w:val="none" w:sz="0" w:space="0" w:color="auto"/>
                    <w:bottom w:val="none" w:sz="0" w:space="0" w:color="auto"/>
                    <w:right w:val="none" w:sz="0" w:space="0" w:color="auto"/>
                  </w:divBdr>
                </w:div>
              </w:divsChild>
            </w:div>
            <w:div w:id="1840923331">
              <w:marLeft w:val="0"/>
              <w:marRight w:val="0"/>
              <w:marTop w:val="0"/>
              <w:marBottom w:val="0"/>
              <w:divBdr>
                <w:top w:val="none" w:sz="0" w:space="0" w:color="auto"/>
                <w:left w:val="none" w:sz="0" w:space="0" w:color="auto"/>
                <w:bottom w:val="none" w:sz="0" w:space="0" w:color="auto"/>
                <w:right w:val="none" w:sz="0" w:space="0" w:color="auto"/>
              </w:divBdr>
              <w:divsChild>
                <w:div w:id="403577209">
                  <w:marLeft w:val="0"/>
                  <w:marRight w:val="0"/>
                  <w:marTop w:val="0"/>
                  <w:marBottom w:val="0"/>
                  <w:divBdr>
                    <w:top w:val="none" w:sz="0" w:space="0" w:color="auto"/>
                    <w:left w:val="none" w:sz="0" w:space="0" w:color="auto"/>
                    <w:bottom w:val="none" w:sz="0" w:space="0" w:color="auto"/>
                    <w:right w:val="none" w:sz="0" w:space="0" w:color="auto"/>
                  </w:divBdr>
                </w:div>
                <w:div w:id="1131287569">
                  <w:marLeft w:val="0"/>
                  <w:marRight w:val="0"/>
                  <w:marTop w:val="0"/>
                  <w:marBottom w:val="0"/>
                  <w:divBdr>
                    <w:top w:val="none" w:sz="0" w:space="0" w:color="auto"/>
                    <w:left w:val="none" w:sz="0" w:space="0" w:color="auto"/>
                    <w:bottom w:val="none" w:sz="0" w:space="0" w:color="auto"/>
                    <w:right w:val="none" w:sz="0" w:space="0" w:color="auto"/>
                  </w:divBdr>
                </w:div>
              </w:divsChild>
            </w:div>
            <w:div w:id="66076063">
              <w:marLeft w:val="0"/>
              <w:marRight w:val="0"/>
              <w:marTop w:val="0"/>
              <w:marBottom w:val="0"/>
              <w:divBdr>
                <w:top w:val="none" w:sz="0" w:space="0" w:color="auto"/>
                <w:left w:val="none" w:sz="0" w:space="0" w:color="auto"/>
                <w:bottom w:val="none" w:sz="0" w:space="0" w:color="auto"/>
                <w:right w:val="none" w:sz="0" w:space="0" w:color="auto"/>
              </w:divBdr>
              <w:divsChild>
                <w:div w:id="1535188520">
                  <w:marLeft w:val="0"/>
                  <w:marRight w:val="0"/>
                  <w:marTop w:val="0"/>
                  <w:marBottom w:val="0"/>
                  <w:divBdr>
                    <w:top w:val="none" w:sz="0" w:space="0" w:color="auto"/>
                    <w:left w:val="none" w:sz="0" w:space="0" w:color="auto"/>
                    <w:bottom w:val="none" w:sz="0" w:space="0" w:color="auto"/>
                    <w:right w:val="none" w:sz="0" w:space="0" w:color="auto"/>
                  </w:divBdr>
                </w:div>
              </w:divsChild>
            </w:div>
            <w:div w:id="30813805">
              <w:marLeft w:val="0"/>
              <w:marRight w:val="0"/>
              <w:marTop w:val="0"/>
              <w:marBottom w:val="0"/>
              <w:divBdr>
                <w:top w:val="none" w:sz="0" w:space="0" w:color="auto"/>
                <w:left w:val="none" w:sz="0" w:space="0" w:color="auto"/>
                <w:bottom w:val="none" w:sz="0" w:space="0" w:color="auto"/>
                <w:right w:val="none" w:sz="0" w:space="0" w:color="auto"/>
              </w:divBdr>
              <w:divsChild>
                <w:div w:id="374430620">
                  <w:marLeft w:val="0"/>
                  <w:marRight w:val="0"/>
                  <w:marTop w:val="0"/>
                  <w:marBottom w:val="0"/>
                  <w:divBdr>
                    <w:top w:val="none" w:sz="0" w:space="0" w:color="auto"/>
                    <w:left w:val="none" w:sz="0" w:space="0" w:color="auto"/>
                    <w:bottom w:val="none" w:sz="0" w:space="0" w:color="auto"/>
                    <w:right w:val="none" w:sz="0" w:space="0" w:color="auto"/>
                  </w:divBdr>
                </w:div>
              </w:divsChild>
            </w:div>
            <w:div w:id="1181893130">
              <w:marLeft w:val="0"/>
              <w:marRight w:val="0"/>
              <w:marTop w:val="0"/>
              <w:marBottom w:val="0"/>
              <w:divBdr>
                <w:top w:val="none" w:sz="0" w:space="0" w:color="auto"/>
                <w:left w:val="none" w:sz="0" w:space="0" w:color="auto"/>
                <w:bottom w:val="none" w:sz="0" w:space="0" w:color="auto"/>
                <w:right w:val="none" w:sz="0" w:space="0" w:color="auto"/>
              </w:divBdr>
              <w:divsChild>
                <w:div w:id="554506347">
                  <w:marLeft w:val="0"/>
                  <w:marRight w:val="0"/>
                  <w:marTop w:val="0"/>
                  <w:marBottom w:val="0"/>
                  <w:divBdr>
                    <w:top w:val="none" w:sz="0" w:space="0" w:color="auto"/>
                    <w:left w:val="none" w:sz="0" w:space="0" w:color="auto"/>
                    <w:bottom w:val="none" w:sz="0" w:space="0" w:color="auto"/>
                    <w:right w:val="none" w:sz="0" w:space="0" w:color="auto"/>
                  </w:divBdr>
                </w:div>
              </w:divsChild>
            </w:div>
            <w:div w:id="1942296801">
              <w:marLeft w:val="0"/>
              <w:marRight w:val="0"/>
              <w:marTop w:val="0"/>
              <w:marBottom w:val="0"/>
              <w:divBdr>
                <w:top w:val="none" w:sz="0" w:space="0" w:color="auto"/>
                <w:left w:val="none" w:sz="0" w:space="0" w:color="auto"/>
                <w:bottom w:val="none" w:sz="0" w:space="0" w:color="auto"/>
                <w:right w:val="none" w:sz="0" w:space="0" w:color="auto"/>
              </w:divBdr>
              <w:divsChild>
                <w:div w:id="6105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98100">
      <w:bodyDiv w:val="1"/>
      <w:marLeft w:val="0"/>
      <w:marRight w:val="0"/>
      <w:marTop w:val="0"/>
      <w:marBottom w:val="0"/>
      <w:divBdr>
        <w:top w:val="none" w:sz="0" w:space="0" w:color="auto"/>
        <w:left w:val="none" w:sz="0" w:space="0" w:color="auto"/>
        <w:bottom w:val="none" w:sz="0" w:space="0" w:color="auto"/>
        <w:right w:val="none" w:sz="0" w:space="0" w:color="auto"/>
      </w:divBdr>
    </w:div>
    <w:div w:id="1767923819">
      <w:bodyDiv w:val="1"/>
      <w:marLeft w:val="0"/>
      <w:marRight w:val="0"/>
      <w:marTop w:val="0"/>
      <w:marBottom w:val="0"/>
      <w:divBdr>
        <w:top w:val="none" w:sz="0" w:space="0" w:color="auto"/>
        <w:left w:val="none" w:sz="0" w:space="0" w:color="auto"/>
        <w:bottom w:val="none" w:sz="0" w:space="0" w:color="auto"/>
        <w:right w:val="none" w:sz="0" w:space="0" w:color="auto"/>
      </w:divBdr>
    </w:div>
    <w:div w:id="1781365799">
      <w:bodyDiv w:val="1"/>
      <w:marLeft w:val="0"/>
      <w:marRight w:val="0"/>
      <w:marTop w:val="0"/>
      <w:marBottom w:val="0"/>
      <w:divBdr>
        <w:top w:val="none" w:sz="0" w:space="0" w:color="auto"/>
        <w:left w:val="none" w:sz="0" w:space="0" w:color="auto"/>
        <w:bottom w:val="none" w:sz="0" w:space="0" w:color="auto"/>
        <w:right w:val="none" w:sz="0" w:space="0" w:color="auto"/>
      </w:divBdr>
    </w:div>
    <w:div w:id="1781991397">
      <w:bodyDiv w:val="1"/>
      <w:marLeft w:val="0"/>
      <w:marRight w:val="0"/>
      <w:marTop w:val="0"/>
      <w:marBottom w:val="0"/>
      <w:divBdr>
        <w:top w:val="none" w:sz="0" w:space="0" w:color="auto"/>
        <w:left w:val="none" w:sz="0" w:space="0" w:color="auto"/>
        <w:bottom w:val="none" w:sz="0" w:space="0" w:color="auto"/>
        <w:right w:val="none" w:sz="0" w:space="0" w:color="auto"/>
      </w:divBdr>
    </w:div>
    <w:div w:id="1791588396">
      <w:bodyDiv w:val="1"/>
      <w:marLeft w:val="0"/>
      <w:marRight w:val="0"/>
      <w:marTop w:val="0"/>
      <w:marBottom w:val="0"/>
      <w:divBdr>
        <w:top w:val="none" w:sz="0" w:space="0" w:color="auto"/>
        <w:left w:val="none" w:sz="0" w:space="0" w:color="auto"/>
        <w:bottom w:val="none" w:sz="0" w:space="0" w:color="auto"/>
        <w:right w:val="none" w:sz="0" w:space="0" w:color="auto"/>
      </w:divBdr>
    </w:div>
    <w:div w:id="1807162669">
      <w:bodyDiv w:val="1"/>
      <w:marLeft w:val="0"/>
      <w:marRight w:val="0"/>
      <w:marTop w:val="0"/>
      <w:marBottom w:val="0"/>
      <w:divBdr>
        <w:top w:val="none" w:sz="0" w:space="0" w:color="auto"/>
        <w:left w:val="none" w:sz="0" w:space="0" w:color="auto"/>
        <w:bottom w:val="none" w:sz="0" w:space="0" w:color="auto"/>
        <w:right w:val="none" w:sz="0" w:space="0" w:color="auto"/>
      </w:divBdr>
      <w:divsChild>
        <w:div w:id="830562677">
          <w:marLeft w:val="0"/>
          <w:marRight w:val="0"/>
          <w:marTop w:val="0"/>
          <w:marBottom w:val="0"/>
          <w:divBdr>
            <w:top w:val="none" w:sz="0" w:space="0" w:color="auto"/>
            <w:left w:val="none" w:sz="0" w:space="0" w:color="auto"/>
            <w:bottom w:val="none" w:sz="0" w:space="0" w:color="auto"/>
            <w:right w:val="none" w:sz="0" w:space="0" w:color="auto"/>
          </w:divBdr>
          <w:divsChild>
            <w:div w:id="1597209149">
              <w:marLeft w:val="0"/>
              <w:marRight w:val="0"/>
              <w:marTop w:val="0"/>
              <w:marBottom w:val="0"/>
              <w:divBdr>
                <w:top w:val="none" w:sz="0" w:space="0" w:color="auto"/>
                <w:left w:val="none" w:sz="0" w:space="0" w:color="auto"/>
                <w:bottom w:val="none" w:sz="0" w:space="0" w:color="auto"/>
                <w:right w:val="none" w:sz="0" w:space="0" w:color="auto"/>
              </w:divBdr>
              <w:divsChild>
                <w:div w:id="19114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716">
      <w:bodyDiv w:val="1"/>
      <w:marLeft w:val="0"/>
      <w:marRight w:val="0"/>
      <w:marTop w:val="0"/>
      <w:marBottom w:val="0"/>
      <w:divBdr>
        <w:top w:val="none" w:sz="0" w:space="0" w:color="auto"/>
        <w:left w:val="none" w:sz="0" w:space="0" w:color="auto"/>
        <w:bottom w:val="none" w:sz="0" w:space="0" w:color="auto"/>
        <w:right w:val="none" w:sz="0" w:space="0" w:color="auto"/>
      </w:divBdr>
    </w:div>
    <w:div w:id="1832600874">
      <w:bodyDiv w:val="1"/>
      <w:marLeft w:val="0"/>
      <w:marRight w:val="0"/>
      <w:marTop w:val="0"/>
      <w:marBottom w:val="0"/>
      <w:divBdr>
        <w:top w:val="none" w:sz="0" w:space="0" w:color="auto"/>
        <w:left w:val="none" w:sz="0" w:space="0" w:color="auto"/>
        <w:bottom w:val="none" w:sz="0" w:space="0" w:color="auto"/>
        <w:right w:val="none" w:sz="0" w:space="0" w:color="auto"/>
      </w:divBdr>
    </w:div>
    <w:div w:id="1852183972">
      <w:bodyDiv w:val="1"/>
      <w:marLeft w:val="0"/>
      <w:marRight w:val="0"/>
      <w:marTop w:val="0"/>
      <w:marBottom w:val="0"/>
      <w:divBdr>
        <w:top w:val="none" w:sz="0" w:space="0" w:color="auto"/>
        <w:left w:val="none" w:sz="0" w:space="0" w:color="auto"/>
        <w:bottom w:val="none" w:sz="0" w:space="0" w:color="auto"/>
        <w:right w:val="none" w:sz="0" w:space="0" w:color="auto"/>
      </w:divBdr>
    </w:div>
    <w:div w:id="1869365188">
      <w:bodyDiv w:val="1"/>
      <w:marLeft w:val="0"/>
      <w:marRight w:val="0"/>
      <w:marTop w:val="0"/>
      <w:marBottom w:val="0"/>
      <w:divBdr>
        <w:top w:val="none" w:sz="0" w:space="0" w:color="auto"/>
        <w:left w:val="none" w:sz="0" w:space="0" w:color="auto"/>
        <w:bottom w:val="none" w:sz="0" w:space="0" w:color="auto"/>
        <w:right w:val="none" w:sz="0" w:space="0" w:color="auto"/>
      </w:divBdr>
    </w:div>
    <w:div w:id="1875190239">
      <w:bodyDiv w:val="1"/>
      <w:marLeft w:val="0"/>
      <w:marRight w:val="0"/>
      <w:marTop w:val="0"/>
      <w:marBottom w:val="0"/>
      <w:divBdr>
        <w:top w:val="none" w:sz="0" w:space="0" w:color="auto"/>
        <w:left w:val="none" w:sz="0" w:space="0" w:color="auto"/>
        <w:bottom w:val="none" w:sz="0" w:space="0" w:color="auto"/>
        <w:right w:val="none" w:sz="0" w:space="0" w:color="auto"/>
      </w:divBdr>
      <w:divsChild>
        <w:div w:id="245968578">
          <w:marLeft w:val="0"/>
          <w:marRight w:val="0"/>
          <w:marTop w:val="0"/>
          <w:marBottom w:val="0"/>
          <w:divBdr>
            <w:top w:val="none" w:sz="0" w:space="0" w:color="auto"/>
            <w:left w:val="none" w:sz="0" w:space="0" w:color="auto"/>
            <w:bottom w:val="none" w:sz="0" w:space="0" w:color="auto"/>
            <w:right w:val="none" w:sz="0" w:space="0" w:color="auto"/>
          </w:divBdr>
          <w:divsChild>
            <w:div w:id="6049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3558">
      <w:bodyDiv w:val="1"/>
      <w:marLeft w:val="0"/>
      <w:marRight w:val="0"/>
      <w:marTop w:val="0"/>
      <w:marBottom w:val="0"/>
      <w:divBdr>
        <w:top w:val="none" w:sz="0" w:space="0" w:color="auto"/>
        <w:left w:val="none" w:sz="0" w:space="0" w:color="auto"/>
        <w:bottom w:val="none" w:sz="0" w:space="0" w:color="auto"/>
        <w:right w:val="none" w:sz="0" w:space="0" w:color="auto"/>
      </w:divBdr>
      <w:divsChild>
        <w:div w:id="1976598094">
          <w:marLeft w:val="0"/>
          <w:marRight w:val="0"/>
          <w:marTop w:val="0"/>
          <w:marBottom w:val="0"/>
          <w:divBdr>
            <w:top w:val="none" w:sz="0" w:space="0" w:color="auto"/>
            <w:left w:val="none" w:sz="0" w:space="0" w:color="auto"/>
            <w:bottom w:val="none" w:sz="0" w:space="0" w:color="auto"/>
            <w:right w:val="none" w:sz="0" w:space="0" w:color="auto"/>
          </w:divBdr>
        </w:div>
        <w:div w:id="549996358">
          <w:marLeft w:val="0"/>
          <w:marRight w:val="0"/>
          <w:marTop w:val="0"/>
          <w:marBottom w:val="0"/>
          <w:divBdr>
            <w:top w:val="none" w:sz="0" w:space="0" w:color="auto"/>
            <w:left w:val="none" w:sz="0" w:space="0" w:color="auto"/>
            <w:bottom w:val="none" w:sz="0" w:space="0" w:color="auto"/>
            <w:right w:val="none" w:sz="0" w:space="0" w:color="auto"/>
          </w:divBdr>
        </w:div>
      </w:divsChild>
    </w:div>
    <w:div w:id="1899895550">
      <w:bodyDiv w:val="1"/>
      <w:marLeft w:val="0"/>
      <w:marRight w:val="0"/>
      <w:marTop w:val="0"/>
      <w:marBottom w:val="0"/>
      <w:divBdr>
        <w:top w:val="none" w:sz="0" w:space="0" w:color="auto"/>
        <w:left w:val="none" w:sz="0" w:space="0" w:color="auto"/>
        <w:bottom w:val="none" w:sz="0" w:space="0" w:color="auto"/>
        <w:right w:val="none" w:sz="0" w:space="0" w:color="auto"/>
      </w:divBdr>
      <w:divsChild>
        <w:div w:id="1405296619">
          <w:marLeft w:val="0"/>
          <w:marRight w:val="0"/>
          <w:marTop w:val="0"/>
          <w:marBottom w:val="0"/>
          <w:divBdr>
            <w:top w:val="none" w:sz="0" w:space="0" w:color="auto"/>
            <w:left w:val="none" w:sz="0" w:space="0" w:color="auto"/>
            <w:bottom w:val="none" w:sz="0" w:space="0" w:color="auto"/>
            <w:right w:val="none" w:sz="0" w:space="0" w:color="auto"/>
          </w:divBdr>
          <w:divsChild>
            <w:div w:id="274020513">
              <w:marLeft w:val="0"/>
              <w:marRight w:val="0"/>
              <w:marTop w:val="0"/>
              <w:marBottom w:val="0"/>
              <w:divBdr>
                <w:top w:val="none" w:sz="0" w:space="0" w:color="auto"/>
                <w:left w:val="none" w:sz="0" w:space="0" w:color="auto"/>
                <w:bottom w:val="none" w:sz="0" w:space="0" w:color="auto"/>
                <w:right w:val="none" w:sz="0" w:space="0" w:color="auto"/>
              </w:divBdr>
              <w:divsChild>
                <w:div w:id="1508902452">
                  <w:marLeft w:val="0"/>
                  <w:marRight w:val="0"/>
                  <w:marTop w:val="0"/>
                  <w:marBottom w:val="0"/>
                  <w:divBdr>
                    <w:top w:val="none" w:sz="0" w:space="0" w:color="auto"/>
                    <w:left w:val="none" w:sz="0" w:space="0" w:color="auto"/>
                    <w:bottom w:val="none" w:sz="0" w:space="0" w:color="auto"/>
                    <w:right w:val="none" w:sz="0" w:space="0" w:color="auto"/>
                  </w:divBdr>
                </w:div>
              </w:divsChild>
            </w:div>
            <w:div w:id="725450323">
              <w:marLeft w:val="0"/>
              <w:marRight w:val="0"/>
              <w:marTop w:val="0"/>
              <w:marBottom w:val="0"/>
              <w:divBdr>
                <w:top w:val="none" w:sz="0" w:space="0" w:color="auto"/>
                <w:left w:val="none" w:sz="0" w:space="0" w:color="auto"/>
                <w:bottom w:val="none" w:sz="0" w:space="0" w:color="auto"/>
                <w:right w:val="none" w:sz="0" w:space="0" w:color="auto"/>
              </w:divBdr>
              <w:divsChild>
                <w:div w:id="6053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5638">
          <w:marLeft w:val="0"/>
          <w:marRight w:val="0"/>
          <w:marTop w:val="0"/>
          <w:marBottom w:val="0"/>
          <w:divBdr>
            <w:top w:val="none" w:sz="0" w:space="0" w:color="auto"/>
            <w:left w:val="none" w:sz="0" w:space="0" w:color="auto"/>
            <w:bottom w:val="none" w:sz="0" w:space="0" w:color="auto"/>
            <w:right w:val="none" w:sz="0" w:space="0" w:color="auto"/>
          </w:divBdr>
          <w:divsChild>
            <w:div w:id="448671243">
              <w:marLeft w:val="0"/>
              <w:marRight w:val="0"/>
              <w:marTop w:val="0"/>
              <w:marBottom w:val="0"/>
              <w:divBdr>
                <w:top w:val="none" w:sz="0" w:space="0" w:color="auto"/>
                <w:left w:val="none" w:sz="0" w:space="0" w:color="auto"/>
                <w:bottom w:val="none" w:sz="0" w:space="0" w:color="auto"/>
                <w:right w:val="none" w:sz="0" w:space="0" w:color="auto"/>
              </w:divBdr>
              <w:divsChild>
                <w:div w:id="21338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9832">
      <w:bodyDiv w:val="1"/>
      <w:marLeft w:val="0"/>
      <w:marRight w:val="0"/>
      <w:marTop w:val="0"/>
      <w:marBottom w:val="0"/>
      <w:divBdr>
        <w:top w:val="none" w:sz="0" w:space="0" w:color="auto"/>
        <w:left w:val="none" w:sz="0" w:space="0" w:color="auto"/>
        <w:bottom w:val="none" w:sz="0" w:space="0" w:color="auto"/>
        <w:right w:val="none" w:sz="0" w:space="0" w:color="auto"/>
      </w:divBdr>
    </w:div>
    <w:div w:id="1924338120">
      <w:bodyDiv w:val="1"/>
      <w:marLeft w:val="0"/>
      <w:marRight w:val="0"/>
      <w:marTop w:val="0"/>
      <w:marBottom w:val="0"/>
      <w:divBdr>
        <w:top w:val="none" w:sz="0" w:space="0" w:color="auto"/>
        <w:left w:val="none" w:sz="0" w:space="0" w:color="auto"/>
        <w:bottom w:val="none" w:sz="0" w:space="0" w:color="auto"/>
        <w:right w:val="none" w:sz="0" w:space="0" w:color="auto"/>
      </w:divBdr>
    </w:div>
    <w:div w:id="1924603810">
      <w:bodyDiv w:val="1"/>
      <w:marLeft w:val="0"/>
      <w:marRight w:val="0"/>
      <w:marTop w:val="0"/>
      <w:marBottom w:val="0"/>
      <w:divBdr>
        <w:top w:val="none" w:sz="0" w:space="0" w:color="auto"/>
        <w:left w:val="none" w:sz="0" w:space="0" w:color="auto"/>
        <w:bottom w:val="none" w:sz="0" w:space="0" w:color="auto"/>
        <w:right w:val="none" w:sz="0" w:space="0" w:color="auto"/>
      </w:divBdr>
    </w:div>
    <w:div w:id="1965767573">
      <w:bodyDiv w:val="1"/>
      <w:marLeft w:val="0"/>
      <w:marRight w:val="0"/>
      <w:marTop w:val="0"/>
      <w:marBottom w:val="0"/>
      <w:divBdr>
        <w:top w:val="none" w:sz="0" w:space="0" w:color="auto"/>
        <w:left w:val="none" w:sz="0" w:space="0" w:color="auto"/>
        <w:bottom w:val="none" w:sz="0" w:space="0" w:color="auto"/>
        <w:right w:val="none" w:sz="0" w:space="0" w:color="auto"/>
      </w:divBdr>
    </w:div>
    <w:div w:id="1982955414">
      <w:bodyDiv w:val="1"/>
      <w:marLeft w:val="0"/>
      <w:marRight w:val="0"/>
      <w:marTop w:val="0"/>
      <w:marBottom w:val="0"/>
      <w:divBdr>
        <w:top w:val="none" w:sz="0" w:space="0" w:color="auto"/>
        <w:left w:val="none" w:sz="0" w:space="0" w:color="auto"/>
        <w:bottom w:val="none" w:sz="0" w:space="0" w:color="auto"/>
        <w:right w:val="none" w:sz="0" w:space="0" w:color="auto"/>
      </w:divBdr>
      <w:divsChild>
        <w:div w:id="1350252106">
          <w:marLeft w:val="0"/>
          <w:marRight w:val="0"/>
          <w:marTop w:val="0"/>
          <w:marBottom w:val="0"/>
          <w:divBdr>
            <w:top w:val="none" w:sz="0" w:space="0" w:color="auto"/>
            <w:left w:val="none" w:sz="0" w:space="0" w:color="auto"/>
            <w:bottom w:val="none" w:sz="0" w:space="0" w:color="auto"/>
            <w:right w:val="none" w:sz="0" w:space="0" w:color="auto"/>
          </w:divBdr>
        </w:div>
        <w:div w:id="1549759632">
          <w:marLeft w:val="0"/>
          <w:marRight w:val="0"/>
          <w:marTop w:val="0"/>
          <w:marBottom w:val="0"/>
          <w:divBdr>
            <w:top w:val="none" w:sz="0" w:space="0" w:color="auto"/>
            <w:left w:val="none" w:sz="0" w:space="0" w:color="auto"/>
            <w:bottom w:val="none" w:sz="0" w:space="0" w:color="auto"/>
            <w:right w:val="none" w:sz="0" w:space="0" w:color="auto"/>
          </w:divBdr>
        </w:div>
        <w:div w:id="1858156165">
          <w:marLeft w:val="0"/>
          <w:marRight w:val="0"/>
          <w:marTop w:val="0"/>
          <w:marBottom w:val="0"/>
          <w:divBdr>
            <w:top w:val="none" w:sz="0" w:space="0" w:color="auto"/>
            <w:left w:val="none" w:sz="0" w:space="0" w:color="auto"/>
            <w:bottom w:val="none" w:sz="0" w:space="0" w:color="auto"/>
            <w:right w:val="none" w:sz="0" w:space="0" w:color="auto"/>
          </w:divBdr>
        </w:div>
        <w:div w:id="646856311">
          <w:marLeft w:val="0"/>
          <w:marRight w:val="0"/>
          <w:marTop w:val="0"/>
          <w:marBottom w:val="0"/>
          <w:divBdr>
            <w:top w:val="none" w:sz="0" w:space="0" w:color="auto"/>
            <w:left w:val="none" w:sz="0" w:space="0" w:color="auto"/>
            <w:bottom w:val="none" w:sz="0" w:space="0" w:color="auto"/>
            <w:right w:val="none" w:sz="0" w:space="0" w:color="auto"/>
          </w:divBdr>
        </w:div>
      </w:divsChild>
    </w:div>
    <w:div w:id="1989627859">
      <w:bodyDiv w:val="1"/>
      <w:marLeft w:val="0"/>
      <w:marRight w:val="0"/>
      <w:marTop w:val="0"/>
      <w:marBottom w:val="0"/>
      <w:divBdr>
        <w:top w:val="none" w:sz="0" w:space="0" w:color="auto"/>
        <w:left w:val="none" w:sz="0" w:space="0" w:color="auto"/>
        <w:bottom w:val="none" w:sz="0" w:space="0" w:color="auto"/>
        <w:right w:val="none" w:sz="0" w:space="0" w:color="auto"/>
      </w:divBdr>
    </w:div>
    <w:div w:id="2010450163">
      <w:bodyDiv w:val="1"/>
      <w:marLeft w:val="0"/>
      <w:marRight w:val="0"/>
      <w:marTop w:val="0"/>
      <w:marBottom w:val="0"/>
      <w:divBdr>
        <w:top w:val="none" w:sz="0" w:space="0" w:color="auto"/>
        <w:left w:val="none" w:sz="0" w:space="0" w:color="auto"/>
        <w:bottom w:val="none" w:sz="0" w:space="0" w:color="auto"/>
        <w:right w:val="none" w:sz="0" w:space="0" w:color="auto"/>
      </w:divBdr>
    </w:div>
    <w:div w:id="2011524825">
      <w:bodyDiv w:val="1"/>
      <w:marLeft w:val="0"/>
      <w:marRight w:val="0"/>
      <w:marTop w:val="0"/>
      <w:marBottom w:val="0"/>
      <w:divBdr>
        <w:top w:val="none" w:sz="0" w:space="0" w:color="auto"/>
        <w:left w:val="none" w:sz="0" w:space="0" w:color="auto"/>
        <w:bottom w:val="none" w:sz="0" w:space="0" w:color="auto"/>
        <w:right w:val="none" w:sz="0" w:space="0" w:color="auto"/>
      </w:divBdr>
      <w:divsChild>
        <w:div w:id="1733041535">
          <w:marLeft w:val="0"/>
          <w:marRight w:val="0"/>
          <w:marTop w:val="0"/>
          <w:marBottom w:val="0"/>
          <w:divBdr>
            <w:top w:val="none" w:sz="0" w:space="0" w:color="auto"/>
            <w:left w:val="none" w:sz="0" w:space="0" w:color="auto"/>
            <w:bottom w:val="none" w:sz="0" w:space="0" w:color="auto"/>
            <w:right w:val="none" w:sz="0" w:space="0" w:color="auto"/>
          </w:divBdr>
        </w:div>
        <w:div w:id="263995763">
          <w:marLeft w:val="0"/>
          <w:marRight w:val="0"/>
          <w:marTop w:val="0"/>
          <w:marBottom w:val="0"/>
          <w:divBdr>
            <w:top w:val="none" w:sz="0" w:space="0" w:color="auto"/>
            <w:left w:val="none" w:sz="0" w:space="0" w:color="auto"/>
            <w:bottom w:val="none" w:sz="0" w:space="0" w:color="auto"/>
            <w:right w:val="none" w:sz="0" w:space="0" w:color="auto"/>
          </w:divBdr>
        </w:div>
        <w:div w:id="621607">
          <w:marLeft w:val="0"/>
          <w:marRight w:val="0"/>
          <w:marTop w:val="0"/>
          <w:marBottom w:val="0"/>
          <w:divBdr>
            <w:top w:val="none" w:sz="0" w:space="0" w:color="auto"/>
            <w:left w:val="none" w:sz="0" w:space="0" w:color="auto"/>
            <w:bottom w:val="none" w:sz="0" w:space="0" w:color="auto"/>
            <w:right w:val="none" w:sz="0" w:space="0" w:color="auto"/>
          </w:divBdr>
        </w:div>
        <w:div w:id="83499112">
          <w:marLeft w:val="0"/>
          <w:marRight w:val="0"/>
          <w:marTop w:val="0"/>
          <w:marBottom w:val="0"/>
          <w:divBdr>
            <w:top w:val="none" w:sz="0" w:space="0" w:color="auto"/>
            <w:left w:val="none" w:sz="0" w:space="0" w:color="auto"/>
            <w:bottom w:val="none" w:sz="0" w:space="0" w:color="auto"/>
            <w:right w:val="none" w:sz="0" w:space="0" w:color="auto"/>
          </w:divBdr>
        </w:div>
        <w:div w:id="1817139270">
          <w:marLeft w:val="0"/>
          <w:marRight w:val="0"/>
          <w:marTop w:val="0"/>
          <w:marBottom w:val="0"/>
          <w:divBdr>
            <w:top w:val="none" w:sz="0" w:space="0" w:color="auto"/>
            <w:left w:val="none" w:sz="0" w:space="0" w:color="auto"/>
            <w:bottom w:val="none" w:sz="0" w:space="0" w:color="auto"/>
            <w:right w:val="none" w:sz="0" w:space="0" w:color="auto"/>
          </w:divBdr>
        </w:div>
        <w:div w:id="719785406">
          <w:marLeft w:val="0"/>
          <w:marRight w:val="0"/>
          <w:marTop w:val="0"/>
          <w:marBottom w:val="0"/>
          <w:divBdr>
            <w:top w:val="none" w:sz="0" w:space="0" w:color="auto"/>
            <w:left w:val="none" w:sz="0" w:space="0" w:color="auto"/>
            <w:bottom w:val="none" w:sz="0" w:space="0" w:color="auto"/>
            <w:right w:val="none" w:sz="0" w:space="0" w:color="auto"/>
          </w:divBdr>
        </w:div>
        <w:div w:id="1219631115">
          <w:marLeft w:val="0"/>
          <w:marRight w:val="0"/>
          <w:marTop w:val="0"/>
          <w:marBottom w:val="0"/>
          <w:divBdr>
            <w:top w:val="none" w:sz="0" w:space="0" w:color="auto"/>
            <w:left w:val="none" w:sz="0" w:space="0" w:color="auto"/>
            <w:bottom w:val="none" w:sz="0" w:space="0" w:color="auto"/>
            <w:right w:val="none" w:sz="0" w:space="0" w:color="auto"/>
          </w:divBdr>
        </w:div>
        <w:div w:id="2120368990">
          <w:marLeft w:val="0"/>
          <w:marRight w:val="0"/>
          <w:marTop w:val="0"/>
          <w:marBottom w:val="0"/>
          <w:divBdr>
            <w:top w:val="none" w:sz="0" w:space="0" w:color="auto"/>
            <w:left w:val="none" w:sz="0" w:space="0" w:color="auto"/>
            <w:bottom w:val="none" w:sz="0" w:space="0" w:color="auto"/>
            <w:right w:val="none" w:sz="0" w:space="0" w:color="auto"/>
          </w:divBdr>
        </w:div>
        <w:div w:id="54932426">
          <w:marLeft w:val="0"/>
          <w:marRight w:val="0"/>
          <w:marTop w:val="0"/>
          <w:marBottom w:val="0"/>
          <w:divBdr>
            <w:top w:val="none" w:sz="0" w:space="0" w:color="auto"/>
            <w:left w:val="none" w:sz="0" w:space="0" w:color="auto"/>
            <w:bottom w:val="none" w:sz="0" w:space="0" w:color="auto"/>
            <w:right w:val="none" w:sz="0" w:space="0" w:color="auto"/>
          </w:divBdr>
        </w:div>
        <w:div w:id="1670332130">
          <w:marLeft w:val="0"/>
          <w:marRight w:val="0"/>
          <w:marTop w:val="0"/>
          <w:marBottom w:val="0"/>
          <w:divBdr>
            <w:top w:val="none" w:sz="0" w:space="0" w:color="auto"/>
            <w:left w:val="none" w:sz="0" w:space="0" w:color="auto"/>
            <w:bottom w:val="none" w:sz="0" w:space="0" w:color="auto"/>
            <w:right w:val="none" w:sz="0" w:space="0" w:color="auto"/>
          </w:divBdr>
        </w:div>
      </w:divsChild>
    </w:div>
    <w:div w:id="2016229239">
      <w:bodyDiv w:val="1"/>
      <w:marLeft w:val="0"/>
      <w:marRight w:val="0"/>
      <w:marTop w:val="0"/>
      <w:marBottom w:val="0"/>
      <w:divBdr>
        <w:top w:val="none" w:sz="0" w:space="0" w:color="auto"/>
        <w:left w:val="none" w:sz="0" w:space="0" w:color="auto"/>
        <w:bottom w:val="none" w:sz="0" w:space="0" w:color="auto"/>
        <w:right w:val="none" w:sz="0" w:space="0" w:color="auto"/>
      </w:divBdr>
      <w:divsChild>
        <w:div w:id="690760793">
          <w:marLeft w:val="0"/>
          <w:marRight w:val="0"/>
          <w:marTop w:val="0"/>
          <w:marBottom w:val="0"/>
          <w:divBdr>
            <w:top w:val="none" w:sz="0" w:space="0" w:color="auto"/>
            <w:left w:val="none" w:sz="0" w:space="0" w:color="auto"/>
            <w:bottom w:val="none" w:sz="0" w:space="0" w:color="auto"/>
            <w:right w:val="none" w:sz="0" w:space="0" w:color="auto"/>
          </w:divBdr>
          <w:divsChild>
            <w:div w:id="589236336">
              <w:marLeft w:val="0"/>
              <w:marRight w:val="0"/>
              <w:marTop w:val="0"/>
              <w:marBottom w:val="0"/>
              <w:divBdr>
                <w:top w:val="none" w:sz="0" w:space="0" w:color="auto"/>
                <w:left w:val="none" w:sz="0" w:space="0" w:color="auto"/>
                <w:bottom w:val="none" w:sz="0" w:space="0" w:color="auto"/>
                <w:right w:val="none" w:sz="0" w:space="0" w:color="auto"/>
              </w:divBdr>
              <w:divsChild>
                <w:div w:id="18628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86150">
      <w:bodyDiv w:val="1"/>
      <w:marLeft w:val="0"/>
      <w:marRight w:val="0"/>
      <w:marTop w:val="0"/>
      <w:marBottom w:val="0"/>
      <w:divBdr>
        <w:top w:val="none" w:sz="0" w:space="0" w:color="auto"/>
        <w:left w:val="none" w:sz="0" w:space="0" w:color="auto"/>
        <w:bottom w:val="none" w:sz="0" w:space="0" w:color="auto"/>
        <w:right w:val="none" w:sz="0" w:space="0" w:color="auto"/>
      </w:divBdr>
    </w:div>
    <w:div w:id="2032099462">
      <w:bodyDiv w:val="1"/>
      <w:marLeft w:val="0"/>
      <w:marRight w:val="0"/>
      <w:marTop w:val="0"/>
      <w:marBottom w:val="0"/>
      <w:divBdr>
        <w:top w:val="none" w:sz="0" w:space="0" w:color="auto"/>
        <w:left w:val="none" w:sz="0" w:space="0" w:color="auto"/>
        <w:bottom w:val="none" w:sz="0" w:space="0" w:color="auto"/>
        <w:right w:val="none" w:sz="0" w:space="0" w:color="auto"/>
      </w:divBdr>
      <w:divsChild>
        <w:div w:id="33697581">
          <w:marLeft w:val="0"/>
          <w:marRight w:val="0"/>
          <w:marTop w:val="0"/>
          <w:marBottom w:val="0"/>
          <w:divBdr>
            <w:top w:val="none" w:sz="0" w:space="0" w:color="auto"/>
            <w:left w:val="none" w:sz="0" w:space="0" w:color="auto"/>
            <w:bottom w:val="none" w:sz="0" w:space="0" w:color="auto"/>
            <w:right w:val="none" w:sz="0" w:space="0" w:color="auto"/>
          </w:divBdr>
          <w:divsChild>
            <w:div w:id="1497571307">
              <w:marLeft w:val="0"/>
              <w:marRight w:val="0"/>
              <w:marTop w:val="0"/>
              <w:marBottom w:val="0"/>
              <w:divBdr>
                <w:top w:val="none" w:sz="0" w:space="0" w:color="auto"/>
                <w:left w:val="none" w:sz="0" w:space="0" w:color="auto"/>
                <w:bottom w:val="none" w:sz="0" w:space="0" w:color="auto"/>
                <w:right w:val="none" w:sz="0" w:space="0" w:color="auto"/>
              </w:divBdr>
              <w:divsChild>
                <w:div w:id="5321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39087">
      <w:bodyDiv w:val="1"/>
      <w:marLeft w:val="0"/>
      <w:marRight w:val="0"/>
      <w:marTop w:val="0"/>
      <w:marBottom w:val="0"/>
      <w:divBdr>
        <w:top w:val="none" w:sz="0" w:space="0" w:color="auto"/>
        <w:left w:val="none" w:sz="0" w:space="0" w:color="auto"/>
        <w:bottom w:val="none" w:sz="0" w:space="0" w:color="auto"/>
        <w:right w:val="none" w:sz="0" w:space="0" w:color="auto"/>
      </w:divBdr>
    </w:div>
    <w:div w:id="2076079504">
      <w:bodyDiv w:val="1"/>
      <w:marLeft w:val="0"/>
      <w:marRight w:val="0"/>
      <w:marTop w:val="0"/>
      <w:marBottom w:val="0"/>
      <w:divBdr>
        <w:top w:val="none" w:sz="0" w:space="0" w:color="auto"/>
        <w:left w:val="none" w:sz="0" w:space="0" w:color="auto"/>
        <w:bottom w:val="none" w:sz="0" w:space="0" w:color="auto"/>
        <w:right w:val="none" w:sz="0" w:space="0" w:color="auto"/>
      </w:divBdr>
    </w:div>
    <w:div w:id="2077126599">
      <w:bodyDiv w:val="1"/>
      <w:marLeft w:val="0"/>
      <w:marRight w:val="0"/>
      <w:marTop w:val="0"/>
      <w:marBottom w:val="0"/>
      <w:divBdr>
        <w:top w:val="none" w:sz="0" w:space="0" w:color="auto"/>
        <w:left w:val="none" w:sz="0" w:space="0" w:color="auto"/>
        <w:bottom w:val="none" w:sz="0" w:space="0" w:color="auto"/>
        <w:right w:val="none" w:sz="0" w:space="0" w:color="auto"/>
      </w:divBdr>
      <w:divsChild>
        <w:div w:id="579754773">
          <w:marLeft w:val="0"/>
          <w:marRight w:val="0"/>
          <w:marTop w:val="0"/>
          <w:marBottom w:val="0"/>
          <w:divBdr>
            <w:top w:val="none" w:sz="0" w:space="0" w:color="auto"/>
            <w:left w:val="none" w:sz="0" w:space="0" w:color="auto"/>
            <w:bottom w:val="none" w:sz="0" w:space="0" w:color="auto"/>
            <w:right w:val="none" w:sz="0" w:space="0" w:color="auto"/>
          </w:divBdr>
        </w:div>
        <w:div w:id="1214390041">
          <w:marLeft w:val="0"/>
          <w:marRight w:val="0"/>
          <w:marTop w:val="0"/>
          <w:marBottom w:val="0"/>
          <w:divBdr>
            <w:top w:val="none" w:sz="0" w:space="0" w:color="auto"/>
            <w:left w:val="none" w:sz="0" w:space="0" w:color="auto"/>
            <w:bottom w:val="none" w:sz="0" w:space="0" w:color="auto"/>
            <w:right w:val="none" w:sz="0" w:space="0" w:color="auto"/>
          </w:divBdr>
        </w:div>
        <w:div w:id="181477312">
          <w:marLeft w:val="0"/>
          <w:marRight w:val="0"/>
          <w:marTop w:val="0"/>
          <w:marBottom w:val="0"/>
          <w:divBdr>
            <w:top w:val="none" w:sz="0" w:space="0" w:color="auto"/>
            <w:left w:val="none" w:sz="0" w:space="0" w:color="auto"/>
            <w:bottom w:val="none" w:sz="0" w:space="0" w:color="auto"/>
            <w:right w:val="none" w:sz="0" w:space="0" w:color="auto"/>
          </w:divBdr>
        </w:div>
        <w:div w:id="311183803">
          <w:marLeft w:val="0"/>
          <w:marRight w:val="0"/>
          <w:marTop w:val="0"/>
          <w:marBottom w:val="0"/>
          <w:divBdr>
            <w:top w:val="none" w:sz="0" w:space="0" w:color="auto"/>
            <w:left w:val="none" w:sz="0" w:space="0" w:color="auto"/>
            <w:bottom w:val="none" w:sz="0" w:space="0" w:color="auto"/>
            <w:right w:val="none" w:sz="0" w:space="0" w:color="auto"/>
          </w:divBdr>
        </w:div>
        <w:div w:id="445926864">
          <w:marLeft w:val="0"/>
          <w:marRight w:val="0"/>
          <w:marTop w:val="0"/>
          <w:marBottom w:val="0"/>
          <w:divBdr>
            <w:top w:val="none" w:sz="0" w:space="0" w:color="auto"/>
            <w:left w:val="none" w:sz="0" w:space="0" w:color="auto"/>
            <w:bottom w:val="none" w:sz="0" w:space="0" w:color="auto"/>
            <w:right w:val="none" w:sz="0" w:space="0" w:color="auto"/>
          </w:divBdr>
        </w:div>
        <w:div w:id="851341313">
          <w:marLeft w:val="0"/>
          <w:marRight w:val="0"/>
          <w:marTop w:val="0"/>
          <w:marBottom w:val="0"/>
          <w:divBdr>
            <w:top w:val="none" w:sz="0" w:space="0" w:color="auto"/>
            <w:left w:val="none" w:sz="0" w:space="0" w:color="auto"/>
            <w:bottom w:val="none" w:sz="0" w:space="0" w:color="auto"/>
            <w:right w:val="none" w:sz="0" w:space="0" w:color="auto"/>
          </w:divBdr>
        </w:div>
      </w:divsChild>
    </w:div>
    <w:div w:id="2086293429">
      <w:bodyDiv w:val="1"/>
      <w:marLeft w:val="0"/>
      <w:marRight w:val="0"/>
      <w:marTop w:val="0"/>
      <w:marBottom w:val="0"/>
      <w:divBdr>
        <w:top w:val="none" w:sz="0" w:space="0" w:color="auto"/>
        <w:left w:val="none" w:sz="0" w:space="0" w:color="auto"/>
        <w:bottom w:val="none" w:sz="0" w:space="0" w:color="auto"/>
        <w:right w:val="none" w:sz="0" w:space="0" w:color="auto"/>
      </w:divBdr>
    </w:div>
    <w:div w:id="2114468570">
      <w:bodyDiv w:val="1"/>
      <w:marLeft w:val="0"/>
      <w:marRight w:val="0"/>
      <w:marTop w:val="0"/>
      <w:marBottom w:val="0"/>
      <w:divBdr>
        <w:top w:val="none" w:sz="0" w:space="0" w:color="auto"/>
        <w:left w:val="none" w:sz="0" w:space="0" w:color="auto"/>
        <w:bottom w:val="none" w:sz="0" w:space="0" w:color="auto"/>
        <w:right w:val="none" w:sz="0" w:space="0" w:color="auto"/>
      </w:divBdr>
    </w:div>
    <w:div w:id="2127309844">
      <w:bodyDiv w:val="1"/>
      <w:marLeft w:val="0"/>
      <w:marRight w:val="0"/>
      <w:marTop w:val="0"/>
      <w:marBottom w:val="0"/>
      <w:divBdr>
        <w:top w:val="none" w:sz="0" w:space="0" w:color="auto"/>
        <w:left w:val="none" w:sz="0" w:space="0" w:color="auto"/>
        <w:bottom w:val="none" w:sz="0" w:space="0" w:color="auto"/>
        <w:right w:val="none" w:sz="0" w:space="0" w:color="auto"/>
      </w:divBdr>
      <w:divsChild>
        <w:div w:id="544610152">
          <w:marLeft w:val="0"/>
          <w:marRight w:val="0"/>
          <w:marTop w:val="0"/>
          <w:marBottom w:val="0"/>
          <w:divBdr>
            <w:top w:val="none" w:sz="0" w:space="0" w:color="auto"/>
            <w:left w:val="none" w:sz="0" w:space="0" w:color="auto"/>
            <w:bottom w:val="none" w:sz="0" w:space="0" w:color="auto"/>
            <w:right w:val="none" w:sz="0" w:space="0" w:color="auto"/>
          </w:divBdr>
          <w:divsChild>
            <w:div w:id="226107835">
              <w:marLeft w:val="0"/>
              <w:marRight w:val="0"/>
              <w:marTop w:val="0"/>
              <w:marBottom w:val="0"/>
              <w:divBdr>
                <w:top w:val="none" w:sz="0" w:space="0" w:color="auto"/>
                <w:left w:val="none" w:sz="0" w:space="0" w:color="auto"/>
                <w:bottom w:val="none" w:sz="0" w:space="0" w:color="auto"/>
                <w:right w:val="none" w:sz="0" w:space="0" w:color="auto"/>
              </w:divBdr>
              <w:divsChild>
                <w:div w:id="5464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wda.org.au" TargetMode="External"/><Relationship Id="rId18" Type="http://schemas.openxmlformats.org/officeDocument/2006/relationships/hyperlink" Target="https://wwda.org.au/wp-content/uploads/2018/09/Sterilisation-of-Girls-with-Disability-Cashelle-Dunn-2018-1.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da.org.au/wp-content/uploads/2013/12/Moving_Forward_Gaining_Ground.pdf" TargetMode="External"/><Relationship Id="rId7" Type="http://schemas.openxmlformats.org/officeDocument/2006/relationships/settings" Target="settings.xml"/><Relationship Id="rId12" Type="http://schemas.openxmlformats.org/officeDocument/2006/relationships/hyperlink" Target="mailto:officeadmin@wwda.org.au" TargetMode="External"/><Relationship Id="rId17" Type="http://schemas.openxmlformats.org/officeDocument/2006/relationships/hyperlink" Target="https://wwda.org.au/wp-content/uploads/2013/12/WWDA_Sub_SenateInquiry_Sterilisation_March2013.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wwda.org.au/" TargetMode="External"/><Relationship Id="rId20" Type="http://schemas.openxmlformats.org/officeDocument/2006/relationships/hyperlink" Target="https://wwda.org.au/wp-content/uploads/2013/12/WWDA_Submission_SR201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da.org.au/wp-content/uploads/2020/06/The-Status-of-Women-and-Girls-with-Disability-Asutralia.pdf" TargetMode="External"/><Relationship Id="rId5" Type="http://schemas.openxmlformats.org/officeDocument/2006/relationships/numbering" Target="numbering.xml"/><Relationship Id="rId15" Type="http://schemas.openxmlformats.org/officeDocument/2006/relationships/hyperlink" Target="http://www.twitter.com/WWDA_AU" TargetMode="External"/><Relationship Id="rId23" Type="http://schemas.openxmlformats.org/officeDocument/2006/relationships/hyperlink" Target="https://wwda.org.au/publication/moving-forward-sterilisation-and-reproductive-health-of-women-and-girls-with-disabiliti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da.org.au/wp-content/uploads/2013/12/WWDA_Submission_SR201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WWDA.Australia" TargetMode="External"/><Relationship Id="rId22" Type="http://schemas.openxmlformats.org/officeDocument/2006/relationships/hyperlink" Target="https://wwda.org.au/wp-content/uploads/2019/09/Factsheet_No_6_Forced-Sterilisation.pdf"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reproductivefacts.org/globalassets/rf/news-and-publications/bookletsfact-sheets/english-fact-sheets-and-info-booklets/hyperprolactinemia_high_prolactin_levels_factsheet.pdf" TargetMode="External"/><Relationship Id="rId7" Type="http://schemas.openxmlformats.org/officeDocument/2006/relationships/hyperlink" Target="https://www.legislation.gov.au/Details/C2013A00020" TargetMode="External"/><Relationship Id="rId2" Type="http://schemas.openxmlformats.org/officeDocument/2006/relationships/hyperlink" Target="https://www.ndiscommission.gov.au/regulated-restrictive-practices" TargetMode="External"/><Relationship Id="rId1" Type="http://schemas.openxmlformats.org/officeDocument/2006/relationships/hyperlink" Target="https://federation.gov.au/nfrc" TargetMode="External"/><Relationship Id="rId6" Type="http://schemas.openxmlformats.org/officeDocument/2006/relationships/hyperlink" Target="https://www.ndis.gov.au/about-us/governance" TargetMode="External"/><Relationship Id="rId5" Type="http://schemas.openxmlformats.org/officeDocument/2006/relationships/hyperlink" Target="https://wwda.org.au/wp-content/uploads/2013/12/OPA_ReportDec2013.pdf" TargetMode="External"/><Relationship Id="rId4" Type="http://schemas.openxmlformats.org/officeDocument/2006/relationships/hyperlink" Target="https://tbinternet.ohchr.org/Treaties/CRPD/Shared%20Documents/AUS/INT_CRPD_CSS_AUS_35639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725C526BA544A90DEE1BBC8B281B1" ma:contentTypeVersion="13" ma:contentTypeDescription="Create a new document." ma:contentTypeScope="" ma:versionID="bdb0e538942a8c8db580daa4b949ce40">
  <xsd:schema xmlns:xsd="http://www.w3.org/2001/XMLSchema" xmlns:xs="http://www.w3.org/2001/XMLSchema" xmlns:p="http://schemas.microsoft.com/office/2006/metadata/properties" xmlns:ns3="b4ccc8b1-a181-439c-b784-95faf6650bd0" xmlns:ns4="bb342aa2-12f7-42cf-b278-24139aefc87c" targetNamespace="http://schemas.microsoft.com/office/2006/metadata/properties" ma:root="true" ma:fieldsID="ab43f67e1a4ff598eafe657209e0dea8" ns3:_="" ns4:_="">
    <xsd:import namespace="b4ccc8b1-a181-439c-b784-95faf6650bd0"/>
    <xsd:import namespace="bb342aa2-12f7-42cf-b278-24139aefc8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cc8b1-a181-439c-b784-95faf6650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342aa2-12f7-42cf-b278-24139aefc8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F4DF8-4A29-419D-8D1D-CE9803987AF2}">
  <ds:schemaRefs>
    <ds:schemaRef ds:uri="http://schemas.openxmlformats.org/officeDocument/2006/bibliography"/>
  </ds:schemaRefs>
</ds:datastoreItem>
</file>

<file path=customXml/itemProps2.xml><?xml version="1.0" encoding="utf-8"?>
<ds:datastoreItem xmlns:ds="http://schemas.openxmlformats.org/officeDocument/2006/customXml" ds:itemID="{0FC0DA8F-8A5D-4627-A413-E98C1D60B9B2}">
  <ds:schemaRefs>
    <ds:schemaRef ds:uri="http://schemas.microsoft.com/sharepoint/v3/contenttype/forms"/>
  </ds:schemaRefs>
</ds:datastoreItem>
</file>

<file path=customXml/itemProps3.xml><?xml version="1.0" encoding="utf-8"?>
<ds:datastoreItem xmlns:ds="http://schemas.openxmlformats.org/officeDocument/2006/customXml" ds:itemID="{F32A44ED-D1CA-449B-B451-9BA4D98ED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cc8b1-a181-439c-b784-95faf6650bd0"/>
    <ds:schemaRef ds:uri="bb342aa2-12f7-42cf-b278-24139aefc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68A1B-E405-4B93-A955-565FF93AC4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134</Pages>
  <Words>60296</Words>
  <Characters>343693</Characters>
  <Application>Microsoft Office Word</Application>
  <DocSecurity>0</DocSecurity>
  <Lines>2864</Lines>
  <Paragraphs>806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Carolyn Frohmader | Women With Disabilities Australia</cp:lastModifiedBy>
  <cp:revision>98</cp:revision>
  <cp:lastPrinted>2021-07-13T04:28:00Z</cp:lastPrinted>
  <dcterms:created xsi:type="dcterms:W3CDTF">2021-06-24T05:48:00Z</dcterms:created>
  <dcterms:modified xsi:type="dcterms:W3CDTF">2021-07-23T06:15:00Z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0x0101009CF725C526BA544A90DEE1BBC8B281B1</vt:lpwstr>
  </property>
  <property fmtid="{D5CDD505-2E9C-101B-9397-08002B2CF9AE}" pid="3" name="MSIP_Label_51a6c3db-1667-4f49-995a-8b9973972958_Enabled">
    <vt:lpwstr>true</vt:lpwstr>
  </property>
  <property fmtid="{D5CDD505-2E9C-101B-9397-08002B2CF9AE}" pid="4" name="MSIP_Label_51a6c3db-1667-4f49-995a-8b9973972958_SetDate">
    <vt:lpwstr>2020-12-08T09:10:43Z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a7d9c2ad-1971-4c55-b37f-9eaee398c514</vt:lpwstr>
  </property>
  <property fmtid="{D5CDD505-2E9C-101B-9397-08002B2CF9AE}" pid="9" name="MSIP_Label_51a6c3db-1667-4f49-995a-8b9973972958_ContentBits">
    <vt:lpwstr>0</vt:lpwstr>
  </property>
  <property fmtid="{D5CDD505-2E9C-101B-9397-08002B2CF9AE}" pid="10" name="ZOTERO_PREF_1">
    <vt:lpwstr>&lt;data data-version="3" zotero-version="5.0.84"&gt;&lt;session id="mOkcIPU4"/&gt;&lt;style id="http://www.zotero.org/styles/australian-guide-to-legal-citation" hasBibliography="1" bibliographyStyleHasBeenSet="1"/&gt;&lt;prefs&gt;&lt;pref name="fieldType" value="Field"/&gt;&lt;pref name</vt:lpwstr>
  </property>
  <property fmtid="{D5CDD505-2E9C-101B-9397-08002B2CF9AE}" pid="11" name="ZOTERO_PREF_2">
    <vt:lpwstr>="automaticJournalAbbreviations" value="true"/&gt;&lt;pref name="noteType" value="2"/&gt;&lt;pref name="dontAskDelayCitationUpdates" value="true"/&gt;&lt;/prefs&gt;&lt;/data&gt;</vt:lpwstr>
  </property>
</Properties>
</file>